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9B2AC08" w14:textId="77777777" w:rsidR="00F00A21" w:rsidRDefault="00F00A21" w:rsidP="00CA32CC">
      <w:bookmarkStart w:id="0" w:name="_Toc71621413"/>
      <w:r>
        <w:t>Step one</w:t>
      </w:r>
    </w:p>
    <w:p w14:paraId="65345358" w14:textId="583BB301" w:rsidR="00CA32CC" w:rsidRDefault="002B6CCA" w:rsidP="00CA32CC">
      <w:r>
        <w:t>o</w:t>
      </w:r>
      <w:bookmarkStart w:id="1" w:name="_Ref145922107"/>
      <w:bookmarkEnd w:id="1"/>
      <w:sdt>
        <w:sdtPr>
          <w:id w:val="-1031805579"/>
          <w:lock w:val="contentLocked"/>
          <w:placeholder>
            <w:docPart w:val="5ADE86C093734789AE42E8D7137F10F5"/>
          </w:placeholder>
          <w:group/>
        </w:sdtPr>
        <w:sdtEndPr/>
        <w:sdtContent>
          <w:r w:rsidR="00CA32CC">
            <w:rPr>
              <w:noProof/>
            </w:rPr>
            <mc:AlternateContent>
              <mc:Choice Requires="wpg">
                <w:drawing>
                  <wp:anchor distT="0" distB="0" distL="114300" distR="114300" simplePos="0" relativeHeight="251658241" behindDoc="0" locked="1" layoutInCell="1" allowOverlap="1" wp14:anchorId="0DF73411" wp14:editId="7D2E99CE">
                    <wp:simplePos x="0" y="0"/>
                    <wp:positionH relativeFrom="page">
                      <wp:align>left</wp:align>
                    </wp:positionH>
                    <wp:positionV relativeFrom="page">
                      <wp:align>top</wp:align>
                    </wp:positionV>
                    <wp:extent cx="7578000" cy="6325200"/>
                    <wp:effectExtent l="0" t="0" r="4445" b="0"/>
                    <wp:wrapNone/>
                    <wp:docPr id="588721423" name="Group 588721423"/>
                    <wp:cNvGraphicFramePr/>
                    <a:graphic xmlns:a="http://schemas.openxmlformats.org/drawingml/2006/main">
                      <a:graphicData uri="http://schemas.microsoft.com/office/word/2010/wordprocessingGroup">
                        <wpg:wgp>
                          <wpg:cNvGrpSpPr/>
                          <wpg:grpSpPr>
                            <a:xfrm>
                              <a:off x="0" y="0"/>
                              <a:ext cx="7578000" cy="6325200"/>
                              <a:chOff x="0" y="0"/>
                              <a:chExt cx="7576292" cy="6324206"/>
                            </a:xfrm>
                          </wpg:grpSpPr>
                          <wps:wsp>
                            <wps:cNvPr id="1343255521" name="Free-form: Shape 2"/>
                            <wps:cNvSpPr/>
                            <wps:spPr>
                              <a:xfrm>
                                <a:off x="0" y="0"/>
                                <a:ext cx="6220706" cy="2241796"/>
                              </a:xfrm>
                              <a:custGeom>
                                <a:avLst/>
                                <a:gdLst>
                                  <a:gd name="connsiteX0" fmla="*/ 1231107 w 6220706"/>
                                  <a:gd name="connsiteY0" fmla="*/ 2138917 h 2241796"/>
                                  <a:gd name="connsiteX1" fmla="*/ 6220707 w 6220706"/>
                                  <a:gd name="connsiteY1" fmla="*/ 0 h 2241796"/>
                                  <a:gd name="connsiteX2" fmla="*/ 0 w 6220706"/>
                                  <a:gd name="connsiteY2" fmla="*/ 0 h 2241796"/>
                                  <a:gd name="connsiteX3" fmla="*/ 0 w 6220706"/>
                                  <a:gd name="connsiteY3" fmla="*/ 1972730 h 2241796"/>
                                  <a:gd name="connsiteX4" fmla="*/ 1231107 w 6220706"/>
                                  <a:gd name="connsiteY4" fmla="*/ 2138917 h 2241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0706" h="2241796">
                                    <a:moveTo>
                                      <a:pt x="1231107" y="2138917"/>
                                    </a:moveTo>
                                    <a:cubicBezTo>
                                      <a:pt x="2964041" y="2620531"/>
                                      <a:pt x="4577710" y="1327536"/>
                                      <a:pt x="6220707" y="0"/>
                                    </a:cubicBezTo>
                                    <a:lnTo>
                                      <a:pt x="0" y="0"/>
                                    </a:lnTo>
                                    <a:lnTo>
                                      <a:pt x="0" y="1972730"/>
                                    </a:lnTo>
                                    <a:cubicBezTo>
                                      <a:pt x="370831" y="1962303"/>
                                      <a:pt x="779462" y="2013788"/>
                                      <a:pt x="1231107" y="2138917"/>
                                    </a:cubicBezTo>
                                    <a:close/>
                                  </a:path>
                                </a:pathLst>
                              </a:custGeom>
                              <a:solidFill>
                                <a:srgbClr val="201E64"/>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159060" name="Free-form: Shape 3"/>
                            <wps:cNvSpPr/>
                            <wps:spPr>
                              <a:xfrm>
                                <a:off x="0" y="0"/>
                                <a:ext cx="7576292" cy="6324206"/>
                              </a:xfrm>
                              <a:custGeom>
                                <a:avLst/>
                                <a:gdLst>
                                  <a:gd name="connsiteX0" fmla="*/ 3434586 w 7576292"/>
                                  <a:gd name="connsiteY0" fmla="*/ 2523427 h 6324206"/>
                                  <a:gd name="connsiteX1" fmla="*/ 7175483 w 7576292"/>
                                  <a:gd name="connsiteY1" fmla="*/ 1536084 h 6324206"/>
                                  <a:gd name="connsiteX2" fmla="*/ 7576293 w 7576292"/>
                                  <a:gd name="connsiteY2" fmla="*/ 1547814 h 6324206"/>
                                  <a:gd name="connsiteX3" fmla="*/ 7576293 w 7576292"/>
                                  <a:gd name="connsiteY3" fmla="*/ 0 h 6324206"/>
                                  <a:gd name="connsiteX4" fmla="*/ 6220707 w 7576292"/>
                                  <a:gd name="connsiteY4" fmla="*/ 0 h 6324206"/>
                                  <a:gd name="connsiteX5" fmla="*/ 1231107 w 7576292"/>
                                  <a:gd name="connsiteY5" fmla="*/ 2138917 h 6324206"/>
                                  <a:gd name="connsiteX6" fmla="*/ 0 w 7576292"/>
                                  <a:gd name="connsiteY6" fmla="*/ 1972730 h 6324206"/>
                                  <a:gd name="connsiteX7" fmla="*/ 0 w 7576292"/>
                                  <a:gd name="connsiteY7" fmla="*/ 6324207 h 6324206"/>
                                  <a:gd name="connsiteX8" fmla="*/ 3433935 w 7576292"/>
                                  <a:gd name="connsiteY8" fmla="*/ 2524078 h 6324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76292" h="6324206">
                                    <a:moveTo>
                                      <a:pt x="3434586" y="2523427"/>
                                    </a:moveTo>
                                    <a:cubicBezTo>
                                      <a:pt x="4785610" y="1818926"/>
                                      <a:pt x="6046045" y="1536084"/>
                                      <a:pt x="7175483" y="1536084"/>
                                    </a:cubicBezTo>
                                    <a:cubicBezTo>
                                      <a:pt x="7311042" y="1536084"/>
                                      <a:pt x="7444645" y="1539994"/>
                                      <a:pt x="7576293" y="1547814"/>
                                    </a:cubicBezTo>
                                    <a:lnTo>
                                      <a:pt x="7576293" y="0"/>
                                    </a:lnTo>
                                    <a:lnTo>
                                      <a:pt x="6220707" y="0"/>
                                    </a:lnTo>
                                    <a:cubicBezTo>
                                      <a:pt x="4577711" y="1327536"/>
                                      <a:pt x="2964042" y="2620531"/>
                                      <a:pt x="1231107" y="2138917"/>
                                    </a:cubicBezTo>
                                    <a:cubicBezTo>
                                      <a:pt x="779462" y="2013136"/>
                                      <a:pt x="370179" y="1961651"/>
                                      <a:pt x="0" y="1972730"/>
                                    </a:cubicBezTo>
                                    <a:lnTo>
                                      <a:pt x="0" y="6324207"/>
                                    </a:lnTo>
                                    <a:cubicBezTo>
                                      <a:pt x="663455" y="4793337"/>
                                      <a:pt x="1768779" y="3392809"/>
                                      <a:pt x="3433935" y="2524078"/>
                                    </a:cubicBezTo>
                                    <a:close/>
                                  </a:path>
                                </a:pathLst>
                              </a:custGeom>
                              <a:solidFill>
                                <a:schemeClr val="accent2"/>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14839" id="Group 588721423" o:spid="_x0000_s1026" style="position:absolute;margin-left:0;margin-top:0;width:596.7pt;height:498.05pt;z-index:251658241;mso-position-horizontal:left;mso-position-horizontal-relative:page;mso-position-vertical:top;mso-position-vertical-relative:page;mso-width-relative:margin;mso-height-relative:margin" coordsize="75762,6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">
                    <v:shape id="Free-form: Shape 2" o:spid="_x0000_s1027" style="position:absolute;width:62207;height:22417;visibility:visible;mso-wrap-style:square;v-text-anchor:middle" coordsize="6220706,224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" path="m1231107,2138917c2964041,2620531,4577710,1327536,6220707,l,,,1972730v370831,-10427,779462,41058,1231107,166187xe" fillcolor="#201e64" stroked="f" strokeweight="1.80875mm">
                      <v:stroke joinstyle="miter"/>
                      <v:path arrowok="t" o:connecttype="custom" o:connectlocs="1231107,2138917;6220707,0;0,0;0,1972730;1231107,2138917" o:connectangles="0,0,0,0,0"/>
                    </v:shape>
                    <v:shape id="Free-form: Shape 3" o:spid="_x0000_s1028" style="position:absolute;width:75762;height:63242;visibility:visible;mso-wrap-style:square;v-text-anchor:middle" coordsize="7576292,6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" path="m3434586,2523427c4785610,1818926,6046045,1536084,7175483,1536084v135559,,269162,3910,400810,11730l7576293,,6220707,c4577711,1327536,2964042,2620531,1231107,2138917,779462,2013136,370179,1961651,,1972730l,6324207c663455,4793337,1768779,3392809,3433935,2524078r651,-651xe" fillcolor="#b3c5e6 [3205]" stroked="f" strokeweight="1.80875mm">
                      <v:stroke joinstyle="miter"/>
                      <v:path arrowok="t" o:connecttype="custom" o:connectlocs="3434586,2523427;7175483,1536084;7576293,1547814;7576293,0;6220707,0;1231107,2138917;0,1972730;0,6324207;3433935,2524078" o:connectangles="0,0,0,0,0,0,0,0,0"/>
                    </v:shape>
                    <w10:wrap anchorx="page" anchory="page"/>
                    <w10:anchorlock/>
                  </v:group>
                </w:pict>
              </mc:Fallback>
            </mc:AlternateContent>
          </w:r>
          <w:r w:rsidR="00CA32CC">
            <w:rPr>
              <w:noProof/>
            </w:rPr>
            <w:drawing>
              <wp:anchor distT="0" distB="0" distL="114300" distR="114300" simplePos="0" relativeHeight="251658255" behindDoc="0" locked="0" layoutInCell="1" allowOverlap="1" wp14:anchorId="7B2045D3" wp14:editId="0BFF3357">
                <wp:simplePos x="0" y="0"/>
                <wp:positionH relativeFrom="page">
                  <wp:posOffset>543697</wp:posOffset>
                </wp:positionH>
                <wp:positionV relativeFrom="page">
                  <wp:posOffset>342458</wp:posOffset>
                </wp:positionV>
                <wp:extent cx="1532121" cy="977949"/>
                <wp:effectExtent l="0" t="0" r="0" b="0"/>
                <wp:wrapNone/>
                <wp:docPr id="1853354126" name="Graphic 185335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45961" name="Log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40048" cy="983009"/>
                        </a:xfrm>
                        <a:prstGeom prst="rect">
                          <a:avLst/>
                        </a:prstGeom>
                      </pic:spPr>
                    </pic:pic>
                  </a:graphicData>
                </a:graphic>
                <wp14:sizeRelH relativeFrom="margin">
                  <wp14:pctWidth>0</wp14:pctWidth>
                </wp14:sizeRelH>
                <wp14:sizeRelV relativeFrom="margin">
                  <wp14:pctHeight>0</wp14:pctHeight>
                </wp14:sizeRelV>
              </wp:anchor>
            </w:drawing>
          </w:r>
          <w:sdt>
            <w:sdtPr>
              <w:id w:val="-1766756153"/>
              <w:picture/>
            </w:sdtPr>
            <w:sdtEndPr/>
            <w:sdtContent/>
          </w:sdt>
        </w:sdtContent>
      </w:sdt>
    </w:p>
    <w:p w14:paraId="236E4BC9" w14:textId="77777777" w:rsidR="00CA32CC" w:rsidRDefault="00CA32CC" w:rsidP="00CA32CC">
      <w:r>
        <w:rPr>
          <w:noProof/>
        </w:rPr>
        <mc:AlternateContent>
          <mc:Choice Requires="wps">
            <w:drawing>
              <wp:anchor distT="0" distB="0" distL="114300" distR="114300" simplePos="0" relativeHeight="251658240" behindDoc="1" locked="0" layoutInCell="1" allowOverlap="1" wp14:anchorId="1146F71A" wp14:editId="0D89DEA2">
                <wp:simplePos x="0" y="0"/>
                <wp:positionH relativeFrom="page">
                  <wp:posOffset>0</wp:posOffset>
                </wp:positionH>
                <wp:positionV relativeFrom="page">
                  <wp:posOffset>1323833</wp:posOffset>
                </wp:positionV>
                <wp:extent cx="7919720" cy="9360000"/>
                <wp:effectExtent l="0" t="0" r="5080" b="0"/>
                <wp:wrapNone/>
                <wp:docPr id="1864095234" name="Text Box 1864095234"/>
                <wp:cNvGraphicFramePr/>
                <a:graphic xmlns:a="http://schemas.openxmlformats.org/drawingml/2006/main">
                  <a:graphicData uri="http://schemas.microsoft.com/office/word/2010/wordprocessingShape">
                    <wps:wsp>
                      <wps:cNvSpPr txBox="1"/>
                      <wps:spPr>
                        <a:xfrm>
                          <a:off x="0" y="0"/>
                          <a:ext cx="7919720" cy="9360000"/>
                        </a:xfrm>
                        <a:prstGeom prst="rect">
                          <a:avLst/>
                        </a:prstGeom>
                        <a:solidFill>
                          <a:schemeClr val="accent2"/>
                        </a:solidFill>
                        <a:ln w="6350">
                          <a:noFill/>
                        </a:ln>
                      </wps:spPr>
                      <wps:txbx>
                        <w:txbxContent>
                          <w:p w14:paraId="1CFC7800" w14:textId="110B06D5" w:rsidR="00CA32CC" w:rsidRPr="00A64B81" w:rsidRDefault="00A64B81" w:rsidP="00CA32CC">
                            <w:pPr>
                              <w:rPr>
                                <w:lang w:val="en-GB"/>
                              </w:rPr>
                            </w:pPr>
                            <w:r>
                              <w:rPr>
                                <w:noProof/>
                              </w:rPr>
                              <w:drawing>
                                <wp:inline distT="0" distB="0" distL="0" distR="0" wp14:anchorId="6F11E1C2" wp14:editId="754C401B">
                                  <wp:extent cx="7560000" cy="9616532"/>
                                  <wp:effectExtent l="0" t="0" r="3175" b="3810"/>
                                  <wp:docPr id="64" name="Picture 64" descr="A young child wash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56067" name="Picture 1" descr="A young child washing her hands&#10;&#10;Description automatically generated"/>
                                          <pic:cNvPicPr/>
                                        </pic:nvPicPr>
                                        <pic:blipFill rotWithShape="1">
                                          <a:blip r:embed="rId14">
                                            <a:extLst>
                                              <a:ext uri="{28A0092B-C50C-407E-A947-70E740481C1C}">
                                                <a14:useLocalDpi xmlns:a14="http://schemas.microsoft.com/office/drawing/2010/main" val="0"/>
                                              </a:ext>
                                            </a:extLst>
                                          </a:blip>
                                          <a:srcRect l="22420" r="25145"/>
                                          <a:stretch/>
                                        </pic:blipFill>
                                        <pic:spPr bwMode="auto">
                                          <a:xfrm>
                                            <a:off x="0" y="0"/>
                                            <a:ext cx="7560000" cy="96165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6F71A" id="_x0000_t202" coordsize="21600,21600" o:spt="202" path="m,l,21600r21600,l21600,xe">
                <v:stroke joinstyle="miter"/>
                <v:path gradientshapeok="t" o:connecttype="rect"/>
              </v:shapetype>
              <v:shape id="Text Box 1864095234" o:spid="_x0000_s1026" type="#_x0000_t202" style="position:absolute;margin-left:0;margin-top:104.25pt;width:623.6pt;height: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" fillcolor="#b3c5e6 [3205]" stroked="f" strokeweight=".5pt">
                <v:textbox inset="0,0,0,0">
                  <w:txbxContent>
                    <w:p w14:paraId="1CFC7800" w14:textId="110B06D5" w:rsidR="00CA32CC" w:rsidRPr="00A64B81" w:rsidRDefault="00A64B81" w:rsidP="00CA32CC">
                      <w:pPr>
                        <w:rPr>
                          <w:lang w:val="en-GB"/>
                        </w:rPr>
                      </w:pPr>
                      <w:r>
                        <w:rPr>
                          <w:noProof/>
                        </w:rPr>
                        <w:drawing>
                          <wp:inline distT="0" distB="0" distL="0" distR="0" wp14:anchorId="6F11E1C2" wp14:editId="754C401B">
                            <wp:extent cx="7560000" cy="9616532"/>
                            <wp:effectExtent l="0" t="0" r="3175" b="3810"/>
                            <wp:docPr id="64" name="Picture 64" descr="A young child wash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56067" name="Picture 1" descr="A young child washing her hands&#10;&#10;Description automatically generated"/>
                                    <pic:cNvPicPr/>
                                  </pic:nvPicPr>
                                  <pic:blipFill rotWithShape="1">
                                    <a:blip r:embed="rId14">
                                      <a:extLst>
                                        <a:ext uri="{28A0092B-C50C-407E-A947-70E740481C1C}">
                                          <a14:useLocalDpi xmlns:a14="http://schemas.microsoft.com/office/drawing/2010/main" val="0"/>
                                        </a:ext>
                                      </a:extLst>
                                    </a:blip>
                                    <a:srcRect l="22420" r="25145"/>
                                    <a:stretch/>
                                  </pic:blipFill>
                                  <pic:spPr bwMode="auto">
                                    <a:xfrm>
                                      <a:off x="0" y="0"/>
                                      <a:ext cx="7560000" cy="96165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p w14:paraId="595E1850" w14:textId="77777777" w:rsidR="00CA32CC" w:rsidRDefault="00CA32CC" w:rsidP="00CA32CC"/>
    <w:p w14:paraId="09D79B0B" w14:textId="77777777" w:rsidR="00CA32CC" w:rsidRDefault="00CA32CC" w:rsidP="00CA32CC"/>
    <w:p w14:paraId="2F63B0A4" w14:textId="77777777" w:rsidR="00CA32CC" w:rsidRPr="00427B21" w:rsidRDefault="00CA32CC" w:rsidP="00CA32CC">
      <w:r>
        <w:rPr>
          <w:noProof/>
        </w:rPr>
        <mc:AlternateContent>
          <mc:Choice Requires="wps">
            <w:drawing>
              <wp:anchor distT="0" distB="0" distL="114300" distR="114300" simplePos="0" relativeHeight="251658243" behindDoc="0" locked="1" layoutInCell="1" allowOverlap="1" wp14:anchorId="27E5535C" wp14:editId="548C766A">
                <wp:simplePos x="0" y="0"/>
                <wp:positionH relativeFrom="page">
                  <wp:posOffset>541655</wp:posOffset>
                </wp:positionH>
                <wp:positionV relativeFrom="margin">
                  <wp:posOffset>7073265</wp:posOffset>
                </wp:positionV>
                <wp:extent cx="6230620" cy="2548255"/>
                <wp:effectExtent l="0" t="0" r="0" b="4445"/>
                <wp:wrapNone/>
                <wp:docPr id="1689063496" name="Text Box 1689063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2548255"/>
                        </a:xfrm>
                        <a:prstGeom prst="rect">
                          <a:avLst/>
                        </a:prstGeom>
                        <a:noFill/>
                        <a:ln w="9525">
                          <a:noFill/>
                          <a:miter lim="800000"/>
                          <a:headEnd/>
                          <a:tailEnd/>
                        </a:ln>
                      </wps:spPr>
                      <wps:txbx>
                        <w:txbxContent>
                          <w:p w14:paraId="40DC2082" w14:textId="77777777" w:rsidR="00CA32CC" w:rsidRDefault="00CA32CC" w:rsidP="00CA32CC">
                            <w:pPr>
                              <w:pStyle w:val="Subtitle"/>
                            </w:pPr>
                          </w:p>
                          <w:p w14:paraId="0FB10394" w14:textId="6788459C" w:rsidR="00CA32CC" w:rsidRPr="004958F6" w:rsidRDefault="0069425C" w:rsidP="00C62DA6">
                            <w:pPr>
                              <w:pStyle w:val="Title"/>
                              <w:spacing w:after="120"/>
                            </w:pPr>
                            <w:sdt>
                              <w:sdtPr>
                                <w:alias w:val="Title"/>
                                <w:tag w:val=""/>
                                <w:id w:val="-552472408"/>
                                <w:lock w:val="sdtLocked"/>
                                <w:dataBinding w:prefixMappings="xmlns:ns0='http://purl.org/dc/elements/1.1/' xmlns:ns1='http://schemas.openxmlformats.org/package/2006/metadata/core-properties' " w:xpath="/ns1:coreProperties[1]/ns0:title[1]" w:storeItemID="{6C3C8BC8-F283-45AE-878A-BAB7291924A1}"/>
                                <w:text w:multiLine="1"/>
                              </w:sdtPr>
                              <w:sdtEndPr/>
                              <w:sdtContent>
                                <w:r w:rsidR="00B17558">
                                  <w:t xml:space="preserve">2024 </w:t>
                                </w:r>
                                <w:r w:rsidR="00556C6E">
                                  <w:br/>
                                </w:r>
                                <w:r w:rsidR="00B17558">
                                  <w:t>Price Submission</w:t>
                                </w:r>
                              </w:sdtContent>
                            </w:sdt>
                          </w:p>
                          <w:sdt>
                            <w:sdtPr>
                              <w:alias w:val="Publish Date"/>
                              <w:tag w:val=""/>
                              <w:id w:val="1790311981"/>
                              <w:placeholder>
                                <w:docPart w:val="BFAACDFD929D450892FEDB3DA10E2894"/>
                              </w:placeholder>
                              <w:dataBinding w:prefixMappings="xmlns:ns0='http://schemas.microsoft.com/office/2006/coverPageProps' " w:xpath="/ns0:CoverPageProperties[1]/ns0:PublishDate[1]" w:storeItemID="{55AF091B-3C7A-41E3-B477-F2FDAA23CFDA}"/>
                              <w:date w:fullDate="2023-09-28T00:00:00Z">
                                <w:dateFormat w:val="dd/MM/yyyy"/>
                                <w:lid w:val="en-AU"/>
                                <w:storeMappedDataAs w:val="dateTime"/>
                                <w:calendar w:val="gregorian"/>
                              </w:date>
                            </w:sdtPr>
                            <w:sdtEndPr/>
                            <w:sdtContent>
                              <w:p w14:paraId="14E30B47" w14:textId="6E0C15B8" w:rsidR="00CA32CC" w:rsidRPr="00435B45" w:rsidRDefault="00A32BEB" w:rsidP="00CA32CC">
                                <w:pPr>
                                  <w:pStyle w:val="Subtitle"/>
                                </w:pPr>
                                <w:r>
                                  <w:t>28/09/2023</w:t>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7E5535C" id="Text Box 1689063496" o:spid="_x0000_s1027" type="#_x0000_t202" style="position:absolute;margin-left:42.65pt;margin-top:556.95pt;width:490.6pt;height:200.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" filled="f" stroked="f">
                <v:textbox inset="0,0,0,0">
                  <w:txbxContent>
                    <w:p w14:paraId="40DC2082" w14:textId="77777777" w:rsidR="00CA32CC" w:rsidRDefault="00CA32CC" w:rsidP="00CA32CC">
                      <w:pPr>
                        <w:pStyle w:val="Subtitle"/>
                      </w:pPr>
                    </w:p>
                    <w:p w14:paraId="0FB10394" w14:textId="6788459C" w:rsidR="00CA32CC" w:rsidRPr="004958F6" w:rsidRDefault="0069425C" w:rsidP="00C62DA6">
                      <w:pPr>
                        <w:pStyle w:val="Title"/>
                        <w:spacing w:after="120"/>
                      </w:pPr>
                      <w:sdt>
                        <w:sdtPr>
                          <w:alias w:val="Title"/>
                          <w:tag w:val=""/>
                          <w:id w:val="-552472408"/>
                          <w:lock w:val="sdtLocked"/>
                          <w:dataBinding w:prefixMappings="xmlns:ns0='http://purl.org/dc/elements/1.1/' xmlns:ns1='http://schemas.openxmlformats.org/package/2006/metadata/core-properties' " w:xpath="/ns1:coreProperties[1]/ns0:title[1]" w:storeItemID="{6C3C8BC8-F283-45AE-878A-BAB7291924A1}"/>
                          <w:text w:multiLine="1"/>
                        </w:sdtPr>
                        <w:sdtEndPr/>
                        <w:sdtContent>
                          <w:r w:rsidR="00B17558">
                            <w:t xml:space="preserve">2024 </w:t>
                          </w:r>
                          <w:r w:rsidR="00556C6E">
                            <w:br/>
                          </w:r>
                          <w:r w:rsidR="00B17558">
                            <w:t>Price Submission</w:t>
                          </w:r>
                        </w:sdtContent>
                      </w:sdt>
                    </w:p>
                    <w:sdt>
                      <w:sdtPr>
                        <w:alias w:val="Publish Date"/>
                        <w:tag w:val=""/>
                        <w:id w:val="1790311981"/>
                        <w:placeholder>
                          <w:docPart w:val="BFAACDFD929D450892FEDB3DA10E2894"/>
                        </w:placeholder>
                        <w:dataBinding w:prefixMappings="xmlns:ns0='http://schemas.microsoft.com/office/2006/coverPageProps' " w:xpath="/ns0:CoverPageProperties[1]/ns0:PublishDate[1]" w:storeItemID="{55AF091B-3C7A-41E3-B477-F2FDAA23CFDA}"/>
                        <w:date w:fullDate="2023-09-28T00:00:00Z">
                          <w:dateFormat w:val="dd/MM/yyyy"/>
                          <w:lid w:val="en-AU"/>
                          <w:storeMappedDataAs w:val="dateTime"/>
                          <w:calendar w:val="gregorian"/>
                        </w:date>
                      </w:sdtPr>
                      <w:sdtEndPr/>
                      <w:sdtContent>
                        <w:p w14:paraId="14E30B47" w14:textId="6E0C15B8" w:rsidR="00CA32CC" w:rsidRPr="00435B45" w:rsidRDefault="00A32BEB" w:rsidP="00CA32CC">
                          <w:pPr>
                            <w:pStyle w:val="Subtitle"/>
                          </w:pPr>
                          <w:r>
                            <w:t>28/09/2023</w:t>
                          </w:r>
                        </w:p>
                      </w:sdtContent>
                    </w:sdt>
                  </w:txbxContent>
                </v:textbox>
                <w10:wrap anchorx="page" anchory="margin"/>
                <w10:anchorlock/>
              </v:shape>
            </w:pict>
          </mc:Fallback>
        </mc:AlternateContent>
      </w:r>
    </w:p>
    <w:sdt>
      <w:sdtPr>
        <w:id w:val="1158503804"/>
        <w:lock w:val="contentLocked"/>
        <w:placeholder>
          <w:docPart w:val="DefaultPlaceholder_-1854013440"/>
        </w:placeholder>
        <w:group/>
      </w:sdtPr>
      <w:sdtEndPr>
        <w:rPr>
          <w:b/>
        </w:rPr>
      </w:sdtEndPr>
      <w:sdtContent>
        <w:p w14:paraId="1E7C4D89" w14:textId="797898B3" w:rsidR="00CA32CC" w:rsidRPr="00BB3531" w:rsidRDefault="00CA32CC" w:rsidP="00CA32CC"/>
        <w:p w14:paraId="459A9F2A" w14:textId="2ABEEC36" w:rsidR="00AD0AFE" w:rsidRDefault="00CA32CC" w:rsidP="00CA32CC">
          <w:r>
            <w:rPr>
              <w:b/>
              <w:noProof/>
            </w:rPr>
            <mc:AlternateContent>
              <mc:Choice Requires="wps">
                <w:drawing>
                  <wp:anchor distT="0" distB="0" distL="114300" distR="114300" simplePos="0" relativeHeight="251658242" behindDoc="0" locked="1" layoutInCell="1" allowOverlap="1" wp14:anchorId="75962628" wp14:editId="7FCF736F">
                    <wp:simplePos x="0" y="0"/>
                    <wp:positionH relativeFrom="page">
                      <wp:align>left</wp:align>
                    </wp:positionH>
                    <wp:positionV relativeFrom="page">
                      <wp:align>bottom</wp:align>
                    </wp:positionV>
                    <wp:extent cx="7560000" cy="4500000"/>
                    <wp:effectExtent l="0" t="0" r="3175" b="0"/>
                    <wp:wrapNone/>
                    <wp:docPr id="568102742" name="Rectangle 568102742"/>
                    <wp:cNvGraphicFramePr/>
                    <a:graphic xmlns:a="http://schemas.openxmlformats.org/drawingml/2006/main">
                      <a:graphicData uri="http://schemas.microsoft.com/office/word/2010/wordprocessingShape">
                        <wps:wsp>
                          <wps:cNvSpPr/>
                          <wps:spPr>
                            <a:xfrm>
                              <a:off x="0" y="0"/>
                              <a:ext cx="7560000" cy="4500000"/>
                            </a:xfrm>
                            <a:prstGeom prst="rect">
                              <a:avLst/>
                            </a:prstGeom>
                            <a:gradFill flip="none" rotWithShape="1">
                              <a:gsLst>
                                <a:gs pos="0">
                                  <a:schemeClr val="tx1">
                                    <a:alpha val="50000"/>
                                  </a:schemeClr>
                                </a:gs>
                                <a:gs pos="67000">
                                  <a:schemeClr val="tx1">
                                    <a:alpha val="0"/>
                                  </a:schemeClr>
                                </a:gs>
                              </a:gsLst>
                              <a:lin ang="168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E3A6" id="Rectangle 568102742" o:spid="_x0000_s1026" style="position:absolute;margin-left:0;margin-top:0;width:595.3pt;height:354.3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" fillcolor="black [3213]" stroked="f" strokeweight="1pt">
                    <v:fill opacity="0" color2="black [3213]" o:opacity2=".5" rotate="t" angle="170" colors="0 black;43909f black" focus="100%" type="gradient">
                      <o:fill v:ext="view" type="gradientUnscaled"/>
                    </v:fill>
                    <w10:wrap anchorx="page" anchory="page"/>
                    <w10:anchorlock/>
                  </v:rect>
                </w:pict>
              </mc:Fallback>
            </mc:AlternateContent>
          </w:r>
          <w:r>
            <w:rPr>
              <w:b/>
            </w:rPr>
            <w:br w:type="page"/>
          </w:r>
        </w:p>
      </w:sdtContent>
    </w:sdt>
    <w:p w14:paraId="3EBA6CC7" w14:textId="52566ABF" w:rsidR="007F2BFC" w:rsidRPr="00E44FF3" w:rsidRDefault="007F2BFC" w:rsidP="00E44FF3">
      <w:pPr>
        <w:pStyle w:val="Heading1-nonumber"/>
      </w:pPr>
      <w:bookmarkStart w:id="2" w:name="_Toc146004836"/>
      <w:bookmarkStart w:id="3" w:name="_Toc146004724"/>
      <w:bookmarkStart w:id="4" w:name="_Toc146746669"/>
      <w:r w:rsidRPr="00E44FF3">
        <w:lastRenderedPageBreak/>
        <w:t>Acknowledgement of Country</w:t>
      </w:r>
      <w:bookmarkEnd w:id="2"/>
      <w:bookmarkEnd w:id="3"/>
      <w:bookmarkEnd w:id="4"/>
    </w:p>
    <w:p w14:paraId="10EBE0A4" w14:textId="2FF426F1" w:rsidR="007F2BFC" w:rsidRPr="00E44FF3" w:rsidRDefault="007F2BFC" w:rsidP="00AD45C4">
      <w:r w:rsidRPr="00E44FF3">
        <w:t xml:space="preserve">The Greater Western Water region covers Bunurong, </w:t>
      </w:r>
      <w:r w:rsidR="00315A8A" w:rsidRPr="00315A8A">
        <w:t xml:space="preserve">Wurundjeri </w:t>
      </w:r>
      <w:proofErr w:type="spellStart"/>
      <w:r w:rsidR="00315A8A" w:rsidRPr="00315A8A">
        <w:t>Woi</w:t>
      </w:r>
      <w:proofErr w:type="spellEnd"/>
      <w:r w:rsidR="00315A8A" w:rsidRPr="00315A8A">
        <w:t xml:space="preserve"> Wurrung</w:t>
      </w:r>
      <w:r w:rsidRPr="00E44FF3">
        <w:t xml:space="preserve">, </w:t>
      </w:r>
      <w:proofErr w:type="spellStart"/>
      <w:r w:rsidRPr="00E44FF3">
        <w:t>Wadawurrung</w:t>
      </w:r>
      <w:proofErr w:type="spellEnd"/>
      <w:r w:rsidRPr="00E44FF3">
        <w:t xml:space="preserve">, </w:t>
      </w:r>
      <w:proofErr w:type="spellStart"/>
      <w:r w:rsidRPr="00E44FF3">
        <w:t>Djaara</w:t>
      </w:r>
      <w:proofErr w:type="spellEnd"/>
      <w:r w:rsidRPr="00E44FF3">
        <w:t xml:space="preserve"> and </w:t>
      </w:r>
      <w:proofErr w:type="spellStart"/>
      <w:r w:rsidRPr="00E44FF3">
        <w:t>Taungurung</w:t>
      </w:r>
      <w:proofErr w:type="spellEnd"/>
      <w:r w:rsidRPr="00E44FF3">
        <w:t xml:space="preserve"> Country. </w:t>
      </w:r>
    </w:p>
    <w:p w14:paraId="4415BEF5" w14:textId="77777777" w:rsidR="007F2BFC" w:rsidRPr="00E44FF3" w:rsidRDefault="007F2BFC" w:rsidP="00AD45C4">
      <w:r w:rsidRPr="00E44FF3">
        <w:t xml:space="preserve">We respectfully acknowledge the Kulin Nations as the Traditional Owners of the lands and waters upon which we work, </w:t>
      </w:r>
      <w:proofErr w:type="gramStart"/>
      <w:r w:rsidRPr="00E44FF3">
        <w:t>operate</w:t>
      </w:r>
      <w:proofErr w:type="gramEnd"/>
      <w:r w:rsidRPr="00E44FF3">
        <w:t xml:space="preserve"> and rely. We acknowledge the continued cultural, </w:t>
      </w:r>
      <w:proofErr w:type="gramStart"/>
      <w:r w:rsidRPr="00E44FF3">
        <w:t>social</w:t>
      </w:r>
      <w:proofErr w:type="gramEnd"/>
      <w:r w:rsidRPr="00E44FF3">
        <w:t xml:space="preserve"> and spiritual connections that First Nations people have with Country. </w:t>
      </w:r>
    </w:p>
    <w:p w14:paraId="114B8C82" w14:textId="64300E8C" w:rsidR="0084356A" w:rsidRPr="00E44FF3" w:rsidRDefault="007F2BFC" w:rsidP="00AD45C4">
      <w:r w:rsidRPr="00E44FF3">
        <w:t xml:space="preserve">We recognise and value that First Nations people have cared for and protected Country for thousands of generations. Country describes land, water, air, sky, people, </w:t>
      </w:r>
      <w:proofErr w:type="gramStart"/>
      <w:r w:rsidRPr="00E44FF3">
        <w:t>animals</w:t>
      </w:r>
      <w:proofErr w:type="gramEnd"/>
      <w:r w:rsidRPr="00E44FF3">
        <w:t xml:space="preserve"> and spirits to which First Nations people are connected.</w:t>
      </w:r>
      <w:r w:rsidR="0084356A">
        <w:rPr>
          <w:rStyle w:val="EndnoteReference"/>
        </w:rPr>
        <w:endnoteReference w:id="2"/>
      </w:r>
    </w:p>
    <w:p w14:paraId="4D17604F" w14:textId="77777777" w:rsidR="00E14B86" w:rsidRDefault="007F2BFC" w:rsidP="007F2BFC">
      <w:pPr>
        <w:rPr>
          <w:noProof/>
        </w:rPr>
      </w:pPr>
      <w:r w:rsidRPr="00E44FF3">
        <w:t>We are committed to working in partnership with local Traditional Owners and First Nations people, to harness collective wisdom to inform the future of the water management landscape while maintaining their cultural and spiritual connections to Country.</w:t>
      </w:r>
      <w:r w:rsidR="00A64B81" w:rsidRPr="00A64B81">
        <w:rPr>
          <w:noProof/>
        </w:rPr>
        <w:t xml:space="preserve"> </w:t>
      </w:r>
    </w:p>
    <w:p w14:paraId="1D07441F" w14:textId="146DA31E" w:rsidR="007F2BFC" w:rsidRDefault="00F51BD7" w:rsidP="007F2BFC">
      <w:r>
        <w:rPr>
          <w:noProof/>
        </w:rPr>
        <mc:AlternateContent>
          <mc:Choice Requires="wpg">
            <w:drawing>
              <wp:inline distT="0" distB="0" distL="0" distR="0" wp14:anchorId="42E3D6BD" wp14:editId="475E37E9">
                <wp:extent cx="5946775" cy="5793333"/>
                <wp:effectExtent l="0" t="0" r="0" b="0"/>
                <wp:docPr id="85" name="Group 85" descr="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wp:cNvGraphicFramePr/>
                <a:graphic xmlns:a="http://schemas.openxmlformats.org/drawingml/2006/main">
                  <a:graphicData uri="http://schemas.microsoft.com/office/word/2010/wordprocessingGroup">
                    <wpg:wgp>
                      <wpg:cNvGrpSpPr/>
                      <wpg:grpSpPr>
                        <a:xfrm>
                          <a:off x="0" y="0"/>
                          <a:ext cx="5946775" cy="5793333"/>
                          <a:chOff x="0" y="172794"/>
                          <a:chExt cx="6339812" cy="6107673"/>
                        </a:xfrm>
                      </wpg:grpSpPr>
                      <pic:pic xmlns:pic="http://schemas.openxmlformats.org/drawingml/2006/picture">
                        <pic:nvPicPr>
                          <pic:cNvPr id="86" name="Picture 86" descr="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pic:cNvPicPr>
                            <a:picLocks noChangeAspect="1"/>
                          </pic:cNvPicPr>
                        </pic:nvPicPr>
                        <pic:blipFill rotWithShape="1">
                          <a:blip r:embed="rId15">
                            <a:extLst>
                              <a:ext uri="{28A0092B-C50C-407E-A947-70E740481C1C}">
                                <a14:useLocalDpi xmlns:a14="http://schemas.microsoft.com/office/drawing/2010/main" val="0"/>
                              </a:ext>
                            </a:extLst>
                          </a:blip>
                          <a:srcRect l="2190" t="3207" r="3130" b="23"/>
                          <a:stretch/>
                        </pic:blipFill>
                        <pic:spPr>
                          <a:xfrm>
                            <a:off x="748533" y="172794"/>
                            <a:ext cx="5591279" cy="5213358"/>
                          </a:xfrm>
                          <a:prstGeom prst="rect">
                            <a:avLst/>
                          </a:prstGeom>
                        </pic:spPr>
                      </pic:pic>
                      <pic:pic xmlns:pic="http://schemas.openxmlformats.org/drawingml/2006/picture">
                        <pic:nvPicPr>
                          <pic:cNvPr id="87" name="Picture 87" descr="Key for the above map identifying Traditional Owners. Yellow identifies Wadawurrung country, light blue Wurundjeri/Wolwurrung country, bright blue Djaara country, red Taungurung country, orange identifies country that has no formally recongnised Traditional Owners, and green identifies Bunurong country.  "/>
                          <pic:cNvPicPr>
                            <a:picLocks noChangeAspect="1"/>
                          </pic:cNvPicPr>
                        </pic:nvPicPr>
                        <pic:blipFill rotWithShape="1">
                          <a:blip r:embed="rId16">
                            <a:extLst>
                              <a:ext uri="{28A0092B-C50C-407E-A947-70E740481C1C}">
                                <a14:useLocalDpi xmlns:a14="http://schemas.microsoft.com/office/drawing/2010/main" val="0"/>
                              </a:ext>
                            </a:extLst>
                          </a:blip>
                          <a:srcRect t="11162" r="24" b="23623"/>
                          <a:stretch/>
                        </pic:blipFill>
                        <pic:spPr>
                          <a:xfrm>
                            <a:off x="0" y="5170244"/>
                            <a:ext cx="5846927" cy="1110223"/>
                          </a:xfrm>
                          <a:prstGeom prst="rect">
                            <a:avLst/>
                          </a:prstGeom>
                        </pic:spPr>
                      </pic:pic>
                    </wpg:wgp>
                  </a:graphicData>
                </a:graphic>
              </wp:inline>
            </w:drawing>
          </mc:Choice>
          <mc:Fallback>
            <w:pict>
              <v:group w14:anchorId="797D6085" id="Group 85" o:spid="_x0000_s1026" alt="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style="width:468.25pt;height:456.15pt;mso-position-horizontal-relative:char;mso-position-vertical-relative:line" coordorigin=",1727" coordsize="63398,6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alt="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style="position:absolute;left:7485;top:1727;width:55913;height:5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">
                  <v:imagedata r:id="rId17" o:title="Woiwurrung land is Bunurong land, identified by green. This area covers Maribyrnong and Hobsons bay, and stretches up to Wyndham and Melton areas" croptop="2102f" cropbottom="15f" cropleft="1435f" cropright="2051f"/>
                </v:shape>
                <v:shape id="Picture 87" o:spid="_x0000_s1028" type="#_x0000_t75" alt="Key for the above map identifying Traditional Owners. Yellow identifies Wadawurrung country, light blue Wurundjeri/Wolwurrung country, bright blue Djaara country, red Taungurung country, orange identifies country that has no formally recongnised Traditional Owners, and green identifies Bunurong country.  " style="position:absolute;top:51702;width:58469;height:1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">
                  <v:imagedata r:id="rId18" o:title="Wolwurrung country, bright blue Djaara country, red Taungurung country, orange identifies country that has no formally recongnised Traditional Owners, and green identifies Bunurong country" croptop="7315f" cropbottom="15482f" cropright="16f"/>
                </v:shape>
                <w10:anchorlock/>
              </v:group>
            </w:pict>
          </mc:Fallback>
        </mc:AlternateContent>
      </w:r>
    </w:p>
    <w:p w14:paraId="4276E218" w14:textId="77777777" w:rsidR="00E14B86" w:rsidRDefault="00E14B86" w:rsidP="007F2BFC">
      <w:pPr>
        <w:rPr>
          <w:noProof/>
        </w:rPr>
      </w:pPr>
    </w:p>
    <w:sdt>
      <w:sdtPr>
        <w:rPr>
          <w:rFonts w:asciiTheme="minorHAnsi" w:eastAsiaTheme="minorHAnsi" w:hAnsiTheme="minorHAnsi" w:cstheme="minorBidi"/>
          <w:b w:val="0"/>
          <w:color w:val="262626" w:themeColor="text1" w:themeTint="D9"/>
          <w:spacing w:val="-2"/>
          <w:sz w:val="18"/>
          <w:szCs w:val="22"/>
          <w:lang w:val="en-AU"/>
        </w:rPr>
        <w:id w:val="1991284324"/>
        <w:docPartObj>
          <w:docPartGallery w:val="Table of Contents"/>
          <w:docPartUnique/>
        </w:docPartObj>
      </w:sdtPr>
      <w:sdtEndPr>
        <w:rPr>
          <w:bCs/>
          <w:noProof/>
          <w:color w:val="auto"/>
          <w:sz w:val="22"/>
        </w:rPr>
      </w:sdtEndPr>
      <w:sdtContent>
        <w:p w14:paraId="4B52B376" w14:textId="54854CDE" w:rsidR="006933EC" w:rsidRPr="007F2BFC" w:rsidRDefault="006933EC" w:rsidP="00EB67E4">
          <w:pPr>
            <w:pStyle w:val="TOCHeading"/>
            <w:rPr>
              <w:rFonts w:asciiTheme="minorHAnsi" w:eastAsiaTheme="minorHAnsi" w:hAnsiTheme="minorHAnsi" w:cstheme="minorBidi"/>
              <w:b w:val="0"/>
              <w:color w:val="262626" w:themeColor="text1" w:themeTint="D9"/>
              <w:spacing w:val="-2"/>
              <w:sz w:val="18"/>
              <w:szCs w:val="22"/>
              <w:lang w:val="en-AU"/>
            </w:rPr>
          </w:pPr>
          <w:r>
            <w:t>Contents</w:t>
          </w:r>
        </w:p>
        <w:p w14:paraId="3A8CE036" w14:textId="00EC172D" w:rsidR="00583DBC" w:rsidRDefault="009744C8">
          <w:pPr>
            <w:pStyle w:val="TOC1"/>
            <w:rPr>
              <w:rFonts w:eastAsiaTheme="minorEastAsia"/>
              <w:b w:val="0"/>
              <w:noProof/>
              <w:color w:val="auto"/>
              <w:spacing w:val="0"/>
              <w:lang w:eastAsia="en-AU"/>
            </w:rPr>
          </w:pPr>
          <w:r>
            <w:fldChar w:fldCharType="begin"/>
          </w:r>
          <w:r>
            <w:instrText xml:space="preserve"> TOC \o "1-2" \h \z \t "Figures Heading 1,3,Table Heading 1,3" </w:instrText>
          </w:r>
          <w:r>
            <w:fldChar w:fldCharType="separate"/>
          </w:r>
          <w:hyperlink w:anchor="_Toc146746669" w:history="1">
            <w:r w:rsidR="00583DBC" w:rsidRPr="00782108">
              <w:rPr>
                <w:rStyle w:val="Hyperlink"/>
                <w:noProof/>
              </w:rPr>
              <w:t>Acknowledgement of Country</w:t>
            </w:r>
            <w:r w:rsidR="00583DBC">
              <w:rPr>
                <w:noProof/>
                <w:webHidden/>
              </w:rPr>
              <w:tab/>
            </w:r>
            <w:r w:rsidR="00583DBC">
              <w:rPr>
                <w:noProof/>
                <w:webHidden/>
              </w:rPr>
              <w:fldChar w:fldCharType="begin"/>
            </w:r>
            <w:r w:rsidR="00583DBC">
              <w:rPr>
                <w:noProof/>
                <w:webHidden/>
              </w:rPr>
              <w:instrText xml:space="preserve"> PAGEREF _Toc146746669 \h </w:instrText>
            </w:r>
            <w:r w:rsidR="00583DBC">
              <w:rPr>
                <w:noProof/>
                <w:webHidden/>
              </w:rPr>
            </w:r>
            <w:r w:rsidR="00583DBC">
              <w:rPr>
                <w:noProof/>
                <w:webHidden/>
              </w:rPr>
              <w:fldChar w:fldCharType="separate"/>
            </w:r>
            <w:r w:rsidR="009813E3">
              <w:rPr>
                <w:noProof/>
                <w:webHidden/>
              </w:rPr>
              <w:t>ii</w:t>
            </w:r>
            <w:r w:rsidR="00583DBC">
              <w:rPr>
                <w:noProof/>
                <w:webHidden/>
              </w:rPr>
              <w:fldChar w:fldCharType="end"/>
            </w:r>
          </w:hyperlink>
        </w:p>
        <w:p w14:paraId="4982532E" w14:textId="00564F1E" w:rsidR="00583DBC" w:rsidRDefault="0069425C">
          <w:pPr>
            <w:pStyle w:val="TOC1"/>
            <w:rPr>
              <w:rFonts w:eastAsiaTheme="minorEastAsia"/>
              <w:b w:val="0"/>
              <w:noProof/>
              <w:color w:val="auto"/>
              <w:spacing w:val="0"/>
              <w:lang w:eastAsia="en-AU"/>
            </w:rPr>
          </w:pPr>
          <w:hyperlink w:anchor="_Toc146746670" w:history="1">
            <w:r w:rsidR="00583DBC" w:rsidRPr="00782108">
              <w:rPr>
                <w:rStyle w:val="Hyperlink"/>
                <w:noProof/>
              </w:rPr>
              <w:t>Price submission on a page</w:t>
            </w:r>
            <w:r w:rsidR="00583DBC">
              <w:rPr>
                <w:noProof/>
                <w:webHidden/>
              </w:rPr>
              <w:tab/>
            </w:r>
            <w:r w:rsidR="00583DBC">
              <w:rPr>
                <w:noProof/>
                <w:webHidden/>
              </w:rPr>
              <w:fldChar w:fldCharType="begin"/>
            </w:r>
            <w:r w:rsidR="00583DBC">
              <w:rPr>
                <w:noProof/>
                <w:webHidden/>
              </w:rPr>
              <w:instrText xml:space="preserve"> PAGEREF _Toc146746670 \h </w:instrText>
            </w:r>
            <w:r w:rsidR="00583DBC">
              <w:rPr>
                <w:noProof/>
                <w:webHidden/>
              </w:rPr>
            </w:r>
            <w:r w:rsidR="00583DBC">
              <w:rPr>
                <w:noProof/>
                <w:webHidden/>
              </w:rPr>
              <w:fldChar w:fldCharType="separate"/>
            </w:r>
            <w:r w:rsidR="009813E3">
              <w:rPr>
                <w:noProof/>
                <w:webHidden/>
              </w:rPr>
              <w:t>vi</w:t>
            </w:r>
            <w:r w:rsidR="00583DBC">
              <w:rPr>
                <w:noProof/>
                <w:webHidden/>
              </w:rPr>
              <w:fldChar w:fldCharType="end"/>
            </w:r>
          </w:hyperlink>
        </w:p>
        <w:p w14:paraId="27BDE434" w14:textId="6BF15921" w:rsidR="00583DBC" w:rsidRDefault="0069425C">
          <w:pPr>
            <w:pStyle w:val="TOC1"/>
            <w:rPr>
              <w:rFonts w:eastAsiaTheme="minorEastAsia"/>
              <w:b w:val="0"/>
              <w:noProof/>
              <w:color w:val="auto"/>
              <w:spacing w:val="0"/>
              <w:lang w:eastAsia="en-AU"/>
            </w:rPr>
          </w:pPr>
          <w:hyperlink w:anchor="_Toc146746671" w:history="1">
            <w:r w:rsidR="00583DBC" w:rsidRPr="00782108">
              <w:rPr>
                <w:rStyle w:val="Hyperlink"/>
                <w:noProof/>
              </w:rPr>
              <w:t>Message from our Chair and Managing Director</w:t>
            </w:r>
            <w:r w:rsidR="00583DBC">
              <w:rPr>
                <w:noProof/>
                <w:webHidden/>
              </w:rPr>
              <w:tab/>
            </w:r>
            <w:r w:rsidR="00583DBC">
              <w:rPr>
                <w:noProof/>
                <w:webHidden/>
              </w:rPr>
              <w:fldChar w:fldCharType="begin"/>
            </w:r>
            <w:r w:rsidR="00583DBC">
              <w:rPr>
                <w:noProof/>
                <w:webHidden/>
              </w:rPr>
              <w:instrText xml:space="preserve"> PAGEREF _Toc146746671 \h </w:instrText>
            </w:r>
            <w:r w:rsidR="00583DBC">
              <w:rPr>
                <w:noProof/>
                <w:webHidden/>
              </w:rPr>
            </w:r>
            <w:r w:rsidR="00583DBC">
              <w:rPr>
                <w:noProof/>
                <w:webHidden/>
              </w:rPr>
              <w:fldChar w:fldCharType="separate"/>
            </w:r>
            <w:r w:rsidR="009813E3">
              <w:rPr>
                <w:noProof/>
                <w:webHidden/>
              </w:rPr>
              <w:t>vii</w:t>
            </w:r>
            <w:r w:rsidR="00583DBC">
              <w:rPr>
                <w:noProof/>
                <w:webHidden/>
              </w:rPr>
              <w:fldChar w:fldCharType="end"/>
            </w:r>
          </w:hyperlink>
        </w:p>
        <w:p w14:paraId="3AE86639" w14:textId="7103552C" w:rsidR="00583DBC" w:rsidRDefault="0069425C">
          <w:pPr>
            <w:pStyle w:val="TOC1"/>
            <w:rPr>
              <w:rFonts w:eastAsiaTheme="minorEastAsia"/>
              <w:b w:val="0"/>
              <w:noProof/>
              <w:color w:val="auto"/>
              <w:spacing w:val="0"/>
              <w:lang w:eastAsia="en-AU"/>
            </w:rPr>
          </w:pPr>
          <w:hyperlink w:anchor="_Toc146746672" w:history="1">
            <w:r w:rsidR="00583DBC" w:rsidRPr="00782108">
              <w:rPr>
                <w:rStyle w:val="Hyperlink"/>
                <w:noProof/>
              </w:rPr>
              <w:t>Board attestation</w:t>
            </w:r>
            <w:r w:rsidR="00583DBC">
              <w:rPr>
                <w:noProof/>
                <w:webHidden/>
              </w:rPr>
              <w:tab/>
            </w:r>
            <w:r w:rsidR="00583DBC">
              <w:rPr>
                <w:noProof/>
                <w:webHidden/>
              </w:rPr>
              <w:fldChar w:fldCharType="begin"/>
            </w:r>
            <w:r w:rsidR="00583DBC">
              <w:rPr>
                <w:noProof/>
                <w:webHidden/>
              </w:rPr>
              <w:instrText xml:space="preserve"> PAGEREF _Toc146746672 \h </w:instrText>
            </w:r>
            <w:r w:rsidR="00583DBC">
              <w:rPr>
                <w:noProof/>
                <w:webHidden/>
              </w:rPr>
            </w:r>
            <w:r w:rsidR="00583DBC">
              <w:rPr>
                <w:noProof/>
                <w:webHidden/>
              </w:rPr>
              <w:fldChar w:fldCharType="separate"/>
            </w:r>
            <w:r w:rsidR="009813E3">
              <w:rPr>
                <w:noProof/>
                <w:webHidden/>
              </w:rPr>
              <w:t>viii</w:t>
            </w:r>
            <w:r w:rsidR="00583DBC">
              <w:rPr>
                <w:noProof/>
                <w:webHidden/>
              </w:rPr>
              <w:fldChar w:fldCharType="end"/>
            </w:r>
          </w:hyperlink>
        </w:p>
        <w:p w14:paraId="00A66F8E" w14:textId="723B84FC" w:rsidR="00583DBC" w:rsidRDefault="0069425C">
          <w:pPr>
            <w:pStyle w:val="TOC1"/>
            <w:rPr>
              <w:rFonts w:eastAsiaTheme="minorEastAsia"/>
              <w:b w:val="0"/>
              <w:noProof/>
              <w:color w:val="auto"/>
              <w:spacing w:val="0"/>
              <w:lang w:eastAsia="en-AU"/>
            </w:rPr>
          </w:pPr>
          <w:hyperlink w:anchor="_Toc146746673" w:history="1">
            <w:r w:rsidR="00583DBC" w:rsidRPr="00782108">
              <w:rPr>
                <w:rStyle w:val="Hyperlink"/>
                <w:noProof/>
              </w:rPr>
              <w:t>Executive summary</w:t>
            </w:r>
            <w:r w:rsidR="00583DBC">
              <w:rPr>
                <w:noProof/>
                <w:webHidden/>
              </w:rPr>
              <w:tab/>
            </w:r>
            <w:r w:rsidR="00583DBC">
              <w:rPr>
                <w:noProof/>
                <w:webHidden/>
              </w:rPr>
              <w:fldChar w:fldCharType="begin"/>
            </w:r>
            <w:r w:rsidR="00583DBC">
              <w:rPr>
                <w:noProof/>
                <w:webHidden/>
              </w:rPr>
              <w:instrText xml:space="preserve"> PAGEREF _Toc146746673 \h </w:instrText>
            </w:r>
            <w:r w:rsidR="00583DBC">
              <w:rPr>
                <w:noProof/>
                <w:webHidden/>
              </w:rPr>
            </w:r>
            <w:r w:rsidR="00583DBC">
              <w:rPr>
                <w:noProof/>
                <w:webHidden/>
              </w:rPr>
              <w:fldChar w:fldCharType="separate"/>
            </w:r>
            <w:r w:rsidR="009813E3">
              <w:rPr>
                <w:noProof/>
                <w:webHidden/>
              </w:rPr>
              <w:t>ix</w:t>
            </w:r>
            <w:r w:rsidR="00583DBC">
              <w:rPr>
                <w:noProof/>
                <w:webHidden/>
              </w:rPr>
              <w:fldChar w:fldCharType="end"/>
            </w:r>
          </w:hyperlink>
        </w:p>
        <w:p w14:paraId="0C123BB5" w14:textId="1E7F6354" w:rsidR="00583DBC" w:rsidRDefault="0069425C">
          <w:pPr>
            <w:pStyle w:val="TOC2"/>
            <w:rPr>
              <w:rFonts w:eastAsiaTheme="minorEastAsia"/>
              <w:noProof/>
              <w:spacing w:val="0"/>
              <w:lang w:eastAsia="en-AU"/>
            </w:rPr>
          </w:pPr>
          <w:hyperlink w:anchor="_Toc146746674" w:history="1">
            <w:r w:rsidR="00583DBC" w:rsidRPr="00782108">
              <w:rPr>
                <w:rStyle w:val="Hyperlink"/>
                <w:noProof/>
              </w:rPr>
              <w:t>Declining and stable bills</w:t>
            </w:r>
            <w:r w:rsidR="00583DBC">
              <w:rPr>
                <w:noProof/>
                <w:webHidden/>
              </w:rPr>
              <w:tab/>
            </w:r>
            <w:r w:rsidR="00583DBC">
              <w:rPr>
                <w:noProof/>
                <w:webHidden/>
              </w:rPr>
              <w:fldChar w:fldCharType="begin"/>
            </w:r>
            <w:r w:rsidR="00583DBC">
              <w:rPr>
                <w:noProof/>
                <w:webHidden/>
              </w:rPr>
              <w:instrText xml:space="preserve"> PAGEREF _Toc146746674 \h </w:instrText>
            </w:r>
            <w:r w:rsidR="00583DBC">
              <w:rPr>
                <w:noProof/>
                <w:webHidden/>
              </w:rPr>
            </w:r>
            <w:r w:rsidR="00583DBC">
              <w:rPr>
                <w:noProof/>
                <w:webHidden/>
              </w:rPr>
              <w:fldChar w:fldCharType="separate"/>
            </w:r>
            <w:r w:rsidR="009813E3">
              <w:rPr>
                <w:noProof/>
                <w:webHidden/>
              </w:rPr>
              <w:t>ix</w:t>
            </w:r>
            <w:r w:rsidR="00583DBC">
              <w:rPr>
                <w:noProof/>
                <w:webHidden/>
              </w:rPr>
              <w:fldChar w:fldCharType="end"/>
            </w:r>
          </w:hyperlink>
        </w:p>
        <w:p w14:paraId="32894D2C" w14:textId="14396990" w:rsidR="00583DBC" w:rsidRDefault="0069425C">
          <w:pPr>
            <w:pStyle w:val="TOC2"/>
            <w:rPr>
              <w:rFonts w:eastAsiaTheme="minorEastAsia"/>
              <w:noProof/>
              <w:spacing w:val="0"/>
              <w:lang w:eastAsia="en-AU"/>
            </w:rPr>
          </w:pPr>
          <w:hyperlink w:anchor="_Toc146746675" w:history="1">
            <w:r w:rsidR="00583DBC" w:rsidRPr="00782108">
              <w:rPr>
                <w:rStyle w:val="Hyperlink"/>
                <w:noProof/>
              </w:rPr>
              <w:t>Our engagement journey</w:t>
            </w:r>
            <w:r w:rsidR="00583DBC">
              <w:rPr>
                <w:noProof/>
                <w:webHidden/>
              </w:rPr>
              <w:tab/>
            </w:r>
            <w:r w:rsidR="00583DBC">
              <w:rPr>
                <w:noProof/>
                <w:webHidden/>
              </w:rPr>
              <w:fldChar w:fldCharType="begin"/>
            </w:r>
            <w:r w:rsidR="00583DBC">
              <w:rPr>
                <w:noProof/>
                <w:webHidden/>
              </w:rPr>
              <w:instrText xml:space="preserve"> PAGEREF _Toc146746675 \h </w:instrText>
            </w:r>
            <w:r w:rsidR="00583DBC">
              <w:rPr>
                <w:noProof/>
                <w:webHidden/>
              </w:rPr>
            </w:r>
            <w:r w:rsidR="00583DBC">
              <w:rPr>
                <w:noProof/>
                <w:webHidden/>
              </w:rPr>
              <w:fldChar w:fldCharType="separate"/>
            </w:r>
            <w:r w:rsidR="009813E3">
              <w:rPr>
                <w:noProof/>
                <w:webHidden/>
              </w:rPr>
              <w:t>xi</w:t>
            </w:r>
            <w:r w:rsidR="00583DBC">
              <w:rPr>
                <w:noProof/>
                <w:webHidden/>
              </w:rPr>
              <w:fldChar w:fldCharType="end"/>
            </w:r>
          </w:hyperlink>
        </w:p>
        <w:p w14:paraId="58625BB9" w14:textId="28A188F8" w:rsidR="00583DBC" w:rsidRDefault="0069425C">
          <w:pPr>
            <w:pStyle w:val="TOC2"/>
            <w:rPr>
              <w:rFonts w:eastAsiaTheme="minorEastAsia"/>
              <w:noProof/>
              <w:spacing w:val="0"/>
              <w:lang w:eastAsia="en-AU"/>
            </w:rPr>
          </w:pPr>
          <w:hyperlink w:anchor="_Toc146746676" w:history="1">
            <w:r w:rsidR="00583DBC" w:rsidRPr="00782108">
              <w:rPr>
                <w:rStyle w:val="Hyperlink"/>
                <w:noProof/>
              </w:rPr>
              <w:t>Customer outcomes</w:t>
            </w:r>
            <w:r w:rsidR="00583DBC">
              <w:rPr>
                <w:noProof/>
                <w:webHidden/>
              </w:rPr>
              <w:tab/>
            </w:r>
            <w:r w:rsidR="00583DBC">
              <w:rPr>
                <w:noProof/>
                <w:webHidden/>
              </w:rPr>
              <w:fldChar w:fldCharType="begin"/>
            </w:r>
            <w:r w:rsidR="00583DBC">
              <w:rPr>
                <w:noProof/>
                <w:webHidden/>
              </w:rPr>
              <w:instrText xml:space="preserve"> PAGEREF _Toc146746676 \h </w:instrText>
            </w:r>
            <w:r w:rsidR="00583DBC">
              <w:rPr>
                <w:noProof/>
                <w:webHidden/>
              </w:rPr>
            </w:r>
            <w:r w:rsidR="00583DBC">
              <w:rPr>
                <w:noProof/>
                <w:webHidden/>
              </w:rPr>
              <w:fldChar w:fldCharType="separate"/>
            </w:r>
            <w:r w:rsidR="009813E3">
              <w:rPr>
                <w:noProof/>
                <w:webHidden/>
              </w:rPr>
              <w:t>xi</w:t>
            </w:r>
            <w:r w:rsidR="00583DBC">
              <w:rPr>
                <w:noProof/>
                <w:webHidden/>
              </w:rPr>
              <w:fldChar w:fldCharType="end"/>
            </w:r>
          </w:hyperlink>
        </w:p>
        <w:p w14:paraId="5065BC62" w14:textId="06CA9B5D" w:rsidR="00583DBC" w:rsidRDefault="0069425C">
          <w:pPr>
            <w:pStyle w:val="TOC2"/>
            <w:rPr>
              <w:rFonts w:eastAsiaTheme="minorEastAsia"/>
              <w:noProof/>
              <w:spacing w:val="0"/>
              <w:lang w:eastAsia="en-AU"/>
            </w:rPr>
          </w:pPr>
          <w:hyperlink w:anchor="_Toc146746677" w:history="1">
            <w:r w:rsidR="00583DBC" w:rsidRPr="00782108">
              <w:rPr>
                <w:rStyle w:val="Hyperlink"/>
                <w:noProof/>
              </w:rPr>
              <w:t>Investment delivering our customer outcomes</w:t>
            </w:r>
            <w:r w:rsidR="00583DBC">
              <w:rPr>
                <w:noProof/>
                <w:webHidden/>
              </w:rPr>
              <w:tab/>
            </w:r>
            <w:r w:rsidR="00583DBC">
              <w:rPr>
                <w:noProof/>
                <w:webHidden/>
              </w:rPr>
              <w:fldChar w:fldCharType="begin"/>
            </w:r>
            <w:r w:rsidR="00583DBC">
              <w:rPr>
                <w:noProof/>
                <w:webHidden/>
              </w:rPr>
              <w:instrText xml:space="preserve"> PAGEREF _Toc146746677 \h </w:instrText>
            </w:r>
            <w:r w:rsidR="00583DBC">
              <w:rPr>
                <w:noProof/>
                <w:webHidden/>
              </w:rPr>
            </w:r>
            <w:r w:rsidR="00583DBC">
              <w:rPr>
                <w:noProof/>
                <w:webHidden/>
              </w:rPr>
              <w:fldChar w:fldCharType="separate"/>
            </w:r>
            <w:r w:rsidR="009813E3">
              <w:rPr>
                <w:noProof/>
                <w:webHidden/>
              </w:rPr>
              <w:t>xii</w:t>
            </w:r>
            <w:r w:rsidR="00583DBC">
              <w:rPr>
                <w:noProof/>
                <w:webHidden/>
              </w:rPr>
              <w:fldChar w:fldCharType="end"/>
            </w:r>
          </w:hyperlink>
        </w:p>
        <w:p w14:paraId="69F8DA9C" w14:textId="793066B6" w:rsidR="00583DBC" w:rsidRDefault="0069425C">
          <w:pPr>
            <w:pStyle w:val="TOC2"/>
            <w:rPr>
              <w:rFonts w:eastAsiaTheme="minorEastAsia"/>
              <w:noProof/>
              <w:spacing w:val="0"/>
              <w:lang w:eastAsia="en-AU"/>
            </w:rPr>
          </w:pPr>
          <w:hyperlink w:anchor="_Toc146746678" w:history="1">
            <w:r w:rsidR="00583DBC" w:rsidRPr="00782108">
              <w:rPr>
                <w:rStyle w:val="Hyperlink"/>
                <w:noProof/>
              </w:rPr>
              <w:t>Where we are investing</w:t>
            </w:r>
            <w:r w:rsidR="00583DBC">
              <w:rPr>
                <w:noProof/>
                <w:webHidden/>
              </w:rPr>
              <w:tab/>
            </w:r>
            <w:r w:rsidR="00583DBC">
              <w:rPr>
                <w:noProof/>
                <w:webHidden/>
              </w:rPr>
              <w:fldChar w:fldCharType="begin"/>
            </w:r>
            <w:r w:rsidR="00583DBC">
              <w:rPr>
                <w:noProof/>
                <w:webHidden/>
              </w:rPr>
              <w:instrText xml:space="preserve"> PAGEREF _Toc146746678 \h </w:instrText>
            </w:r>
            <w:r w:rsidR="00583DBC">
              <w:rPr>
                <w:noProof/>
                <w:webHidden/>
              </w:rPr>
            </w:r>
            <w:r w:rsidR="00583DBC">
              <w:rPr>
                <w:noProof/>
                <w:webHidden/>
              </w:rPr>
              <w:fldChar w:fldCharType="separate"/>
            </w:r>
            <w:r w:rsidR="009813E3">
              <w:rPr>
                <w:noProof/>
                <w:webHidden/>
              </w:rPr>
              <w:t>xiii</w:t>
            </w:r>
            <w:r w:rsidR="00583DBC">
              <w:rPr>
                <w:noProof/>
                <w:webHidden/>
              </w:rPr>
              <w:fldChar w:fldCharType="end"/>
            </w:r>
          </w:hyperlink>
        </w:p>
        <w:p w14:paraId="0AE778CD" w14:textId="6F61200D" w:rsidR="00583DBC" w:rsidRDefault="0069425C">
          <w:pPr>
            <w:pStyle w:val="TOC2"/>
            <w:rPr>
              <w:rFonts w:eastAsiaTheme="minorEastAsia"/>
              <w:noProof/>
              <w:spacing w:val="0"/>
              <w:lang w:eastAsia="en-AU"/>
            </w:rPr>
          </w:pPr>
          <w:hyperlink w:anchor="_Toc146746679" w:history="1">
            <w:r w:rsidR="00583DBC" w:rsidRPr="00782108">
              <w:rPr>
                <w:rStyle w:val="Hyperlink"/>
                <w:noProof/>
              </w:rPr>
              <w:t>Our commitment to Traditional Owners and First Nations people</w:t>
            </w:r>
            <w:r w:rsidR="00583DBC">
              <w:rPr>
                <w:noProof/>
                <w:webHidden/>
              </w:rPr>
              <w:tab/>
            </w:r>
            <w:r w:rsidR="00583DBC">
              <w:rPr>
                <w:noProof/>
                <w:webHidden/>
              </w:rPr>
              <w:fldChar w:fldCharType="begin"/>
            </w:r>
            <w:r w:rsidR="00583DBC">
              <w:rPr>
                <w:noProof/>
                <w:webHidden/>
              </w:rPr>
              <w:instrText xml:space="preserve"> PAGEREF _Toc146746679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6D121A0D" w14:textId="2D1F1A6F" w:rsidR="00583DBC" w:rsidRDefault="0069425C">
          <w:pPr>
            <w:pStyle w:val="TOC2"/>
            <w:rPr>
              <w:rFonts w:eastAsiaTheme="minorEastAsia"/>
              <w:noProof/>
              <w:spacing w:val="0"/>
              <w:lang w:eastAsia="en-AU"/>
            </w:rPr>
          </w:pPr>
          <w:hyperlink w:anchor="_Toc146746680" w:history="1">
            <w:r w:rsidR="00583DBC" w:rsidRPr="00782108">
              <w:rPr>
                <w:rStyle w:val="Hyperlink"/>
                <w:noProof/>
              </w:rPr>
              <w:t>Continuing our support for customers experiencing vulnerability</w:t>
            </w:r>
            <w:r w:rsidR="00583DBC">
              <w:rPr>
                <w:noProof/>
                <w:webHidden/>
              </w:rPr>
              <w:tab/>
            </w:r>
            <w:r w:rsidR="00583DBC">
              <w:rPr>
                <w:noProof/>
                <w:webHidden/>
              </w:rPr>
              <w:fldChar w:fldCharType="begin"/>
            </w:r>
            <w:r w:rsidR="00583DBC">
              <w:rPr>
                <w:noProof/>
                <w:webHidden/>
              </w:rPr>
              <w:instrText xml:space="preserve"> PAGEREF _Toc146746680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6A7E4CCC" w14:textId="1B36BC51" w:rsidR="00583DBC" w:rsidRDefault="0069425C">
          <w:pPr>
            <w:pStyle w:val="TOC2"/>
            <w:rPr>
              <w:rFonts w:eastAsiaTheme="minorEastAsia"/>
              <w:noProof/>
              <w:spacing w:val="0"/>
              <w:lang w:eastAsia="en-AU"/>
            </w:rPr>
          </w:pPr>
          <w:hyperlink w:anchor="_Toc146746681" w:history="1">
            <w:r w:rsidR="00583DBC" w:rsidRPr="00782108">
              <w:rPr>
                <w:rStyle w:val="Hyperlink"/>
                <w:noProof/>
              </w:rPr>
              <w:t>Performance through growth and integration</w:t>
            </w:r>
            <w:r w:rsidR="00583DBC">
              <w:rPr>
                <w:noProof/>
                <w:webHidden/>
              </w:rPr>
              <w:tab/>
            </w:r>
            <w:r w:rsidR="00583DBC">
              <w:rPr>
                <w:noProof/>
                <w:webHidden/>
              </w:rPr>
              <w:fldChar w:fldCharType="begin"/>
            </w:r>
            <w:r w:rsidR="00583DBC">
              <w:rPr>
                <w:noProof/>
                <w:webHidden/>
              </w:rPr>
              <w:instrText xml:space="preserve"> PAGEREF _Toc146746681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0A55137E" w14:textId="2FD57189" w:rsidR="00583DBC" w:rsidRDefault="0069425C">
          <w:pPr>
            <w:pStyle w:val="TOC2"/>
            <w:rPr>
              <w:rFonts w:eastAsiaTheme="minorEastAsia"/>
              <w:noProof/>
              <w:spacing w:val="0"/>
              <w:lang w:eastAsia="en-AU"/>
            </w:rPr>
          </w:pPr>
          <w:hyperlink w:anchor="_Toc146746682" w:history="1">
            <w:r w:rsidR="00583DBC" w:rsidRPr="00782108">
              <w:rPr>
                <w:rStyle w:val="Hyperlink"/>
                <w:noProof/>
              </w:rPr>
              <w:t>Looking ahead</w:t>
            </w:r>
            <w:r w:rsidR="00583DBC">
              <w:rPr>
                <w:noProof/>
                <w:webHidden/>
              </w:rPr>
              <w:tab/>
            </w:r>
            <w:r w:rsidR="00583DBC">
              <w:rPr>
                <w:noProof/>
                <w:webHidden/>
              </w:rPr>
              <w:fldChar w:fldCharType="begin"/>
            </w:r>
            <w:r w:rsidR="00583DBC">
              <w:rPr>
                <w:noProof/>
                <w:webHidden/>
              </w:rPr>
              <w:instrText xml:space="preserve"> PAGEREF _Toc146746682 \h </w:instrText>
            </w:r>
            <w:r w:rsidR="00583DBC">
              <w:rPr>
                <w:noProof/>
                <w:webHidden/>
              </w:rPr>
            </w:r>
            <w:r w:rsidR="00583DBC">
              <w:rPr>
                <w:noProof/>
                <w:webHidden/>
              </w:rPr>
              <w:fldChar w:fldCharType="separate"/>
            </w:r>
            <w:r w:rsidR="009813E3">
              <w:rPr>
                <w:noProof/>
                <w:webHidden/>
              </w:rPr>
              <w:t>xv</w:t>
            </w:r>
            <w:r w:rsidR="00583DBC">
              <w:rPr>
                <w:noProof/>
                <w:webHidden/>
              </w:rPr>
              <w:fldChar w:fldCharType="end"/>
            </w:r>
          </w:hyperlink>
        </w:p>
        <w:p w14:paraId="7CD97308" w14:textId="5CB8A7D3" w:rsidR="00583DBC" w:rsidRDefault="0069425C">
          <w:pPr>
            <w:pStyle w:val="TOC2"/>
            <w:rPr>
              <w:rFonts w:eastAsiaTheme="minorEastAsia"/>
              <w:noProof/>
              <w:spacing w:val="0"/>
              <w:lang w:eastAsia="en-AU"/>
            </w:rPr>
          </w:pPr>
          <w:hyperlink w:anchor="_Toc146746683" w:history="1">
            <w:r w:rsidR="00583DBC" w:rsidRPr="00782108">
              <w:rPr>
                <w:rStyle w:val="Hyperlink"/>
                <w:noProof/>
              </w:rPr>
              <w:t>Our proposed PREMO rating</w:t>
            </w:r>
            <w:r w:rsidR="00583DBC">
              <w:rPr>
                <w:noProof/>
                <w:webHidden/>
              </w:rPr>
              <w:tab/>
            </w:r>
            <w:r w:rsidR="00583DBC">
              <w:rPr>
                <w:noProof/>
                <w:webHidden/>
              </w:rPr>
              <w:fldChar w:fldCharType="begin"/>
            </w:r>
            <w:r w:rsidR="00583DBC">
              <w:rPr>
                <w:noProof/>
                <w:webHidden/>
              </w:rPr>
              <w:instrText xml:space="preserve"> PAGEREF _Toc146746683 \h </w:instrText>
            </w:r>
            <w:r w:rsidR="00583DBC">
              <w:rPr>
                <w:noProof/>
                <w:webHidden/>
              </w:rPr>
            </w:r>
            <w:r w:rsidR="00583DBC">
              <w:rPr>
                <w:noProof/>
                <w:webHidden/>
              </w:rPr>
              <w:fldChar w:fldCharType="separate"/>
            </w:r>
            <w:r w:rsidR="009813E3">
              <w:rPr>
                <w:noProof/>
                <w:webHidden/>
              </w:rPr>
              <w:t>xv</w:t>
            </w:r>
            <w:r w:rsidR="00583DBC">
              <w:rPr>
                <w:noProof/>
                <w:webHidden/>
              </w:rPr>
              <w:fldChar w:fldCharType="end"/>
            </w:r>
          </w:hyperlink>
        </w:p>
        <w:p w14:paraId="3D1EE4D4" w14:textId="50938575" w:rsidR="00583DBC" w:rsidRDefault="0069425C">
          <w:pPr>
            <w:pStyle w:val="TOC1"/>
            <w:rPr>
              <w:rFonts w:eastAsiaTheme="minorEastAsia"/>
              <w:b w:val="0"/>
              <w:noProof/>
              <w:color w:val="auto"/>
              <w:spacing w:val="0"/>
              <w:lang w:eastAsia="en-AU"/>
            </w:rPr>
          </w:pPr>
          <w:hyperlink w:anchor="_Toc146746684" w:history="1">
            <w:r w:rsidR="00583DBC" w:rsidRPr="00782108">
              <w:rPr>
                <w:rStyle w:val="Hyperlink"/>
                <w:noProof/>
              </w:rPr>
              <w:t>1.</w:t>
            </w:r>
            <w:r w:rsidR="00583DBC">
              <w:rPr>
                <w:rFonts w:eastAsiaTheme="minorEastAsia"/>
                <w:b w:val="0"/>
                <w:noProof/>
                <w:color w:val="auto"/>
                <w:spacing w:val="0"/>
                <w:lang w:eastAsia="en-AU"/>
              </w:rPr>
              <w:tab/>
            </w:r>
            <w:r w:rsidR="00583DBC" w:rsidRPr="00782108">
              <w:rPr>
                <w:rStyle w:val="Hyperlink"/>
                <w:noProof/>
              </w:rPr>
              <w:t>GWW’s first price submission</w:t>
            </w:r>
            <w:r w:rsidR="00583DBC">
              <w:rPr>
                <w:noProof/>
                <w:webHidden/>
              </w:rPr>
              <w:tab/>
            </w:r>
            <w:r w:rsidR="00583DBC">
              <w:rPr>
                <w:noProof/>
                <w:webHidden/>
              </w:rPr>
              <w:fldChar w:fldCharType="begin"/>
            </w:r>
            <w:r w:rsidR="00583DBC">
              <w:rPr>
                <w:noProof/>
                <w:webHidden/>
              </w:rPr>
              <w:instrText xml:space="preserve"> PAGEREF _Toc146746684 \h </w:instrText>
            </w:r>
            <w:r w:rsidR="00583DBC">
              <w:rPr>
                <w:noProof/>
                <w:webHidden/>
              </w:rPr>
            </w:r>
            <w:r w:rsidR="00583DBC">
              <w:rPr>
                <w:noProof/>
                <w:webHidden/>
              </w:rPr>
              <w:fldChar w:fldCharType="separate"/>
            </w:r>
            <w:r w:rsidR="009813E3">
              <w:rPr>
                <w:noProof/>
                <w:webHidden/>
              </w:rPr>
              <w:t>1</w:t>
            </w:r>
            <w:r w:rsidR="00583DBC">
              <w:rPr>
                <w:noProof/>
                <w:webHidden/>
              </w:rPr>
              <w:fldChar w:fldCharType="end"/>
            </w:r>
          </w:hyperlink>
        </w:p>
        <w:p w14:paraId="653D7AA5" w14:textId="613AF70D" w:rsidR="00583DBC" w:rsidRDefault="0069425C">
          <w:pPr>
            <w:pStyle w:val="TOC2"/>
            <w:rPr>
              <w:rFonts w:eastAsiaTheme="minorEastAsia"/>
              <w:noProof/>
              <w:spacing w:val="0"/>
              <w:lang w:eastAsia="en-AU"/>
            </w:rPr>
          </w:pPr>
          <w:hyperlink w:anchor="_Toc146746685" w:history="1">
            <w:r w:rsidR="00583DBC" w:rsidRPr="00782108">
              <w:rPr>
                <w:rStyle w:val="Hyperlink"/>
                <w:noProof/>
              </w:rPr>
              <w:t>1.1.</w:t>
            </w:r>
            <w:r w:rsidR="00583DBC">
              <w:rPr>
                <w:rFonts w:eastAsiaTheme="minorEastAsia"/>
                <w:noProof/>
                <w:spacing w:val="0"/>
                <w:lang w:eastAsia="en-AU"/>
              </w:rPr>
              <w:tab/>
            </w:r>
            <w:r w:rsidR="00583DBC" w:rsidRPr="00782108">
              <w:rPr>
                <w:rStyle w:val="Hyperlink"/>
                <w:noProof/>
              </w:rPr>
              <w:t>Who is Greater Western Water?</w:t>
            </w:r>
            <w:r w:rsidR="00583DBC">
              <w:rPr>
                <w:noProof/>
                <w:webHidden/>
              </w:rPr>
              <w:tab/>
            </w:r>
            <w:r w:rsidR="00583DBC">
              <w:rPr>
                <w:noProof/>
                <w:webHidden/>
              </w:rPr>
              <w:fldChar w:fldCharType="begin"/>
            </w:r>
            <w:r w:rsidR="00583DBC">
              <w:rPr>
                <w:noProof/>
                <w:webHidden/>
              </w:rPr>
              <w:instrText xml:space="preserve"> PAGEREF _Toc146746685 \h </w:instrText>
            </w:r>
            <w:r w:rsidR="00583DBC">
              <w:rPr>
                <w:noProof/>
                <w:webHidden/>
              </w:rPr>
            </w:r>
            <w:r w:rsidR="00583DBC">
              <w:rPr>
                <w:noProof/>
                <w:webHidden/>
              </w:rPr>
              <w:fldChar w:fldCharType="separate"/>
            </w:r>
            <w:r w:rsidR="009813E3">
              <w:rPr>
                <w:noProof/>
                <w:webHidden/>
              </w:rPr>
              <w:t>1</w:t>
            </w:r>
            <w:r w:rsidR="00583DBC">
              <w:rPr>
                <w:noProof/>
                <w:webHidden/>
              </w:rPr>
              <w:fldChar w:fldCharType="end"/>
            </w:r>
          </w:hyperlink>
        </w:p>
        <w:p w14:paraId="0296FFC9" w14:textId="4C9F17E5" w:rsidR="00583DBC" w:rsidRDefault="0069425C">
          <w:pPr>
            <w:pStyle w:val="TOC2"/>
            <w:rPr>
              <w:rFonts w:eastAsiaTheme="minorEastAsia"/>
              <w:noProof/>
              <w:spacing w:val="0"/>
              <w:lang w:eastAsia="en-AU"/>
            </w:rPr>
          </w:pPr>
          <w:hyperlink w:anchor="_Toc146746686" w:history="1">
            <w:r w:rsidR="00583DBC" w:rsidRPr="00782108">
              <w:rPr>
                <w:rStyle w:val="Hyperlink"/>
                <w:noProof/>
              </w:rPr>
              <w:t>1.2.</w:t>
            </w:r>
            <w:r w:rsidR="00583DBC">
              <w:rPr>
                <w:rFonts w:eastAsiaTheme="minorEastAsia"/>
                <w:noProof/>
                <w:spacing w:val="0"/>
                <w:lang w:eastAsia="en-AU"/>
              </w:rPr>
              <w:tab/>
            </w:r>
            <w:r w:rsidR="00583DBC" w:rsidRPr="00782108">
              <w:rPr>
                <w:rStyle w:val="Hyperlink"/>
                <w:noProof/>
              </w:rPr>
              <w:t>Our customers, community and partners</w:t>
            </w:r>
            <w:r w:rsidR="00583DBC">
              <w:rPr>
                <w:noProof/>
                <w:webHidden/>
              </w:rPr>
              <w:tab/>
            </w:r>
            <w:r w:rsidR="00583DBC">
              <w:rPr>
                <w:noProof/>
                <w:webHidden/>
              </w:rPr>
              <w:fldChar w:fldCharType="begin"/>
            </w:r>
            <w:r w:rsidR="00583DBC">
              <w:rPr>
                <w:noProof/>
                <w:webHidden/>
              </w:rPr>
              <w:instrText xml:space="preserve"> PAGEREF _Toc146746686 \h </w:instrText>
            </w:r>
            <w:r w:rsidR="00583DBC">
              <w:rPr>
                <w:noProof/>
                <w:webHidden/>
              </w:rPr>
            </w:r>
            <w:r w:rsidR="00583DBC">
              <w:rPr>
                <w:noProof/>
                <w:webHidden/>
              </w:rPr>
              <w:fldChar w:fldCharType="separate"/>
            </w:r>
            <w:r w:rsidR="009813E3">
              <w:rPr>
                <w:noProof/>
                <w:webHidden/>
              </w:rPr>
              <w:t>2</w:t>
            </w:r>
            <w:r w:rsidR="00583DBC">
              <w:rPr>
                <w:noProof/>
                <w:webHidden/>
              </w:rPr>
              <w:fldChar w:fldCharType="end"/>
            </w:r>
          </w:hyperlink>
        </w:p>
        <w:p w14:paraId="75DF6E73" w14:textId="425128C0" w:rsidR="00583DBC" w:rsidRDefault="0069425C">
          <w:pPr>
            <w:pStyle w:val="TOC2"/>
            <w:rPr>
              <w:rFonts w:eastAsiaTheme="minorEastAsia"/>
              <w:noProof/>
              <w:spacing w:val="0"/>
              <w:lang w:eastAsia="en-AU"/>
            </w:rPr>
          </w:pPr>
          <w:hyperlink w:anchor="_Toc146746687" w:history="1">
            <w:r w:rsidR="00583DBC" w:rsidRPr="00782108">
              <w:rPr>
                <w:rStyle w:val="Hyperlink"/>
                <w:noProof/>
              </w:rPr>
              <w:t>1.3.</w:t>
            </w:r>
            <w:r w:rsidR="00583DBC">
              <w:rPr>
                <w:rFonts w:eastAsiaTheme="minorEastAsia"/>
                <w:noProof/>
                <w:spacing w:val="0"/>
                <w:lang w:eastAsia="en-AU"/>
              </w:rPr>
              <w:tab/>
            </w:r>
            <w:r w:rsidR="00583DBC" w:rsidRPr="00782108">
              <w:rPr>
                <w:rStyle w:val="Hyperlink"/>
                <w:noProof/>
              </w:rPr>
              <w:t>Integrating two businesses into one</w:t>
            </w:r>
            <w:r w:rsidR="00583DBC">
              <w:rPr>
                <w:noProof/>
                <w:webHidden/>
              </w:rPr>
              <w:tab/>
            </w:r>
            <w:r w:rsidR="00583DBC">
              <w:rPr>
                <w:noProof/>
                <w:webHidden/>
              </w:rPr>
              <w:fldChar w:fldCharType="begin"/>
            </w:r>
            <w:r w:rsidR="00583DBC">
              <w:rPr>
                <w:noProof/>
                <w:webHidden/>
              </w:rPr>
              <w:instrText xml:space="preserve"> PAGEREF _Toc146746687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179D26F8" w14:textId="7A19E92A" w:rsidR="00583DBC" w:rsidRDefault="0069425C">
          <w:pPr>
            <w:pStyle w:val="TOC2"/>
            <w:rPr>
              <w:rFonts w:eastAsiaTheme="minorEastAsia"/>
              <w:noProof/>
              <w:spacing w:val="0"/>
              <w:lang w:eastAsia="en-AU"/>
            </w:rPr>
          </w:pPr>
          <w:hyperlink w:anchor="_Toc146746688" w:history="1">
            <w:r w:rsidR="00583DBC" w:rsidRPr="00782108">
              <w:rPr>
                <w:rStyle w:val="Hyperlink"/>
                <w:noProof/>
              </w:rPr>
              <w:t>1.4.</w:t>
            </w:r>
            <w:r w:rsidR="00583DBC">
              <w:rPr>
                <w:rFonts w:eastAsiaTheme="minorEastAsia"/>
                <w:noProof/>
                <w:spacing w:val="0"/>
                <w:lang w:eastAsia="en-AU"/>
              </w:rPr>
              <w:tab/>
            </w:r>
            <w:r w:rsidR="00583DBC" w:rsidRPr="00782108">
              <w:rPr>
                <w:rStyle w:val="Hyperlink"/>
                <w:noProof/>
              </w:rPr>
              <w:t>Building the foundations of our long-term vision</w:t>
            </w:r>
            <w:r w:rsidR="00583DBC">
              <w:rPr>
                <w:noProof/>
                <w:webHidden/>
              </w:rPr>
              <w:tab/>
            </w:r>
            <w:r w:rsidR="00583DBC">
              <w:rPr>
                <w:noProof/>
                <w:webHidden/>
              </w:rPr>
              <w:fldChar w:fldCharType="begin"/>
            </w:r>
            <w:r w:rsidR="00583DBC">
              <w:rPr>
                <w:noProof/>
                <w:webHidden/>
              </w:rPr>
              <w:instrText xml:space="preserve"> PAGEREF _Toc146746688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02ECC5F3" w14:textId="22A5C761" w:rsidR="00583DBC" w:rsidRDefault="0069425C">
          <w:pPr>
            <w:pStyle w:val="TOC1"/>
            <w:rPr>
              <w:rFonts w:eastAsiaTheme="minorEastAsia"/>
              <w:b w:val="0"/>
              <w:noProof/>
              <w:color w:val="auto"/>
              <w:spacing w:val="0"/>
              <w:lang w:eastAsia="en-AU"/>
            </w:rPr>
          </w:pPr>
          <w:hyperlink w:anchor="_Toc146746689" w:history="1">
            <w:r w:rsidR="00583DBC" w:rsidRPr="00782108">
              <w:rPr>
                <w:rStyle w:val="Hyperlink"/>
                <w:noProof/>
              </w:rPr>
              <w:t>2.</w:t>
            </w:r>
            <w:r w:rsidR="00583DBC">
              <w:rPr>
                <w:rFonts w:eastAsiaTheme="minorEastAsia"/>
                <w:b w:val="0"/>
                <w:noProof/>
                <w:color w:val="auto"/>
                <w:spacing w:val="0"/>
                <w:lang w:eastAsia="en-AU"/>
              </w:rPr>
              <w:tab/>
            </w:r>
            <w:r w:rsidR="00583DBC" w:rsidRPr="00782108">
              <w:rPr>
                <w:rStyle w:val="Hyperlink"/>
                <w:noProof/>
              </w:rPr>
              <w:t>Engagement</w:t>
            </w:r>
            <w:r w:rsidR="00583DBC">
              <w:rPr>
                <w:noProof/>
                <w:webHidden/>
              </w:rPr>
              <w:tab/>
            </w:r>
            <w:r w:rsidR="00583DBC">
              <w:rPr>
                <w:noProof/>
                <w:webHidden/>
              </w:rPr>
              <w:fldChar w:fldCharType="begin"/>
            </w:r>
            <w:r w:rsidR="00583DBC">
              <w:rPr>
                <w:noProof/>
                <w:webHidden/>
              </w:rPr>
              <w:instrText xml:space="preserve"> PAGEREF _Toc146746689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5072A430" w14:textId="1079641D" w:rsidR="00583DBC" w:rsidRDefault="0069425C">
          <w:pPr>
            <w:pStyle w:val="TOC2"/>
            <w:rPr>
              <w:rFonts w:eastAsiaTheme="minorEastAsia"/>
              <w:noProof/>
              <w:spacing w:val="0"/>
              <w:lang w:eastAsia="en-AU"/>
            </w:rPr>
          </w:pPr>
          <w:hyperlink w:anchor="_Toc146746690" w:history="1">
            <w:r w:rsidR="00583DBC" w:rsidRPr="00782108">
              <w:rPr>
                <w:rStyle w:val="Hyperlink"/>
                <w:noProof/>
              </w:rPr>
              <w:t>2.1.</w:t>
            </w:r>
            <w:r w:rsidR="00583DBC">
              <w:rPr>
                <w:rFonts w:eastAsiaTheme="minorEastAsia"/>
                <w:noProof/>
                <w:spacing w:val="0"/>
                <w:lang w:eastAsia="en-AU"/>
              </w:rPr>
              <w:tab/>
            </w:r>
            <w:r w:rsidR="00583DBC" w:rsidRPr="00782108">
              <w:rPr>
                <w:rStyle w:val="Hyperlink"/>
                <w:noProof/>
              </w:rPr>
              <w:t>Engagement journey</w:t>
            </w:r>
            <w:r w:rsidR="00583DBC">
              <w:rPr>
                <w:noProof/>
                <w:webHidden/>
              </w:rPr>
              <w:tab/>
            </w:r>
            <w:r w:rsidR="00583DBC">
              <w:rPr>
                <w:noProof/>
                <w:webHidden/>
              </w:rPr>
              <w:fldChar w:fldCharType="begin"/>
            </w:r>
            <w:r w:rsidR="00583DBC">
              <w:rPr>
                <w:noProof/>
                <w:webHidden/>
              </w:rPr>
              <w:instrText xml:space="preserve"> PAGEREF _Toc146746690 \h </w:instrText>
            </w:r>
            <w:r w:rsidR="00583DBC">
              <w:rPr>
                <w:noProof/>
                <w:webHidden/>
              </w:rPr>
            </w:r>
            <w:r w:rsidR="00583DBC">
              <w:rPr>
                <w:noProof/>
                <w:webHidden/>
              </w:rPr>
              <w:fldChar w:fldCharType="separate"/>
            </w:r>
            <w:r w:rsidR="009813E3">
              <w:rPr>
                <w:noProof/>
                <w:webHidden/>
              </w:rPr>
              <w:t>4</w:t>
            </w:r>
            <w:r w:rsidR="00583DBC">
              <w:rPr>
                <w:noProof/>
                <w:webHidden/>
              </w:rPr>
              <w:fldChar w:fldCharType="end"/>
            </w:r>
          </w:hyperlink>
        </w:p>
        <w:p w14:paraId="5911A605" w14:textId="21021216" w:rsidR="00583DBC" w:rsidRDefault="0069425C">
          <w:pPr>
            <w:pStyle w:val="TOC2"/>
            <w:rPr>
              <w:rFonts w:eastAsiaTheme="minorEastAsia"/>
              <w:noProof/>
              <w:spacing w:val="0"/>
              <w:lang w:eastAsia="en-AU"/>
            </w:rPr>
          </w:pPr>
          <w:hyperlink w:anchor="_Toc146746691" w:history="1">
            <w:r w:rsidR="00583DBC" w:rsidRPr="00782108">
              <w:rPr>
                <w:rStyle w:val="Hyperlink"/>
                <w:noProof/>
              </w:rPr>
              <w:t>2.2.</w:t>
            </w:r>
            <w:r w:rsidR="00583DBC">
              <w:rPr>
                <w:rFonts w:eastAsiaTheme="minorEastAsia"/>
                <w:noProof/>
                <w:spacing w:val="0"/>
                <w:lang w:eastAsia="en-AU"/>
              </w:rPr>
              <w:tab/>
            </w:r>
            <w:r w:rsidR="00583DBC" w:rsidRPr="00782108">
              <w:rPr>
                <w:rStyle w:val="Hyperlink"/>
                <w:noProof/>
              </w:rPr>
              <w:t>Pre-price submission engagement</w:t>
            </w:r>
            <w:r w:rsidR="00583DBC">
              <w:rPr>
                <w:noProof/>
                <w:webHidden/>
              </w:rPr>
              <w:tab/>
            </w:r>
            <w:r w:rsidR="00583DBC">
              <w:rPr>
                <w:noProof/>
                <w:webHidden/>
              </w:rPr>
              <w:fldChar w:fldCharType="begin"/>
            </w:r>
            <w:r w:rsidR="00583DBC">
              <w:rPr>
                <w:noProof/>
                <w:webHidden/>
              </w:rPr>
              <w:instrText xml:space="preserve"> PAGEREF _Toc146746691 \h </w:instrText>
            </w:r>
            <w:r w:rsidR="00583DBC">
              <w:rPr>
                <w:noProof/>
                <w:webHidden/>
              </w:rPr>
            </w:r>
            <w:r w:rsidR="00583DBC">
              <w:rPr>
                <w:noProof/>
                <w:webHidden/>
              </w:rPr>
              <w:fldChar w:fldCharType="separate"/>
            </w:r>
            <w:r w:rsidR="009813E3">
              <w:rPr>
                <w:noProof/>
                <w:webHidden/>
              </w:rPr>
              <w:t>7</w:t>
            </w:r>
            <w:r w:rsidR="00583DBC">
              <w:rPr>
                <w:noProof/>
                <w:webHidden/>
              </w:rPr>
              <w:fldChar w:fldCharType="end"/>
            </w:r>
          </w:hyperlink>
        </w:p>
        <w:p w14:paraId="151B03D5" w14:textId="30002EC6" w:rsidR="00583DBC" w:rsidRDefault="0069425C">
          <w:pPr>
            <w:pStyle w:val="TOC2"/>
            <w:rPr>
              <w:rFonts w:eastAsiaTheme="minorEastAsia"/>
              <w:noProof/>
              <w:spacing w:val="0"/>
              <w:lang w:eastAsia="en-AU"/>
            </w:rPr>
          </w:pPr>
          <w:hyperlink w:anchor="_Toc146746692" w:history="1">
            <w:r w:rsidR="00583DBC" w:rsidRPr="00782108">
              <w:rPr>
                <w:rStyle w:val="Hyperlink"/>
                <w:noProof/>
              </w:rPr>
              <w:t>2.3.</w:t>
            </w:r>
            <w:r w:rsidR="00583DBC">
              <w:rPr>
                <w:rFonts w:eastAsiaTheme="minorEastAsia"/>
                <w:noProof/>
                <w:spacing w:val="0"/>
                <w:lang w:eastAsia="en-AU"/>
              </w:rPr>
              <w:tab/>
            </w:r>
            <w:r w:rsidR="00583DBC" w:rsidRPr="00782108">
              <w:rPr>
                <w:rStyle w:val="Hyperlink"/>
                <w:noProof/>
              </w:rPr>
              <w:t>Price submission engagement</w:t>
            </w:r>
            <w:r w:rsidR="00583DBC">
              <w:rPr>
                <w:noProof/>
                <w:webHidden/>
              </w:rPr>
              <w:tab/>
            </w:r>
            <w:r w:rsidR="00583DBC">
              <w:rPr>
                <w:noProof/>
                <w:webHidden/>
              </w:rPr>
              <w:fldChar w:fldCharType="begin"/>
            </w:r>
            <w:r w:rsidR="00583DBC">
              <w:rPr>
                <w:noProof/>
                <w:webHidden/>
              </w:rPr>
              <w:instrText xml:space="preserve"> PAGEREF _Toc146746692 \h </w:instrText>
            </w:r>
            <w:r w:rsidR="00583DBC">
              <w:rPr>
                <w:noProof/>
                <w:webHidden/>
              </w:rPr>
            </w:r>
            <w:r w:rsidR="00583DBC">
              <w:rPr>
                <w:noProof/>
                <w:webHidden/>
              </w:rPr>
              <w:fldChar w:fldCharType="separate"/>
            </w:r>
            <w:r w:rsidR="009813E3">
              <w:rPr>
                <w:noProof/>
                <w:webHidden/>
              </w:rPr>
              <w:t>8</w:t>
            </w:r>
            <w:r w:rsidR="00583DBC">
              <w:rPr>
                <w:noProof/>
                <w:webHidden/>
              </w:rPr>
              <w:fldChar w:fldCharType="end"/>
            </w:r>
          </w:hyperlink>
        </w:p>
        <w:p w14:paraId="486EB914" w14:textId="6DF6206B" w:rsidR="00583DBC" w:rsidRDefault="0069425C">
          <w:pPr>
            <w:pStyle w:val="TOC2"/>
            <w:rPr>
              <w:rFonts w:eastAsiaTheme="minorEastAsia"/>
              <w:noProof/>
              <w:spacing w:val="0"/>
              <w:lang w:eastAsia="en-AU"/>
            </w:rPr>
          </w:pPr>
          <w:hyperlink w:anchor="_Toc146746693" w:history="1">
            <w:r w:rsidR="00583DBC" w:rsidRPr="00782108">
              <w:rPr>
                <w:rStyle w:val="Hyperlink"/>
                <w:noProof/>
              </w:rPr>
              <w:t>2.4.</w:t>
            </w:r>
            <w:r w:rsidR="00583DBC">
              <w:rPr>
                <w:rFonts w:eastAsiaTheme="minorEastAsia"/>
                <w:noProof/>
                <w:spacing w:val="0"/>
                <w:lang w:eastAsia="en-AU"/>
              </w:rPr>
              <w:tab/>
            </w:r>
            <w:r w:rsidR="00583DBC" w:rsidRPr="00782108">
              <w:rPr>
                <w:rStyle w:val="Hyperlink"/>
                <w:noProof/>
              </w:rPr>
              <w:t>Parallel stakeholder and partner engagement</w:t>
            </w:r>
            <w:r w:rsidR="00583DBC">
              <w:rPr>
                <w:noProof/>
                <w:webHidden/>
              </w:rPr>
              <w:tab/>
            </w:r>
            <w:r w:rsidR="00583DBC">
              <w:rPr>
                <w:noProof/>
                <w:webHidden/>
              </w:rPr>
              <w:fldChar w:fldCharType="begin"/>
            </w:r>
            <w:r w:rsidR="00583DBC">
              <w:rPr>
                <w:noProof/>
                <w:webHidden/>
              </w:rPr>
              <w:instrText xml:space="preserve"> PAGEREF _Toc146746693 \h </w:instrText>
            </w:r>
            <w:r w:rsidR="00583DBC">
              <w:rPr>
                <w:noProof/>
                <w:webHidden/>
              </w:rPr>
            </w:r>
            <w:r w:rsidR="00583DBC">
              <w:rPr>
                <w:noProof/>
                <w:webHidden/>
              </w:rPr>
              <w:fldChar w:fldCharType="separate"/>
            </w:r>
            <w:r w:rsidR="009813E3">
              <w:rPr>
                <w:noProof/>
                <w:webHidden/>
              </w:rPr>
              <w:t>20</w:t>
            </w:r>
            <w:r w:rsidR="00583DBC">
              <w:rPr>
                <w:noProof/>
                <w:webHidden/>
              </w:rPr>
              <w:fldChar w:fldCharType="end"/>
            </w:r>
          </w:hyperlink>
        </w:p>
        <w:p w14:paraId="5ABEFEAB" w14:textId="2AF467B9" w:rsidR="00583DBC" w:rsidRDefault="0069425C">
          <w:pPr>
            <w:pStyle w:val="TOC2"/>
            <w:rPr>
              <w:rFonts w:eastAsiaTheme="minorEastAsia"/>
              <w:noProof/>
              <w:spacing w:val="0"/>
              <w:lang w:eastAsia="en-AU"/>
            </w:rPr>
          </w:pPr>
          <w:hyperlink w:anchor="_Toc146746694" w:history="1">
            <w:r w:rsidR="00583DBC" w:rsidRPr="00782108">
              <w:rPr>
                <w:rStyle w:val="Hyperlink"/>
                <w:noProof/>
              </w:rPr>
              <w:t>2.5.</w:t>
            </w:r>
            <w:r w:rsidR="00583DBC">
              <w:rPr>
                <w:rFonts w:eastAsiaTheme="minorEastAsia"/>
                <w:noProof/>
                <w:spacing w:val="0"/>
                <w:lang w:eastAsia="en-AU"/>
              </w:rPr>
              <w:tab/>
            </w:r>
            <w:r w:rsidR="00583DBC" w:rsidRPr="00782108">
              <w:rPr>
                <w:rStyle w:val="Hyperlink"/>
                <w:noProof/>
              </w:rPr>
              <w:t>Ongoing accountability and customer stewardship</w:t>
            </w:r>
            <w:r w:rsidR="00583DBC">
              <w:rPr>
                <w:noProof/>
                <w:webHidden/>
              </w:rPr>
              <w:tab/>
            </w:r>
            <w:r w:rsidR="00583DBC">
              <w:rPr>
                <w:noProof/>
                <w:webHidden/>
              </w:rPr>
              <w:fldChar w:fldCharType="begin"/>
            </w:r>
            <w:r w:rsidR="00583DBC">
              <w:rPr>
                <w:noProof/>
                <w:webHidden/>
              </w:rPr>
              <w:instrText xml:space="preserve"> PAGEREF _Toc146746694 \h </w:instrText>
            </w:r>
            <w:r w:rsidR="00583DBC">
              <w:rPr>
                <w:noProof/>
                <w:webHidden/>
              </w:rPr>
            </w:r>
            <w:r w:rsidR="00583DBC">
              <w:rPr>
                <w:noProof/>
                <w:webHidden/>
              </w:rPr>
              <w:fldChar w:fldCharType="separate"/>
            </w:r>
            <w:r w:rsidR="009813E3">
              <w:rPr>
                <w:noProof/>
                <w:webHidden/>
              </w:rPr>
              <w:t>23</w:t>
            </w:r>
            <w:r w:rsidR="00583DBC">
              <w:rPr>
                <w:noProof/>
                <w:webHidden/>
              </w:rPr>
              <w:fldChar w:fldCharType="end"/>
            </w:r>
          </w:hyperlink>
        </w:p>
        <w:p w14:paraId="6C3CCE1F" w14:textId="00C78CF5" w:rsidR="00583DBC" w:rsidRDefault="0069425C">
          <w:pPr>
            <w:pStyle w:val="TOC1"/>
            <w:rPr>
              <w:rFonts w:eastAsiaTheme="minorEastAsia"/>
              <w:b w:val="0"/>
              <w:noProof/>
              <w:color w:val="auto"/>
              <w:spacing w:val="0"/>
              <w:lang w:eastAsia="en-AU"/>
            </w:rPr>
          </w:pPr>
          <w:hyperlink w:anchor="_Toc146746695" w:history="1">
            <w:r w:rsidR="00583DBC" w:rsidRPr="00782108">
              <w:rPr>
                <w:rStyle w:val="Hyperlink"/>
                <w:noProof/>
              </w:rPr>
              <w:t>3.</w:t>
            </w:r>
            <w:r w:rsidR="00583DBC">
              <w:rPr>
                <w:rFonts w:eastAsiaTheme="minorEastAsia"/>
                <w:b w:val="0"/>
                <w:noProof/>
                <w:color w:val="auto"/>
                <w:spacing w:val="0"/>
                <w:lang w:eastAsia="en-AU"/>
              </w:rPr>
              <w:tab/>
            </w:r>
            <w:r w:rsidR="00583DBC" w:rsidRPr="00782108">
              <w:rPr>
                <w:rStyle w:val="Hyperlink"/>
                <w:noProof/>
              </w:rPr>
              <w:t>Our commitments to our customers and community</w:t>
            </w:r>
            <w:r w:rsidR="00583DBC">
              <w:rPr>
                <w:noProof/>
                <w:webHidden/>
              </w:rPr>
              <w:tab/>
            </w:r>
            <w:r w:rsidR="00583DBC">
              <w:rPr>
                <w:noProof/>
                <w:webHidden/>
              </w:rPr>
              <w:fldChar w:fldCharType="begin"/>
            </w:r>
            <w:r w:rsidR="00583DBC">
              <w:rPr>
                <w:noProof/>
                <w:webHidden/>
              </w:rPr>
              <w:instrText xml:space="preserve"> PAGEREF _Toc146746695 \h </w:instrText>
            </w:r>
            <w:r w:rsidR="00583DBC">
              <w:rPr>
                <w:noProof/>
                <w:webHidden/>
              </w:rPr>
            </w:r>
            <w:r w:rsidR="00583DBC">
              <w:rPr>
                <w:noProof/>
                <w:webHidden/>
              </w:rPr>
              <w:fldChar w:fldCharType="separate"/>
            </w:r>
            <w:r w:rsidR="009813E3">
              <w:rPr>
                <w:noProof/>
                <w:webHidden/>
              </w:rPr>
              <w:t>25</w:t>
            </w:r>
            <w:r w:rsidR="00583DBC">
              <w:rPr>
                <w:noProof/>
                <w:webHidden/>
              </w:rPr>
              <w:fldChar w:fldCharType="end"/>
            </w:r>
          </w:hyperlink>
        </w:p>
        <w:p w14:paraId="73BC5998" w14:textId="3727D3B7" w:rsidR="00583DBC" w:rsidRDefault="0069425C">
          <w:pPr>
            <w:pStyle w:val="TOC2"/>
            <w:rPr>
              <w:rFonts w:eastAsiaTheme="minorEastAsia"/>
              <w:noProof/>
              <w:spacing w:val="0"/>
              <w:lang w:eastAsia="en-AU"/>
            </w:rPr>
          </w:pPr>
          <w:hyperlink w:anchor="_Toc146746696" w:history="1">
            <w:r w:rsidR="00583DBC" w:rsidRPr="00782108">
              <w:rPr>
                <w:rStyle w:val="Hyperlink"/>
                <w:noProof/>
              </w:rPr>
              <w:t>3.1.</w:t>
            </w:r>
            <w:r w:rsidR="00583DBC">
              <w:rPr>
                <w:rFonts w:eastAsiaTheme="minorEastAsia"/>
                <w:noProof/>
                <w:spacing w:val="0"/>
                <w:lang w:eastAsia="en-AU"/>
              </w:rPr>
              <w:tab/>
            </w:r>
            <w:r w:rsidR="00583DBC" w:rsidRPr="00782108">
              <w:rPr>
                <w:rStyle w:val="Hyperlink"/>
                <w:noProof/>
              </w:rPr>
              <w:t>Our customer outcomes</w:t>
            </w:r>
            <w:r w:rsidR="00583DBC">
              <w:rPr>
                <w:noProof/>
                <w:webHidden/>
              </w:rPr>
              <w:tab/>
            </w:r>
            <w:r w:rsidR="00583DBC">
              <w:rPr>
                <w:noProof/>
                <w:webHidden/>
              </w:rPr>
              <w:fldChar w:fldCharType="begin"/>
            </w:r>
            <w:r w:rsidR="00583DBC">
              <w:rPr>
                <w:noProof/>
                <w:webHidden/>
              </w:rPr>
              <w:instrText xml:space="preserve"> PAGEREF _Toc146746696 \h </w:instrText>
            </w:r>
            <w:r w:rsidR="00583DBC">
              <w:rPr>
                <w:noProof/>
                <w:webHidden/>
              </w:rPr>
            </w:r>
            <w:r w:rsidR="00583DBC">
              <w:rPr>
                <w:noProof/>
                <w:webHidden/>
              </w:rPr>
              <w:fldChar w:fldCharType="separate"/>
            </w:r>
            <w:r w:rsidR="009813E3">
              <w:rPr>
                <w:noProof/>
                <w:webHidden/>
              </w:rPr>
              <w:t>26</w:t>
            </w:r>
            <w:r w:rsidR="00583DBC">
              <w:rPr>
                <w:noProof/>
                <w:webHidden/>
              </w:rPr>
              <w:fldChar w:fldCharType="end"/>
            </w:r>
          </w:hyperlink>
        </w:p>
        <w:p w14:paraId="1BC6106F" w14:textId="161462F5" w:rsidR="00583DBC" w:rsidRDefault="0069425C">
          <w:pPr>
            <w:pStyle w:val="TOC2"/>
            <w:rPr>
              <w:rFonts w:eastAsiaTheme="minorEastAsia"/>
              <w:noProof/>
              <w:spacing w:val="0"/>
              <w:lang w:eastAsia="en-AU"/>
            </w:rPr>
          </w:pPr>
          <w:hyperlink w:anchor="_Toc146746697" w:history="1">
            <w:r w:rsidR="00583DBC" w:rsidRPr="00782108">
              <w:rPr>
                <w:rStyle w:val="Hyperlink"/>
                <w:noProof/>
              </w:rPr>
              <w:t>3.2.</w:t>
            </w:r>
            <w:r w:rsidR="00583DBC">
              <w:rPr>
                <w:rFonts w:eastAsiaTheme="minorEastAsia"/>
                <w:noProof/>
                <w:spacing w:val="0"/>
                <w:lang w:eastAsia="en-AU"/>
              </w:rPr>
              <w:tab/>
            </w:r>
            <w:r w:rsidR="00583DBC" w:rsidRPr="00782108">
              <w:rPr>
                <w:rStyle w:val="Hyperlink"/>
                <w:noProof/>
              </w:rPr>
              <w:t>Service standards</w:t>
            </w:r>
            <w:r w:rsidR="00583DBC">
              <w:rPr>
                <w:noProof/>
                <w:webHidden/>
              </w:rPr>
              <w:tab/>
            </w:r>
            <w:r w:rsidR="00583DBC">
              <w:rPr>
                <w:noProof/>
                <w:webHidden/>
              </w:rPr>
              <w:fldChar w:fldCharType="begin"/>
            </w:r>
            <w:r w:rsidR="00583DBC">
              <w:rPr>
                <w:noProof/>
                <w:webHidden/>
              </w:rPr>
              <w:instrText xml:space="preserve"> PAGEREF _Toc146746697 \h </w:instrText>
            </w:r>
            <w:r w:rsidR="00583DBC">
              <w:rPr>
                <w:noProof/>
                <w:webHidden/>
              </w:rPr>
            </w:r>
            <w:r w:rsidR="00583DBC">
              <w:rPr>
                <w:noProof/>
                <w:webHidden/>
              </w:rPr>
              <w:fldChar w:fldCharType="separate"/>
            </w:r>
            <w:r w:rsidR="009813E3">
              <w:rPr>
                <w:noProof/>
                <w:webHidden/>
              </w:rPr>
              <w:t>51</w:t>
            </w:r>
            <w:r w:rsidR="00583DBC">
              <w:rPr>
                <w:noProof/>
                <w:webHidden/>
              </w:rPr>
              <w:fldChar w:fldCharType="end"/>
            </w:r>
          </w:hyperlink>
        </w:p>
        <w:p w14:paraId="187141AD" w14:textId="5562AF3D" w:rsidR="00583DBC" w:rsidRDefault="0069425C">
          <w:pPr>
            <w:pStyle w:val="TOC2"/>
            <w:rPr>
              <w:rFonts w:eastAsiaTheme="minorEastAsia"/>
              <w:noProof/>
              <w:spacing w:val="0"/>
              <w:lang w:eastAsia="en-AU"/>
            </w:rPr>
          </w:pPr>
          <w:hyperlink w:anchor="_Toc146746698" w:history="1">
            <w:r w:rsidR="00583DBC" w:rsidRPr="00782108">
              <w:rPr>
                <w:rStyle w:val="Hyperlink"/>
                <w:noProof/>
              </w:rPr>
              <w:t>3.3.</w:t>
            </w:r>
            <w:r w:rsidR="00583DBC">
              <w:rPr>
                <w:rFonts w:eastAsiaTheme="minorEastAsia"/>
                <w:noProof/>
                <w:spacing w:val="0"/>
                <w:lang w:eastAsia="en-AU"/>
              </w:rPr>
              <w:tab/>
            </w:r>
            <w:r w:rsidR="00583DBC" w:rsidRPr="00782108">
              <w:rPr>
                <w:rStyle w:val="Hyperlink"/>
                <w:noProof/>
              </w:rPr>
              <w:t>Guaranteed service levels</w:t>
            </w:r>
            <w:r w:rsidR="00583DBC">
              <w:rPr>
                <w:noProof/>
                <w:webHidden/>
              </w:rPr>
              <w:tab/>
            </w:r>
            <w:r w:rsidR="00583DBC">
              <w:rPr>
                <w:noProof/>
                <w:webHidden/>
              </w:rPr>
              <w:fldChar w:fldCharType="begin"/>
            </w:r>
            <w:r w:rsidR="00583DBC">
              <w:rPr>
                <w:noProof/>
                <w:webHidden/>
              </w:rPr>
              <w:instrText xml:space="preserve"> PAGEREF _Toc146746698 \h </w:instrText>
            </w:r>
            <w:r w:rsidR="00583DBC">
              <w:rPr>
                <w:noProof/>
                <w:webHidden/>
              </w:rPr>
            </w:r>
            <w:r w:rsidR="00583DBC">
              <w:rPr>
                <w:noProof/>
                <w:webHidden/>
              </w:rPr>
              <w:fldChar w:fldCharType="separate"/>
            </w:r>
            <w:r w:rsidR="009813E3">
              <w:rPr>
                <w:noProof/>
                <w:webHidden/>
              </w:rPr>
              <w:t>53</w:t>
            </w:r>
            <w:r w:rsidR="00583DBC">
              <w:rPr>
                <w:noProof/>
                <w:webHidden/>
              </w:rPr>
              <w:fldChar w:fldCharType="end"/>
            </w:r>
          </w:hyperlink>
        </w:p>
        <w:p w14:paraId="4BF14B09" w14:textId="2D555433" w:rsidR="00583DBC" w:rsidRDefault="0069425C">
          <w:pPr>
            <w:pStyle w:val="TOC1"/>
            <w:rPr>
              <w:rFonts w:eastAsiaTheme="minorEastAsia"/>
              <w:b w:val="0"/>
              <w:noProof/>
              <w:color w:val="auto"/>
              <w:spacing w:val="0"/>
              <w:lang w:eastAsia="en-AU"/>
            </w:rPr>
          </w:pPr>
          <w:hyperlink w:anchor="_Toc146746699" w:history="1">
            <w:r w:rsidR="00583DBC" w:rsidRPr="00782108">
              <w:rPr>
                <w:rStyle w:val="Hyperlink"/>
                <w:noProof/>
              </w:rPr>
              <w:t>4.</w:t>
            </w:r>
            <w:r w:rsidR="00583DBC">
              <w:rPr>
                <w:rFonts w:eastAsiaTheme="minorEastAsia"/>
                <w:b w:val="0"/>
                <w:noProof/>
                <w:color w:val="auto"/>
                <w:spacing w:val="0"/>
                <w:lang w:eastAsia="en-AU"/>
              </w:rPr>
              <w:tab/>
            </w:r>
            <w:r w:rsidR="00583DBC" w:rsidRPr="00782108">
              <w:rPr>
                <w:rStyle w:val="Hyperlink"/>
                <w:noProof/>
              </w:rPr>
              <w:t>Investment and expenditure to deliver customer outcomes</w:t>
            </w:r>
            <w:r w:rsidR="00583DBC">
              <w:rPr>
                <w:noProof/>
                <w:webHidden/>
              </w:rPr>
              <w:tab/>
            </w:r>
            <w:r w:rsidR="00583DBC">
              <w:rPr>
                <w:noProof/>
                <w:webHidden/>
              </w:rPr>
              <w:fldChar w:fldCharType="begin"/>
            </w:r>
            <w:r w:rsidR="00583DBC">
              <w:rPr>
                <w:noProof/>
                <w:webHidden/>
              </w:rPr>
              <w:instrText xml:space="preserve"> PAGEREF _Toc146746699 \h </w:instrText>
            </w:r>
            <w:r w:rsidR="00583DBC">
              <w:rPr>
                <w:noProof/>
                <w:webHidden/>
              </w:rPr>
            </w:r>
            <w:r w:rsidR="00583DBC">
              <w:rPr>
                <w:noProof/>
                <w:webHidden/>
              </w:rPr>
              <w:fldChar w:fldCharType="separate"/>
            </w:r>
            <w:r w:rsidR="009813E3">
              <w:rPr>
                <w:noProof/>
                <w:webHidden/>
              </w:rPr>
              <w:t>57</w:t>
            </w:r>
            <w:r w:rsidR="00583DBC">
              <w:rPr>
                <w:noProof/>
                <w:webHidden/>
              </w:rPr>
              <w:fldChar w:fldCharType="end"/>
            </w:r>
          </w:hyperlink>
        </w:p>
        <w:p w14:paraId="02D87329" w14:textId="3B2A7106" w:rsidR="00583DBC" w:rsidRDefault="0069425C">
          <w:pPr>
            <w:pStyle w:val="TOC2"/>
            <w:rPr>
              <w:rFonts w:eastAsiaTheme="minorEastAsia"/>
              <w:noProof/>
              <w:spacing w:val="0"/>
              <w:lang w:eastAsia="en-AU"/>
            </w:rPr>
          </w:pPr>
          <w:hyperlink w:anchor="_Toc146746700" w:history="1">
            <w:r w:rsidR="00583DBC" w:rsidRPr="00782108">
              <w:rPr>
                <w:rStyle w:val="Hyperlink"/>
                <w:noProof/>
              </w:rPr>
              <w:t>4.1.</w:t>
            </w:r>
            <w:r w:rsidR="00583DBC">
              <w:rPr>
                <w:rFonts w:eastAsiaTheme="minorEastAsia"/>
                <w:noProof/>
                <w:spacing w:val="0"/>
                <w:lang w:eastAsia="en-AU"/>
              </w:rPr>
              <w:tab/>
            </w:r>
            <w:r w:rsidR="00583DBC" w:rsidRPr="00782108">
              <w:rPr>
                <w:rStyle w:val="Hyperlink"/>
                <w:noProof/>
              </w:rPr>
              <w:t>Capital expenditure</w:t>
            </w:r>
            <w:r w:rsidR="00583DBC">
              <w:rPr>
                <w:noProof/>
                <w:webHidden/>
              </w:rPr>
              <w:tab/>
            </w:r>
            <w:r w:rsidR="00583DBC">
              <w:rPr>
                <w:noProof/>
                <w:webHidden/>
              </w:rPr>
              <w:fldChar w:fldCharType="begin"/>
            </w:r>
            <w:r w:rsidR="00583DBC">
              <w:rPr>
                <w:noProof/>
                <w:webHidden/>
              </w:rPr>
              <w:instrText xml:space="preserve"> PAGEREF _Toc146746700 \h </w:instrText>
            </w:r>
            <w:r w:rsidR="00583DBC">
              <w:rPr>
                <w:noProof/>
                <w:webHidden/>
              </w:rPr>
            </w:r>
            <w:r w:rsidR="00583DBC">
              <w:rPr>
                <w:noProof/>
                <w:webHidden/>
              </w:rPr>
              <w:fldChar w:fldCharType="separate"/>
            </w:r>
            <w:r w:rsidR="009813E3">
              <w:rPr>
                <w:noProof/>
                <w:webHidden/>
              </w:rPr>
              <w:t>61</w:t>
            </w:r>
            <w:r w:rsidR="00583DBC">
              <w:rPr>
                <w:noProof/>
                <w:webHidden/>
              </w:rPr>
              <w:fldChar w:fldCharType="end"/>
            </w:r>
          </w:hyperlink>
        </w:p>
        <w:p w14:paraId="44C6AC08" w14:textId="136E5D6E" w:rsidR="00583DBC" w:rsidRDefault="0069425C">
          <w:pPr>
            <w:pStyle w:val="TOC2"/>
            <w:rPr>
              <w:rFonts w:eastAsiaTheme="minorEastAsia"/>
              <w:noProof/>
              <w:spacing w:val="0"/>
              <w:lang w:eastAsia="en-AU"/>
            </w:rPr>
          </w:pPr>
          <w:hyperlink w:anchor="_Toc146746701" w:history="1">
            <w:r w:rsidR="00583DBC" w:rsidRPr="00782108">
              <w:rPr>
                <w:rStyle w:val="Hyperlink"/>
                <w:noProof/>
              </w:rPr>
              <w:t>4.2.</w:t>
            </w:r>
            <w:r w:rsidR="00583DBC">
              <w:rPr>
                <w:rFonts w:eastAsiaTheme="minorEastAsia"/>
                <w:noProof/>
                <w:spacing w:val="0"/>
                <w:lang w:eastAsia="en-AU"/>
              </w:rPr>
              <w:tab/>
            </w:r>
            <w:r w:rsidR="00583DBC" w:rsidRPr="00782108">
              <w:rPr>
                <w:rStyle w:val="Hyperlink"/>
                <w:noProof/>
              </w:rPr>
              <w:t>Operating expenditure</w:t>
            </w:r>
            <w:r w:rsidR="00583DBC">
              <w:rPr>
                <w:noProof/>
                <w:webHidden/>
              </w:rPr>
              <w:tab/>
            </w:r>
            <w:r w:rsidR="00583DBC">
              <w:rPr>
                <w:noProof/>
                <w:webHidden/>
              </w:rPr>
              <w:fldChar w:fldCharType="begin"/>
            </w:r>
            <w:r w:rsidR="00583DBC">
              <w:rPr>
                <w:noProof/>
                <w:webHidden/>
              </w:rPr>
              <w:instrText xml:space="preserve"> PAGEREF _Toc146746701 \h </w:instrText>
            </w:r>
            <w:r w:rsidR="00583DBC">
              <w:rPr>
                <w:noProof/>
                <w:webHidden/>
              </w:rPr>
            </w:r>
            <w:r w:rsidR="00583DBC">
              <w:rPr>
                <w:noProof/>
                <w:webHidden/>
              </w:rPr>
              <w:fldChar w:fldCharType="separate"/>
            </w:r>
            <w:r w:rsidR="009813E3">
              <w:rPr>
                <w:noProof/>
                <w:webHidden/>
              </w:rPr>
              <w:t>72</w:t>
            </w:r>
            <w:r w:rsidR="00583DBC">
              <w:rPr>
                <w:noProof/>
                <w:webHidden/>
              </w:rPr>
              <w:fldChar w:fldCharType="end"/>
            </w:r>
          </w:hyperlink>
        </w:p>
        <w:p w14:paraId="14C29B55" w14:textId="69CDC92D" w:rsidR="00583DBC" w:rsidRDefault="0069425C">
          <w:pPr>
            <w:pStyle w:val="TOC2"/>
            <w:rPr>
              <w:rFonts w:eastAsiaTheme="minorEastAsia"/>
              <w:noProof/>
              <w:spacing w:val="0"/>
              <w:lang w:eastAsia="en-AU"/>
            </w:rPr>
          </w:pPr>
          <w:hyperlink w:anchor="_Toc146746702" w:history="1">
            <w:r w:rsidR="00583DBC" w:rsidRPr="00782108">
              <w:rPr>
                <w:rStyle w:val="Hyperlink"/>
                <w:noProof/>
              </w:rPr>
              <w:t>4.3.</w:t>
            </w:r>
            <w:r w:rsidR="00583DBC">
              <w:rPr>
                <w:rFonts w:eastAsiaTheme="minorEastAsia"/>
                <w:noProof/>
                <w:spacing w:val="0"/>
                <w:lang w:eastAsia="en-AU"/>
              </w:rPr>
              <w:tab/>
            </w:r>
            <w:r w:rsidR="00583DBC" w:rsidRPr="00782108">
              <w:rPr>
                <w:rStyle w:val="Hyperlink"/>
                <w:noProof/>
              </w:rPr>
              <w:t>Capitalisation of operating expenditure</w:t>
            </w:r>
            <w:r w:rsidR="00583DBC">
              <w:rPr>
                <w:noProof/>
                <w:webHidden/>
              </w:rPr>
              <w:tab/>
            </w:r>
            <w:r w:rsidR="00583DBC">
              <w:rPr>
                <w:noProof/>
                <w:webHidden/>
              </w:rPr>
              <w:fldChar w:fldCharType="begin"/>
            </w:r>
            <w:r w:rsidR="00583DBC">
              <w:rPr>
                <w:noProof/>
                <w:webHidden/>
              </w:rPr>
              <w:instrText xml:space="preserve"> PAGEREF _Toc146746702 \h </w:instrText>
            </w:r>
            <w:r w:rsidR="00583DBC">
              <w:rPr>
                <w:noProof/>
                <w:webHidden/>
              </w:rPr>
            </w:r>
            <w:r w:rsidR="00583DBC">
              <w:rPr>
                <w:noProof/>
                <w:webHidden/>
              </w:rPr>
              <w:fldChar w:fldCharType="separate"/>
            </w:r>
            <w:r w:rsidR="009813E3">
              <w:rPr>
                <w:noProof/>
                <w:webHidden/>
              </w:rPr>
              <w:t>89</w:t>
            </w:r>
            <w:r w:rsidR="00583DBC">
              <w:rPr>
                <w:noProof/>
                <w:webHidden/>
              </w:rPr>
              <w:fldChar w:fldCharType="end"/>
            </w:r>
          </w:hyperlink>
        </w:p>
        <w:p w14:paraId="08CDCFFE" w14:textId="52CDD42F" w:rsidR="00583DBC" w:rsidRDefault="0069425C">
          <w:pPr>
            <w:pStyle w:val="TOC1"/>
            <w:rPr>
              <w:rFonts w:eastAsiaTheme="minorEastAsia"/>
              <w:b w:val="0"/>
              <w:noProof/>
              <w:color w:val="auto"/>
              <w:spacing w:val="0"/>
              <w:lang w:eastAsia="en-AU"/>
            </w:rPr>
          </w:pPr>
          <w:hyperlink w:anchor="_Toc146746703" w:history="1">
            <w:r w:rsidR="00583DBC" w:rsidRPr="00782108">
              <w:rPr>
                <w:rStyle w:val="Hyperlink"/>
                <w:noProof/>
              </w:rPr>
              <w:t>5.</w:t>
            </w:r>
            <w:r w:rsidR="00583DBC">
              <w:rPr>
                <w:rFonts w:eastAsiaTheme="minorEastAsia"/>
                <w:b w:val="0"/>
                <w:noProof/>
                <w:color w:val="auto"/>
                <w:spacing w:val="0"/>
                <w:lang w:eastAsia="en-AU"/>
              </w:rPr>
              <w:tab/>
            </w:r>
            <w:r w:rsidR="00583DBC" w:rsidRPr="00782108">
              <w:rPr>
                <w:rStyle w:val="Hyperlink"/>
                <w:noProof/>
              </w:rPr>
              <w:t>Stable and declining bills during the regulatory period</w:t>
            </w:r>
            <w:r w:rsidR="00583DBC">
              <w:rPr>
                <w:noProof/>
                <w:webHidden/>
              </w:rPr>
              <w:tab/>
            </w:r>
            <w:r w:rsidR="00583DBC">
              <w:rPr>
                <w:noProof/>
                <w:webHidden/>
              </w:rPr>
              <w:fldChar w:fldCharType="begin"/>
            </w:r>
            <w:r w:rsidR="00583DBC">
              <w:rPr>
                <w:noProof/>
                <w:webHidden/>
              </w:rPr>
              <w:instrText xml:space="preserve"> PAGEREF _Toc146746703 \h </w:instrText>
            </w:r>
            <w:r w:rsidR="00583DBC">
              <w:rPr>
                <w:noProof/>
                <w:webHidden/>
              </w:rPr>
            </w:r>
            <w:r w:rsidR="00583DBC">
              <w:rPr>
                <w:noProof/>
                <w:webHidden/>
              </w:rPr>
              <w:fldChar w:fldCharType="separate"/>
            </w:r>
            <w:r w:rsidR="009813E3">
              <w:rPr>
                <w:noProof/>
                <w:webHidden/>
              </w:rPr>
              <w:t>90</w:t>
            </w:r>
            <w:r w:rsidR="00583DBC">
              <w:rPr>
                <w:noProof/>
                <w:webHidden/>
              </w:rPr>
              <w:fldChar w:fldCharType="end"/>
            </w:r>
          </w:hyperlink>
        </w:p>
        <w:p w14:paraId="5AB0FB05" w14:textId="0B0AC30E" w:rsidR="00583DBC" w:rsidRDefault="0069425C">
          <w:pPr>
            <w:pStyle w:val="TOC2"/>
            <w:rPr>
              <w:rFonts w:eastAsiaTheme="minorEastAsia"/>
              <w:noProof/>
              <w:spacing w:val="0"/>
              <w:lang w:eastAsia="en-AU"/>
            </w:rPr>
          </w:pPr>
          <w:hyperlink w:anchor="_Toc146746704" w:history="1">
            <w:r w:rsidR="00583DBC" w:rsidRPr="00782108">
              <w:rPr>
                <w:rStyle w:val="Hyperlink"/>
                <w:noProof/>
              </w:rPr>
              <w:t>5.1.</w:t>
            </w:r>
            <w:r w:rsidR="00583DBC">
              <w:rPr>
                <w:rFonts w:eastAsiaTheme="minorEastAsia"/>
                <w:noProof/>
                <w:spacing w:val="0"/>
                <w:lang w:eastAsia="en-AU"/>
              </w:rPr>
              <w:tab/>
            </w:r>
            <w:r w:rsidR="00583DBC" w:rsidRPr="00782108">
              <w:rPr>
                <w:rStyle w:val="Hyperlink"/>
                <w:noProof/>
              </w:rPr>
              <w:t>Summary of bill impacts</w:t>
            </w:r>
            <w:r w:rsidR="00583DBC">
              <w:rPr>
                <w:noProof/>
                <w:webHidden/>
              </w:rPr>
              <w:tab/>
            </w:r>
            <w:r w:rsidR="00583DBC">
              <w:rPr>
                <w:noProof/>
                <w:webHidden/>
              </w:rPr>
              <w:fldChar w:fldCharType="begin"/>
            </w:r>
            <w:r w:rsidR="00583DBC">
              <w:rPr>
                <w:noProof/>
                <w:webHidden/>
              </w:rPr>
              <w:instrText xml:space="preserve"> PAGEREF _Toc146746704 \h </w:instrText>
            </w:r>
            <w:r w:rsidR="00583DBC">
              <w:rPr>
                <w:noProof/>
                <w:webHidden/>
              </w:rPr>
            </w:r>
            <w:r w:rsidR="00583DBC">
              <w:rPr>
                <w:noProof/>
                <w:webHidden/>
              </w:rPr>
              <w:fldChar w:fldCharType="separate"/>
            </w:r>
            <w:r w:rsidR="009813E3">
              <w:rPr>
                <w:noProof/>
                <w:webHidden/>
              </w:rPr>
              <w:t>90</w:t>
            </w:r>
            <w:r w:rsidR="00583DBC">
              <w:rPr>
                <w:noProof/>
                <w:webHidden/>
              </w:rPr>
              <w:fldChar w:fldCharType="end"/>
            </w:r>
          </w:hyperlink>
        </w:p>
        <w:p w14:paraId="529ACE0D" w14:textId="3A321422" w:rsidR="00583DBC" w:rsidRDefault="0069425C">
          <w:pPr>
            <w:pStyle w:val="TOC1"/>
            <w:rPr>
              <w:rFonts w:eastAsiaTheme="minorEastAsia"/>
              <w:b w:val="0"/>
              <w:noProof/>
              <w:color w:val="auto"/>
              <w:spacing w:val="0"/>
              <w:lang w:eastAsia="en-AU"/>
            </w:rPr>
          </w:pPr>
          <w:hyperlink w:anchor="_Toc146746705" w:history="1">
            <w:r w:rsidR="00583DBC" w:rsidRPr="00782108">
              <w:rPr>
                <w:rStyle w:val="Hyperlink"/>
                <w:noProof/>
              </w:rPr>
              <w:t>6.</w:t>
            </w:r>
            <w:r w:rsidR="00583DBC">
              <w:rPr>
                <w:rFonts w:eastAsiaTheme="minorEastAsia"/>
                <w:b w:val="0"/>
                <w:noProof/>
                <w:color w:val="auto"/>
                <w:spacing w:val="0"/>
                <w:lang w:eastAsia="en-AU"/>
              </w:rPr>
              <w:tab/>
            </w:r>
            <w:r w:rsidR="00583DBC" w:rsidRPr="00782108">
              <w:rPr>
                <w:rStyle w:val="Hyperlink"/>
                <w:noProof/>
              </w:rPr>
              <w:t>Our tariff structures and fees</w:t>
            </w:r>
            <w:r w:rsidR="00583DBC">
              <w:rPr>
                <w:noProof/>
                <w:webHidden/>
              </w:rPr>
              <w:tab/>
            </w:r>
            <w:r w:rsidR="00583DBC">
              <w:rPr>
                <w:noProof/>
                <w:webHidden/>
              </w:rPr>
              <w:fldChar w:fldCharType="begin"/>
            </w:r>
            <w:r w:rsidR="00583DBC">
              <w:rPr>
                <w:noProof/>
                <w:webHidden/>
              </w:rPr>
              <w:instrText xml:space="preserve"> PAGEREF _Toc146746705 \h </w:instrText>
            </w:r>
            <w:r w:rsidR="00583DBC">
              <w:rPr>
                <w:noProof/>
                <w:webHidden/>
              </w:rPr>
            </w:r>
            <w:r w:rsidR="00583DBC">
              <w:rPr>
                <w:noProof/>
                <w:webHidden/>
              </w:rPr>
              <w:fldChar w:fldCharType="separate"/>
            </w:r>
            <w:r w:rsidR="009813E3">
              <w:rPr>
                <w:noProof/>
                <w:webHidden/>
              </w:rPr>
              <w:t>93</w:t>
            </w:r>
            <w:r w:rsidR="00583DBC">
              <w:rPr>
                <w:noProof/>
                <w:webHidden/>
              </w:rPr>
              <w:fldChar w:fldCharType="end"/>
            </w:r>
          </w:hyperlink>
        </w:p>
        <w:p w14:paraId="17DF9D65" w14:textId="31D9D91E" w:rsidR="00583DBC" w:rsidRDefault="0069425C">
          <w:pPr>
            <w:pStyle w:val="TOC2"/>
            <w:rPr>
              <w:rFonts w:eastAsiaTheme="minorEastAsia"/>
              <w:noProof/>
              <w:spacing w:val="0"/>
              <w:lang w:eastAsia="en-AU"/>
            </w:rPr>
          </w:pPr>
          <w:hyperlink w:anchor="_Toc146746706" w:history="1">
            <w:r w:rsidR="00583DBC" w:rsidRPr="00782108">
              <w:rPr>
                <w:rStyle w:val="Hyperlink"/>
                <w:noProof/>
              </w:rPr>
              <w:t>6.1.</w:t>
            </w:r>
            <w:r w:rsidR="00583DBC">
              <w:rPr>
                <w:rFonts w:eastAsiaTheme="minorEastAsia"/>
                <w:noProof/>
                <w:spacing w:val="0"/>
                <w:lang w:eastAsia="en-AU"/>
              </w:rPr>
              <w:tab/>
            </w:r>
            <w:r w:rsidR="00583DBC" w:rsidRPr="00782108">
              <w:rPr>
                <w:rStyle w:val="Hyperlink"/>
                <w:noProof/>
              </w:rPr>
              <w:t>Our tariff strategy</w:t>
            </w:r>
            <w:r w:rsidR="00583DBC">
              <w:rPr>
                <w:noProof/>
                <w:webHidden/>
              </w:rPr>
              <w:tab/>
            </w:r>
            <w:r w:rsidR="00583DBC">
              <w:rPr>
                <w:noProof/>
                <w:webHidden/>
              </w:rPr>
              <w:fldChar w:fldCharType="begin"/>
            </w:r>
            <w:r w:rsidR="00583DBC">
              <w:rPr>
                <w:noProof/>
                <w:webHidden/>
              </w:rPr>
              <w:instrText xml:space="preserve"> PAGEREF _Toc146746706 \h </w:instrText>
            </w:r>
            <w:r w:rsidR="00583DBC">
              <w:rPr>
                <w:noProof/>
                <w:webHidden/>
              </w:rPr>
            </w:r>
            <w:r w:rsidR="00583DBC">
              <w:rPr>
                <w:noProof/>
                <w:webHidden/>
              </w:rPr>
              <w:fldChar w:fldCharType="separate"/>
            </w:r>
            <w:r w:rsidR="009813E3">
              <w:rPr>
                <w:noProof/>
                <w:webHidden/>
              </w:rPr>
              <w:t>93</w:t>
            </w:r>
            <w:r w:rsidR="00583DBC">
              <w:rPr>
                <w:noProof/>
                <w:webHidden/>
              </w:rPr>
              <w:fldChar w:fldCharType="end"/>
            </w:r>
          </w:hyperlink>
        </w:p>
        <w:p w14:paraId="78A5E8E8" w14:textId="64255910" w:rsidR="00583DBC" w:rsidRDefault="0069425C">
          <w:pPr>
            <w:pStyle w:val="TOC2"/>
            <w:rPr>
              <w:rFonts w:eastAsiaTheme="minorEastAsia"/>
              <w:noProof/>
              <w:spacing w:val="0"/>
              <w:lang w:eastAsia="en-AU"/>
            </w:rPr>
          </w:pPr>
          <w:hyperlink w:anchor="_Toc146746707" w:history="1">
            <w:r w:rsidR="00583DBC" w:rsidRPr="00782108">
              <w:rPr>
                <w:rStyle w:val="Hyperlink"/>
                <w:noProof/>
              </w:rPr>
              <w:t>6.2.</w:t>
            </w:r>
            <w:r w:rsidR="00583DBC">
              <w:rPr>
                <w:rFonts w:eastAsiaTheme="minorEastAsia"/>
                <w:noProof/>
                <w:spacing w:val="0"/>
                <w:lang w:eastAsia="en-AU"/>
              </w:rPr>
              <w:tab/>
            </w:r>
            <w:r w:rsidR="00583DBC" w:rsidRPr="00782108">
              <w:rPr>
                <w:rStyle w:val="Hyperlink"/>
                <w:noProof/>
              </w:rPr>
              <w:t>Our core services</w:t>
            </w:r>
            <w:r w:rsidR="00583DBC">
              <w:rPr>
                <w:noProof/>
                <w:webHidden/>
              </w:rPr>
              <w:tab/>
            </w:r>
            <w:r w:rsidR="00583DBC">
              <w:rPr>
                <w:noProof/>
                <w:webHidden/>
              </w:rPr>
              <w:fldChar w:fldCharType="begin"/>
            </w:r>
            <w:r w:rsidR="00583DBC">
              <w:rPr>
                <w:noProof/>
                <w:webHidden/>
              </w:rPr>
              <w:instrText xml:space="preserve"> PAGEREF _Toc146746707 \h </w:instrText>
            </w:r>
            <w:r w:rsidR="00583DBC">
              <w:rPr>
                <w:noProof/>
                <w:webHidden/>
              </w:rPr>
            </w:r>
            <w:r w:rsidR="00583DBC">
              <w:rPr>
                <w:noProof/>
                <w:webHidden/>
              </w:rPr>
              <w:fldChar w:fldCharType="separate"/>
            </w:r>
            <w:r w:rsidR="009813E3">
              <w:rPr>
                <w:noProof/>
                <w:webHidden/>
              </w:rPr>
              <w:t>94</w:t>
            </w:r>
            <w:r w:rsidR="00583DBC">
              <w:rPr>
                <w:noProof/>
                <w:webHidden/>
              </w:rPr>
              <w:fldChar w:fldCharType="end"/>
            </w:r>
          </w:hyperlink>
        </w:p>
        <w:p w14:paraId="0FE4F57C" w14:textId="509E1EFB" w:rsidR="00583DBC" w:rsidRDefault="0069425C">
          <w:pPr>
            <w:pStyle w:val="TOC2"/>
            <w:rPr>
              <w:rFonts w:eastAsiaTheme="minorEastAsia"/>
              <w:noProof/>
              <w:spacing w:val="0"/>
              <w:lang w:eastAsia="en-AU"/>
            </w:rPr>
          </w:pPr>
          <w:hyperlink w:anchor="_Toc146746708" w:history="1">
            <w:r w:rsidR="00583DBC" w:rsidRPr="00782108">
              <w:rPr>
                <w:rStyle w:val="Hyperlink"/>
                <w:noProof/>
              </w:rPr>
              <w:t>6.3.</w:t>
            </w:r>
            <w:r w:rsidR="00583DBC">
              <w:rPr>
                <w:rFonts w:eastAsiaTheme="minorEastAsia"/>
                <w:noProof/>
                <w:spacing w:val="0"/>
                <w:lang w:eastAsia="en-AU"/>
              </w:rPr>
              <w:tab/>
            </w:r>
            <w:r w:rsidR="00583DBC" w:rsidRPr="00782108">
              <w:rPr>
                <w:rStyle w:val="Hyperlink"/>
                <w:noProof/>
              </w:rPr>
              <w:t>New customer contributions</w:t>
            </w:r>
            <w:r w:rsidR="00583DBC">
              <w:rPr>
                <w:noProof/>
                <w:webHidden/>
              </w:rPr>
              <w:tab/>
            </w:r>
            <w:r w:rsidR="00583DBC">
              <w:rPr>
                <w:noProof/>
                <w:webHidden/>
              </w:rPr>
              <w:fldChar w:fldCharType="begin"/>
            </w:r>
            <w:r w:rsidR="00583DBC">
              <w:rPr>
                <w:noProof/>
                <w:webHidden/>
              </w:rPr>
              <w:instrText xml:space="preserve"> PAGEREF _Toc146746708 \h </w:instrText>
            </w:r>
            <w:r w:rsidR="00583DBC">
              <w:rPr>
                <w:noProof/>
                <w:webHidden/>
              </w:rPr>
            </w:r>
            <w:r w:rsidR="00583DBC">
              <w:rPr>
                <w:noProof/>
                <w:webHidden/>
              </w:rPr>
              <w:fldChar w:fldCharType="separate"/>
            </w:r>
            <w:r w:rsidR="009813E3">
              <w:rPr>
                <w:noProof/>
                <w:webHidden/>
              </w:rPr>
              <w:t>111</w:t>
            </w:r>
            <w:r w:rsidR="00583DBC">
              <w:rPr>
                <w:noProof/>
                <w:webHidden/>
              </w:rPr>
              <w:fldChar w:fldCharType="end"/>
            </w:r>
          </w:hyperlink>
        </w:p>
        <w:p w14:paraId="5DAA4A6C" w14:textId="67D0B8E3" w:rsidR="00583DBC" w:rsidRDefault="0069425C">
          <w:pPr>
            <w:pStyle w:val="TOC2"/>
            <w:rPr>
              <w:rFonts w:eastAsiaTheme="minorEastAsia"/>
              <w:noProof/>
              <w:spacing w:val="0"/>
              <w:lang w:eastAsia="en-AU"/>
            </w:rPr>
          </w:pPr>
          <w:hyperlink w:anchor="_Toc146746709" w:history="1">
            <w:r w:rsidR="00583DBC" w:rsidRPr="00782108">
              <w:rPr>
                <w:rStyle w:val="Hyperlink"/>
                <w:noProof/>
              </w:rPr>
              <w:t>6.4.</w:t>
            </w:r>
            <w:r w:rsidR="00583DBC">
              <w:rPr>
                <w:rFonts w:eastAsiaTheme="minorEastAsia"/>
                <w:noProof/>
                <w:spacing w:val="0"/>
                <w:lang w:eastAsia="en-AU"/>
              </w:rPr>
              <w:tab/>
            </w:r>
            <w:r w:rsidR="00583DBC" w:rsidRPr="00782108">
              <w:rPr>
                <w:rStyle w:val="Hyperlink"/>
                <w:noProof/>
              </w:rPr>
              <w:t>Our miscellaneous products and services</w:t>
            </w:r>
            <w:r w:rsidR="00583DBC">
              <w:rPr>
                <w:noProof/>
                <w:webHidden/>
              </w:rPr>
              <w:tab/>
            </w:r>
            <w:r w:rsidR="00583DBC">
              <w:rPr>
                <w:noProof/>
                <w:webHidden/>
              </w:rPr>
              <w:fldChar w:fldCharType="begin"/>
            </w:r>
            <w:r w:rsidR="00583DBC">
              <w:rPr>
                <w:noProof/>
                <w:webHidden/>
              </w:rPr>
              <w:instrText xml:space="preserve"> PAGEREF _Toc146746709 \h </w:instrText>
            </w:r>
            <w:r w:rsidR="00583DBC">
              <w:rPr>
                <w:noProof/>
                <w:webHidden/>
              </w:rPr>
            </w:r>
            <w:r w:rsidR="00583DBC">
              <w:rPr>
                <w:noProof/>
                <w:webHidden/>
              </w:rPr>
              <w:fldChar w:fldCharType="separate"/>
            </w:r>
            <w:r w:rsidR="009813E3">
              <w:rPr>
                <w:noProof/>
                <w:webHidden/>
              </w:rPr>
              <w:t>113</w:t>
            </w:r>
            <w:r w:rsidR="00583DBC">
              <w:rPr>
                <w:noProof/>
                <w:webHidden/>
              </w:rPr>
              <w:fldChar w:fldCharType="end"/>
            </w:r>
          </w:hyperlink>
        </w:p>
        <w:p w14:paraId="68F5E9CC" w14:textId="575D8B5F" w:rsidR="00583DBC" w:rsidRDefault="0069425C">
          <w:pPr>
            <w:pStyle w:val="TOC2"/>
            <w:rPr>
              <w:rFonts w:eastAsiaTheme="minorEastAsia"/>
              <w:noProof/>
              <w:spacing w:val="0"/>
              <w:lang w:eastAsia="en-AU"/>
            </w:rPr>
          </w:pPr>
          <w:hyperlink w:anchor="_Toc146746710" w:history="1">
            <w:r w:rsidR="00583DBC" w:rsidRPr="00782108">
              <w:rPr>
                <w:rStyle w:val="Hyperlink"/>
                <w:noProof/>
              </w:rPr>
              <w:t>6.5.</w:t>
            </w:r>
            <w:r w:rsidR="00583DBC">
              <w:rPr>
                <w:rFonts w:eastAsiaTheme="minorEastAsia"/>
                <w:noProof/>
                <w:spacing w:val="0"/>
                <w:lang w:eastAsia="en-AU"/>
              </w:rPr>
              <w:tab/>
            </w:r>
            <w:r w:rsidR="00583DBC" w:rsidRPr="00782108">
              <w:rPr>
                <w:rStyle w:val="Hyperlink"/>
                <w:noProof/>
              </w:rPr>
              <w:t>Price control</w:t>
            </w:r>
            <w:r w:rsidR="00583DBC">
              <w:rPr>
                <w:noProof/>
                <w:webHidden/>
              </w:rPr>
              <w:tab/>
            </w:r>
            <w:r w:rsidR="00583DBC">
              <w:rPr>
                <w:noProof/>
                <w:webHidden/>
              </w:rPr>
              <w:fldChar w:fldCharType="begin"/>
            </w:r>
            <w:r w:rsidR="00583DBC">
              <w:rPr>
                <w:noProof/>
                <w:webHidden/>
              </w:rPr>
              <w:instrText xml:space="preserve"> PAGEREF _Toc146746710 \h </w:instrText>
            </w:r>
            <w:r w:rsidR="00583DBC">
              <w:rPr>
                <w:noProof/>
                <w:webHidden/>
              </w:rPr>
            </w:r>
            <w:r w:rsidR="00583DBC">
              <w:rPr>
                <w:noProof/>
                <w:webHidden/>
              </w:rPr>
              <w:fldChar w:fldCharType="separate"/>
            </w:r>
            <w:r w:rsidR="009813E3">
              <w:rPr>
                <w:noProof/>
                <w:webHidden/>
              </w:rPr>
              <w:t>115</w:t>
            </w:r>
            <w:r w:rsidR="00583DBC">
              <w:rPr>
                <w:noProof/>
                <w:webHidden/>
              </w:rPr>
              <w:fldChar w:fldCharType="end"/>
            </w:r>
          </w:hyperlink>
        </w:p>
        <w:p w14:paraId="3D172BC6" w14:textId="57D03DA6" w:rsidR="00583DBC" w:rsidRDefault="0069425C">
          <w:pPr>
            <w:pStyle w:val="TOC1"/>
            <w:rPr>
              <w:rFonts w:eastAsiaTheme="minorEastAsia"/>
              <w:b w:val="0"/>
              <w:noProof/>
              <w:color w:val="auto"/>
              <w:spacing w:val="0"/>
              <w:lang w:eastAsia="en-AU"/>
            </w:rPr>
          </w:pPr>
          <w:hyperlink w:anchor="_Toc146746711" w:history="1">
            <w:r w:rsidR="00583DBC" w:rsidRPr="00782108">
              <w:rPr>
                <w:rStyle w:val="Hyperlink"/>
                <w:noProof/>
              </w:rPr>
              <w:t>7.</w:t>
            </w:r>
            <w:r w:rsidR="00583DBC">
              <w:rPr>
                <w:rFonts w:eastAsiaTheme="minorEastAsia"/>
                <w:b w:val="0"/>
                <w:noProof/>
                <w:color w:val="auto"/>
                <w:spacing w:val="0"/>
                <w:lang w:eastAsia="en-AU"/>
              </w:rPr>
              <w:tab/>
            </w:r>
            <w:r w:rsidR="00583DBC" w:rsidRPr="00782108">
              <w:rPr>
                <w:rStyle w:val="Hyperlink"/>
                <w:noProof/>
              </w:rPr>
              <w:t>Setting our prices</w:t>
            </w:r>
            <w:r w:rsidR="00583DBC">
              <w:rPr>
                <w:noProof/>
                <w:webHidden/>
              </w:rPr>
              <w:tab/>
            </w:r>
            <w:r w:rsidR="00583DBC">
              <w:rPr>
                <w:noProof/>
                <w:webHidden/>
              </w:rPr>
              <w:fldChar w:fldCharType="begin"/>
            </w:r>
            <w:r w:rsidR="00583DBC">
              <w:rPr>
                <w:noProof/>
                <w:webHidden/>
              </w:rPr>
              <w:instrText xml:space="preserve"> PAGEREF _Toc146746711 \h </w:instrText>
            </w:r>
            <w:r w:rsidR="00583DBC">
              <w:rPr>
                <w:noProof/>
                <w:webHidden/>
              </w:rPr>
            </w:r>
            <w:r w:rsidR="00583DBC">
              <w:rPr>
                <w:noProof/>
                <w:webHidden/>
              </w:rPr>
              <w:fldChar w:fldCharType="separate"/>
            </w:r>
            <w:r w:rsidR="009813E3">
              <w:rPr>
                <w:noProof/>
                <w:webHidden/>
              </w:rPr>
              <w:t>119</w:t>
            </w:r>
            <w:r w:rsidR="00583DBC">
              <w:rPr>
                <w:noProof/>
                <w:webHidden/>
              </w:rPr>
              <w:fldChar w:fldCharType="end"/>
            </w:r>
          </w:hyperlink>
        </w:p>
        <w:p w14:paraId="3CF71DA7" w14:textId="457B6223" w:rsidR="00583DBC" w:rsidRDefault="0069425C">
          <w:pPr>
            <w:pStyle w:val="TOC2"/>
            <w:rPr>
              <w:rFonts w:eastAsiaTheme="minorEastAsia"/>
              <w:noProof/>
              <w:spacing w:val="0"/>
              <w:lang w:eastAsia="en-AU"/>
            </w:rPr>
          </w:pPr>
          <w:hyperlink w:anchor="_Toc146746712" w:history="1">
            <w:r w:rsidR="00583DBC" w:rsidRPr="00782108">
              <w:rPr>
                <w:rStyle w:val="Hyperlink"/>
                <w:noProof/>
              </w:rPr>
              <w:t>7.1.</w:t>
            </w:r>
            <w:r w:rsidR="00583DBC">
              <w:rPr>
                <w:rFonts w:eastAsiaTheme="minorEastAsia"/>
                <w:noProof/>
                <w:spacing w:val="0"/>
                <w:lang w:eastAsia="en-AU"/>
              </w:rPr>
              <w:tab/>
            </w:r>
            <w:r w:rsidR="00583DBC" w:rsidRPr="00782108">
              <w:rPr>
                <w:rStyle w:val="Hyperlink"/>
                <w:noProof/>
              </w:rPr>
              <w:t>Revenue requirement</w:t>
            </w:r>
            <w:r w:rsidR="00583DBC">
              <w:rPr>
                <w:noProof/>
                <w:webHidden/>
              </w:rPr>
              <w:tab/>
            </w:r>
            <w:r w:rsidR="00583DBC">
              <w:rPr>
                <w:noProof/>
                <w:webHidden/>
              </w:rPr>
              <w:fldChar w:fldCharType="begin"/>
            </w:r>
            <w:r w:rsidR="00583DBC">
              <w:rPr>
                <w:noProof/>
                <w:webHidden/>
              </w:rPr>
              <w:instrText xml:space="preserve"> PAGEREF _Toc146746712 \h </w:instrText>
            </w:r>
            <w:r w:rsidR="00583DBC">
              <w:rPr>
                <w:noProof/>
                <w:webHidden/>
              </w:rPr>
            </w:r>
            <w:r w:rsidR="00583DBC">
              <w:rPr>
                <w:noProof/>
                <w:webHidden/>
              </w:rPr>
              <w:fldChar w:fldCharType="separate"/>
            </w:r>
            <w:r w:rsidR="009813E3">
              <w:rPr>
                <w:noProof/>
                <w:webHidden/>
              </w:rPr>
              <w:t>119</w:t>
            </w:r>
            <w:r w:rsidR="00583DBC">
              <w:rPr>
                <w:noProof/>
                <w:webHidden/>
              </w:rPr>
              <w:fldChar w:fldCharType="end"/>
            </w:r>
          </w:hyperlink>
        </w:p>
        <w:p w14:paraId="6F395786" w14:textId="63D4FF60" w:rsidR="00583DBC" w:rsidRDefault="0069425C">
          <w:pPr>
            <w:pStyle w:val="TOC2"/>
            <w:rPr>
              <w:rFonts w:eastAsiaTheme="minorEastAsia"/>
              <w:noProof/>
              <w:spacing w:val="0"/>
              <w:lang w:eastAsia="en-AU"/>
            </w:rPr>
          </w:pPr>
          <w:hyperlink w:anchor="_Toc146746713" w:history="1">
            <w:r w:rsidR="00583DBC" w:rsidRPr="00782108">
              <w:rPr>
                <w:rStyle w:val="Hyperlink"/>
                <w:noProof/>
              </w:rPr>
              <w:t>7.2.</w:t>
            </w:r>
            <w:r w:rsidR="00583DBC">
              <w:rPr>
                <w:rFonts w:eastAsiaTheme="minorEastAsia"/>
                <w:noProof/>
                <w:spacing w:val="0"/>
                <w:lang w:eastAsia="en-AU"/>
              </w:rPr>
              <w:tab/>
            </w:r>
            <w:r w:rsidR="00583DBC" w:rsidRPr="00782108">
              <w:rPr>
                <w:rStyle w:val="Hyperlink"/>
                <w:noProof/>
              </w:rPr>
              <w:t>Regulatory asset base</w:t>
            </w:r>
            <w:r w:rsidR="00583DBC">
              <w:rPr>
                <w:noProof/>
                <w:webHidden/>
              </w:rPr>
              <w:tab/>
            </w:r>
            <w:r w:rsidR="00583DBC">
              <w:rPr>
                <w:noProof/>
                <w:webHidden/>
              </w:rPr>
              <w:fldChar w:fldCharType="begin"/>
            </w:r>
            <w:r w:rsidR="00583DBC">
              <w:rPr>
                <w:noProof/>
                <w:webHidden/>
              </w:rPr>
              <w:instrText xml:space="preserve"> PAGEREF _Toc146746713 \h </w:instrText>
            </w:r>
            <w:r w:rsidR="00583DBC">
              <w:rPr>
                <w:noProof/>
                <w:webHidden/>
              </w:rPr>
            </w:r>
            <w:r w:rsidR="00583DBC">
              <w:rPr>
                <w:noProof/>
                <w:webHidden/>
              </w:rPr>
              <w:fldChar w:fldCharType="separate"/>
            </w:r>
            <w:r w:rsidR="009813E3">
              <w:rPr>
                <w:noProof/>
                <w:webHidden/>
              </w:rPr>
              <w:t>121</w:t>
            </w:r>
            <w:r w:rsidR="00583DBC">
              <w:rPr>
                <w:noProof/>
                <w:webHidden/>
              </w:rPr>
              <w:fldChar w:fldCharType="end"/>
            </w:r>
          </w:hyperlink>
        </w:p>
        <w:p w14:paraId="05DF90F1" w14:textId="66DB0E74" w:rsidR="00583DBC" w:rsidRDefault="0069425C">
          <w:pPr>
            <w:pStyle w:val="TOC2"/>
            <w:rPr>
              <w:rFonts w:eastAsiaTheme="minorEastAsia"/>
              <w:noProof/>
              <w:spacing w:val="0"/>
              <w:lang w:eastAsia="en-AU"/>
            </w:rPr>
          </w:pPr>
          <w:hyperlink w:anchor="_Toc146746714" w:history="1">
            <w:r w:rsidR="00583DBC" w:rsidRPr="00782108">
              <w:rPr>
                <w:rStyle w:val="Hyperlink"/>
                <w:noProof/>
              </w:rPr>
              <w:t>7.3.</w:t>
            </w:r>
            <w:r w:rsidR="00583DBC">
              <w:rPr>
                <w:rFonts w:eastAsiaTheme="minorEastAsia"/>
                <w:noProof/>
                <w:spacing w:val="0"/>
                <w:lang w:eastAsia="en-AU"/>
              </w:rPr>
              <w:tab/>
            </w:r>
            <w:r w:rsidR="00583DBC" w:rsidRPr="00782108">
              <w:rPr>
                <w:rStyle w:val="Hyperlink"/>
                <w:noProof/>
              </w:rPr>
              <w:t>Return on the regulatory asset base</w:t>
            </w:r>
            <w:r w:rsidR="00583DBC">
              <w:rPr>
                <w:noProof/>
                <w:webHidden/>
              </w:rPr>
              <w:tab/>
            </w:r>
            <w:r w:rsidR="00583DBC">
              <w:rPr>
                <w:noProof/>
                <w:webHidden/>
              </w:rPr>
              <w:fldChar w:fldCharType="begin"/>
            </w:r>
            <w:r w:rsidR="00583DBC">
              <w:rPr>
                <w:noProof/>
                <w:webHidden/>
              </w:rPr>
              <w:instrText xml:space="preserve"> PAGEREF _Toc146746714 \h </w:instrText>
            </w:r>
            <w:r w:rsidR="00583DBC">
              <w:rPr>
                <w:noProof/>
                <w:webHidden/>
              </w:rPr>
            </w:r>
            <w:r w:rsidR="00583DBC">
              <w:rPr>
                <w:noProof/>
                <w:webHidden/>
              </w:rPr>
              <w:fldChar w:fldCharType="separate"/>
            </w:r>
            <w:r w:rsidR="009813E3">
              <w:rPr>
                <w:noProof/>
                <w:webHidden/>
              </w:rPr>
              <w:t>127</w:t>
            </w:r>
            <w:r w:rsidR="00583DBC">
              <w:rPr>
                <w:noProof/>
                <w:webHidden/>
              </w:rPr>
              <w:fldChar w:fldCharType="end"/>
            </w:r>
          </w:hyperlink>
        </w:p>
        <w:p w14:paraId="6CC81855" w14:textId="64572166" w:rsidR="00583DBC" w:rsidRDefault="0069425C">
          <w:pPr>
            <w:pStyle w:val="TOC2"/>
            <w:rPr>
              <w:rFonts w:eastAsiaTheme="minorEastAsia"/>
              <w:noProof/>
              <w:spacing w:val="0"/>
              <w:lang w:eastAsia="en-AU"/>
            </w:rPr>
          </w:pPr>
          <w:hyperlink w:anchor="_Toc146746715" w:history="1">
            <w:r w:rsidR="00583DBC" w:rsidRPr="00782108">
              <w:rPr>
                <w:rStyle w:val="Hyperlink"/>
                <w:noProof/>
              </w:rPr>
              <w:t>7.4.</w:t>
            </w:r>
            <w:r w:rsidR="00583DBC">
              <w:rPr>
                <w:rFonts w:eastAsiaTheme="minorEastAsia"/>
                <w:noProof/>
                <w:spacing w:val="0"/>
                <w:lang w:eastAsia="en-AU"/>
              </w:rPr>
              <w:tab/>
            </w:r>
            <w:r w:rsidR="00583DBC" w:rsidRPr="00782108">
              <w:rPr>
                <w:rStyle w:val="Hyperlink"/>
                <w:noProof/>
              </w:rPr>
              <w:t>Tax allowance</w:t>
            </w:r>
            <w:r w:rsidR="00583DBC">
              <w:rPr>
                <w:noProof/>
                <w:webHidden/>
              </w:rPr>
              <w:tab/>
            </w:r>
            <w:r w:rsidR="00583DBC">
              <w:rPr>
                <w:noProof/>
                <w:webHidden/>
              </w:rPr>
              <w:fldChar w:fldCharType="begin"/>
            </w:r>
            <w:r w:rsidR="00583DBC">
              <w:rPr>
                <w:noProof/>
                <w:webHidden/>
              </w:rPr>
              <w:instrText xml:space="preserve"> PAGEREF _Toc146746715 \h </w:instrText>
            </w:r>
            <w:r w:rsidR="00583DBC">
              <w:rPr>
                <w:noProof/>
                <w:webHidden/>
              </w:rPr>
            </w:r>
            <w:r w:rsidR="00583DBC">
              <w:rPr>
                <w:noProof/>
                <w:webHidden/>
              </w:rPr>
              <w:fldChar w:fldCharType="separate"/>
            </w:r>
            <w:r w:rsidR="009813E3">
              <w:rPr>
                <w:noProof/>
                <w:webHidden/>
              </w:rPr>
              <w:t>128</w:t>
            </w:r>
            <w:r w:rsidR="00583DBC">
              <w:rPr>
                <w:noProof/>
                <w:webHidden/>
              </w:rPr>
              <w:fldChar w:fldCharType="end"/>
            </w:r>
          </w:hyperlink>
        </w:p>
        <w:p w14:paraId="535A6A37" w14:textId="5EBD48E5" w:rsidR="00583DBC" w:rsidRDefault="0069425C">
          <w:pPr>
            <w:pStyle w:val="TOC2"/>
            <w:rPr>
              <w:rFonts w:eastAsiaTheme="minorEastAsia"/>
              <w:noProof/>
              <w:spacing w:val="0"/>
              <w:lang w:eastAsia="en-AU"/>
            </w:rPr>
          </w:pPr>
          <w:hyperlink w:anchor="_Toc146746716" w:history="1">
            <w:r w:rsidR="00583DBC" w:rsidRPr="00782108">
              <w:rPr>
                <w:rStyle w:val="Hyperlink"/>
                <w:noProof/>
              </w:rPr>
              <w:t>7.5.</w:t>
            </w:r>
            <w:r w:rsidR="00583DBC">
              <w:rPr>
                <w:rFonts w:eastAsiaTheme="minorEastAsia"/>
                <w:noProof/>
                <w:spacing w:val="0"/>
                <w:lang w:eastAsia="en-AU"/>
              </w:rPr>
              <w:tab/>
            </w:r>
            <w:r w:rsidR="00583DBC" w:rsidRPr="00782108">
              <w:rPr>
                <w:rStyle w:val="Hyperlink"/>
                <w:noProof/>
              </w:rPr>
              <w:t>Financial position</w:t>
            </w:r>
            <w:r w:rsidR="00583DBC">
              <w:rPr>
                <w:noProof/>
                <w:webHidden/>
              </w:rPr>
              <w:tab/>
            </w:r>
            <w:r w:rsidR="00583DBC">
              <w:rPr>
                <w:noProof/>
                <w:webHidden/>
              </w:rPr>
              <w:fldChar w:fldCharType="begin"/>
            </w:r>
            <w:r w:rsidR="00583DBC">
              <w:rPr>
                <w:noProof/>
                <w:webHidden/>
              </w:rPr>
              <w:instrText xml:space="preserve"> PAGEREF _Toc146746716 \h </w:instrText>
            </w:r>
            <w:r w:rsidR="00583DBC">
              <w:rPr>
                <w:noProof/>
                <w:webHidden/>
              </w:rPr>
            </w:r>
            <w:r w:rsidR="00583DBC">
              <w:rPr>
                <w:noProof/>
                <w:webHidden/>
              </w:rPr>
              <w:fldChar w:fldCharType="separate"/>
            </w:r>
            <w:r w:rsidR="009813E3">
              <w:rPr>
                <w:noProof/>
                <w:webHidden/>
              </w:rPr>
              <w:t>128</w:t>
            </w:r>
            <w:r w:rsidR="00583DBC">
              <w:rPr>
                <w:noProof/>
                <w:webHidden/>
              </w:rPr>
              <w:fldChar w:fldCharType="end"/>
            </w:r>
          </w:hyperlink>
        </w:p>
        <w:p w14:paraId="4EA9AB34" w14:textId="53F0B03C" w:rsidR="00583DBC" w:rsidRDefault="0069425C">
          <w:pPr>
            <w:pStyle w:val="TOC2"/>
            <w:rPr>
              <w:rFonts w:eastAsiaTheme="minorEastAsia"/>
              <w:noProof/>
              <w:spacing w:val="0"/>
              <w:lang w:eastAsia="en-AU"/>
            </w:rPr>
          </w:pPr>
          <w:hyperlink w:anchor="_Toc146746717" w:history="1">
            <w:r w:rsidR="00583DBC" w:rsidRPr="00782108">
              <w:rPr>
                <w:rStyle w:val="Hyperlink"/>
                <w:noProof/>
              </w:rPr>
              <w:t>7.6.</w:t>
            </w:r>
            <w:r w:rsidR="00583DBC">
              <w:rPr>
                <w:rFonts w:eastAsiaTheme="minorEastAsia"/>
                <w:noProof/>
                <w:spacing w:val="0"/>
                <w:lang w:eastAsia="en-AU"/>
              </w:rPr>
              <w:tab/>
            </w:r>
            <w:r w:rsidR="00583DBC" w:rsidRPr="00782108">
              <w:rPr>
                <w:rStyle w:val="Hyperlink"/>
                <w:noProof/>
              </w:rPr>
              <w:t>Growth forecasts</w:t>
            </w:r>
            <w:r w:rsidR="00583DBC">
              <w:rPr>
                <w:noProof/>
                <w:webHidden/>
              </w:rPr>
              <w:tab/>
            </w:r>
            <w:r w:rsidR="00583DBC">
              <w:rPr>
                <w:noProof/>
                <w:webHidden/>
              </w:rPr>
              <w:fldChar w:fldCharType="begin"/>
            </w:r>
            <w:r w:rsidR="00583DBC">
              <w:rPr>
                <w:noProof/>
                <w:webHidden/>
              </w:rPr>
              <w:instrText xml:space="preserve"> PAGEREF _Toc146746717 \h </w:instrText>
            </w:r>
            <w:r w:rsidR="00583DBC">
              <w:rPr>
                <w:noProof/>
                <w:webHidden/>
              </w:rPr>
            </w:r>
            <w:r w:rsidR="00583DBC">
              <w:rPr>
                <w:noProof/>
                <w:webHidden/>
              </w:rPr>
              <w:fldChar w:fldCharType="separate"/>
            </w:r>
            <w:r w:rsidR="009813E3">
              <w:rPr>
                <w:noProof/>
                <w:webHidden/>
              </w:rPr>
              <w:t>129</w:t>
            </w:r>
            <w:r w:rsidR="00583DBC">
              <w:rPr>
                <w:noProof/>
                <w:webHidden/>
              </w:rPr>
              <w:fldChar w:fldCharType="end"/>
            </w:r>
          </w:hyperlink>
        </w:p>
        <w:p w14:paraId="5E19C0F5" w14:textId="1913D376" w:rsidR="00583DBC" w:rsidRDefault="0069425C">
          <w:pPr>
            <w:pStyle w:val="TOC2"/>
            <w:rPr>
              <w:rFonts w:eastAsiaTheme="minorEastAsia"/>
              <w:noProof/>
              <w:spacing w:val="0"/>
              <w:lang w:eastAsia="en-AU"/>
            </w:rPr>
          </w:pPr>
          <w:hyperlink w:anchor="_Toc146746718" w:history="1">
            <w:r w:rsidR="00583DBC" w:rsidRPr="00782108">
              <w:rPr>
                <w:rStyle w:val="Hyperlink"/>
                <w:noProof/>
              </w:rPr>
              <w:t>7.7.</w:t>
            </w:r>
            <w:r w:rsidR="00583DBC">
              <w:rPr>
                <w:rFonts w:eastAsiaTheme="minorEastAsia"/>
                <w:noProof/>
                <w:spacing w:val="0"/>
                <w:lang w:eastAsia="en-AU"/>
              </w:rPr>
              <w:tab/>
            </w:r>
            <w:r w:rsidR="00583DBC" w:rsidRPr="00782108">
              <w:rPr>
                <w:rStyle w:val="Hyperlink"/>
                <w:noProof/>
              </w:rPr>
              <w:t>Bulk water demand forecasts</w:t>
            </w:r>
            <w:r w:rsidR="00583DBC">
              <w:rPr>
                <w:noProof/>
                <w:webHidden/>
              </w:rPr>
              <w:tab/>
            </w:r>
            <w:r w:rsidR="00583DBC">
              <w:rPr>
                <w:noProof/>
                <w:webHidden/>
              </w:rPr>
              <w:fldChar w:fldCharType="begin"/>
            </w:r>
            <w:r w:rsidR="00583DBC">
              <w:rPr>
                <w:noProof/>
                <w:webHidden/>
              </w:rPr>
              <w:instrText xml:space="preserve"> PAGEREF _Toc146746718 \h </w:instrText>
            </w:r>
            <w:r w:rsidR="00583DBC">
              <w:rPr>
                <w:noProof/>
                <w:webHidden/>
              </w:rPr>
            </w:r>
            <w:r w:rsidR="00583DBC">
              <w:rPr>
                <w:noProof/>
                <w:webHidden/>
              </w:rPr>
              <w:fldChar w:fldCharType="separate"/>
            </w:r>
            <w:r w:rsidR="009813E3">
              <w:rPr>
                <w:noProof/>
                <w:webHidden/>
              </w:rPr>
              <w:t>134</w:t>
            </w:r>
            <w:r w:rsidR="00583DBC">
              <w:rPr>
                <w:noProof/>
                <w:webHidden/>
              </w:rPr>
              <w:fldChar w:fldCharType="end"/>
            </w:r>
          </w:hyperlink>
        </w:p>
        <w:p w14:paraId="1D0C5365" w14:textId="37AB4AC8" w:rsidR="00583DBC" w:rsidRDefault="0069425C">
          <w:pPr>
            <w:pStyle w:val="TOC2"/>
            <w:rPr>
              <w:rFonts w:eastAsiaTheme="minorEastAsia"/>
              <w:noProof/>
              <w:spacing w:val="0"/>
              <w:lang w:eastAsia="en-AU"/>
            </w:rPr>
          </w:pPr>
          <w:hyperlink w:anchor="_Toc146746719" w:history="1">
            <w:r w:rsidR="00583DBC" w:rsidRPr="00782108">
              <w:rPr>
                <w:rStyle w:val="Hyperlink"/>
                <w:noProof/>
              </w:rPr>
              <w:t>7.8.</w:t>
            </w:r>
            <w:r w:rsidR="00583DBC">
              <w:rPr>
                <w:rFonts w:eastAsiaTheme="minorEastAsia"/>
                <w:noProof/>
                <w:spacing w:val="0"/>
                <w:lang w:eastAsia="en-AU"/>
              </w:rPr>
              <w:tab/>
            </w:r>
            <w:r w:rsidR="00583DBC" w:rsidRPr="00782108">
              <w:rPr>
                <w:rStyle w:val="Hyperlink"/>
                <w:noProof/>
              </w:rPr>
              <w:t>Bulk water supply forecasting</w:t>
            </w:r>
            <w:r w:rsidR="00583DBC">
              <w:rPr>
                <w:noProof/>
                <w:webHidden/>
              </w:rPr>
              <w:tab/>
            </w:r>
            <w:r w:rsidR="00583DBC">
              <w:rPr>
                <w:noProof/>
                <w:webHidden/>
              </w:rPr>
              <w:fldChar w:fldCharType="begin"/>
            </w:r>
            <w:r w:rsidR="00583DBC">
              <w:rPr>
                <w:noProof/>
                <w:webHidden/>
              </w:rPr>
              <w:instrText xml:space="preserve"> PAGEREF _Toc146746719 \h </w:instrText>
            </w:r>
            <w:r w:rsidR="00583DBC">
              <w:rPr>
                <w:noProof/>
                <w:webHidden/>
              </w:rPr>
            </w:r>
            <w:r w:rsidR="00583DBC">
              <w:rPr>
                <w:noProof/>
                <w:webHidden/>
              </w:rPr>
              <w:fldChar w:fldCharType="separate"/>
            </w:r>
            <w:r w:rsidR="009813E3">
              <w:rPr>
                <w:noProof/>
                <w:webHidden/>
              </w:rPr>
              <w:t>141</w:t>
            </w:r>
            <w:r w:rsidR="00583DBC">
              <w:rPr>
                <w:noProof/>
                <w:webHidden/>
              </w:rPr>
              <w:fldChar w:fldCharType="end"/>
            </w:r>
          </w:hyperlink>
        </w:p>
        <w:p w14:paraId="7CE7FBBD" w14:textId="32AC23D5" w:rsidR="00583DBC" w:rsidRDefault="0069425C">
          <w:pPr>
            <w:pStyle w:val="TOC2"/>
            <w:rPr>
              <w:rFonts w:eastAsiaTheme="minorEastAsia"/>
              <w:noProof/>
              <w:spacing w:val="0"/>
              <w:lang w:eastAsia="en-AU"/>
            </w:rPr>
          </w:pPr>
          <w:hyperlink w:anchor="_Toc146746720" w:history="1">
            <w:r w:rsidR="00583DBC" w:rsidRPr="00782108">
              <w:rPr>
                <w:rStyle w:val="Hyperlink"/>
                <w:noProof/>
              </w:rPr>
              <w:t>7.9.</w:t>
            </w:r>
            <w:r w:rsidR="00583DBC">
              <w:rPr>
                <w:rFonts w:eastAsiaTheme="minorEastAsia"/>
                <w:noProof/>
                <w:spacing w:val="0"/>
                <w:lang w:eastAsia="en-AU"/>
              </w:rPr>
              <w:tab/>
            </w:r>
            <w:r w:rsidR="00583DBC" w:rsidRPr="00782108">
              <w:rPr>
                <w:rStyle w:val="Hyperlink"/>
                <w:noProof/>
              </w:rPr>
              <w:t>Bulk wastewater forecast</w:t>
            </w:r>
            <w:r w:rsidR="00583DBC">
              <w:rPr>
                <w:noProof/>
                <w:webHidden/>
              </w:rPr>
              <w:tab/>
            </w:r>
            <w:r w:rsidR="00583DBC">
              <w:rPr>
                <w:noProof/>
                <w:webHidden/>
              </w:rPr>
              <w:fldChar w:fldCharType="begin"/>
            </w:r>
            <w:r w:rsidR="00583DBC">
              <w:rPr>
                <w:noProof/>
                <w:webHidden/>
              </w:rPr>
              <w:instrText xml:space="preserve"> PAGEREF _Toc146746720 \h </w:instrText>
            </w:r>
            <w:r w:rsidR="00583DBC">
              <w:rPr>
                <w:noProof/>
                <w:webHidden/>
              </w:rPr>
            </w:r>
            <w:r w:rsidR="00583DBC">
              <w:rPr>
                <w:noProof/>
                <w:webHidden/>
              </w:rPr>
              <w:fldChar w:fldCharType="separate"/>
            </w:r>
            <w:r w:rsidR="009813E3">
              <w:rPr>
                <w:noProof/>
                <w:webHidden/>
              </w:rPr>
              <w:t>143</w:t>
            </w:r>
            <w:r w:rsidR="00583DBC">
              <w:rPr>
                <w:noProof/>
                <w:webHidden/>
              </w:rPr>
              <w:fldChar w:fldCharType="end"/>
            </w:r>
          </w:hyperlink>
        </w:p>
        <w:p w14:paraId="6AB18EBF" w14:textId="191CDE78" w:rsidR="00583DBC" w:rsidRDefault="0069425C">
          <w:pPr>
            <w:pStyle w:val="TOC2"/>
            <w:rPr>
              <w:rFonts w:eastAsiaTheme="minorEastAsia"/>
              <w:noProof/>
              <w:spacing w:val="0"/>
              <w:lang w:eastAsia="en-AU"/>
            </w:rPr>
          </w:pPr>
          <w:hyperlink w:anchor="_Toc146746721" w:history="1">
            <w:r w:rsidR="00583DBC" w:rsidRPr="00782108">
              <w:rPr>
                <w:rStyle w:val="Hyperlink"/>
                <w:noProof/>
              </w:rPr>
              <w:t>7.10.</w:t>
            </w:r>
            <w:r w:rsidR="00583DBC">
              <w:rPr>
                <w:rFonts w:eastAsiaTheme="minorEastAsia"/>
                <w:noProof/>
                <w:spacing w:val="0"/>
                <w:lang w:eastAsia="en-AU"/>
              </w:rPr>
              <w:tab/>
            </w:r>
            <w:r w:rsidR="00583DBC" w:rsidRPr="00782108">
              <w:rPr>
                <w:rStyle w:val="Hyperlink"/>
                <w:noProof/>
              </w:rPr>
              <w:t>Retail sales forecasts</w:t>
            </w:r>
            <w:r w:rsidR="00583DBC">
              <w:rPr>
                <w:noProof/>
                <w:webHidden/>
              </w:rPr>
              <w:tab/>
            </w:r>
            <w:r w:rsidR="00583DBC">
              <w:rPr>
                <w:noProof/>
                <w:webHidden/>
              </w:rPr>
              <w:fldChar w:fldCharType="begin"/>
            </w:r>
            <w:r w:rsidR="00583DBC">
              <w:rPr>
                <w:noProof/>
                <w:webHidden/>
              </w:rPr>
              <w:instrText xml:space="preserve"> PAGEREF _Toc146746721 \h </w:instrText>
            </w:r>
            <w:r w:rsidR="00583DBC">
              <w:rPr>
                <w:noProof/>
                <w:webHidden/>
              </w:rPr>
            </w:r>
            <w:r w:rsidR="00583DBC">
              <w:rPr>
                <w:noProof/>
                <w:webHidden/>
              </w:rPr>
              <w:fldChar w:fldCharType="separate"/>
            </w:r>
            <w:r w:rsidR="009813E3">
              <w:rPr>
                <w:noProof/>
                <w:webHidden/>
              </w:rPr>
              <w:t>146</w:t>
            </w:r>
            <w:r w:rsidR="00583DBC">
              <w:rPr>
                <w:noProof/>
                <w:webHidden/>
              </w:rPr>
              <w:fldChar w:fldCharType="end"/>
            </w:r>
          </w:hyperlink>
        </w:p>
        <w:p w14:paraId="38BE36CA" w14:textId="30517C16" w:rsidR="00583DBC" w:rsidRDefault="0069425C">
          <w:pPr>
            <w:pStyle w:val="TOC1"/>
            <w:rPr>
              <w:rFonts w:eastAsiaTheme="minorEastAsia"/>
              <w:b w:val="0"/>
              <w:noProof/>
              <w:color w:val="auto"/>
              <w:spacing w:val="0"/>
              <w:lang w:eastAsia="en-AU"/>
            </w:rPr>
          </w:pPr>
          <w:hyperlink w:anchor="_Toc146746722" w:history="1">
            <w:r w:rsidR="00583DBC" w:rsidRPr="00782108">
              <w:rPr>
                <w:rStyle w:val="Hyperlink"/>
                <w:noProof/>
              </w:rPr>
              <w:t>8.</w:t>
            </w:r>
            <w:r w:rsidR="00583DBC">
              <w:rPr>
                <w:rFonts w:eastAsiaTheme="minorEastAsia"/>
                <w:b w:val="0"/>
                <w:noProof/>
                <w:color w:val="auto"/>
                <w:spacing w:val="0"/>
                <w:lang w:eastAsia="en-AU"/>
              </w:rPr>
              <w:tab/>
            </w:r>
            <w:r w:rsidR="00583DBC" w:rsidRPr="00782108">
              <w:rPr>
                <w:rStyle w:val="Hyperlink"/>
                <w:noProof/>
              </w:rPr>
              <w:t>Performance through integration and growth</w:t>
            </w:r>
            <w:r w:rsidR="00583DBC">
              <w:rPr>
                <w:noProof/>
                <w:webHidden/>
              </w:rPr>
              <w:tab/>
            </w:r>
            <w:r w:rsidR="00583DBC">
              <w:rPr>
                <w:noProof/>
                <w:webHidden/>
              </w:rPr>
              <w:fldChar w:fldCharType="begin"/>
            </w:r>
            <w:r w:rsidR="00583DBC">
              <w:rPr>
                <w:noProof/>
                <w:webHidden/>
              </w:rPr>
              <w:instrText xml:space="preserve"> PAGEREF _Toc146746722 \h </w:instrText>
            </w:r>
            <w:r w:rsidR="00583DBC">
              <w:rPr>
                <w:noProof/>
                <w:webHidden/>
              </w:rPr>
            </w:r>
            <w:r w:rsidR="00583DBC">
              <w:rPr>
                <w:noProof/>
                <w:webHidden/>
              </w:rPr>
              <w:fldChar w:fldCharType="separate"/>
            </w:r>
            <w:r w:rsidR="009813E3">
              <w:rPr>
                <w:noProof/>
                <w:webHidden/>
              </w:rPr>
              <w:t>156</w:t>
            </w:r>
            <w:r w:rsidR="00583DBC">
              <w:rPr>
                <w:noProof/>
                <w:webHidden/>
              </w:rPr>
              <w:fldChar w:fldCharType="end"/>
            </w:r>
          </w:hyperlink>
        </w:p>
        <w:p w14:paraId="7448B175" w14:textId="7111956E" w:rsidR="00583DBC" w:rsidRDefault="0069425C">
          <w:pPr>
            <w:pStyle w:val="TOC2"/>
            <w:rPr>
              <w:rFonts w:eastAsiaTheme="minorEastAsia"/>
              <w:noProof/>
              <w:spacing w:val="0"/>
              <w:lang w:eastAsia="en-AU"/>
            </w:rPr>
          </w:pPr>
          <w:hyperlink w:anchor="_Toc146746723" w:history="1">
            <w:r w:rsidR="00583DBC" w:rsidRPr="00782108">
              <w:rPr>
                <w:rStyle w:val="Hyperlink"/>
                <w:noProof/>
              </w:rPr>
              <w:t>8.1.</w:t>
            </w:r>
            <w:r w:rsidR="00583DBC">
              <w:rPr>
                <w:rFonts w:eastAsiaTheme="minorEastAsia"/>
                <w:noProof/>
                <w:spacing w:val="0"/>
                <w:lang w:eastAsia="en-AU"/>
              </w:rPr>
              <w:tab/>
            </w:r>
            <w:r w:rsidR="00583DBC" w:rsidRPr="00782108">
              <w:rPr>
                <w:rStyle w:val="Hyperlink"/>
                <w:noProof/>
              </w:rPr>
              <w:t>Customer outcomes</w:t>
            </w:r>
            <w:r w:rsidR="00583DBC">
              <w:rPr>
                <w:noProof/>
                <w:webHidden/>
              </w:rPr>
              <w:tab/>
            </w:r>
            <w:r w:rsidR="00583DBC">
              <w:rPr>
                <w:noProof/>
                <w:webHidden/>
              </w:rPr>
              <w:fldChar w:fldCharType="begin"/>
            </w:r>
            <w:r w:rsidR="00583DBC">
              <w:rPr>
                <w:noProof/>
                <w:webHidden/>
              </w:rPr>
              <w:instrText xml:space="preserve"> PAGEREF _Toc146746723 \h </w:instrText>
            </w:r>
            <w:r w:rsidR="00583DBC">
              <w:rPr>
                <w:noProof/>
                <w:webHidden/>
              </w:rPr>
            </w:r>
            <w:r w:rsidR="00583DBC">
              <w:rPr>
                <w:noProof/>
                <w:webHidden/>
              </w:rPr>
              <w:fldChar w:fldCharType="separate"/>
            </w:r>
            <w:r w:rsidR="009813E3">
              <w:rPr>
                <w:noProof/>
                <w:webHidden/>
              </w:rPr>
              <w:t>156</w:t>
            </w:r>
            <w:r w:rsidR="00583DBC">
              <w:rPr>
                <w:noProof/>
                <w:webHidden/>
              </w:rPr>
              <w:fldChar w:fldCharType="end"/>
            </w:r>
          </w:hyperlink>
        </w:p>
        <w:p w14:paraId="23CCB9AF" w14:textId="3ECA0AFE" w:rsidR="00583DBC" w:rsidRDefault="0069425C">
          <w:pPr>
            <w:pStyle w:val="TOC2"/>
            <w:rPr>
              <w:rFonts w:eastAsiaTheme="minorEastAsia"/>
              <w:noProof/>
              <w:spacing w:val="0"/>
              <w:lang w:eastAsia="en-AU"/>
            </w:rPr>
          </w:pPr>
          <w:hyperlink w:anchor="_Toc146746724" w:history="1">
            <w:r w:rsidR="00583DBC" w:rsidRPr="00782108">
              <w:rPr>
                <w:rStyle w:val="Hyperlink"/>
                <w:noProof/>
              </w:rPr>
              <w:t>8.2.</w:t>
            </w:r>
            <w:r w:rsidR="00583DBC">
              <w:rPr>
                <w:rFonts w:eastAsiaTheme="minorEastAsia"/>
                <w:noProof/>
                <w:spacing w:val="0"/>
                <w:lang w:eastAsia="en-AU"/>
              </w:rPr>
              <w:tab/>
            </w:r>
            <w:r w:rsidR="00583DBC" w:rsidRPr="00782108">
              <w:rPr>
                <w:rStyle w:val="Hyperlink"/>
                <w:noProof/>
              </w:rPr>
              <w:t>Customer perception</w:t>
            </w:r>
            <w:r w:rsidR="00583DBC">
              <w:rPr>
                <w:noProof/>
                <w:webHidden/>
              </w:rPr>
              <w:tab/>
            </w:r>
            <w:r w:rsidR="00583DBC">
              <w:rPr>
                <w:noProof/>
                <w:webHidden/>
              </w:rPr>
              <w:fldChar w:fldCharType="begin"/>
            </w:r>
            <w:r w:rsidR="00583DBC">
              <w:rPr>
                <w:noProof/>
                <w:webHidden/>
              </w:rPr>
              <w:instrText xml:space="preserve"> PAGEREF _Toc146746724 \h </w:instrText>
            </w:r>
            <w:r w:rsidR="00583DBC">
              <w:rPr>
                <w:noProof/>
                <w:webHidden/>
              </w:rPr>
            </w:r>
            <w:r w:rsidR="00583DBC">
              <w:rPr>
                <w:noProof/>
                <w:webHidden/>
              </w:rPr>
              <w:fldChar w:fldCharType="separate"/>
            </w:r>
            <w:r w:rsidR="009813E3">
              <w:rPr>
                <w:noProof/>
                <w:webHidden/>
              </w:rPr>
              <w:t>160</w:t>
            </w:r>
            <w:r w:rsidR="00583DBC">
              <w:rPr>
                <w:noProof/>
                <w:webHidden/>
              </w:rPr>
              <w:fldChar w:fldCharType="end"/>
            </w:r>
          </w:hyperlink>
        </w:p>
        <w:p w14:paraId="7FFC42DD" w14:textId="76B1ED51" w:rsidR="00583DBC" w:rsidRDefault="0069425C">
          <w:pPr>
            <w:pStyle w:val="TOC2"/>
            <w:rPr>
              <w:rFonts w:eastAsiaTheme="minorEastAsia"/>
              <w:noProof/>
              <w:spacing w:val="0"/>
              <w:lang w:eastAsia="en-AU"/>
            </w:rPr>
          </w:pPr>
          <w:hyperlink w:anchor="_Toc146746725" w:history="1">
            <w:r w:rsidR="00583DBC" w:rsidRPr="00782108">
              <w:rPr>
                <w:rStyle w:val="Hyperlink"/>
                <w:noProof/>
              </w:rPr>
              <w:t>8.3.</w:t>
            </w:r>
            <w:r w:rsidR="00583DBC">
              <w:rPr>
                <w:rFonts w:eastAsiaTheme="minorEastAsia"/>
                <w:noProof/>
                <w:spacing w:val="0"/>
                <w:lang w:eastAsia="en-AU"/>
              </w:rPr>
              <w:tab/>
            </w:r>
            <w:r w:rsidR="00583DBC" w:rsidRPr="00782108">
              <w:rPr>
                <w:rStyle w:val="Hyperlink"/>
                <w:noProof/>
              </w:rPr>
              <w:t>Expenditure performance</w:t>
            </w:r>
            <w:r w:rsidR="00583DBC">
              <w:rPr>
                <w:noProof/>
                <w:webHidden/>
              </w:rPr>
              <w:tab/>
            </w:r>
            <w:r w:rsidR="00583DBC">
              <w:rPr>
                <w:noProof/>
                <w:webHidden/>
              </w:rPr>
              <w:fldChar w:fldCharType="begin"/>
            </w:r>
            <w:r w:rsidR="00583DBC">
              <w:rPr>
                <w:noProof/>
                <w:webHidden/>
              </w:rPr>
              <w:instrText xml:space="preserve"> PAGEREF _Toc146746725 \h </w:instrText>
            </w:r>
            <w:r w:rsidR="00583DBC">
              <w:rPr>
                <w:noProof/>
                <w:webHidden/>
              </w:rPr>
            </w:r>
            <w:r w:rsidR="00583DBC">
              <w:rPr>
                <w:noProof/>
                <w:webHidden/>
              </w:rPr>
              <w:fldChar w:fldCharType="separate"/>
            </w:r>
            <w:r w:rsidR="009813E3">
              <w:rPr>
                <w:noProof/>
                <w:webHidden/>
              </w:rPr>
              <w:t>168</w:t>
            </w:r>
            <w:r w:rsidR="00583DBC">
              <w:rPr>
                <w:noProof/>
                <w:webHidden/>
              </w:rPr>
              <w:fldChar w:fldCharType="end"/>
            </w:r>
          </w:hyperlink>
        </w:p>
        <w:p w14:paraId="0B9E25C1" w14:textId="0E8C652B" w:rsidR="00583DBC" w:rsidRDefault="0069425C">
          <w:pPr>
            <w:pStyle w:val="TOC2"/>
            <w:rPr>
              <w:rFonts w:eastAsiaTheme="minorEastAsia"/>
              <w:noProof/>
              <w:spacing w:val="0"/>
              <w:lang w:eastAsia="en-AU"/>
            </w:rPr>
          </w:pPr>
          <w:hyperlink w:anchor="_Toc146746726" w:history="1">
            <w:r w:rsidR="00583DBC" w:rsidRPr="00782108">
              <w:rPr>
                <w:rStyle w:val="Hyperlink"/>
                <w:noProof/>
              </w:rPr>
              <w:t>8.4.</w:t>
            </w:r>
            <w:r w:rsidR="00583DBC">
              <w:rPr>
                <w:rFonts w:eastAsiaTheme="minorEastAsia"/>
                <w:noProof/>
                <w:spacing w:val="0"/>
                <w:lang w:eastAsia="en-AU"/>
              </w:rPr>
              <w:tab/>
            </w:r>
            <w:r w:rsidR="00583DBC" w:rsidRPr="00782108">
              <w:rPr>
                <w:rStyle w:val="Hyperlink"/>
                <w:noProof/>
              </w:rPr>
              <w:t>Capital expenditure performance</w:t>
            </w:r>
            <w:r w:rsidR="00583DBC">
              <w:rPr>
                <w:noProof/>
                <w:webHidden/>
              </w:rPr>
              <w:tab/>
            </w:r>
            <w:r w:rsidR="00583DBC">
              <w:rPr>
                <w:noProof/>
                <w:webHidden/>
              </w:rPr>
              <w:fldChar w:fldCharType="begin"/>
            </w:r>
            <w:r w:rsidR="00583DBC">
              <w:rPr>
                <w:noProof/>
                <w:webHidden/>
              </w:rPr>
              <w:instrText xml:space="preserve"> PAGEREF _Toc146746726 \h </w:instrText>
            </w:r>
            <w:r w:rsidR="00583DBC">
              <w:rPr>
                <w:noProof/>
                <w:webHidden/>
              </w:rPr>
            </w:r>
            <w:r w:rsidR="00583DBC">
              <w:rPr>
                <w:noProof/>
                <w:webHidden/>
              </w:rPr>
              <w:fldChar w:fldCharType="separate"/>
            </w:r>
            <w:r w:rsidR="009813E3">
              <w:rPr>
                <w:noProof/>
                <w:webHidden/>
              </w:rPr>
              <w:t>169</w:t>
            </w:r>
            <w:r w:rsidR="00583DBC">
              <w:rPr>
                <w:noProof/>
                <w:webHidden/>
              </w:rPr>
              <w:fldChar w:fldCharType="end"/>
            </w:r>
          </w:hyperlink>
        </w:p>
        <w:p w14:paraId="4D1B0E31" w14:textId="36916BC8" w:rsidR="00583DBC" w:rsidRDefault="0069425C">
          <w:pPr>
            <w:pStyle w:val="TOC2"/>
            <w:rPr>
              <w:rFonts w:eastAsiaTheme="minorEastAsia"/>
              <w:noProof/>
              <w:spacing w:val="0"/>
              <w:lang w:eastAsia="en-AU"/>
            </w:rPr>
          </w:pPr>
          <w:hyperlink w:anchor="_Toc146746727" w:history="1">
            <w:r w:rsidR="00583DBC" w:rsidRPr="00782108">
              <w:rPr>
                <w:rStyle w:val="Hyperlink"/>
                <w:noProof/>
              </w:rPr>
              <w:t>8.5.</w:t>
            </w:r>
            <w:r w:rsidR="00583DBC">
              <w:rPr>
                <w:rFonts w:eastAsiaTheme="minorEastAsia"/>
                <w:noProof/>
                <w:spacing w:val="0"/>
                <w:lang w:eastAsia="en-AU"/>
              </w:rPr>
              <w:tab/>
            </w:r>
            <w:r w:rsidR="00583DBC" w:rsidRPr="00782108">
              <w:rPr>
                <w:rStyle w:val="Hyperlink"/>
                <w:noProof/>
              </w:rPr>
              <w:t>Major project delivery</w:t>
            </w:r>
            <w:r w:rsidR="00583DBC">
              <w:rPr>
                <w:noProof/>
                <w:webHidden/>
              </w:rPr>
              <w:tab/>
            </w:r>
            <w:r w:rsidR="00583DBC">
              <w:rPr>
                <w:noProof/>
                <w:webHidden/>
              </w:rPr>
              <w:fldChar w:fldCharType="begin"/>
            </w:r>
            <w:r w:rsidR="00583DBC">
              <w:rPr>
                <w:noProof/>
                <w:webHidden/>
              </w:rPr>
              <w:instrText xml:space="preserve"> PAGEREF _Toc146746727 \h </w:instrText>
            </w:r>
            <w:r w:rsidR="00583DBC">
              <w:rPr>
                <w:noProof/>
                <w:webHidden/>
              </w:rPr>
            </w:r>
            <w:r w:rsidR="00583DBC">
              <w:rPr>
                <w:noProof/>
                <w:webHidden/>
              </w:rPr>
              <w:fldChar w:fldCharType="separate"/>
            </w:r>
            <w:r w:rsidR="009813E3">
              <w:rPr>
                <w:noProof/>
                <w:webHidden/>
              </w:rPr>
              <w:t>170</w:t>
            </w:r>
            <w:r w:rsidR="00583DBC">
              <w:rPr>
                <w:noProof/>
                <w:webHidden/>
              </w:rPr>
              <w:fldChar w:fldCharType="end"/>
            </w:r>
          </w:hyperlink>
        </w:p>
        <w:p w14:paraId="21FC46AB" w14:textId="5B4026C0" w:rsidR="00583DBC" w:rsidRDefault="0069425C">
          <w:pPr>
            <w:pStyle w:val="TOC1"/>
            <w:rPr>
              <w:rFonts w:eastAsiaTheme="minorEastAsia"/>
              <w:b w:val="0"/>
              <w:noProof/>
              <w:color w:val="auto"/>
              <w:spacing w:val="0"/>
              <w:lang w:eastAsia="en-AU"/>
            </w:rPr>
          </w:pPr>
          <w:hyperlink w:anchor="_Toc146746728" w:history="1">
            <w:r w:rsidR="00583DBC" w:rsidRPr="00782108">
              <w:rPr>
                <w:rStyle w:val="Hyperlink"/>
                <w:noProof/>
              </w:rPr>
              <w:t>9.</w:t>
            </w:r>
            <w:r w:rsidR="00583DBC">
              <w:rPr>
                <w:rFonts w:eastAsiaTheme="minorEastAsia"/>
                <w:b w:val="0"/>
                <w:noProof/>
                <w:color w:val="auto"/>
                <w:spacing w:val="0"/>
                <w:lang w:eastAsia="en-AU"/>
              </w:rPr>
              <w:tab/>
            </w:r>
            <w:r w:rsidR="00583DBC" w:rsidRPr="00782108">
              <w:rPr>
                <w:rStyle w:val="Hyperlink"/>
                <w:noProof/>
              </w:rPr>
              <w:t>Management</w:t>
            </w:r>
            <w:r w:rsidR="00583DBC">
              <w:rPr>
                <w:noProof/>
                <w:webHidden/>
              </w:rPr>
              <w:tab/>
            </w:r>
            <w:r w:rsidR="00583DBC">
              <w:rPr>
                <w:noProof/>
                <w:webHidden/>
              </w:rPr>
              <w:fldChar w:fldCharType="begin"/>
            </w:r>
            <w:r w:rsidR="00583DBC">
              <w:rPr>
                <w:noProof/>
                <w:webHidden/>
              </w:rPr>
              <w:instrText xml:space="preserve"> PAGEREF _Toc146746728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662FD1EE" w14:textId="05478900" w:rsidR="00583DBC" w:rsidRDefault="0069425C">
          <w:pPr>
            <w:pStyle w:val="TOC2"/>
            <w:rPr>
              <w:rFonts w:eastAsiaTheme="minorEastAsia"/>
              <w:noProof/>
              <w:spacing w:val="0"/>
              <w:lang w:eastAsia="en-AU"/>
            </w:rPr>
          </w:pPr>
          <w:hyperlink w:anchor="_Toc146746729" w:history="1">
            <w:r w:rsidR="00583DBC" w:rsidRPr="00782108">
              <w:rPr>
                <w:rStyle w:val="Hyperlink"/>
                <w:noProof/>
              </w:rPr>
              <w:t>9.1.</w:t>
            </w:r>
            <w:r w:rsidR="00583DBC">
              <w:rPr>
                <w:rFonts w:eastAsiaTheme="minorEastAsia"/>
                <w:noProof/>
                <w:spacing w:val="0"/>
                <w:lang w:eastAsia="en-AU"/>
              </w:rPr>
              <w:tab/>
            </w:r>
            <w:r w:rsidR="00583DBC" w:rsidRPr="00782108">
              <w:rPr>
                <w:rStyle w:val="Hyperlink"/>
                <w:noProof/>
              </w:rPr>
              <w:t>Executive and board governance</w:t>
            </w:r>
            <w:r w:rsidR="00583DBC">
              <w:rPr>
                <w:noProof/>
                <w:webHidden/>
              </w:rPr>
              <w:tab/>
            </w:r>
            <w:r w:rsidR="00583DBC">
              <w:rPr>
                <w:noProof/>
                <w:webHidden/>
              </w:rPr>
              <w:fldChar w:fldCharType="begin"/>
            </w:r>
            <w:r w:rsidR="00583DBC">
              <w:rPr>
                <w:noProof/>
                <w:webHidden/>
              </w:rPr>
              <w:instrText xml:space="preserve"> PAGEREF _Toc146746729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5395800F" w14:textId="7F60FDAF" w:rsidR="00583DBC" w:rsidRDefault="0069425C">
          <w:pPr>
            <w:pStyle w:val="TOC2"/>
            <w:rPr>
              <w:rFonts w:eastAsiaTheme="minorEastAsia"/>
              <w:noProof/>
              <w:spacing w:val="0"/>
              <w:lang w:eastAsia="en-AU"/>
            </w:rPr>
          </w:pPr>
          <w:hyperlink w:anchor="_Toc146746730" w:history="1">
            <w:r w:rsidR="00583DBC" w:rsidRPr="00782108">
              <w:rPr>
                <w:rStyle w:val="Hyperlink"/>
                <w:noProof/>
              </w:rPr>
              <w:t>9.2.</w:t>
            </w:r>
            <w:r w:rsidR="00583DBC">
              <w:rPr>
                <w:rFonts w:eastAsiaTheme="minorEastAsia"/>
                <w:noProof/>
                <w:spacing w:val="0"/>
                <w:lang w:eastAsia="en-AU"/>
              </w:rPr>
              <w:tab/>
            </w:r>
            <w:r w:rsidR="00583DBC" w:rsidRPr="00782108">
              <w:rPr>
                <w:rStyle w:val="Hyperlink"/>
                <w:noProof/>
              </w:rPr>
              <w:t>Attestation assurance program</w:t>
            </w:r>
            <w:r w:rsidR="00583DBC">
              <w:rPr>
                <w:noProof/>
                <w:webHidden/>
              </w:rPr>
              <w:tab/>
            </w:r>
            <w:r w:rsidR="00583DBC">
              <w:rPr>
                <w:noProof/>
                <w:webHidden/>
              </w:rPr>
              <w:fldChar w:fldCharType="begin"/>
            </w:r>
            <w:r w:rsidR="00583DBC">
              <w:rPr>
                <w:noProof/>
                <w:webHidden/>
              </w:rPr>
              <w:instrText xml:space="preserve"> PAGEREF _Toc146746730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295EAF2B" w14:textId="2C8515F8" w:rsidR="00583DBC" w:rsidRDefault="0069425C">
          <w:pPr>
            <w:pStyle w:val="TOC2"/>
            <w:rPr>
              <w:rFonts w:eastAsiaTheme="minorEastAsia"/>
              <w:noProof/>
              <w:spacing w:val="0"/>
              <w:lang w:eastAsia="en-AU"/>
            </w:rPr>
          </w:pPr>
          <w:hyperlink w:anchor="_Toc146746731" w:history="1">
            <w:r w:rsidR="00583DBC" w:rsidRPr="00782108">
              <w:rPr>
                <w:rStyle w:val="Hyperlink"/>
                <w:noProof/>
              </w:rPr>
              <w:t>9.3.</w:t>
            </w:r>
            <w:r w:rsidR="00583DBC">
              <w:rPr>
                <w:rFonts w:eastAsiaTheme="minorEastAsia"/>
                <w:noProof/>
                <w:spacing w:val="0"/>
                <w:lang w:eastAsia="en-AU"/>
              </w:rPr>
              <w:tab/>
            </w:r>
            <w:r w:rsidR="00583DBC" w:rsidRPr="00782108">
              <w:rPr>
                <w:rStyle w:val="Hyperlink"/>
                <w:noProof/>
              </w:rPr>
              <w:t>Management of expenditure</w:t>
            </w:r>
            <w:r w:rsidR="00583DBC">
              <w:rPr>
                <w:noProof/>
                <w:webHidden/>
              </w:rPr>
              <w:tab/>
            </w:r>
            <w:r w:rsidR="00583DBC">
              <w:rPr>
                <w:noProof/>
                <w:webHidden/>
              </w:rPr>
              <w:fldChar w:fldCharType="begin"/>
            </w:r>
            <w:r w:rsidR="00583DBC">
              <w:rPr>
                <w:noProof/>
                <w:webHidden/>
              </w:rPr>
              <w:instrText xml:space="preserve"> PAGEREF _Toc146746731 \h </w:instrText>
            </w:r>
            <w:r w:rsidR="00583DBC">
              <w:rPr>
                <w:noProof/>
                <w:webHidden/>
              </w:rPr>
            </w:r>
            <w:r w:rsidR="00583DBC">
              <w:rPr>
                <w:noProof/>
                <w:webHidden/>
              </w:rPr>
              <w:fldChar w:fldCharType="separate"/>
            </w:r>
            <w:r w:rsidR="009813E3">
              <w:rPr>
                <w:noProof/>
                <w:webHidden/>
              </w:rPr>
              <w:t>174</w:t>
            </w:r>
            <w:r w:rsidR="00583DBC">
              <w:rPr>
                <w:noProof/>
                <w:webHidden/>
              </w:rPr>
              <w:fldChar w:fldCharType="end"/>
            </w:r>
          </w:hyperlink>
        </w:p>
        <w:p w14:paraId="3072D7CB" w14:textId="4667F20B" w:rsidR="00583DBC" w:rsidRDefault="0069425C">
          <w:pPr>
            <w:pStyle w:val="TOC2"/>
            <w:rPr>
              <w:rFonts w:eastAsiaTheme="minorEastAsia"/>
              <w:noProof/>
              <w:spacing w:val="0"/>
              <w:lang w:eastAsia="en-AU"/>
            </w:rPr>
          </w:pPr>
          <w:hyperlink w:anchor="_Toc146746732" w:history="1">
            <w:r w:rsidR="00583DBC" w:rsidRPr="00782108">
              <w:rPr>
                <w:rStyle w:val="Hyperlink"/>
                <w:noProof/>
              </w:rPr>
              <w:t>9.4.</w:t>
            </w:r>
            <w:r w:rsidR="00583DBC">
              <w:rPr>
                <w:rFonts w:eastAsiaTheme="minorEastAsia"/>
                <w:noProof/>
                <w:spacing w:val="0"/>
                <w:lang w:eastAsia="en-AU"/>
              </w:rPr>
              <w:tab/>
            </w:r>
            <w:r w:rsidR="00583DBC" w:rsidRPr="00782108">
              <w:rPr>
                <w:rStyle w:val="Hyperlink"/>
                <w:noProof/>
              </w:rPr>
              <w:t>Quality of data inputs</w:t>
            </w:r>
            <w:r w:rsidR="00583DBC">
              <w:rPr>
                <w:noProof/>
                <w:webHidden/>
              </w:rPr>
              <w:tab/>
            </w:r>
            <w:r w:rsidR="00583DBC">
              <w:rPr>
                <w:noProof/>
                <w:webHidden/>
              </w:rPr>
              <w:fldChar w:fldCharType="begin"/>
            </w:r>
            <w:r w:rsidR="00583DBC">
              <w:rPr>
                <w:noProof/>
                <w:webHidden/>
              </w:rPr>
              <w:instrText xml:space="preserve"> PAGEREF _Toc146746732 \h </w:instrText>
            </w:r>
            <w:r w:rsidR="00583DBC">
              <w:rPr>
                <w:noProof/>
                <w:webHidden/>
              </w:rPr>
            </w:r>
            <w:r w:rsidR="00583DBC">
              <w:rPr>
                <w:noProof/>
                <w:webHidden/>
              </w:rPr>
              <w:fldChar w:fldCharType="separate"/>
            </w:r>
            <w:r w:rsidR="009813E3">
              <w:rPr>
                <w:noProof/>
                <w:webHidden/>
              </w:rPr>
              <w:t>175</w:t>
            </w:r>
            <w:r w:rsidR="00583DBC">
              <w:rPr>
                <w:noProof/>
                <w:webHidden/>
              </w:rPr>
              <w:fldChar w:fldCharType="end"/>
            </w:r>
          </w:hyperlink>
        </w:p>
        <w:p w14:paraId="40CD520D" w14:textId="28D17115" w:rsidR="00583DBC" w:rsidRDefault="0069425C">
          <w:pPr>
            <w:pStyle w:val="TOC1"/>
            <w:rPr>
              <w:rFonts w:eastAsiaTheme="minorEastAsia"/>
              <w:b w:val="0"/>
              <w:noProof/>
              <w:color w:val="auto"/>
              <w:spacing w:val="0"/>
              <w:lang w:eastAsia="en-AU"/>
            </w:rPr>
          </w:pPr>
          <w:hyperlink w:anchor="_Toc146746733" w:history="1">
            <w:r w:rsidR="00583DBC" w:rsidRPr="00782108">
              <w:rPr>
                <w:rStyle w:val="Hyperlink"/>
                <w:noProof/>
              </w:rPr>
              <w:t>10.</w:t>
            </w:r>
            <w:r w:rsidR="00583DBC">
              <w:rPr>
                <w:rFonts w:eastAsiaTheme="minorEastAsia"/>
                <w:b w:val="0"/>
                <w:noProof/>
                <w:color w:val="auto"/>
                <w:spacing w:val="0"/>
                <w:lang w:eastAsia="en-AU"/>
              </w:rPr>
              <w:tab/>
            </w:r>
            <w:r w:rsidR="00583DBC" w:rsidRPr="00782108">
              <w:rPr>
                <w:rStyle w:val="Hyperlink"/>
                <w:noProof/>
              </w:rPr>
              <w:t>Risk</w:t>
            </w:r>
            <w:r w:rsidR="00583DBC">
              <w:rPr>
                <w:noProof/>
                <w:webHidden/>
              </w:rPr>
              <w:tab/>
            </w:r>
            <w:r w:rsidR="00583DBC">
              <w:rPr>
                <w:noProof/>
                <w:webHidden/>
              </w:rPr>
              <w:fldChar w:fldCharType="begin"/>
            </w:r>
            <w:r w:rsidR="00583DBC">
              <w:rPr>
                <w:noProof/>
                <w:webHidden/>
              </w:rPr>
              <w:instrText xml:space="preserve"> PAGEREF _Toc146746733 \h </w:instrText>
            </w:r>
            <w:r w:rsidR="00583DBC">
              <w:rPr>
                <w:noProof/>
                <w:webHidden/>
              </w:rPr>
            </w:r>
            <w:r w:rsidR="00583DBC">
              <w:rPr>
                <w:noProof/>
                <w:webHidden/>
              </w:rPr>
              <w:fldChar w:fldCharType="separate"/>
            </w:r>
            <w:r w:rsidR="009813E3">
              <w:rPr>
                <w:noProof/>
                <w:webHidden/>
              </w:rPr>
              <w:t>177</w:t>
            </w:r>
            <w:r w:rsidR="00583DBC">
              <w:rPr>
                <w:noProof/>
                <w:webHidden/>
              </w:rPr>
              <w:fldChar w:fldCharType="end"/>
            </w:r>
          </w:hyperlink>
        </w:p>
        <w:p w14:paraId="1FD18541" w14:textId="46F87F32" w:rsidR="00583DBC" w:rsidRDefault="0069425C">
          <w:pPr>
            <w:pStyle w:val="TOC2"/>
            <w:rPr>
              <w:rFonts w:eastAsiaTheme="minorEastAsia"/>
              <w:noProof/>
              <w:spacing w:val="0"/>
              <w:lang w:eastAsia="en-AU"/>
            </w:rPr>
          </w:pPr>
          <w:hyperlink w:anchor="_Toc146746734" w:history="1">
            <w:r w:rsidR="00583DBC" w:rsidRPr="00782108">
              <w:rPr>
                <w:rStyle w:val="Hyperlink"/>
                <w:noProof/>
              </w:rPr>
              <w:t>10.1.</w:t>
            </w:r>
            <w:r w:rsidR="00583DBC">
              <w:rPr>
                <w:rFonts w:eastAsiaTheme="minorEastAsia"/>
                <w:noProof/>
                <w:spacing w:val="0"/>
                <w:lang w:eastAsia="en-AU"/>
              </w:rPr>
              <w:tab/>
            </w:r>
            <w:r w:rsidR="00583DBC" w:rsidRPr="00782108">
              <w:rPr>
                <w:rStyle w:val="Hyperlink"/>
                <w:noProof/>
              </w:rPr>
              <w:t>Risk management framework</w:t>
            </w:r>
            <w:r w:rsidR="00583DBC">
              <w:rPr>
                <w:noProof/>
                <w:webHidden/>
              </w:rPr>
              <w:tab/>
            </w:r>
            <w:r w:rsidR="00583DBC">
              <w:rPr>
                <w:noProof/>
                <w:webHidden/>
              </w:rPr>
              <w:fldChar w:fldCharType="begin"/>
            </w:r>
            <w:r w:rsidR="00583DBC">
              <w:rPr>
                <w:noProof/>
                <w:webHidden/>
              </w:rPr>
              <w:instrText xml:space="preserve"> PAGEREF _Toc146746734 \h </w:instrText>
            </w:r>
            <w:r w:rsidR="00583DBC">
              <w:rPr>
                <w:noProof/>
                <w:webHidden/>
              </w:rPr>
            </w:r>
            <w:r w:rsidR="00583DBC">
              <w:rPr>
                <w:noProof/>
                <w:webHidden/>
              </w:rPr>
              <w:fldChar w:fldCharType="separate"/>
            </w:r>
            <w:r w:rsidR="009813E3">
              <w:rPr>
                <w:noProof/>
                <w:webHidden/>
              </w:rPr>
              <w:t>178</w:t>
            </w:r>
            <w:r w:rsidR="00583DBC">
              <w:rPr>
                <w:noProof/>
                <w:webHidden/>
              </w:rPr>
              <w:fldChar w:fldCharType="end"/>
            </w:r>
          </w:hyperlink>
        </w:p>
        <w:p w14:paraId="43F1E1DC" w14:textId="65209563" w:rsidR="00583DBC" w:rsidRDefault="0069425C">
          <w:pPr>
            <w:pStyle w:val="TOC2"/>
            <w:rPr>
              <w:rFonts w:eastAsiaTheme="minorEastAsia"/>
              <w:noProof/>
              <w:spacing w:val="0"/>
              <w:lang w:eastAsia="en-AU"/>
            </w:rPr>
          </w:pPr>
          <w:hyperlink w:anchor="_Toc146746735" w:history="1">
            <w:r w:rsidR="00583DBC" w:rsidRPr="00782108">
              <w:rPr>
                <w:rStyle w:val="Hyperlink"/>
                <w:noProof/>
              </w:rPr>
              <w:t>10.2.</w:t>
            </w:r>
            <w:r w:rsidR="00583DBC">
              <w:rPr>
                <w:rFonts w:eastAsiaTheme="minorEastAsia"/>
                <w:noProof/>
                <w:spacing w:val="0"/>
                <w:lang w:eastAsia="en-AU"/>
              </w:rPr>
              <w:tab/>
            </w:r>
            <w:r w:rsidR="00583DBC" w:rsidRPr="00782108">
              <w:rPr>
                <w:rStyle w:val="Hyperlink"/>
                <w:noProof/>
              </w:rPr>
              <w:t>How GWW manages risk</w:t>
            </w:r>
            <w:r w:rsidR="00583DBC">
              <w:rPr>
                <w:noProof/>
                <w:webHidden/>
              </w:rPr>
              <w:tab/>
            </w:r>
            <w:r w:rsidR="00583DBC">
              <w:rPr>
                <w:noProof/>
                <w:webHidden/>
              </w:rPr>
              <w:fldChar w:fldCharType="begin"/>
            </w:r>
            <w:r w:rsidR="00583DBC">
              <w:rPr>
                <w:noProof/>
                <w:webHidden/>
              </w:rPr>
              <w:instrText xml:space="preserve"> PAGEREF _Toc146746735 \h </w:instrText>
            </w:r>
            <w:r w:rsidR="00583DBC">
              <w:rPr>
                <w:noProof/>
                <w:webHidden/>
              </w:rPr>
            </w:r>
            <w:r w:rsidR="00583DBC">
              <w:rPr>
                <w:noProof/>
                <w:webHidden/>
              </w:rPr>
              <w:fldChar w:fldCharType="separate"/>
            </w:r>
            <w:r w:rsidR="009813E3">
              <w:rPr>
                <w:noProof/>
                <w:webHidden/>
              </w:rPr>
              <w:t>179</w:t>
            </w:r>
            <w:r w:rsidR="00583DBC">
              <w:rPr>
                <w:noProof/>
                <w:webHidden/>
              </w:rPr>
              <w:fldChar w:fldCharType="end"/>
            </w:r>
          </w:hyperlink>
        </w:p>
        <w:p w14:paraId="31728732" w14:textId="3508A41D" w:rsidR="00583DBC" w:rsidRDefault="0069425C">
          <w:pPr>
            <w:pStyle w:val="TOC2"/>
            <w:rPr>
              <w:rFonts w:eastAsiaTheme="minorEastAsia"/>
              <w:noProof/>
              <w:spacing w:val="0"/>
              <w:lang w:eastAsia="en-AU"/>
            </w:rPr>
          </w:pPr>
          <w:hyperlink w:anchor="_Toc146746736" w:history="1">
            <w:r w:rsidR="00583DBC" w:rsidRPr="00782108">
              <w:rPr>
                <w:rStyle w:val="Hyperlink"/>
                <w:noProof/>
              </w:rPr>
              <w:t>10.3.</w:t>
            </w:r>
            <w:r w:rsidR="00583DBC">
              <w:rPr>
                <w:rFonts w:eastAsiaTheme="minorEastAsia"/>
                <w:noProof/>
                <w:spacing w:val="0"/>
                <w:lang w:eastAsia="en-AU"/>
              </w:rPr>
              <w:tab/>
            </w:r>
            <w:r w:rsidR="00583DBC" w:rsidRPr="00782108">
              <w:rPr>
                <w:rStyle w:val="Hyperlink"/>
                <w:noProof/>
              </w:rPr>
              <w:t>How GWW is considering climate change risks</w:t>
            </w:r>
            <w:r w:rsidR="00583DBC">
              <w:rPr>
                <w:noProof/>
                <w:webHidden/>
              </w:rPr>
              <w:tab/>
            </w:r>
            <w:r w:rsidR="00583DBC">
              <w:rPr>
                <w:noProof/>
                <w:webHidden/>
              </w:rPr>
              <w:fldChar w:fldCharType="begin"/>
            </w:r>
            <w:r w:rsidR="00583DBC">
              <w:rPr>
                <w:noProof/>
                <w:webHidden/>
              </w:rPr>
              <w:instrText xml:space="preserve"> PAGEREF _Toc146746736 \h </w:instrText>
            </w:r>
            <w:r w:rsidR="00583DBC">
              <w:rPr>
                <w:noProof/>
                <w:webHidden/>
              </w:rPr>
            </w:r>
            <w:r w:rsidR="00583DBC">
              <w:rPr>
                <w:noProof/>
                <w:webHidden/>
              </w:rPr>
              <w:fldChar w:fldCharType="separate"/>
            </w:r>
            <w:r w:rsidR="009813E3">
              <w:rPr>
                <w:noProof/>
                <w:webHidden/>
              </w:rPr>
              <w:t>179</w:t>
            </w:r>
            <w:r w:rsidR="00583DBC">
              <w:rPr>
                <w:noProof/>
                <w:webHidden/>
              </w:rPr>
              <w:fldChar w:fldCharType="end"/>
            </w:r>
          </w:hyperlink>
        </w:p>
        <w:p w14:paraId="11B94D94" w14:textId="5D9D8E50" w:rsidR="00583DBC" w:rsidRDefault="0069425C">
          <w:pPr>
            <w:pStyle w:val="TOC2"/>
            <w:rPr>
              <w:rFonts w:eastAsiaTheme="minorEastAsia"/>
              <w:noProof/>
              <w:spacing w:val="0"/>
              <w:lang w:eastAsia="en-AU"/>
            </w:rPr>
          </w:pPr>
          <w:hyperlink w:anchor="_Toc146746737" w:history="1">
            <w:r w:rsidR="00583DBC" w:rsidRPr="00782108">
              <w:rPr>
                <w:rStyle w:val="Hyperlink"/>
                <w:noProof/>
              </w:rPr>
              <w:t>10.4.</w:t>
            </w:r>
            <w:r w:rsidR="00583DBC">
              <w:rPr>
                <w:rFonts w:eastAsiaTheme="minorEastAsia"/>
                <w:noProof/>
                <w:spacing w:val="0"/>
                <w:lang w:eastAsia="en-AU"/>
              </w:rPr>
              <w:tab/>
            </w:r>
            <w:r w:rsidR="00583DBC" w:rsidRPr="00782108">
              <w:rPr>
                <w:rStyle w:val="Hyperlink"/>
                <w:noProof/>
              </w:rPr>
              <w:t>How GWW considered risk for the 2024 price submission</w:t>
            </w:r>
            <w:r w:rsidR="00583DBC">
              <w:rPr>
                <w:noProof/>
                <w:webHidden/>
              </w:rPr>
              <w:tab/>
            </w:r>
            <w:r w:rsidR="00583DBC">
              <w:rPr>
                <w:noProof/>
                <w:webHidden/>
              </w:rPr>
              <w:fldChar w:fldCharType="begin"/>
            </w:r>
            <w:r w:rsidR="00583DBC">
              <w:rPr>
                <w:noProof/>
                <w:webHidden/>
              </w:rPr>
              <w:instrText xml:space="preserve"> PAGEREF _Toc146746737 \h </w:instrText>
            </w:r>
            <w:r w:rsidR="00583DBC">
              <w:rPr>
                <w:noProof/>
                <w:webHidden/>
              </w:rPr>
            </w:r>
            <w:r w:rsidR="00583DBC">
              <w:rPr>
                <w:noProof/>
                <w:webHidden/>
              </w:rPr>
              <w:fldChar w:fldCharType="separate"/>
            </w:r>
            <w:r w:rsidR="009813E3">
              <w:rPr>
                <w:noProof/>
                <w:webHidden/>
              </w:rPr>
              <w:t>180</w:t>
            </w:r>
            <w:r w:rsidR="00583DBC">
              <w:rPr>
                <w:noProof/>
                <w:webHidden/>
              </w:rPr>
              <w:fldChar w:fldCharType="end"/>
            </w:r>
          </w:hyperlink>
        </w:p>
        <w:p w14:paraId="0CE1D407" w14:textId="6BE79905" w:rsidR="00583DBC" w:rsidRDefault="0069425C">
          <w:pPr>
            <w:pStyle w:val="TOC2"/>
            <w:rPr>
              <w:rFonts w:eastAsiaTheme="minorEastAsia"/>
              <w:noProof/>
              <w:spacing w:val="0"/>
              <w:lang w:eastAsia="en-AU"/>
            </w:rPr>
          </w:pPr>
          <w:hyperlink w:anchor="_Toc146746738" w:history="1">
            <w:r w:rsidR="00583DBC" w:rsidRPr="00782108">
              <w:rPr>
                <w:rStyle w:val="Hyperlink"/>
                <w:noProof/>
              </w:rPr>
              <w:t>10.5.</w:t>
            </w:r>
            <w:r w:rsidR="00583DBC">
              <w:rPr>
                <w:rFonts w:eastAsiaTheme="minorEastAsia"/>
                <w:noProof/>
                <w:spacing w:val="0"/>
                <w:lang w:eastAsia="en-AU"/>
              </w:rPr>
              <w:tab/>
            </w:r>
            <w:r w:rsidR="00583DBC" w:rsidRPr="00782108">
              <w:rPr>
                <w:rStyle w:val="Hyperlink"/>
                <w:noProof/>
              </w:rPr>
              <w:t>Price submission 2024 regulatory risk summary</w:t>
            </w:r>
            <w:r w:rsidR="00583DBC">
              <w:rPr>
                <w:noProof/>
                <w:webHidden/>
              </w:rPr>
              <w:tab/>
            </w:r>
            <w:r w:rsidR="00583DBC">
              <w:rPr>
                <w:noProof/>
                <w:webHidden/>
              </w:rPr>
              <w:fldChar w:fldCharType="begin"/>
            </w:r>
            <w:r w:rsidR="00583DBC">
              <w:rPr>
                <w:noProof/>
                <w:webHidden/>
              </w:rPr>
              <w:instrText xml:space="preserve"> PAGEREF _Toc146746738 \h </w:instrText>
            </w:r>
            <w:r w:rsidR="00583DBC">
              <w:rPr>
                <w:noProof/>
                <w:webHidden/>
              </w:rPr>
            </w:r>
            <w:r w:rsidR="00583DBC">
              <w:rPr>
                <w:noProof/>
                <w:webHidden/>
              </w:rPr>
              <w:fldChar w:fldCharType="separate"/>
            </w:r>
            <w:r w:rsidR="009813E3">
              <w:rPr>
                <w:noProof/>
                <w:webHidden/>
              </w:rPr>
              <w:t>181</w:t>
            </w:r>
            <w:r w:rsidR="00583DBC">
              <w:rPr>
                <w:noProof/>
                <w:webHidden/>
              </w:rPr>
              <w:fldChar w:fldCharType="end"/>
            </w:r>
          </w:hyperlink>
        </w:p>
        <w:p w14:paraId="4E8FB8EE" w14:textId="554461C7" w:rsidR="00583DBC" w:rsidRDefault="0069425C">
          <w:pPr>
            <w:pStyle w:val="TOC1"/>
            <w:tabs>
              <w:tab w:val="left" w:pos="1320"/>
            </w:tabs>
            <w:rPr>
              <w:rFonts w:eastAsiaTheme="minorEastAsia"/>
              <w:b w:val="0"/>
              <w:noProof/>
              <w:color w:val="auto"/>
              <w:spacing w:val="0"/>
              <w:lang w:eastAsia="en-AU"/>
            </w:rPr>
          </w:pPr>
          <w:hyperlink w:anchor="_Toc146746739" w:history="1">
            <w:r w:rsidR="00583DBC" w:rsidRPr="00782108">
              <w:rPr>
                <w:rStyle w:val="Hyperlink"/>
                <w:noProof/>
              </w:rPr>
              <w:t>Appendix A</w:t>
            </w:r>
            <w:r w:rsidR="00E8564A">
              <w:rPr>
                <w:rFonts w:eastAsiaTheme="minorEastAsia"/>
                <w:b w:val="0"/>
                <w:noProof/>
                <w:color w:val="auto"/>
                <w:spacing w:val="0"/>
                <w:lang w:eastAsia="en-AU"/>
              </w:rPr>
              <w:t xml:space="preserve">: </w:t>
            </w:r>
            <w:r w:rsidR="00583DBC" w:rsidRPr="00782108">
              <w:rPr>
                <w:rStyle w:val="Hyperlink"/>
                <w:noProof/>
              </w:rPr>
              <w:t>PREMO self-assessment against all elements</w:t>
            </w:r>
            <w:r w:rsidR="00583DBC">
              <w:rPr>
                <w:noProof/>
                <w:webHidden/>
              </w:rPr>
              <w:tab/>
            </w:r>
            <w:r w:rsidR="00583DBC">
              <w:rPr>
                <w:noProof/>
                <w:webHidden/>
              </w:rPr>
              <w:fldChar w:fldCharType="begin"/>
            </w:r>
            <w:r w:rsidR="00583DBC">
              <w:rPr>
                <w:noProof/>
                <w:webHidden/>
              </w:rPr>
              <w:instrText xml:space="preserve"> PAGEREF _Toc146746739 \h </w:instrText>
            </w:r>
            <w:r w:rsidR="00583DBC">
              <w:rPr>
                <w:noProof/>
                <w:webHidden/>
              </w:rPr>
            </w:r>
            <w:r w:rsidR="00583DBC">
              <w:rPr>
                <w:noProof/>
                <w:webHidden/>
              </w:rPr>
              <w:fldChar w:fldCharType="separate"/>
            </w:r>
            <w:r w:rsidR="009813E3">
              <w:rPr>
                <w:noProof/>
                <w:webHidden/>
              </w:rPr>
              <w:t>183</w:t>
            </w:r>
            <w:r w:rsidR="00583DBC">
              <w:rPr>
                <w:noProof/>
                <w:webHidden/>
              </w:rPr>
              <w:fldChar w:fldCharType="end"/>
            </w:r>
          </w:hyperlink>
        </w:p>
        <w:p w14:paraId="7AB658A0" w14:textId="1FF1064A" w:rsidR="00583DBC" w:rsidRDefault="0069425C">
          <w:pPr>
            <w:pStyle w:val="TOC2"/>
            <w:rPr>
              <w:rFonts w:eastAsiaTheme="minorEastAsia"/>
              <w:noProof/>
              <w:spacing w:val="0"/>
              <w:lang w:eastAsia="en-AU"/>
            </w:rPr>
          </w:pPr>
          <w:hyperlink w:anchor="_Toc146746740" w:history="1">
            <w:r w:rsidR="00583DBC" w:rsidRPr="00782108">
              <w:rPr>
                <w:rStyle w:val="Hyperlink"/>
                <w:noProof/>
              </w:rPr>
              <w:t>A.1</w:t>
            </w:r>
            <w:r w:rsidR="00583DBC">
              <w:rPr>
                <w:rFonts w:eastAsiaTheme="minorEastAsia"/>
                <w:noProof/>
                <w:spacing w:val="0"/>
                <w:lang w:eastAsia="en-AU"/>
              </w:rPr>
              <w:tab/>
            </w:r>
            <w:r w:rsidR="00583DBC" w:rsidRPr="00782108">
              <w:rPr>
                <w:rStyle w:val="Hyperlink"/>
                <w:noProof/>
              </w:rPr>
              <w:t>Performance assessment against PREMO requirements</w:t>
            </w:r>
            <w:r w:rsidR="00583DBC">
              <w:rPr>
                <w:noProof/>
                <w:webHidden/>
              </w:rPr>
              <w:tab/>
            </w:r>
            <w:r w:rsidR="00583DBC">
              <w:rPr>
                <w:noProof/>
                <w:webHidden/>
              </w:rPr>
              <w:fldChar w:fldCharType="begin"/>
            </w:r>
            <w:r w:rsidR="00583DBC">
              <w:rPr>
                <w:noProof/>
                <w:webHidden/>
              </w:rPr>
              <w:instrText xml:space="preserve"> PAGEREF _Toc146746740 \h </w:instrText>
            </w:r>
            <w:r w:rsidR="00583DBC">
              <w:rPr>
                <w:noProof/>
                <w:webHidden/>
              </w:rPr>
            </w:r>
            <w:r w:rsidR="00583DBC">
              <w:rPr>
                <w:noProof/>
                <w:webHidden/>
              </w:rPr>
              <w:fldChar w:fldCharType="separate"/>
            </w:r>
            <w:r w:rsidR="009813E3">
              <w:rPr>
                <w:noProof/>
                <w:webHidden/>
              </w:rPr>
              <w:t>183</w:t>
            </w:r>
            <w:r w:rsidR="00583DBC">
              <w:rPr>
                <w:noProof/>
                <w:webHidden/>
              </w:rPr>
              <w:fldChar w:fldCharType="end"/>
            </w:r>
          </w:hyperlink>
        </w:p>
        <w:p w14:paraId="4072EDFB" w14:textId="7B440922" w:rsidR="00583DBC" w:rsidRDefault="0069425C">
          <w:pPr>
            <w:pStyle w:val="TOC2"/>
            <w:rPr>
              <w:rFonts w:eastAsiaTheme="minorEastAsia"/>
              <w:noProof/>
              <w:spacing w:val="0"/>
              <w:lang w:eastAsia="en-AU"/>
            </w:rPr>
          </w:pPr>
          <w:hyperlink w:anchor="_Toc146746741" w:history="1">
            <w:r w:rsidR="00583DBC" w:rsidRPr="00782108">
              <w:rPr>
                <w:rStyle w:val="Hyperlink"/>
                <w:noProof/>
              </w:rPr>
              <w:t>A.2</w:t>
            </w:r>
            <w:r w:rsidR="00583DBC">
              <w:rPr>
                <w:rFonts w:eastAsiaTheme="minorEastAsia"/>
                <w:noProof/>
                <w:spacing w:val="0"/>
                <w:lang w:eastAsia="en-AU"/>
              </w:rPr>
              <w:tab/>
            </w:r>
            <w:r w:rsidR="00583DBC" w:rsidRPr="00782108">
              <w:rPr>
                <w:rStyle w:val="Hyperlink"/>
                <w:noProof/>
              </w:rPr>
              <w:t>Risk assessment against PREMO requirements</w:t>
            </w:r>
            <w:r w:rsidR="00583DBC">
              <w:rPr>
                <w:noProof/>
                <w:webHidden/>
              </w:rPr>
              <w:tab/>
            </w:r>
            <w:r w:rsidR="00583DBC">
              <w:rPr>
                <w:noProof/>
                <w:webHidden/>
              </w:rPr>
              <w:fldChar w:fldCharType="begin"/>
            </w:r>
            <w:r w:rsidR="00583DBC">
              <w:rPr>
                <w:noProof/>
                <w:webHidden/>
              </w:rPr>
              <w:instrText xml:space="preserve"> PAGEREF _Toc146746741 \h </w:instrText>
            </w:r>
            <w:r w:rsidR="00583DBC">
              <w:rPr>
                <w:noProof/>
                <w:webHidden/>
              </w:rPr>
            </w:r>
            <w:r w:rsidR="00583DBC">
              <w:rPr>
                <w:noProof/>
                <w:webHidden/>
              </w:rPr>
              <w:fldChar w:fldCharType="separate"/>
            </w:r>
            <w:r w:rsidR="009813E3">
              <w:rPr>
                <w:noProof/>
                <w:webHidden/>
              </w:rPr>
              <w:t>185</w:t>
            </w:r>
            <w:r w:rsidR="00583DBC">
              <w:rPr>
                <w:noProof/>
                <w:webHidden/>
              </w:rPr>
              <w:fldChar w:fldCharType="end"/>
            </w:r>
          </w:hyperlink>
        </w:p>
        <w:p w14:paraId="142099C4" w14:textId="58B6F4F4" w:rsidR="00583DBC" w:rsidRDefault="0069425C">
          <w:pPr>
            <w:pStyle w:val="TOC2"/>
            <w:rPr>
              <w:rFonts w:eastAsiaTheme="minorEastAsia"/>
              <w:noProof/>
              <w:spacing w:val="0"/>
              <w:lang w:eastAsia="en-AU"/>
            </w:rPr>
          </w:pPr>
          <w:hyperlink w:anchor="_Toc146746742" w:history="1">
            <w:r w:rsidR="00583DBC" w:rsidRPr="00782108">
              <w:rPr>
                <w:rStyle w:val="Hyperlink"/>
                <w:noProof/>
              </w:rPr>
              <w:t>A.3</w:t>
            </w:r>
            <w:r w:rsidR="00583DBC">
              <w:rPr>
                <w:rFonts w:eastAsiaTheme="minorEastAsia"/>
                <w:noProof/>
                <w:spacing w:val="0"/>
                <w:lang w:eastAsia="en-AU"/>
              </w:rPr>
              <w:tab/>
            </w:r>
            <w:r w:rsidR="00583DBC" w:rsidRPr="00782108">
              <w:rPr>
                <w:rStyle w:val="Hyperlink"/>
                <w:noProof/>
              </w:rPr>
              <w:t>Engagement assessment against PREMO requirements</w:t>
            </w:r>
            <w:r w:rsidR="00583DBC">
              <w:rPr>
                <w:noProof/>
                <w:webHidden/>
              </w:rPr>
              <w:tab/>
            </w:r>
            <w:r w:rsidR="00583DBC">
              <w:rPr>
                <w:noProof/>
                <w:webHidden/>
              </w:rPr>
              <w:fldChar w:fldCharType="begin"/>
            </w:r>
            <w:r w:rsidR="00583DBC">
              <w:rPr>
                <w:noProof/>
                <w:webHidden/>
              </w:rPr>
              <w:instrText xml:space="preserve"> PAGEREF _Toc146746742 \h </w:instrText>
            </w:r>
            <w:r w:rsidR="00583DBC">
              <w:rPr>
                <w:noProof/>
                <w:webHidden/>
              </w:rPr>
            </w:r>
            <w:r w:rsidR="00583DBC">
              <w:rPr>
                <w:noProof/>
                <w:webHidden/>
              </w:rPr>
              <w:fldChar w:fldCharType="separate"/>
            </w:r>
            <w:r w:rsidR="009813E3">
              <w:rPr>
                <w:noProof/>
                <w:webHidden/>
              </w:rPr>
              <w:t>186</w:t>
            </w:r>
            <w:r w:rsidR="00583DBC">
              <w:rPr>
                <w:noProof/>
                <w:webHidden/>
              </w:rPr>
              <w:fldChar w:fldCharType="end"/>
            </w:r>
          </w:hyperlink>
        </w:p>
        <w:p w14:paraId="41B7B70A" w14:textId="1B472BF0" w:rsidR="00583DBC" w:rsidRDefault="0069425C">
          <w:pPr>
            <w:pStyle w:val="TOC2"/>
            <w:rPr>
              <w:rFonts w:eastAsiaTheme="minorEastAsia"/>
              <w:noProof/>
              <w:spacing w:val="0"/>
              <w:lang w:eastAsia="en-AU"/>
            </w:rPr>
          </w:pPr>
          <w:hyperlink w:anchor="_Toc146746743" w:history="1">
            <w:r w:rsidR="00583DBC" w:rsidRPr="00782108">
              <w:rPr>
                <w:rStyle w:val="Hyperlink"/>
                <w:noProof/>
              </w:rPr>
              <w:t>A.4</w:t>
            </w:r>
            <w:r w:rsidR="00583DBC">
              <w:rPr>
                <w:rFonts w:eastAsiaTheme="minorEastAsia"/>
                <w:noProof/>
                <w:spacing w:val="0"/>
                <w:lang w:eastAsia="en-AU"/>
              </w:rPr>
              <w:tab/>
            </w:r>
            <w:r w:rsidR="00583DBC" w:rsidRPr="00782108">
              <w:rPr>
                <w:rStyle w:val="Hyperlink"/>
                <w:noProof/>
              </w:rPr>
              <w:t>Management assessment against PREMO requirements</w:t>
            </w:r>
            <w:r w:rsidR="00583DBC">
              <w:rPr>
                <w:noProof/>
                <w:webHidden/>
              </w:rPr>
              <w:tab/>
            </w:r>
            <w:r w:rsidR="00583DBC">
              <w:rPr>
                <w:noProof/>
                <w:webHidden/>
              </w:rPr>
              <w:fldChar w:fldCharType="begin"/>
            </w:r>
            <w:r w:rsidR="00583DBC">
              <w:rPr>
                <w:noProof/>
                <w:webHidden/>
              </w:rPr>
              <w:instrText xml:space="preserve"> PAGEREF _Toc146746743 \h </w:instrText>
            </w:r>
            <w:r w:rsidR="00583DBC">
              <w:rPr>
                <w:noProof/>
                <w:webHidden/>
              </w:rPr>
            </w:r>
            <w:r w:rsidR="00583DBC">
              <w:rPr>
                <w:noProof/>
                <w:webHidden/>
              </w:rPr>
              <w:fldChar w:fldCharType="separate"/>
            </w:r>
            <w:r w:rsidR="009813E3">
              <w:rPr>
                <w:noProof/>
                <w:webHidden/>
              </w:rPr>
              <w:t>189</w:t>
            </w:r>
            <w:r w:rsidR="00583DBC">
              <w:rPr>
                <w:noProof/>
                <w:webHidden/>
              </w:rPr>
              <w:fldChar w:fldCharType="end"/>
            </w:r>
          </w:hyperlink>
        </w:p>
        <w:p w14:paraId="3FF5D55F" w14:textId="440B1E40" w:rsidR="00583DBC" w:rsidRDefault="0069425C">
          <w:pPr>
            <w:pStyle w:val="TOC2"/>
            <w:rPr>
              <w:rFonts w:eastAsiaTheme="minorEastAsia"/>
              <w:noProof/>
              <w:spacing w:val="0"/>
              <w:lang w:eastAsia="en-AU"/>
            </w:rPr>
          </w:pPr>
          <w:hyperlink w:anchor="_Toc146746744" w:history="1">
            <w:r w:rsidR="00583DBC" w:rsidRPr="00782108">
              <w:rPr>
                <w:rStyle w:val="Hyperlink"/>
                <w:noProof/>
              </w:rPr>
              <w:t>A.5</w:t>
            </w:r>
            <w:r w:rsidR="00583DBC">
              <w:rPr>
                <w:rFonts w:eastAsiaTheme="minorEastAsia"/>
                <w:noProof/>
                <w:spacing w:val="0"/>
                <w:lang w:eastAsia="en-AU"/>
              </w:rPr>
              <w:tab/>
            </w:r>
            <w:r w:rsidR="00583DBC" w:rsidRPr="00782108">
              <w:rPr>
                <w:rStyle w:val="Hyperlink"/>
                <w:noProof/>
              </w:rPr>
              <w:t>Outcomes assessment against PREMO requirements</w:t>
            </w:r>
            <w:r w:rsidR="00583DBC">
              <w:rPr>
                <w:noProof/>
                <w:webHidden/>
              </w:rPr>
              <w:tab/>
            </w:r>
            <w:r w:rsidR="00583DBC">
              <w:rPr>
                <w:noProof/>
                <w:webHidden/>
              </w:rPr>
              <w:fldChar w:fldCharType="begin"/>
            </w:r>
            <w:r w:rsidR="00583DBC">
              <w:rPr>
                <w:noProof/>
                <w:webHidden/>
              </w:rPr>
              <w:instrText xml:space="preserve"> PAGEREF _Toc146746744 \h </w:instrText>
            </w:r>
            <w:r w:rsidR="00583DBC">
              <w:rPr>
                <w:noProof/>
                <w:webHidden/>
              </w:rPr>
            </w:r>
            <w:r w:rsidR="00583DBC">
              <w:rPr>
                <w:noProof/>
                <w:webHidden/>
              </w:rPr>
              <w:fldChar w:fldCharType="separate"/>
            </w:r>
            <w:r w:rsidR="009813E3">
              <w:rPr>
                <w:noProof/>
                <w:webHidden/>
              </w:rPr>
              <w:t>192</w:t>
            </w:r>
            <w:r w:rsidR="00583DBC">
              <w:rPr>
                <w:noProof/>
                <w:webHidden/>
              </w:rPr>
              <w:fldChar w:fldCharType="end"/>
            </w:r>
          </w:hyperlink>
        </w:p>
        <w:p w14:paraId="55077613" w14:textId="4CA40A98" w:rsidR="00583DBC" w:rsidRDefault="0069425C">
          <w:pPr>
            <w:pStyle w:val="TOC1"/>
            <w:tabs>
              <w:tab w:val="left" w:pos="1320"/>
            </w:tabs>
            <w:rPr>
              <w:rFonts w:eastAsiaTheme="minorEastAsia"/>
              <w:b w:val="0"/>
              <w:noProof/>
              <w:color w:val="auto"/>
              <w:spacing w:val="0"/>
              <w:lang w:eastAsia="en-AU"/>
            </w:rPr>
          </w:pPr>
          <w:hyperlink w:anchor="_Toc146746745" w:history="1">
            <w:r w:rsidR="00583DBC" w:rsidRPr="00782108">
              <w:rPr>
                <w:rStyle w:val="Hyperlink"/>
                <w:noProof/>
              </w:rPr>
              <w:t>Appendix B</w:t>
            </w:r>
            <w:r w:rsidR="00F25E68">
              <w:rPr>
                <w:rFonts w:eastAsiaTheme="minorEastAsia"/>
                <w:b w:val="0"/>
                <w:noProof/>
                <w:color w:val="auto"/>
                <w:spacing w:val="0"/>
                <w:lang w:eastAsia="en-AU"/>
              </w:rPr>
              <w:t>:</w:t>
            </w:r>
            <w:r w:rsidR="00583DBC" w:rsidRPr="00782108">
              <w:rPr>
                <w:rStyle w:val="Hyperlink"/>
                <w:noProof/>
              </w:rPr>
              <w:t>Regulatory risks</w:t>
            </w:r>
            <w:r w:rsidR="00583DBC">
              <w:rPr>
                <w:noProof/>
                <w:webHidden/>
              </w:rPr>
              <w:tab/>
            </w:r>
            <w:r w:rsidR="00583DBC">
              <w:rPr>
                <w:noProof/>
                <w:webHidden/>
              </w:rPr>
              <w:fldChar w:fldCharType="begin"/>
            </w:r>
            <w:r w:rsidR="00583DBC">
              <w:rPr>
                <w:noProof/>
                <w:webHidden/>
              </w:rPr>
              <w:instrText xml:space="preserve"> PAGEREF _Toc146746745 \h </w:instrText>
            </w:r>
            <w:r w:rsidR="00583DBC">
              <w:rPr>
                <w:noProof/>
                <w:webHidden/>
              </w:rPr>
            </w:r>
            <w:r w:rsidR="00583DBC">
              <w:rPr>
                <w:noProof/>
                <w:webHidden/>
              </w:rPr>
              <w:fldChar w:fldCharType="separate"/>
            </w:r>
            <w:r w:rsidR="009813E3">
              <w:rPr>
                <w:noProof/>
                <w:webHidden/>
              </w:rPr>
              <w:t>194</w:t>
            </w:r>
            <w:r w:rsidR="00583DBC">
              <w:rPr>
                <w:noProof/>
                <w:webHidden/>
              </w:rPr>
              <w:fldChar w:fldCharType="end"/>
            </w:r>
          </w:hyperlink>
        </w:p>
        <w:p w14:paraId="1A49AB91" w14:textId="7F2B6715" w:rsidR="00583DBC" w:rsidRDefault="0069425C">
          <w:pPr>
            <w:pStyle w:val="TOC1"/>
            <w:tabs>
              <w:tab w:val="left" w:pos="1320"/>
            </w:tabs>
            <w:rPr>
              <w:rFonts w:eastAsiaTheme="minorEastAsia"/>
              <w:b w:val="0"/>
              <w:noProof/>
              <w:color w:val="auto"/>
              <w:spacing w:val="0"/>
              <w:lang w:eastAsia="en-AU"/>
            </w:rPr>
          </w:pPr>
          <w:hyperlink w:anchor="_Toc146746746" w:history="1">
            <w:r w:rsidR="00583DBC" w:rsidRPr="00782108">
              <w:rPr>
                <w:rStyle w:val="Hyperlink"/>
                <w:noProof/>
              </w:rPr>
              <w:t>Appendix C</w:t>
            </w:r>
            <w:r w:rsidR="00D360ED">
              <w:rPr>
                <w:rFonts w:eastAsiaTheme="minorEastAsia"/>
                <w:b w:val="0"/>
                <w:noProof/>
                <w:color w:val="auto"/>
                <w:spacing w:val="0"/>
                <w:lang w:eastAsia="en-AU"/>
              </w:rPr>
              <w:t>:</w:t>
            </w:r>
            <w:r w:rsidR="00583DBC" w:rsidRPr="00782108">
              <w:rPr>
                <w:rStyle w:val="Hyperlink"/>
                <w:noProof/>
              </w:rPr>
              <w:t>Customer scorecard</w:t>
            </w:r>
            <w:r w:rsidR="00583DBC">
              <w:rPr>
                <w:noProof/>
                <w:webHidden/>
              </w:rPr>
              <w:tab/>
            </w:r>
            <w:r w:rsidR="00583DBC">
              <w:rPr>
                <w:noProof/>
                <w:webHidden/>
              </w:rPr>
              <w:fldChar w:fldCharType="begin"/>
            </w:r>
            <w:r w:rsidR="00583DBC">
              <w:rPr>
                <w:noProof/>
                <w:webHidden/>
              </w:rPr>
              <w:instrText xml:space="preserve"> PAGEREF _Toc146746746 \h </w:instrText>
            </w:r>
            <w:r w:rsidR="00583DBC">
              <w:rPr>
                <w:noProof/>
                <w:webHidden/>
              </w:rPr>
            </w:r>
            <w:r w:rsidR="00583DBC">
              <w:rPr>
                <w:noProof/>
                <w:webHidden/>
              </w:rPr>
              <w:fldChar w:fldCharType="separate"/>
            </w:r>
            <w:r w:rsidR="009813E3">
              <w:rPr>
                <w:noProof/>
                <w:webHidden/>
              </w:rPr>
              <w:t>209</w:t>
            </w:r>
            <w:r w:rsidR="00583DBC">
              <w:rPr>
                <w:noProof/>
                <w:webHidden/>
              </w:rPr>
              <w:fldChar w:fldCharType="end"/>
            </w:r>
          </w:hyperlink>
        </w:p>
        <w:p w14:paraId="1747AC66" w14:textId="03805921" w:rsidR="00583DBC" w:rsidRDefault="0069425C">
          <w:pPr>
            <w:pStyle w:val="TOC1"/>
            <w:tabs>
              <w:tab w:val="left" w:pos="1320"/>
            </w:tabs>
            <w:rPr>
              <w:rFonts w:eastAsiaTheme="minorEastAsia"/>
              <w:b w:val="0"/>
              <w:noProof/>
              <w:color w:val="auto"/>
              <w:spacing w:val="0"/>
              <w:lang w:eastAsia="en-AU"/>
            </w:rPr>
          </w:pPr>
          <w:hyperlink w:anchor="_Toc146746747" w:history="1">
            <w:r w:rsidR="00583DBC" w:rsidRPr="00782108">
              <w:rPr>
                <w:rStyle w:val="Hyperlink"/>
                <w:noProof/>
              </w:rPr>
              <w:t>Appendix D</w:t>
            </w:r>
            <w:r w:rsidR="00D360ED">
              <w:rPr>
                <w:rFonts w:eastAsiaTheme="minorEastAsia"/>
                <w:b w:val="0"/>
                <w:noProof/>
                <w:color w:val="auto"/>
                <w:spacing w:val="0"/>
                <w:lang w:eastAsia="en-AU"/>
              </w:rPr>
              <w:t xml:space="preserve">: </w:t>
            </w:r>
            <w:r w:rsidR="00583DBC" w:rsidRPr="00782108">
              <w:rPr>
                <w:rStyle w:val="Hyperlink"/>
                <w:noProof/>
              </w:rPr>
              <w:t xml:space="preserve">Customer Advisory Group Engagement </w:t>
            </w:r>
            <w:r w:rsidR="009621AA">
              <w:rPr>
                <w:rStyle w:val="Hyperlink"/>
                <w:noProof/>
              </w:rPr>
              <w:br/>
            </w:r>
            <w:r w:rsidR="00583DBC" w:rsidRPr="00782108">
              <w:rPr>
                <w:rStyle w:val="Hyperlink"/>
                <w:noProof/>
              </w:rPr>
              <w:t>Support Letter</w:t>
            </w:r>
            <w:r w:rsidR="00583DBC">
              <w:rPr>
                <w:noProof/>
                <w:webHidden/>
              </w:rPr>
              <w:tab/>
            </w:r>
            <w:r w:rsidR="00583DBC">
              <w:rPr>
                <w:noProof/>
                <w:webHidden/>
              </w:rPr>
              <w:fldChar w:fldCharType="begin"/>
            </w:r>
            <w:r w:rsidR="00583DBC">
              <w:rPr>
                <w:noProof/>
                <w:webHidden/>
              </w:rPr>
              <w:instrText xml:space="preserve"> PAGEREF _Toc146746747 \h </w:instrText>
            </w:r>
            <w:r w:rsidR="00583DBC">
              <w:rPr>
                <w:noProof/>
                <w:webHidden/>
              </w:rPr>
            </w:r>
            <w:r w:rsidR="00583DBC">
              <w:rPr>
                <w:noProof/>
                <w:webHidden/>
              </w:rPr>
              <w:fldChar w:fldCharType="separate"/>
            </w:r>
            <w:r w:rsidR="009813E3">
              <w:rPr>
                <w:noProof/>
                <w:webHidden/>
              </w:rPr>
              <w:t>212</w:t>
            </w:r>
            <w:r w:rsidR="00583DBC">
              <w:rPr>
                <w:noProof/>
                <w:webHidden/>
              </w:rPr>
              <w:fldChar w:fldCharType="end"/>
            </w:r>
          </w:hyperlink>
        </w:p>
        <w:p w14:paraId="33AD8CE9" w14:textId="77F65399" w:rsidR="00583DBC" w:rsidRDefault="0069425C">
          <w:pPr>
            <w:pStyle w:val="TOC1"/>
            <w:tabs>
              <w:tab w:val="left" w:pos="1320"/>
            </w:tabs>
            <w:rPr>
              <w:rFonts w:eastAsiaTheme="minorEastAsia"/>
              <w:b w:val="0"/>
              <w:noProof/>
              <w:color w:val="auto"/>
              <w:spacing w:val="0"/>
              <w:lang w:eastAsia="en-AU"/>
            </w:rPr>
          </w:pPr>
          <w:hyperlink w:anchor="_Toc146746748" w:history="1">
            <w:r w:rsidR="00583DBC" w:rsidRPr="00782108">
              <w:rPr>
                <w:rStyle w:val="Hyperlink"/>
                <w:noProof/>
              </w:rPr>
              <w:t>Appendix E</w:t>
            </w:r>
            <w:r w:rsidR="00D360ED">
              <w:rPr>
                <w:rFonts w:eastAsiaTheme="minorEastAsia"/>
                <w:b w:val="0"/>
                <w:noProof/>
                <w:color w:val="auto"/>
                <w:spacing w:val="0"/>
                <w:lang w:eastAsia="en-AU"/>
              </w:rPr>
              <w:t xml:space="preserve">: </w:t>
            </w:r>
            <w:r w:rsidR="00583DBC" w:rsidRPr="00782108">
              <w:rPr>
                <w:rStyle w:val="Hyperlink"/>
                <w:noProof/>
              </w:rPr>
              <w:t xml:space="preserve">Connection between existing and </w:t>
            </w:r>
            <w:r w:rsidR="009621AA">
              <w:rPr>
                <w:rStyle w:val="Hyperlink"/>
                <w:noProof/>
              </w:rPr>
              <w:br/>
            </w:r>
            <w:r w:rsidR="00583DBC" w:rsidRPr="00782108">
              <w:rPr>
                <w:rStyle w:val="Hyperlink"/>
                <w:noProof/>
              </w:rPr>
              <w:t>proposed customer outcomes</w:t>
            </w:r>
            <w:r w:rsidR="00583DBC">
              <w:rPr>
                <w:noProof/>
                <w:webHidden/>
              </w:rPr>
              <w:tab/>
            </w:r>
            <w:r w:rsidR="00583DBC">
              <w:rPr>
                <w:noProof/>
                <w:webHidden/>
              </w:rPr>
              <w:fldChar w:fldCharType="begin"/>
            </w:r>
            <w:r w:rsidR="00583DBC">
              <w:rPr>
                <w:noProof/>
                <w:webHidden/>
              </w:rPr>
              <w:instrText xml:space="preserve"> PAGEREF _Toc146746748 \h </w:instrText>
            </w:r>
            <w:r w:rsidR="00583DBC">
              <w:rPr>
                <w:noProof/>
                <w:webHidden/>
              </w:rPr>
            </w:r>
            <w:r w:rsidR="00583DBC">
              <w:rPr>
                <w:noProof/>
                <w:webHidden/>
              </w:rPr>
              <w:fldChar w:fldCharType="separate"/>
            </w:r>
            <w:r w:rsidR="009813E3">
              <w:rPr>
                <w:noProof/>
                <w:webHidden/>
              </w:rPr>
              <w:t>214</w:t>
            </w:r>
            <w:r w:rsidR="00583DBC">
              <w:rPr>
                <w:noProof/>
                <w:webHidden/>
              </w:rPr>
              <w:fldChar w:fldCharType="end"/>
            </w:r>
          </w:hyperlink>
        </w:p>
        <w:p w14:paraId="2403A7E7" w14:textId="75C88D63" w:rsidR="00583DBC" w:rsidRDefault="0069425C">
          <w:pPr>
            <w:pStyle w:val="TOC1"/>
            <w:tabs>
              <w:tab w:val="left" w:pos="1320"/>
            </w:tabs>
            <w:rPr>
              <w:rFonts w:eastAsiaTheme="minorEastAsia"/>
              <w:b w:val="0"/>
              <w:noProof/>
              <w:color w:val="auto"/>
              <w:spacing w:val="0"/>
              <w:lang w:eastAsia="en-AU"/>
            </w:rPr>
          </w:pPr>
          <w:hyperlink w:anchor="_Toc146746749" w:history="1">
            <w:r w:rsidR="00583DBC" w:rsidRPr="00782108">
              <w:rPr>
                <w:rStyle w:val="Hyperlink"/>
                <w:noProof/>
              </w:rPr>
              <w:t>Appendix F</w:t>
            </w:r>
            <w:r w:rsidR="00D360ED">
              <w:rPr>
                <w:rStyle w:val="Hyperlink"/>
                <w:noProof/>
              </w:rPr>
              <w:t xml:space="preserve">: </w:t>
            </w:r>
            <w:r w:rsidR="00583DBC" w:rsidRPr="00782108">
              <w:rPr>
                <w:rStyle w:val="Hyperlink"/>
                <w:noProof/>
              </w:rPr>
              <w:t>Top 10 major project summary</w:t>
            </w:r>
            <w:r w:rsidR="00583DBC">
              <w:rPr>
                <w:noProof/>
                <w:webHidden/>
              </w:rPr>
              <w:tab/>
            </w:r>
            <w:r w:rsidR="00583DBC">
              <w:rPr>
                <w:noProof/>
                <w:webHidden/>
              </w:rPr>
              <w:fldChar w:fldCharType="begin"/>
            </w:r>
            <w:r w:rsidR="00583DBC">
              <w:rPr>
                <w:noProof/>
                <w:webHidden/>
              </w:rPr>
              <w:instrText xml:space="preserve"> PAGEREF _Toc146746749 \h </w:instrText>
            </w:r>
            <w:r w:rsidR="00583DBC">
              <w:rPr>
                <w:noProof/>
                <w:webHidden/>
              </w:rPr>
            </w:r>
            <w:r w:rsidR="00583DBC">
              <w:rPr>
                <w:noProof/>
                <w:webHidden/>
              </w:rPr>
              <w:fldChar w:fldCharType="separate"/>
            </w:r>
            <w:r w:rsidR="009813E3">
              <w:rPr>
                <w:noProof/>
                <w:webHidden/>
              </w:rPr>
              <w:t>216</w:t>
            </w:r>
            <w:r w:rsidR="00583DBC">
              <w:rPr>
                <w:noProof/>
                <w:webHidden/>
              </w:rPr>
              <w:fldChar w:fldCharType="end"/>
            </w:r>
          </w:hyperlink>
        </w:p>
        <w:p w14:paraId="3B4D19EB" w14:textId="52C31EF5" w:rsidR="00583DBC" w:rsidRDefault="0069425C">
          <w:pPr>
            <w:pStyle w:val="TOC1"/>
            <w:tabs>
              <w:tab w:val="left" w:pos="1320"/>
            </w:tabs>
            <w:rPr>
              <w:rFonts w:eastAsiaTheme="minorEastAsia"/>
              <w:b w:val="0"/>
              <w:noProof/>
              <w:color w:val="auto"/>
              <w:spacing w:val="0"/>
              <w:lang w:eastAsia="en-AU"/>
            </w:rPr>
          </w:pPr>
          <w:hyperlink w:anchor="_Toc146746750" w:history="1">
            <w:r w:rsidR="00583DBC" w:rsidRPr="00782108">
              <w:rPr>
                <w:rStyle w:val="Hyperlink"/>
                <w:noProof/>
              </w:rPr>
              <w:t>Appendix G</w:t>
            </w:r>
            <w:r w:rsidR="00D360ED">
              <w:rPr>
                <w:rStyle w:val="Hyperlink"/>
                <w:noProof/>
              </w:rPr>
              <w:t xml:space="preserve">: </w:t>
            </w:r>
            <w:r w:rsidR="00583DBC" w:rsidRPr="00782108">
              <w:rPr>
                <w:rStyle w:val="Hyperlink"/>
                <w:noProof/>
              </w:rPr>
              <w:t>Capital programs</w:t>
            </w:r>
            <w:r w:rsidR="00583DBC">
              <w:rPr>
                <w:noProof/>
                <w:webHidden/>
              </w:rPr>
              <w:tab/>
            </w:r>
            <w:r w:rsidR="00583DBC">
              <w:rPr>
                <w:noProof/>
                <w:webHidden/>
              </w:rPr>
              <w:fldChar w:fldCharType="begin"/>
            </w:r>
            <w:r w:rsidR="00583DBC">
              <w:rPr>
                <w:noProof/>
                <w:webHidden/>
              </w:rPr>
              <w:instrText xml:space="preserve"> PAGEREF _Toc146746750 \h </w:instrText>
            </w:r>
            <w:r w:rsidR="00583DBC">
              <w:rPr>
                <w:noProof/>
                <w:webHidden/>
              </w:rPr>
            </w:r>
            <w:r w:rsidR="00583DBC">
              <w:rPr>
                <w:noProof/>
                <w:webHidden/>
              </w:rPr>
              <w:fldChar w:fldCharType="separate"/>
            </w:r>
            <w:r w:rsidR="009813E3">
              <w:rPr>
                <w:noProof/>
                <w:webHidden/>
              </w:rPr>
              <w:t>227</w:t>
            </w:r>
            <w:r w:rsidR="00583DBC">
              <w:rPr>
                <w:noProof/>
                <w:webHidden/>
              </w:rPr>
              <w:fldChar w:fldCharType="end"/>
            </w:r>
          </w:hyperlink>
        </w:p>
        <w:p w14:paraId="17E80D69" w14:textId="42F821DB" w:rsidR="00583DBC" w:rsidRDefault="0069425C">
          <w:pPr>
            <w:pStyle w:val="TOC1"/>
            <w:tabs>
              <w:tab w:val="left" w:pos="1320"/>
            </w:tabs>
            <w:rPr>
              <w:rFonts w:eastAsiaTheme="minorEastAsia"/>
              <w:b w:val="0"/>
              <w:noProof/>
              <w:color w:val="auto"/>
              <w:spacing w:val="0"/>
              <w:lang w:eastAsia="en-AU"/>
            </w:rPr>
          </w:pPr>
          <w:hyperlink w:anchor="_Toc146746751" w:history="1">
            <w:r w:rsidR="00583DBC" w:rsidRPr="00782108">
              <w:rPr>
                <w:rStyle w:val="Hyperlink"/>
                <w:noProof/>
              </w:rPr>
              <w:t>Appendix H</w:t>
            </w:r>
            <w:r w:rsidR="00D360ED">
              <w:rPr>
                <w:rStyle w:val="Hyperlink"/>
                <w:noProof/>
              </w:rPr>
              <w:t xml:space="preserve">: </w:t>
            </w:r>
            <w:r w:rsidR="00583DBC" w:rsidRPr="00782108">
              <w:rPr>
                <w:rStyle w:val="Hyperlink"/>
                <w:noProof/>
              </w:rPr>
              <w:t>Operating expenditure</w:t>
            </w:r>
            <w:r w:rsidR="00583DBC">
              <w:rPr>
                <w:noProof/>
                <w:webHidden/>
              </w:rPr>
              <w:tab/>
            </w:r>
            <w:r w:rsidR="00583DBC">
              <w:rPr>
                <w:noProof/>
                <w:webHidden/>
              </w:rPr>
              <w:fldChar w:fldCharType="begin"/>
            </w:r>
            <w:r w:rsidR="00583DBC">
              <w:rPr>
                <w:noProof/>
                <w:webHidden/>
              </w:rPr>
              <w:instrText xml:space="preserve"> PAGEREF _Toc146746751 \h </w:instrText>
            </w:r>
            <w:r w:rsidR="00583DBC">
              <w:rPr>
                <w:noProof/>
                <w:webHidden/>
              </w:rPr>
            </w:r>
            <w:r w:rsidR="00583DBC">
              <w:rPr>
                <w:noProof/>
                <w:webHidden/>
              </w:rPr>
              <w:fldChar w:fldCharType="separate"/>
            </w:r>
            <w:r w:rsidR="009813E3">
              <w:rPr>
                <w:noProof/>
                <w:webHidden/>
              </w:rPr>
              <w:t>233</w:t>
            </w:r>
            <w:r w:rsidR="00583DBC">
              <w:rPr>
                <w:noProof/>
                <w:webHidden/>
              </w:rPr>
              <w:fldChar w:fldCharType="end"/>
            </w:r>
          </w:hyperlink>
        </w:p>
        <w:p w14:paraId="3C574219" w14:textId="25051115" w:rsidR="00583DBC" w:rsidRDefault="0069425C">
          <w:pPr>
            <w:pStyle w:val="TOC2"/>
            <w:rPr>
              <w:rFonts w:eastAsiaTheme="minorEastAsia"/>
              <w:noProof/>
              <w:spacing w:val="0"/>
              <w:lang w:eastAsia="en-AU"/>
            </w:rPr>
          </w:pPr>
          <w:hyperlink w:anchor="_Toc146746752" w:history="1">
            <w:r w:rsidR="00583DBC" w:rsidRPr="00782108">
              <w:rPr>
                <w:rStyle w:val="Hyperlink"/>
                <w:noProof/>
              </w:rPr>
              <w:t>H.1</w:t>
            </w:r>
            <w:r w:rsidR="00583DBC">
              <w:rPr>
                <w:rFonts w:eastAsiaTheme="minorEastAsia"/>
                <w:noProof/>
                <w:spacing w:val="0"/>
                <w:lang w:eastAsia="en-AU"/>
              </w:rPr>
              <w:tab/>
            </w:r>
            <w:r w:rsidR="00583DBC" w:rsidRPr="00782108">
              <w:rPr>
                <w:rStyle w:val="Hyperlink"/>
                <w:noProof/>
              </w:rPr>
              <w:t>Current period performance</w:t>
            </w:r>
            <w:r w:rsidR="00583DBC">
              <w:rPr>
                <w:noProof/>
                <w:webHidden/>
              </w:rPr>
              <w:tab/>
            </w:r>
            <w:r w:rsidR="00583DBC">
              <w:rPr>
                <w:noProof/>
                <w:webHidden/>
              </w:rPr>
              <w:fldChar w:fldCharType="begin"/>
            </w:r>
            <w:r w:rsidR="00583DBC">
              <w:rPr>
                <w:noProof/>
                <w:webHidden/>
              </w:rPr>
              <w:instrText xml:space="preserve"> PAGEREF _Toc146746752 \h </w:instrText>
            </w:r>
            <w:r w:rsidR="00583DBC">
              <w:rPr>
                <w:noProof/>
                <w:webHidden/>
              </w:rPr>
            </w:r>
            <w:r w:rsidR="00583DBC">
              <w:rPr>
                <w:noProof/>
                <w:webHidden/>
              </w:rPr>
              <w:fldChar w:fldCharType="separate"/>
            </w:r>
            <w:r w:rsidR="009813E3">
              <w:rPr>
                <w:noProof/>
                <w:webHidden/>
              </w:rPr>
              <w:t>233</w:t>
            </w:r>
            <w:r w:rsidR="00583DBC">
              <w:rPr>
                <w:noProof/>
                <w:webHidden/>
              </w:rPr>
              <w:fldChar w:fldCharType="end"/>
            </w:r>
          </w:hyperlink>
        </w:p>
        <w:p w14:paraId="7A8F8176" w14:textId="4CCE6F16" w:rsidR="00583DBC" w:rsidRDefault="0069425C">
          <w:pPr>
            <w:pStyle w:val="TOC2"/>
            <w:rPr>
              <w:rFonts w:eastAsiaTheme="minorEastAsia"/>
              <w:noProof/>
              <w:spacing w:val="0"/>
              <w:lang w:eastAsia="en-AU"/>
            </w:rPr>
          </w:pPr>
          <w:hyperlink w:anchor="_Toc146746753" w:history="1">
            <w:r w:rsidR="00583DBC" w:rsidRPr="00782108">
              <w:rPr>
                <w:rStyle w:val="Hyperlink"/>
                <w:noProof/>
              </w:rPr>
              <w:t>H.2</w:t>
            </w:r>
            <w:r w:rsidR="00583DBC">
              <w:rPr>
                <w:rFonts w:eastAsiaTheme="minorEastAsia"/>
                <w:noProof/>
                <w:spacing w:val="0"/>
                <w:lang w:eastAsia="en-AU"/>
              </w:rPr>
              <w:tab/>
            </w:r>
            <w:r w:rsidR="00583DBC" w:rsidRPr="00782108">
              <w:rPr>
                <w:rStyle w:val="Hyperlink"/>
                <w:noProof/>
              </w:rPr>
              <w:t>Forecast operating expenditure</w:t>
            </w:r>
            <w:r w:rsidR="00583DBC">
              <w:rPr>
                <w:noProof/>
                <w:webHidden/>
              </w:rPr>
              <w:tab/>
            </w:r>
            <w:r w:rsidR="00583DBC">
              <w:rPr>
                <w:noProof/>
                <w:webHidden/>
              </w:rPr>
              <w:fldChar w:fldCharType="begin"/>
            </w:r>
            <w:r w:rsidR="00583DBC">
              <w:rPr>
                <w:noProof/>
                <w:webHidden/>
              </w:rPr>
              <w:instrText xml:space="preserve"> PAGEREF _Toc146746753 \h </w:instrText>
            </w:r>
            <w:r w:rsidR="00583DBC">
              <w:rPr>
                <w:noProof/>
                <w:webHidden/>
              </w:rPr>
            </w:r>
            <w:r w:rsidR="00583DBC">
              <w:rPr>
                <w:noProof/>
                <w:webHidden/>
              </w:rPr>
              <w:fldChar w:fldCharType="separate"/>
            </w:r>
            <w:r w:rsidR="009813E3">
              <w:rPr>
                <w:noProof/>
                <w:webHidden/>
              </w:rPr>
              <w:t>245</w:t>
            </w:r>
            <w:r w:rsidR="00583DBC">
              <w:rPr>
                <w:noProof/>
                <w:webHidden/>
              </w:rPr>
              <w:fldChar w:fldCharType="end"/>
            </w:r>
          </w:hyperlink>
        </w:p>
        <w:p w14:paraId="6E667789" w14:textId="5B8AC0D1" w:rsidR="00583DBC" w:rsidRDefault="0069425C">
          <w:pPr>
            <w:pStyle w:val="TOC1"/>
            <w:tabs>
              <w:tab w:val="left" w:pos="1320"/>
            </w:tabs>
            <w:rPr>
              <w:rFonts w:eastAsiaTheme="minorEastAsia"/>
              <w:b w:val="0"/>
              <w:noProof/>
              <w:color w:val="auto"/>
              <w:spacing w:val="0"/>
              <w:lang w:eastAsia="en-AU"/>
            </w:rPr>
          </w:pPr>
          <w:hyperlink w:anchor="_Toc146746754" w:history="1">
            <w:r w:rsidR="00583DBC" w:rsidRPr="00782108">
              <w:rPr>
                <w:rStyle w:val="Hyperlink"/>
                <w:noProof/>
              </w:rPr>
              <w:t>Appendix I</w:t>
            </w:r>
            <w:r w:rsidR="00E8564A">
              <w:rPr>
                <w:rFonts w:eastAsiaTheme="minorEastAsia"/>
                <w:b w:val="0"/>
                <w:noProof/>
                <w:color w:val="auto"/>
                <w:spacing w:val="0"/>
                <w:lang w:eastAsia="en-AU"/>
              </w:rPr>
              <w:t>:</w:t>
            </w:r>
            <w:r w:rsidR="00583DBC" w:rsidRPr="00782108">
              <w:rPr>
                <w:rStyle w:val="Hyperlink"/>
                <w:noProof/>
              </w:rPr>
              <w:t>Capitalisation of operating expenditure</w:t>
            </w:r>
            <w:r w:rsidR="00583DBC">
              <w:rPr>
                <w:noProof/>
                <w:webHidden/>
              </w:rPr>
              <w:tab/>
            </w:r>
            <w:r w:rsidR="00583DBC">
              <w:rPr>
                <w:noProof/>
                <w:webHidden/>
              </w:rPr>
              <w:fldChar w:fldCharType="begin"/>
            </w:r>
            <w:r w:rsidR="00583DBC">
              <w:rPr>
                <w:noProof/>
                <w:webHidden/>
              </w:rPr>
              <w:instrText xml:space="preserve"> PAGEREF _Toc146746754 \h </w:instrText>
            </w:r>
            <w:r w:rsidR="00583DBC">
              <w:rPr>
                <w:noProof/>
                <w:webHidden/>
              </w:rPr>
            </w:r>
            <w:r w:rsidR="00583DBC">
              <w:rPr>
                <w:noProof/>
                <w:webHidden/>
              </w:rPr>
              <w:fldChar w:fldCharType="separate"/>
            </w:r>
            <w:r w:rsidR="009813E3">
              <w:rPr>
                <w:noProof/>
                <w:webHidden/>
              </w:rPr>
              <w:t>268</w:t>
            </w:r>
            <w:r w:rsidR="00583DBC">
              <w:rPr>
                <w:noProof/>
                <w:webHidden/>
              </w:rPr>
              <w:fldChar w:fldCharType="end"/>
            </w:r>
          </w:hyperlink>
        </w:p>
        <w:p w14:paraId="6C04C3B8" w14:textId="1CAC7D50" w:rsidR="00583DBC" w:rsidRDefault="0069425C">
          <w:pPr>
            <w:pStyle w:val="TOC2"/>
            <w:rPr>
              <w:rFonts w:eastAsiaTheme="minorEastAsia"/>
              <w:noProof/>
              <w:spacing w:val="0"/>
              <w:lang w:eastAsia="en-AU"/>
            </w:rPr>
          </w:pPr>
          <w:hyperlink w:anchor="_Toc146746755" w:history="1">
            <w:r w:rsidR="00583DBC" w:rsidRPr="00782108">
              <w:rPr>
                <w:rStyle w:val="Hyperlink"/>
                <w:noProof/>
              </w:rPr>
              <w:t>I.1</w:t>
            </w:r>
            <w:r w:rsidR="00583DBC">
              <w:rPr>
                <w:rFonts w:eastAsiaTheme="minorEastAsia"/>
                <w:noProof/>
                <w:spacing w:val="0"/>
                <w:lang w:eastAsia="en-AU"/>
              </w:rPr>
              <w:tab/>
            </w:r>
            <w:r w:rsidR="00583DBC" w:rsidRPr="00782108">
              <w:rPr>
                <w:rStyle w:val="Hyperlink"/>
                <w:noProof/>
              </w:rPr>
              <w:t>Regulatory treatment of SaaS/IT projects</w:t>
            </w:r>
            <w:r w:rsidR="00583DBC">
              <w:rPr>
                <w:noProof/>
                <w:webHidden/>
              </w:rPr>
              <w:tab/>
            </w:r>
            <w:r w:rsidR="00583DBC">
              <w:rPr>
                <w:noProof/>
                <w:webHidden/>
              </w:rPr>
              <w:fldChar w:fldCharType="begin"/>
            </w:r>
            <w:r w:rsidR="00583DBC">
              <w:rPr>
                <w:noProof/>
                <w:webHidden/>
              </w:rPr>
              <w:instrText xml:space="preserve"> PAGEREF _Toc146746755 \h </w:instrText>
            </w:r>
            <w:r w:rsidR="00583DBC">
              <w:rPr>
                <w:noProof/>
                <w:webHidden/>
              </w:rPr>
            </w:r>
            <w:r w:rsidR="00583DBC">
              <w:rPr>
                <w:noProof/>
                <w:webHidden/>
              </w:rPr>
              <w:fldChar w:fldCharType="separate"/>
            </w:r>
            <w:r w:rsidR="009813E3">
              <w:rPr>
                <w:noProof/>
                <w:webHidden/>
              </w:rPr>
              <w:t>268</w:t>
            </w:r>
            <w:r w:rsidR="00583DBC">
              <w:rPr>
                <w:noProof/>
                <w:webHidden/>
              </w:rPr>
              <w:fldChar w:fldCharType="end"/>
            </w:r>
          </w:hyperlink>
        </w:p>
        <w:p w14:paraId="0DD55AEA" w14:textId="3BDF5595" w:rsidR="00583DBC" w:rsidRDefault="0069425C">
          <w:pPr>
            <w:pStyle w:val="TOC2"/>
            <w:rPr>
              <w:rFonts w:eastAsiaTheme="minorEastAsia"/>
              <w:noProof/>
              <w:spacing w:val="0"/>
              <w:lang w:eastAsia="en-AU"/>
            </w:rPr>
          </w:pPr>
          <w:hyperlink w:anchor="_Toc146746756" w:history="1">
            <w:r w:rsidR="00583DBC" w:rsidRPr="00782108">
              <w:rPr>
                <w:rStyle w:val="Hyperlink"/>
                <w:noProof/>
              </w:rPr>
              <w:t>I.2</w:t>
            </w:r>
            <w:r w:rsidR="00583DBC">
              <w:rPr>
                <w:rFonts w:eastAsiaTheme="minorEastAsia"/>
                <w:noProof/>
                <w:spacing w:val="0"/>
                <w:lang w:eastAsia="en-AU"/>
              </w:rPr>
              <w:tab/>
            </w:r>
            <w:r w:rsidR="00583DBC" w:rsidRPr="00782108">
              <w:rPr>
                <w:rStyle w:val="Hyperlink"/>
                <w:noProof/>
              </w:rPr>
              <w:t>Regulatory treatment of Asset Delivery Organisational Review (ADOR) program</w:t>
            </w:r>
            <w:r w:rsidR="00583DBC">
              <w:rPr>
                <w:noProof/>
                <w:webHidden/>
              </w:rPr>
              <w:tab/>
            </w:r>
            <w:r w:rsidR="00583DBC">
              <w:rPr>
                <w:noProof/>
                <w:webHidden/>
              </w:rPr>
              <w:fldChar w:fldCharType="begin"/>
            </w:r>
            <w:r w:rsidR="00583DBC">
              <w:rPr>
                <w:noProof/>
                <w:webHidden/>
              </w:rPr>
              <w:instrText xml:space="preserve"> PAGEREF _Toc146746756 \h </w:instrText>
            </w:r>
            <w:r w:rsidR="00583DBC">
              <w:rPr>
                <w:noProof/>
                <w:webHidden/>
              </w:rPr>
            </w:r>
            <w:r w:rsidR="00583DBC">
              <w:rPr>
                <w:noProof/>
                <w:webHidden/>
              </w:rPr>
              <w:fldChar w:fldCharType="separate"/>
            </w:r>
            <w:r w:rsidR="009813E3">
              <w:rPr>
                <w:noProof/>
                <w:webHidden/>
              </w:rPr>
              <w:t>269</w:t>
            </w:r>
            <w:r w:rsidR="00583DBC">
              <w:rPr>
                <w:noProof/>
                <w:webHidden/>
              </w:rPr>
              <w:fldChar w:fldCharType="end"/>
            </w:r>
          </w:hyperlink>
        </w:p>
        <w:p w14:paraId="4D0D7A3B" w14:textId="7CA5AA13" w:rsidR="00583DBC" w:rsidRDefault="0069425C">
          <w:pPr>
            <w:pStyle w:val="TOC2"/>
            <w:rPr>
              <w:rFonts w:eastAsiaTheme="minorEastAsia"/>
              <w:noProof/>
              <w:spacing w:val="0"/>
              <w:lang w:eastAsia="en-AU"/>
            </w:rPr>
          </w:pPr>
          <w:hyperlink w:anchor="_Toc146746757" w:history="1">
            <w:r w:rsidR="00583DBC" w:rsidRPr="00782108">
              <w:rPr>
                <w:rStyle w:val="Hyperlink"/>
                <w:noProof/>
              </w:rPr>
              <w:t>I.3</w:t>
            </w:r>
            <w:r w:rsidR="00583DBC">
              <w:rPr>
                <w:rFonts w:eastAsiaTheme="minorEastAsia"/>
                <w:noProof/>
                <w:spacing w:val="0"/>
                <w:lang w:eastAsia="en-AU"/>
              </w:rPr>
              <w:tab/>
            </w:r>
            <w:r w:rsidR="00583DBC" w:rsidRPr="00782108">
              <w:rPr>
                <w:rStyle w:val="Hyperlink"/>
                <w:noProof/>
              </w:rPr>
              <w:t>Impact of opex capitalisation on the revenue requirement</w:t>
            </w:r>
            <w:r w:rsidR="00583DBC">
              <w:rPr>
                <w:noProof/>
                <w:webHidden/>
              </w:rPr>
              <w:tab/>
            </w:r>
            <w:r w:rsidR="00583DBC">
              <w:rPr>
                <w:noProof/>
                <w:webHidden/>
              </w:rPr>
              <w:fldChar w:fldCharType="begin"/>
            </w:r>
            <w:r w:rsidR="00583DBC">
              <w:rPr>
                <w:noProof/>
                <w:webHidden/>
              </w:rPr>
              <w:instrText xml:space="preserve"> PAGEREF _Toc146746757 \h </w:instrText>
            </w:r>
            <w:r w:rsidR="00583DBC">
              <w:rPr>
                <w:noProof/>
                <w:webHidden/>
              </w:rPr>
            </w:r>
            <w:r w:rsidR="00583DBC">
              <w:rPr>
                <w:noProof/>
                <w:webHidden/>
              </w:rPr>
              <w:fldChar w:fldCharType="separate"/>
            </w:r>
            <w:r w:rsidR="009813E3">
              <w:rPr>
                <w:noProof/>
                <w:webHidden/>
              </w:rPr>
              <w:t>271</w:t>
            </w:r>
            <w:r w:rsidR="00583DBC">
              <w:rPr>
                <w:noProof/>
                <w:webHidden/>
              </w:rPr>
              <w:fldChar w:fldCharType="end"/>
            </w:r>
          </w:hyperlink>
        </w:p>
        <w:p w14:paraId="3EBB9507" w14:textId="1916FE41" w:rsidR="006933EC" w:rsidRDefault="009744C8">
          <w:r>
            <w:rPr>
              <w:sz w:val="16"/>
            </w:rPr>
            <w:fldChar w:fldCharType="end"/>
          </w:r>
        </w:p>
      </w:sdtContent>
    </w:sdt>
    <w:p w14:paraId="1E3FBFA9" w14:textId="77777777" w:rsidR="00CA23A5" w:rsidRDefault="00CA23A5" w:rsidP="006933EC"/>
    <w:p w14:paraId="4D0E5D6B" w14:textId="4F19DD87" w:rsidR="00D50EF7" w:rsidRDefault="00131BF5" w:rsidP="00A37BCD">
      <w:pPr>
        <w:pStyle w:val="BoxedQuote"/>
      </w:pPr>
      <w:r w:rsidRPr="00131BF5">
        <w:t>All dollar values in this document are expressed in real terms and reflect $2023-24 unless otherwise stated.</w:t>
      </w:r>
    </w:p>
    <w:p w14:paraId="64B3F556" w14:textId="77777777" w:rsidR="00083246" w:rsidRPr="00083246" w:rsidRDefault="00083246" w:rsidP="00083246"/>
    <w:p w14:paraId="1F9E3961" w14:textId="67B1822F" w:rsidR="00083246" w:rsidRPr="00083246" w:rsidRDefault="00083246" w:rsidP="00083246">
      <w:pPr>
        <w:sectPr w:rsidR="00083246" w:rsidRPr="00083246" w:rsidSect="008C1A38">
          <w:footerReference w:type="default" r:id="rId19"/>
          <w:headerReference w:type="first" r:id="rId20"/>
          <w:footerReference w:type="first" r:id="rId21"/>
          <w:pgSz w:w="11906" w:h="16838" w:code="9"/>
          <w:pgMar w:top="1134" w:right="1134" w:bottom="1134" w:left="1134" w:header="709" w:footer="652" w:gutter="0"/>
          <w:pgNumType w:fmt="lowerRoman" w:start="1"/>
          <w:cols w:space="708"/>
          <w:docGrid w:linePitch="360"/>
        </w:sectPr>
      </w:pPr>
    </w:p>
    <w:p w14:paraId="64DC1930" w14:textId="2161C27F" w:rsidR="00CC2E96" w:rsidRDefault="006B6B58" w:rsidP="006B6B58">
      <w:pPr>
        <w:pStyle w:val="Heading1-nonumber"/>
      </w:pPr>
      <w:bookmarkStart w:id="5" w:name="_Toc146746670"/>
      <w:bookmarkEnd w:id="0"/>
      <w:r>
        <w:rPr>
          <w:noProof/>
        </w:rPr>
        <w:lastRenderedPageBreak/>
        <w:t>Pri</w:t>
      </w:r>
      <w:r w:rsidR="004D29C6">
        <w:rPr>
          <w:noProof/>
        </w:rPr>
        <w:t>ce submission on a page</w:t>
      </w:r>
      <w:bookmarkEnd w:id="5"/>
    </w:p>
    <w:p w14:paraId="671B270C" w14:textId="7CD51D95" w:rsidR="00F24374" w:rsidRDefault="006B6B58" w:rsidP="00CC2E96">
      <w:r>
        <w:rPr>
          <w:noProof/>
        </w:rPr>
        <w:drawing>
          <wp:inline distT="0" distB="0" distL="0" distR="0" wp14:anchorId="1CB39B8B" wp14:editId="35DE588A">
            <wp:extent cx="5736590" cy="7076440"/>
            <wp:effectExtent l="0" t="0" r="0" b="0"/>
            <wp:docPr id="71" name="Picture 71" descr="This is an infographic with six boxes, with the title &quot;Price submission on a page”. Each box has a header and information below. The title for box one is “Stable bills during this regulatory period” and says “Compared to current bills, in 2024-25 annual household bills in the central region will: Decrease by $11 for owner-occupiers, and then increase slightly each year; Decrease by $20 for central region tenants and remain that price until 2028; Average household bills in the western region will: Decrease by $7 for owner-occupiers and continue decreasing, with 2027-28 bills $47 lower; Increase $7 each year for tenants, finishing $26 higher. The box ends with “We’re making the way we charge for water in the western region more like the central region, with lower fixed charges, and higher usage charges. This increases western region tenant bills a small amount”. The second box is titled &quot;Customer outcomes&quot;. Five outcomes are then listed: Your water is safe, consistent and resilient, When things do wrong we fix them, We support our diverse communities and customers, We enable growth and help businesses thrive, We heal and care for County. The title for box three is “ Improving services” and includes six dot points “Improve our impact on the environment; Improve water quality and drought resilience; Maintain the current level of unplanned outages and response times; Improve our use and supply of alternative water; Improve our communication and customer service for all customers and Improve our support programs for customers experiencing financial difficulty”. The title for box four is “Investment to deliver our customer outcomes” and includes the following text “we are increasing our capital investment to reduce risk, improve compliance and regulatory obligations and deliver on our customer outcomes. Our Capital program prioritises $1.715 billion to invest in; new water and sewerage infrastructure to support growth water and sewage treatment; water main renewals and asset monitoring systems and information technologies”. The title for the fifth box is “What we heard from our customers and community” and it includes four dot points: “We heard from more than 8,000 people over 18 months through our six-stage engagement program; We heard that affordability, equity of water services and playing a role in our community and the health of the environment are important; our community is keen to support each other, and values our role helping people experiencing payment difficulty and our Traditional Owner partners would like dedicated resourcing to supporting meaningful engagement and water returns”.  The title for box six is “Performance through growth and integration” and it includes the following text: “integration brings challenges and opportunities” followed by four dot points “reducing our operating expenditure per connection from $314 to $313 over the regulatory period; making changes now to create long-term benefits for customers; delivering integration benefits and saving customers in the western region $12 million and meeting our customer outcomes and delivering most of our capital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is an infographic with six boxes, with the title &quot;Price submission on a page”. Each box has a header and information below. The title for box one is “Stable bills during this regulatory period” and says “Compared to current bills, in 2024-25 annual household bills in the central region will: Decrease by $11 for owner-occupiers, and then increase slightly each year; Decrease by $20 for central region tenants and remain that price until 2028; Average household bills in the western region will: Decrease by $7 for owner-occupiers and continue decreasing, with 2027-28 bills $47 lower; Increase $7 each year for tenants, finishing $26 higher. The box ends with “We’re making the way we charge for water in the western region more like the central region, with lower fixed charges, and higher usage charges. This increases western region tenant bills a small amount”. The second box is titled &quot;Customer outcomes&quot;. Five outcomes are then listed: Your water is safe, consistent and resilient, When things do wrong we fix them, We support our diverse communities and customers, We enable growth and help businesses thrive, We heal and care for County. The title for box three is “ Improving services” and includes six dot points “Improve our impact on the environment; Improve water quality and drought resilience; Maintain the current level of unplanned outages and response times; Improve our use and supply of alternative water; Improve our communication and customer service for all customers and Improve our support programs for customers experiencing financial difficulty”. The title for box four is “Investment to deliver our customer outcomes” and includes the following text “we are increasing our capital investment to reduce risk, improve compliance and regulatory obligations and deliver on our customer outcomes. Our Capital program prioritises $1.715 billion to invest in; new water and sewerage infrastructure to support growth water and sewage treatment; water main renewals and asset monitoring systems and information technologies”. The title for the fifth box is “What we heard from our customers and community” and it includes four dot points: “We heard from more than 8,000 people over 18 months through our six-stage engagement program; We heard that affordability, equity of water services and playing a role in our community and the health of the environment are important; our community is keen to support each other, and values our role helping people experiencing payment difficulty and our Traditional Owner partners would like dedicated resourcing to supporting meaningful engagement and water returns”.  The title for box six is “Performance through growth and integration” and it includes the following text: “integration brings challenges and opportunities” followed by four dot points “reducing our operating expenditure per connection from $314 to $313 over the regulatory period; making changes now to create long-term benefits for customers; delivering integration benefits and saving customers in the western region $12 million and meeting our customer outcomes and delivering most of our capital program”. "/>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95"/>
                    <a:stretch/>
                  </pic:blipFill>
                  <pic:spPr bwMode="auto">
                    <a:xfrm>
                      <a:off x="0" y="0"/>
                      <a:ext cx="5736590" cy="7076440"/>
                    </a:xfrm>
                    <a:prstGeom prst="rect">
                      <a:avLst/>
                    </a:prstGeom>
                    <a:noFill/>
                    <a:ln>
                      <a:noFill/>
                    </a:ln>
                    <a:extLst>
                      <a:ext uri="{53640926-AAD7-44D8-BBD7-CCE9431645EC}">
                        <a14:shadowObscured xmlns:a14="http://schemas.microsoft.com/office/drawing/2010/main"/>
                      </a:ext>
                    </a:extLst>
                  </pic:spPr>
                </pic:pic>
              </a:graphicData>
            </a:graphic>
          </wp:inline>
        </w:drawing>
      </w:r>
      <w:r w:rsidR="00F24374">
        <w:br w:type="page"/>
      </w:r>
    </w:p>
    <w:p w14:paraId="55D7F69E" w14:textId="23DB2341" w:rsidR="00E709E3" w:rsidRPr="00CE1342" w:rsidRDefault="00407A1B" w:rsidP="00CE1342">
      <w:pPr>
        <w:pStyle w:val="Heading1-nonumber"/>
      </w:pPr>
      <w:bookmarkStart w:id="6" w:name="_Toc146004838"/>
      <w:bookmarkStart w:id="7" w:name="_Toc146004726"/>
      <w:bookmarkStart w:id="8" w:name="_Toc146746671"/>
      <w:r w:rsidRPr="00CE1342">
        <w:lastRenderedPageBreak/>
        <w:t xml:space="preserve">Message from </w:t>
      </w:r>
      <w:r w:rsidR="000938B3">
        <w:t>our</w:t>
      </w:r>
      <w:r w:rsidRPr="00CE1342">
        <w:t xml:space="preserve"> Chair and Managing Director</w:t>
      </w:r>
      <w:bookmarkEnd w:id="6"/>
      <w:bookmarkEnd w:id="7"/>
      <w:bookmarkEnd w:id="8"/>
    </w:p>
    <w:p w14:paraId="554BB51C" w14:textId="6C6E716A" w:rsidR="00A63F65" w:rsidRDefault="00A63F65" w:rsidP="00A63F65">
      <w:r>
        <w:t xml:space="preserve">On behalf of Greater Western Water’s Board, we are proud to present our </w:t>
      </w:r>
      <w:r w:rsidR="005E6B52">
        <w:t xml:space="preserve">2024 </w:t>
      </w:r>
      <w:r>
        <w:t xml:space="preserve">Price Submission. </w:t>
      </w:r>
    </w:p>
    <w:p w14:paraId="60945280" w14:textId="77777777" w:rsidR="00694221" w:rsidRDefault="00694221" w:rsidP="00A63F65"/>
    <w:p w14:paraId="61748E1D" w14:textId="42115667" w:rsidR="00A63F65" w:rsidRDefault="00A63F65" w:rsidP="00A63F65">
      <w:r>
        <w:t>Greater Western Water was established on 1 July 2021, bringing together water corporations Western Water and City West Water to service one of Australia’s fastest-growing regions. Our</w:t>
      </w:r>
      <w:r w:rsidR="008A2FF4">
        <w:t xml:space="preserve"> service</w:t>
      </w:r>
      <w:r>
        <w:t xml:space="preserve"> region extends from Melbourne’s central business district to the inner city and western suburbs through the Melton and Sunbury growth corridors to Bacchus Marsh and the Macedon Ranges. </w:t>
      </w:r>
    </w:p>
    <w:p w14:paraId="728C9254" w14:textId="77777777" w:rsidR="00694221" w:rsidRDefault="00694221" w:rsidP="00A63F65"/>
    <w:p w14:paraId="4F7CC800" w14:textId="0D1A2809" w:rsidR="00A63F65" w:rsidRDefault="00A63F65" w:rsidP="00A63F65">
      <w:r>
        <w:t xml:space="preserve">Greater Western Water’s first price submission sets a strong foundation to deliver trusted water services now and for future generations. Our price submission reflects our challenges and long-term ambitions, reflected in our </w:t>
      </w:r>
      <w:r w:rsidRPr="00E24A97">
        <w:rPr>
          <w:i/>
        </w:rPr>
        <w:t>2030 Strategy</w:t>
      </w:r>
      <w:r>
        <w:t xml:space="preserve"> strategic pillars of Customers, Community and Country. Our customers have told us that these outcomes are meaningful and represent their values.</w:t>
      </w:r>
    </w:p>
    <w:p w14:paraId="1B053403" w14:textId="77777777" w:rsidR="00694221" w:rsidRDefault="00694221" w:rsidP="00A63F65"/>
    <w:p w14:paraId="01117D33" w14:textId="5A5F7AB7" w:rsidR="00A63F65" w:rsidRDefault="00A63F65" w:rsidP="00A63F65">
      <w:r>
        <w:t xml:space="preserve">We engaged deeply with our customers to truly understand their expectations of their water corporation. Genuine and respectful engagement with </w:t>
      </w:r>
      <w:r w:rsidR="001544C4">
        <w:t>the</w:t>
      </w:r>
      <w:r>
        <w:t xml:space="preserve"> community </w:t>
      </w:r>
      <w:r w:rsidR="001544C4">
        <w:t xml:space="preserve">we serve </w:t>
      </w:r>
      <w:r>
        <w:t>is very important to us, particularly our partnerships with Traditional Owners and First Nations people. The Greater Western Water Board and leadership were involved in each step of the engagement journey. On behalf of the Board, we were pleased to accept our price submission 2024 deliberative panel final report, providing clear direction where we need to balance investment to meet our customers</w:t>
      </w:r>
      <w:r w:rsidR="00F142E0">
        <w:t>’</w:t>
      </w:r>
      <w:r>
        <w:t xml:space="preserve"> priorities, </w:t>
      </w:r>
      <w:r w:rsidR="00F142E0">
        <w:t xml:space="preserve">and </w:t>
      </w:r>
      <w:r>
        <w:t>consider the pressures of high inflation and cost</w:t>
      </w:r>
      <w:r w:rsidR="000A2BB3">
        <w:t>-</w:t>
      </w:r>
      <w:r>
        <w:t>of</w:t>
      </w:r>
      <w:r w:rsidR="000A2BB3">
        <w:t>-</w:t>
      </w:r>
      <w:r>
        <w:t>living challenges. While our customers</w:t>
      </w:r>
      <w:r w:rsidR="002F6134">
        <w:t>’</w:t>
      </w:r>
      <w:r>
        <w:t xml:space="preserve"> voices have shaped our submission, we take a long-term view to ensure we meet the needs of current and future customers. </w:t>
      </w:r>
    </w:p>
    <w:p w14:paraId="253D162C" w14:textId="77777777" w:rsidR="00694221" w:rsidRDefault="00694221" w:rsidP="00A63F65"/>
    <w:p w14:paraId="16FCAECC" w14:textId="0C334DD7" w:rsidR="00A63F65" w:rsidRDefault="00A63F65" w:rsidP="00A63F65">
      <w:r>
        <w:t xml:space="preserve">Our prices will stay fair and as low as possible in the short term because we heard how important affordability is, and we are increasing resources to support anyone struggling to pay their bill. We are implementing better ways of working to deliver the full potential of </w:t>
      </w:r>
      <w:r w:rsidR="00C1763D">
        <w:t>the Western Water and City West Water</w:t>
      </w:r>
      <w:r>
        <w:t xml:space="preserve"> integration and leverage the maximum value for our customers</w:t>
      </w:r>
      <w:r w:rsidR="009729D1">
        <w:t>, i</w:t>
      </w:r>
      <w:r>
        <w:t xml:space="preserve">ncluding sustainable and efficient operating models and capital delivery processes that will better service </w:t>
      </w:r>
      <w:r w:rsidR="002F15E1">
        <w:t>the</w:t>
      </w:r>
      <w:r>
        <w:t xml:space="preserve"> region's rapid growth. We also know that climate change impacts our customers and the resources we rely on, so we are implementing our first Climate Resilience Action Plan to guide our business. </w:t>
      </w:r>
    </w:p>
    <w:p w14:paraId="3BEDB863" w14:textId="77777777" w:rsidR="00694221" w:rsidRDefault="00694221" w:rsidP="00A63F65"/>
    <w:p w14:paraId="42A17F11" w14:textId="24E9FA32" w:rsidR="0058312E" w:rsidRDefault="00A63F65" w:rsidP="00A63F65">
      <w:r>
        <w:t xml:space="preserve">We have established considered and effective processes to continue delivering integration benefits to our customers, but we recognise that we are only part way there. Our first price submission sets out achievable outcomes with a clear eye to the future, supported by robust processes to track and report our performance to customers. The </w:t>
      </w:r>
      <w:r w:rsidR="00F4781A">
        <w:t>B</w:t>
      </w:r>
      <w:r>
        <w:t xml:space="preserve">oard and leadership are accountable for delivering our customer outcomes and have committed to refreshing our </w:t>
      </w:r>
      <w:r w:rsidRPr="00E95EFA">
        <w:rPr>
          <w:i/>
        </w:rPr>
        <w:t>2030 Strategy</w:t>
      </w:r>
      <w:r>
        <w:t xml:space="preserve"> to align</w:t>
      </w:r>
      <w:r w:rsidR="00B82631">
        <w:t xml:space="preserve"> with these</w:t>
      </w:r>
      <w:r>
        <w:t xml:space="preserve">. </w:t>
      </w:r>
      <w:r>
        <w:lastRenderedPageBreak/>
        <w:t xml:space="preserve">These priorities will enable us to deliver customer commitments and stable bills over the regulatory period, while progressing towards our vision </w:t>
      </w:r>
      <w:r w:rsidR="00F10E51">
        <w:t>of</w:t>
      </w:r>
      <w:r>
        <w:t xml:space="preserve"> 'Thriving people and Country'.</w:t>
      </w:r>
    </w:p>
    <w:p w14:paraId="3566C199" w14:textId="1879269D" w:rsidR="00B2647A" w:rsidRDefault="00B2647A" w:rsidP="00A63F65"/>
    <w:tbl>
      <w:tblPr>
        <w:tblStyle w:val="GWWDefaulttable"/>
        <w:tblW w:w="0" w:type="auto"/>
        <w:tblBorders>
          <w:bottom w:val="none" w:sz="0" w:space="0" w:color="auto"/>
          <w:insideH w:val="none" w:sz="0" w:space="0" w:color="auto"/>
        </w:tblBorders>
        <w:tblLook w:val="04A0" w:firstRow="1" w:lastRow="0" w:firstColumn="1" w:lastColumn="0" w:noHBand="0" w:noVBand="1"/>
      </w:tblPr>
      <w:tblGrid>
        <w:gridCol w:w="4819"/>
        <w:gridCol w:w="4819"/>
      </w:tblGrid>
      <w:tr w:rsidR="00694221" w14:paraId="18816126" w14:textId="77777777" w:rsidTr="0069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6C0C6676" w14:textId="6F8B3485" w:rsidR="00694221" w:rsidRDefault="002007E4" w:rsidP="008B6FB6">
            <w:r>
              <w:rPr>
                <w:noProof/>
                <w:lang w:eastAsia="en-AU"/>
              </w:rPr>
              <w:drawing>
                <wp:inline distT="0" distB="0" distL="0" distR="0" wp14:anchorId="16F76B0C" wp14:editId="2CD26DBF">
                  <wp:extent cx="2095500" cy="614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34243" cy="625908"/>
                          </a:xfrm>
                          <a:prstGeom prst="rect">
                            <a:avLst/>
                          </a:prstGeom>
                        </pic:spPr>
                      </pic:pic>
                    </a:graphicData>
                  </a:graphic>
                </wp:inline>
              </w:drawing>
            </w:r>
          </w:p>
        </w:tc>
        <w:tc>
          <w:tcPr>
            <w:tcW w:w="4819" w:type="dxa"/>
            <w:shd w:val="clear" w:color="auto" w:fill="auto"/>
          </w:tcPr>
          <w:p w14:paraId="32C3B19B" w14:textId="7EB7FF12" w:rsidR="008B6FB6" w:rsidRDefault="008B6FB6" w:rsidP="00A63F65">
            <w:pPr>
              <w:cnfStyle w:val="100000000000" w:firstRow="1" w:lastRow="0" w:firstColumn="0" w:lastColumn="0" w:oddVBand="0" w:evenVBand="0" w:oddHBand="0" w:evenHBand="0" w:firstRowFirstColumn="0" w:firstRowLastColumn="0" w:lastRowFirstColumn="0" w:lastRowLastColumn="0"/>
            </w:pPr>
            <w:r w:rsidRPr="00BB231C">
              <w:rPr>
                <w:noProof/>
              </w:rPr>
              <w:drawing>
                <wp:inline distT="0" distB="0" distL="0" distR="0" wp14:anchorId="73C156F0" wp14:editId="5B3129B3">
                  <wp:extent cx="838200" cy="5109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8056" cy="608340"/>
                          </a:xfrm>
                          <a:prstGeom prst="rect">
                            <a:avLst/>
                          </a:prstGeom>
                          <a:noFill/>
                          <a:ln>
                            <a:noFill/>
                          </a:ln>
                        </pic:spPr>
                      </pic:pic>
                    </a:graphicData>
                  </a:graphic>
                </wp:inline>
              </w:drawing>
            </w:r>
          </w:p>
        </w:tc>
      </w:tr>
      <w:tr w:rsidR="00694221" w14:paraId="3EEBD158" w14:textId="77777777" w:rsidTr="00694221">
        <w:tc>
          <w:tcPr>
            <w:cnfStyle w:val="001000000000" w:firstRow="0" w:lastRow="0" w:firstColumn="1" w:lastColumn="0" w:oddVBand="0" w:evenVBand="0" w:oddHBand="0" w:evenHBand="0" w:firstRowFirstColumn="0" w:firstRowLastColumn="0" w:lastRowFirstColumn="0" w:lastRowLastColumn="0"/>
            <w:tcW w:w="4819" w:type="dxa"/>
          </w:tcPr>
          <w:p w14:paraId="2FBED96A" w14:textId="77777777" w:rsidR="00694221" w:rsidRDefault="00694221" w:rsidP="00694221">
            <w:pPr>
              <w:spacing w:before="0" w:after="0" w:line="240" w:lineRule="auto"/>
              <w:rPr>
                <w:rFonts w:ascii="Verdana" w:hAnsi="Verdana"/>
                <w:bCs/>
                <w:sz w:val="22"/>
              </w:rPr>
            </w:pPr>
            <w:r>
              <w:rPr>
                <w:rFonts w:ascii="Verdana" w:hAnsi="Verdana"/>
                <w:b w:val="0"/>
                <w:bCs/>
                <w:color w:val="auto"/>
                <w:sz w:val="22"/>
              </w:rPr>
              <w:t>DAVID MIDDLETON</w:t>
            </w:r>
          </w:p>
          <w:p w14:paraId="3678C07A" w14:textId="5CBF5505" w:rsidR="00694221" w:rsidRPr="00694221" w:rsidRDefault="00694221" w:rsidP="00694221">
            <w:pPr>
              <w:spacing w:before="0" w:after="0" w:line="240" w:lineRule="auto"/>
              <w:rPr>
                <w:rFonts w:ascii="Verdana" w:hAnsi="Verdana"/>
                <w:b w:val="0"/>
                <w:bCs/>
                <w:color w:val="auto"/>
                <w:sz w:val="22"/>
              </w:rPr>
            </w:pPr>
            <w:r>
              <w:rPr>
                <w:rFonts w:ascii="Verdana" w:hAnsi="Verdana"/>
                <w:b w:val="0"/>
                <w:bCs/>
                <w:color w:val="auto"/>
                <w:sz w:val="22"/>
              </w:rPr>
              <w:t>Chair</w:t>
            </w:r>
          </w:p>
        </w:tc>
        <w:tc>
          <w:tcPr>
            <w:tcW w:w="4819" w:type="dxa"/>
          </w:tcPr>
          <w:p w14:paraId="110907C2" w14:textId="77777777" w:rsidR="00694221" w:rsidRDefault="00694221" w:rsidP="006942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MAREE LANG</w:t>
            </w:r>
          </w:p>
          <w:p w14:paraId="517CE1B6" w14:textId="378F0C97" w:rsidR="00694221" w:rsidRPr="00694221" w:rsidRDefault="00694221" w:rsidP="006942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Managing Director</w:t>
            </w:r>
          </w:p>
        </w:tc>
      </w:tr>
    </w:tbl>
    <w:p w14:paraId="0CC01837" w14:textId="77777777" w:rsidR="00B2647A" w:rsidRDefault="00B2647A" w:rsidP="00A63F65"/>
    <w:p w14:paraId="465FF028" w14:textId="77777777" w:rsidR="00694221" w:rsidRDefault="00694221" w:rsidP="00A63F65"/>
    <w:p w14:paraId="6452E17D" w14:textId="77777777" w:rsidR="00694221" w:rsidRDefault="00694221" w:rsidP="00A63F65"/>
    <w:p w14:paraId="7E77BDE5" w14:textId="77777777" w:rsidR="00694221" w:rsidRDefault="00694221" w:rsidP="00A63F65"/>
    <w:p w14:paraId="368E4A0F" w14:textId="77777777" w:rsidR="00694221" w:rsidRDefault="00694221" w:rsidP="00A63F65"/>
    <w:p w14:paraId="06B88E49" w14:textId="406DB585" w:rsidR="00F24374" w:rsidRPr="000E1C8B" w:rsidRDefault="0058312E" w:rsidP="00A63F65">
      <w:r>
        <w:t xml:space="preserve"> </w:t>
      </w:r>
      <w:r w:rsidR="00F24374" w:rsidRPr="000E1C8B">
        <w:br w:type="page"/>
      </w:r>
    </w:p>
    <w:p w14:paraId="221A2C6E" w14:textId="77777777" w:rsidR="001E6742" w:rsidRPr="0082576D" w:rsidRDefault="001E6742" w:rsidP="001E6742">
      <w:pPr>
        <w:pStyle w:val="Heading1-nonumber"/>
      </w:pPr>
      <w:bookmarkStart w:id="9" w:name="_Toc146004839"/>
      <w:bookmarkStart w:id="10" w:name="_Toc146004727"/>
      <w:bookmarkStart w:id="11" w:name="_Toc146746672"/>
      <w:r w:rsidRPr="0082576D">
        <w:lastRenderedPageBreak/>
        <w:t>Board attestation</w:t>
      </w:r>
      <w:bookmarkEnd w:id="9"/>
      <w:bookmarkEnd w:id="10"/>
      <w:bookmarkEnd w:id="11"/>
    </w:p>
    <w:p w14:paraId="54147440" w14:textId="77777777" w:rsidR="00AA06AB" w:rsidRPr="009D6938" w:rsidRDefault="00AA06AB" w:rsidP="009D6938">
      <w:pPr>
        <w:pStyle w:val="CaseStudyHeading"/>
        <w:rPr>
          <w:b w:val="0"/>
          <w:bCs/>
        </w:rPr>
      </w:pPr>
      <w:r w:rsidRPr="009D6938">
        <w:rPr>
          <w:b w:val="0"/>
          <w:bCs/>
        </w:rPr>
        <w:t xml:space="preserve">The directors of Greater Western Water having made such reasonable inquiries of management as we considered necessary (or having satisfied ourselves that we have no query), attest that, to the best of our knowledge, for the purpose of proposing prices for the Essential Services Commission’s 2024 water price review: </w:t>
      </w:r>
    </w:p>
    <w:p w14:paraId="2FBC8CEC" w14:textId="1534413A" w:rsidR="00AA06AB" w:rsidRPr="009D6938" w:rsidRDefault="00AA06AB">
      <w:pPr>
        <w:pStyle w:val="CaseStudyHeading"/>
        <w:numPr>
          <w:ilvl w:val="0"/>
          <w:numId w:val="62"/>
        </w:numPr>
        <w:rPr>
          <w:b w:val="0"/>
          <w:bCs/>
        </w:rPr>
      </w:pPr>
      <w:r w:rsidRPr="009D6938">
        <w:rPr>
          <w:b w:val="0"/>
          <w:bCs/>
        </w:rPr>
        <w:t xml:space="preserve">information and documentation provided in the price submission and relied upon to support Greater Western Water’s price submission is reasonably based, complete and accurate in all material </w:t>
      </w:r>
      <w:proofErr w:type="gramStart"/>
      <w:r w:rsidRPr="009D6938">
        <w:rPr>
          <w:b w:val="0"/>
          <w:bCs/>
        </w:rPr>
        <w:t>respects;</w:t>
      </w:r>
      <w:proofErr w:type="gramEnd"/>
    </w:p>
    <w:p w14:paraId="6F77131F" w14:textId="10B70B4A" w:rsidR="00AA06AB" w:rsidRPr="009D6938" w:rsidRDefault="00AA06AB">
      <w:pPr>
        <w:pStyle w:val="CaseStudyHeading"/>
        <w:numPr>
          <w:ilvl w:val="0"/>
          <w:numId w:val="62"/>
        </w:numPr>
        <w:rPr>
          <w:b w:val="0"/>
          <w:bCs/>
        </w:rPr>
      </w:pPr>
      <w:r w:rsidRPr="009D6938">
        <w:rPr>
          <w:b w:val="0"/>
          <w:bCs/>
        </w:rPr>
        <w:t>financial and demand forecasts are Greater Western Water’s best estimates, and supporting information is available to justify the assumptions and methodologies used; and</w:t>
      </w:r>
    </w:p>
    <w:p w14:paraId="2F541983" w14:textId="52E021A6" w:rsidR="00C866EB" w:rsidRPr="0000292C" w:rsidRDefault="00AA06AB">
      <w:pPr>
        <w:pStyle w:val="CaseStudyHeading"/>
        <w:numPr>
          <w:ilvl w:val="0"/>
          <w:numId w:val="62"/>
        </w:numPr>
      </w:pPr>
      <w:r w:rsidRPr="0000292C">
        <w:rPr>
          <w:b w:val="0"/>
          <w:bCs/>
        </w:rPr>
        <w:t>the price submission satisfies the requirements of the 2024 water price review guidance paper issued by the Essential Services Commission in all material respects.</w:t>
      </w:r>
    </w:p>
    <w:p w14:paraId="4D2BAF74" w14:textId="6E04527F" w:rsidR="00DE2233" w:rsidRDefault="00830F1B" w:rsidP="0000292C">
      <w:pPr>
        <w:tabs>
          <w:tab w:val="left" w:pos="1548"/>
        </w:tabs>
      </w:pPr>
      <w:r>
        <w:rPr>
          <w:noProof/>
          <w:lang w:eastAsia="en-AU"/>
        </w:rPr>
        <w:drawing>
          <wp:inline distT="0" distB="0" distL="0" distR="0" wp14:anchorId="36DDC5FA" wp14:editId="7500DAC3">
            <wp:extent cx="2095500" cy="6145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34243" cy="625908"/>
                    </a:xfrm>
                    <a:prstGeom prst="rect">
                      <a:avLst/>
                    </a:prstGeom>
                  </pic:spPr>
                </pic:pic>
              </a:graphicData>
            </a:graphic>
          </wp:inline>
        </w:drawing>
      </w:r>
    </w:p>
    <w:p w14:paraId="5B359BEE" w14:textId="50ECBED3" w:rsidR="00DE2233" w:rsidRDefault="00DE2233" w:rsidP="00DE2233">
      <w:pPr>
        <w:tabs>
          <w:tab w:val="left" w:pos="1548"/>
        </w:tabs>
        <w:spacing w:before="0" w:after="0" w:line="240" w:lineRule="auto"/>
      </w:pPr>
      <w:r>
        <w:t>DAVID MIDDLETON</w:t>
      </w:r>
    </w:p>
    <w:p w14:paraId="32DF85A0" w14:textId="285E8C63" w:rsidR="00DE2233" w:rsidRPr="0000292C" w:rsidRDefault="00DE2233" w:rsidP="00DE2233">
      <w:pPr>
        <w:tabs>
          <w:tab w:val="left" w:pos="1548"/>
        </w:tabs>
        <w:spacing w:before="0" w:after="0" w:line="240" w:lineRule="auto"/>
      </w:pPr>
      <w:r>
        <w:t>Chair</w:t>
      </w:r>
    </w:p>
    <w:p w14:paraId="39F4E55A" w14:textId="72DE7A02" w:rsidR="00407A1B" w:rsidRPr="00E83993" w:rsidRDefault="00407A1B" w:rsidP="00E83993">
      <w:pPr>
        <w:pStyle w:val="Heading1-nonumber"/>
      </w:pPr>
      <w:bookmarkStart w:id="12" w:name="_Toc146004840"/>
      <w:bookmarkStart w:id="13" w:name="_Toc146004728"/>
      <w:bookmarkStart w:id="14" w:name="_Toc146746673"/>
      <w:r w:rsidRPr="00E83993">
        <w:lastRenderedPageBreak/>
        <w:t xml:space="preserve">Executive </w:t>
      </w:r>
      <w:r w:rsidR="383A19E3" w:rsidRPr="00E83993">
        <w:t>s</w:t>
      </w:r>
      <w:r w:rsidRPr="00E83993">
        <w:t>ummary</w:t>
      </w:r>
      <w:bookmarkEnd w:id="12"/>
      <w:bookmarkEnd w:id="13"/>
      <w:bookmarkEnd w:id="14"/>
    </w:p>
    <w:p w14:paraId="593796AC" w14:textId="2433E972" w:rsidR="005F422D" w:rsidRDefault="005F422D" w:rsidP="005F422D">
      <w:r>
        <w:t xml:space="preserve">Greater Western Water (GWW) is </w:t>
      </w:r>
      <w:r w:rsidRPr="0082576D">
        <w:t>Victoria’s newest water corporation</w:t>
      </w:r>
      <w:r>
        <w:t xml:space="preserve">, formed by bringing together City West Water </w:t>
      </w:r>
      <w:r w:rsidR="000656C3">
        <w:t xml:space="preserve">(CWW) </w:t>
      </w:r>
      <w:r>
        <w:t>and Western Water</w:t>
      </w:r>
      <w:r w:rsidR="003326D5">
        <w:t xml:space="preserve"> (WW)</w:t>
      </w:r>
      <w:r>
        <w:t xml:space="preserve">. We serve a diverse and growing area, with our population </w:t>
      </w:r>
      <w:r w:rsidRPr="0082576D">
        <w:t>expected to almost double over the next 30 years.</w:t>
      </w:r>
    </w:p>
    <w:p w14:paraId="06625253" w14:textId="3E4D69E6" w:rsidR="00434C91" w:rsidRDefault="00434C91" w:rsidP="005F422D">
      <w:proofErr w:type="gramStart"/>
      <w:r>
        <w:t>As a new corporation, the development of this price submission</w:t>
      </w:r>
      <w:proofErr w:type="gramEnd"/>
      <w:r>
        <w:t xml:space="preserve"> provided a unique opportunity to talk to and understand our customers, to incorporate their voices, and to develop new customer outcomes that reflect what they think is important.</w:t>
      </w:r>
    </w:p>
    <w:p w14:paraId="63DBDFC6" w14:textId="3825119C" w:rsidR="00E63EB0" w:rsidRDefault="00E63EB0" w:rsidP="005F422D">
      <w:r w:rsidRPr="008A5352">
        <w:t>G</w:t>
      </w:r>
      <w:r>
        <w:t>WW</w:t>
      </w:r>
      <w:r w:rsidRPr="008A5352">
        <w:t xml:space="preserve"> operates in Bunurong, Wurundjeri </w:t>
      </w:r>
      <w:proofErr w:type="spellStart"/>
      <w:r w:rsidRPr="008A5352">
        <w:t>Woi</w:t>
      </w:r>
      <w:proofErr w:type="spellEnd"/>
      <w:r w:rsidRPr="008A5352">
        <w:t xml:space="preserve"> Wurrung, </w:t>
      </w:r>
      <w:proofErr w:type="spellStart"/>
      <w:r w:rsidRPr="008A5352">
        <w:t>Wadawurrung</w:t>
      </w:r>
      <w:proofErr w:type="spellEnd"/>
      <w:r w:rsidRPr="008A5352">
        <w:t xml:space="preserve">, </w:t>
      </w:r>
      <w:proofErr w:type="spellStart"/>
      <w:r w:rsidRPr="008A5352">
        <w:t>Djaara</w:t>
      </w:r>
      <w:proofErr w:type="spellEnd"/>
      <w:r w:rsidRPr="008A5352">
        <w:t xml:space="preserve"> and </w:t>
      </w:r>
      <w:proofErr w:type="spellStart"/>
      <w:r w:rsidRPr="008A5352">
        <w:t>Taungurung</w:t>
      </w:r>
      <w:proofErr w:type="spellEnd"/>
      <w:r w:rsidRPr="008A5352">
        <w:t xml:space="preserve"> Country. We respectfully acknowledge the Kulin Nations as the Traditional Owners of the lands and waters upon which we work, operate, and rely.</w:t>
      </w:r>
      <w:r>
        <w:t xml:space="preserve"> Our commitment</w:t>
      </w:r>
      <w:r w:rsidRPr="003A7F28">
        <w:t xml:space="preserve"> to partner with </w:t>
      </w:r>
      <w:r>
        <w:t>First Nations communities and</w:t>
      </w:r>
      <w:r w:rsidRPr="003A7F28">
        <w:t xml:space="preserve"> Traditional Owner</w:t>
      </w:r>
      <w:r w:rsidRPr="003A7F28" w:rsidDel="006E4F55">
        <w:t xml:space="preserve"> organisations </w:t>
      </w:r>
      <w:r w:rsidRPr="003A7F28">
        <w:t>across our service region</w:t>
      </w:r>
      <w:r>
        <w:t xml:space="preserve"> is</w:t>
      </w:r>
      <w:r w:rsidRPr="003A7F28">
        <w:t xml:space="preserve"> embedded in our </w:t>
      </w:r>
      <w:r w:rsidRPr="005C1B10">
        <w:rPr>
          <w:i/>
        </w:rPr>
        <w:t>Innovate Reconciliation Action Plan</w:t>
      </w:r>
      <w:r>
        <w:t xml:space="preserve"> and </w:t>
      </w:r>
      <w:r w:rsidRPr="005C1B10">
        <w:rPr>
          <w:i/>
        </w:rPr>
        <w:t>2030 Strategy</w:t>
      </w:r>
      <w:r w:rsidRPr="003A7F28">
        <w:t>.</w:t>
      </w:r>
    </w:p>
    <w:p w14:paraId="3A469E23" w14:textId="5191FC78" w:rsidR="00A27CCA" w:rsidRDefault="00A27CCA" w:rsidP="00A27CCA">
      <w:r>
        <w:t>Engagement revealed that customer values and expectations of their water corporation have remained relatively the same since the previous regulatory period, but their priorities have changed, reflecti</w:t>
      </w:r>
      <w:r w:rsidR="006D34F9">
        <w:t>n</w:t>
      </w:r>
      <w:r w:rsidR="001C17FD">
        <w:t>g</w:t>
      </w:r>
      <w:r>
        <w:t xml:space="preserve"> the challenging economic climate facing many households. We have balanced our customers</w:t>
      </w:r>
      <w:r w:rsidR="00716977">
        <w:t>’</w:t>
      </w:r>
      <w:r>
        <w:t xml:space="preserve"> priorities against critical and strategic investments and expenditure to ensure our customers receive maximum value for money and only pay for what they will receive. </w:t>
      </w:r>
    </w:p>
    <w:p w14:paraId="5BA15F0D" w14:textId="7319701F" w:rsidR="000934C8" w:rsidRDefault="000934C8" w:rsidP="00A27CCA">
      <w:r w:rsidRPr="000934C8">
        <w:t xml:space="preserve">Our first price submission will improve the resilience and reliability across our water and sewage network, while ensuring affordability is a priority. Our customers will receive a 'similar price for similar service' with key improvements based on what our customers told us is the most important, including minimising our impact on the environment, improving water quality and drought resilience, improving our use of alternative water, improving customer experience, and always helping each other out by increasing our resources for people experiencing financial difficulty.  </w:t>
      </w:r>
    </w:p>
    <w:p w14:paraId="5954378D" w14:textId="14DEFD5D" w:rsidR="008E4C7B" w:rsidRDefault="00077723" w:rsidP="00E866DA">
      <w:pPr>
        <w:pStyle w:val="Heading2-nonumber"/>
      </w:pPr>
      <w:bookmarkStart w:id="15" w:name="_Toc146004841"/>
      <w:bookmarkStart w:id="16" w:name="_Toc146004729"/>
      <w:bookmarkStart w:id="17" w:name="_Toc146032357"/>
      <w:bookmarkStart w:id="18" w:name="_Toc146746674"/>
      <w:r>
        <w:t xml:space="preserve">Declining </w:t>
      </w:r>
      <w:r w:rsidR="00E037A5">
        <w:t xml:space="preserve">and stable </w:t>
      </w:r>
      <w:r w:rsidR="008E4C7B" w:rsidRPr="006812AE">
        <w:t>bills</w:t>
      </w:r>
      <w:bookmarkEnd w:id="15"/>
      <w:bookmarkEnd w:id="16"/>
      <w:bookmarkEnd w:id="17"/>
      <w:bookmarkEnd w:id="18"/>
    </w:p>
    <w:p w14:paraId="2474B436" w14:textId="70116272" w:rsidR="00881A94" w:rsidRDefault="00881A94" w:rsidP="00881A94">
      <w:r>
        <w:t xml:space="preserve">GWW proposes a four-year regulatory </w:t>
      </w:r>
      <w:r w:rsidR="00337806">
        <w:t xml:space="preserve">period </w:t>
      </w:r>
      <w:r w:rsidR="0079380B">
        <w:t xml:space="preserve">from </w:t>
      </w:r>
      <w:r w:rsidR="00716977">
        <w:t xml:space="preserve">1 </w:t>
      </w:r>
      <w:r w:rsidR="0079380B">
        <w:t xml:space="preserve">July 2024 to </w:t>
      </w:r>
      <w:r w:rsidR="00716977">
        <w:t xml:space="preserve">30 </w:t>
      </w:r>
      <w:r w:rsidR="0079380B">
        <w:t>Jun</w:t>
      </w:r>
      <w:r w:rsidR="00716977">
        <w:t>e</w:t>
      </w:r>
      <w:r w:rsidR="0079380B">
        <w:t xml:space="preserve"> 2028</w:t>
      </w:r>
      <w:r w:rsidR="00A54E1F">
        <w:t>, returning our regulatory period to alignment with our peers for the E</w:t>
      </w:r>
      <w:r w:rsidR="001B24D1">
        <w:t xml:space="preserve">ssential </w:t>
      </w:r>
      <w:r w:rsidR="00A54E1F">
        <w:t>S</w:t>
      </w:r>
      <w:r w:rsidR="001B24D1">
        <w:t>ervice Commission</w:t>
      </w:r>
      <w:r w:rsidR="00A54E1F">
        <w:t>’s next price review</w:t>
      </w:r>
      <w:r w:rsidR="0079380B">
        <w:t xml:space="preserve">. </w:t>
      </w:r>
    </w:p>
    <w:p w14:paraId="2C323B75" w14:textId="284BAC2D" w:rsidR="00881A94" w:rsidRDefault="00881A94" w:rsidP="00881A94">
      <w:r>
        <w:t xml:space="preserve">Our customers told us that affordability is one of their top priorities </w:t>
      </w:r>
      <w:r w:rsidR="00335586">
        <w:t xml:space="preserve">over the regulatory period </w:t>
      </w:r>
      <w:r w:rsidR="007560B4">
        <w:t xml:space="preserve">given the current </w:t>
      </w:r>
      <w:r>
        <w:t>cost</w:t>
      </w:r>
      <w:r w:rsidR="000A2BB3">
        <w:t>-</w:t>
      </w:r>
      <w:r>
        <w:t>of</w:t>
      </w:r>
      <w:r w:rsidR="000A2BB3">
        <w:t>-</w:t>
      </w:r>
      <w:r>
        <w:t xml:space="preserve">living pressures. </w:t>
      </w:r>
      <w:r w:rsidR="00424CE0">
        <w:t>As GWW, we have deliver</w:t>
      </w:r>
      <w:r w:rsidR="007E5F04">
        <w:t xml:space="preserve">ed lower bills for </w:t>
      </w:r>
      <w:r w:rsidR="00310FE6">
        <w:t>our customer</w:t>
      </w:r>
      <w:r w:rsidR="00E8074E">
        <w:t xml:space="preserve">s </w:t>
      </w:r>
      <w:r w:rsidR="004B00F6">
        <w:t xml:space="preserve">in the current regulatory period </w:t>
      </w:r>
      <w:r w:rsidR="00E8074E">
        <w:t>than other</w:t>
      </w:r>
      <w:r w:rsidR="00C66F9C">
        <w:t xml:space="preserve">wise </w:t>
      </w:r>
      <w:r w:rsidR="00AA3D34">
        <w:t>would</w:t>
      </w:r>
      <w:r w:rsidR="00C66F9C">
        <w:t xml:space="preserve"> have occurred under</w:t>
      </w:r>
      <w:r w:rsidR="0062565E">
        <w:t xml:space="preserve"> the </w:t>
      </w:r>
      <w:r w:rsidR="00A6260E">
        <w:t xml:space="preserve">previous </w:t>
      </w:r>
      <w:r w:rsidR="00075FAB">
        <w:t xml:space="preserve">CWW and WW </w:t>
      </w:r>
      <w:r w:rsidR="003C24D6">
        <w:t>determination</w:t>
      </w:r>
      <w:r w:rsidR="002679DB">
        <w:t xml:space="preserve"> price paths</w:t>
      </w:r>
      <w:r w:rsidR="003C24D6">
        <w:t xml:space="preserve">. </w:t>
      </w:r>
      <w:r w:rsidR="00302611">
        <w:t xml:space="preserve">Our </w:t>
      </w:r>
      <w:r w:rsidR="00021D45">
        <w:t>proposal deliver</w:t>
      </w:r>
      <w:r w:rsidR="00ED2C4A">
        <w:t>s</w:t>
      </w:r>
      <w:r w:rsidR="00021D45">
        <w:t xml:space="preserve"> </w:t>
      </w:r>
      <w:r w:rsidR="00506E80">
        <w:t xml:space="preserve">declining </w:t>
      </w:r>
      <w:r w:rsidR="00021D45">
        <w:t>a</w:t>
      </w:r>
      <w:r>
        <w:t xml:space="preserve">verage bills </w:t>
      </w:r>
      <w:r w:rsidR="003F0045">
        <w:t xml:space="preserve">in real terms </w:t>
      </w:r>
      <w:r>
        <w:t xml:space="preserve">over the </w:t>
      </w:r>
      <w:r w:rsidR="00D23429">
        <w:t xml:space="preserve">next </w:t>
      </w:r>
      <w:r>
        <w:t>regulatory period (2024-</w:t>
      </w:r>
      <w:r w:rsidR="00134631">
        <w:t>25 to 2027</w:t>
      </w:r>
      <w:r>
        <w:t>-28). GWW’s water bills for our 550,990 homeowners and tenants will remain some of the lowest water bills in the state.</w:t>
      </w:r>
    </w:p>
    <w:p w14:paraId="37C15097" w14:textId="3BF30A97" w:rsidR="00881A94" w:rsidRDefault="000E5BF3" w:rsidP="00881A94">
      <w:r>
        <w:t xml:space="preserve">Our </w:t>
      </w:r>
      <w:r w:rsidR="0050420B">
        <w:t xml:space="preserve">proposed </w:t>
      </w:r>
      <w:r w:rsidR="00B21037">
        <w:t xml:space="preserve">tariffs </w:t>
      </w:r>
      <w:r w:rsidR="009322C6">
        <w:t xml:space="preserve">maintain </w:t>
      </w:r>
      <w:r w:rsidR="00E90A3D">
        <w:t>cent</w:t>
      </w:r>
      <w:r w:rsidR="00253F49">
        <w:t xml:space="preserve">ral and western </w:t>
      </w:r>
      <w:r w:rsidR="009322C6">
        <w:t xml:space="preserve">pricing </w:t>
      </w:r>
      <w:r w:rsidR="00A42E29">
        <w:t xml:space="preserve">zones </w:t>
      </w:r>
      <w:r w:rsidR="00BA7AFB">
        <w:t xml:space="preserve">in the </w:t>
      </w:r>
      <w:r w:rsidR="00700007">
        <w:t>areas previously serviced by CWW and WW</w:t>
      </w:r>
      <w:r w:rsidR="00E367DD">
        <w:t>,</w:t>
      </w:r>
      <w:r w:rsidR="00802124">
        <w:t xml:space="preserve"> </w:t>
      </w:r>
      <w:r w:rsidR="00E367DD">
        <w:t>while</w:t>
      </w:r>
      <w:r w:rsidR="00332683">
        <w:t xml:space="preserve"> we </w:t>
      </w:r>
      <w:r w:rsidR="002F368A">
        <w:t xml:space="preserve">transition </w:t>
      </w:r>
      <w:r w:rsidR="00D95E03">
        <w:t xml:space="preserve">our tariff structures and prices </w:t>
      </w:r>
      <w:r w:rsidR="004A1939">
        <w:t xml:space="preserve">into alignment </w:t>
      </w:r>
      <w:r w:rsidR="00842217">
        <w:t>over time</w:t>
      </w:r>
      <w:r w:rsidR="0034019E">
        <w:t>.</w:t>
      </w:r>
      <w:r w:rsidR="00393F58">
        <w:t xml:space="preserve"> </w:t>
      </w:r>
      <w:r w:rsidR="00DB7E44">
        <w:t>On average a</w:t>
      </w:r>
      <w:r w:rsidR="0018763D">
        <w:t>cross our entire service area</w:t>
      </w:r>
      <w:r w:rsidR="00A63683">
        <w:t xml:space="preserve">, </w:t>
      </w:r>
      <w:r w:rsidR="00881A94">
        <w:t xml:space="preserve">household </w:t>
      </w:r>
      <w:r w:rsidR="00881A94" w:rsidRPr="0055574F">
        <w:t xml:space="preserve">bills </w:t>
      </w:r>
      <w:r w:rsidR="002D29E2">
        <w:t xml:space="preserve">will </w:t>
      </w:r>
      <w:r w:rsidR="00881A94" w:rsidRPr="0055574F">
        <w:t xml:space="preserve">decrease </w:t>
      </w:r>
      <w:r w:rsidR="00C54688">
        <w:t xml:space="preserve">by </w:t>
      </w:r>
      <w:r w:rsidR="006272ED" w:rsidRPr="0055574F">
        <w:t>1</w:t>
      </w:r>
      <w:r w:rsidR="00881A94" w:rsidRPr="0055574F">
        <w:t>% or around $</w:t>
      </w:r>
      <w:r w:rsidR="002B4451" w:rsidRPr="0055574F">
        <w:t>11</w:t>
      </w:r>
      <w:r w:rsidR="00881A94" w:rsidRPr="0055574F">
        <w:t xml:space="preserve"> at the beginning of the regulatory period, and then </w:t>
      </w:r>
      <w:r w:rsidR="00932F9E" w:rsidRPr="0055574F">
        <w:t xml:space="preserve">remain </w:t>
      </w:r>
      <w:r w:rsidR="00B87705" w:rsidRPr="0055574F">
        <w:t xml:space="preserve">relatively </w:t>
      </w:r>
      <w:r w:rsidR="00932F9E" w:rsidRPr="0055574F">
        <w:t xml:space="preserve">stable </w:t>
      </w:r>
      <w:r w:rsidR="00881A94" w:rsidRPr="0055574F">
        <w:t>over the period</w:t>
      </w:r>
      <w:r w:rsidR="006A5CB5" w:rsidRPr="0055574F">
        <w:t>,</w:t>
      </w:r>
      <w:r w:rsidR="00881A94" w:rsidRPr="0055574F">
        <w:t xml:space="preserve"> </w:t>
      </w:r>
      <w:r w:rsidR="006A5CB5" w:rsidRPr="0055574F">
        <w:t>before pass through adjustments and inflation</w:t>
      </w:r>
      <w:r w:rsidR="00881A94" w:rsidRPr="0055574F">
        <w:t>.</w:t>
      </w:r>
      <w:r w:rsidR="00881A94">
        <w:t xml:space="preserve"> </w:t>
      </w:r>
    </w:p>
    <w:p w14:paraId="18B27456" w14:textId="0D8B20A3" w:rsidR="00F35F99" w:rsidRDefault="00AC01EA" w:rsidP="00F35F99">
      <w:pPr>
        <w:rPr>
          <w:rStyle w:val="normaltextrun"/>
          <w:rFonts w:ascii="Verdana" w:hAnsi="Verdana"/>
          <w:color w:val="000000"/>
          <w:shd w:val="clear" w:color="auto" w:fill="FFFFFF"/>
        </w:rPr>
      </w:pPr>
      <w:r>
        <w:rPr>
          <w:rStyle w:val="normaltextrun"/>
          <w:rFonts w:ascii="Verdana" w:hAnsi="Verdana"/>
          <w:color w:val="000000"/>
          <w:shd w:val="clear" w:color="auto" w:fill="FFFFFF"/>
        </w:rPr>
        <w:lastRenderedPageBreak/>
        <w:t>Average o</w:t>
      </w:r>
      <w:r w:rsidR="00F35F99">
        <w:rPr>
          <w:rStyle w:val="normaltextrun"/>
          <w:rFonts w:ascii="Verdana" w:hAnsi="Verdana"/>
          <w:color w:val="000000"/>
          <w:shd w:val="clear" w:color="auto" w:fill="FFFFFF"/>
        </w:rPr>
        <w:t xml:space="preserve">wner occupier customers in the central region will see an initial </w:t>
      </w:r>
      <w:r>
        <w:rPr>
          <w:rStyle w:val="normaltextrun"/>
          <w:rFonts w:ascii="Verdana" w:hAnsi="Verdana"/>
          <w:color w:val="000000"/>
          <w:shd w:val="clear" w:color="auto" w:fill="FFFFFF"/>
        </w:rPr>
        <w:t xml:space="preserve">bill </w:t>
      </w:r>
      <w:r w:rsidR="00F35F99">
        <w:rPr>
          <w:rStyle w:val="normaltextrun"/>
          <w:rFonts w:ascii="Verdana" w:hAnsi="Verdana"/>
          <w:color w:val="000000"/>
          <w:shd w:val="clear" w:color="auto" w:fill="FFFFFF"/>
        </w:rPr>
        <w:t>decline of $11</w:t>
      </w:r>
      <w:r w:rsidR="00537A18">
        <w:rPr>
          <w:rStyle w:val="normaltextrun"/>
          <w:rFonts w:ascii="Verdana" w:hAnsi="Verdana"/>
          <w:color w:val="000000"/>
          <w:shd w:val="clear" w:color="auto" w:fill="FFFFFF"/>
        </w:rPr>
        <w:t xml:space="preserve"> (-1.1%)</w:t>
      </w:r>
      <w:r w:rsidR="00F35F99">
        <w:rPr>
          <w:rStyle w:val="normaltextrun"/>
          <w:rFonts w:ascii="Verdana" w:hAnsi="Verdana"/>
          <w:color w:val="000000"/>
          <w:shd w:val="clear" w:color="auto" w:fill="FFFFFF"/>
        </w:rPr>
        <w:t xml:space="preserve"> </w:t>
      </w:r>
      <w:r w:rsidR="006947DF">
        <w:rPr>
          <w:rStyle w:val="normaltextrun"/>
          <w:rFonts w:ascii="Verdana" w:hAnsi="Verdana"/>
          <w:color w:val="000000"/>
          <w:shd w:val="clear" w:color="auto" w:fill="FFFFFF"/>
        </w:rPr>
        <w:t xml:space="preserve">in 2024-25 </w:t>
      </w:r>
      <w:r w:rsidR="00F35F99">
        <w:rPr>
          <w:rStyle w:val="normaltextrun"/>
          <w:rFonts w:ascii="Verdana" w:hAnsi="Verdana"/>
          <w:color w:val="000000"/>
          <w:shd w:val="clear" w:color="auto" w:fill="FFFFFF"/>
        </w:rPr>
        <w:t xml:space="preserve">with bills </w:t>
      </w:r>
      <w:r w:rsidR="00741E08">
        <w:rPr>
          <w:rStyle w:val="normaltextrun"/>
          <w:rFonts w:ascii="Verdana" w:hAnsi="Verdana"/>
          <w:color w:val="000000"/>
          <w:shd w:val="clear" w:color="auto" w:fill="FFFFFF"/>
        </w:rPr>
        <w:t xml:space="preserve">increasing slightly each year </w:t>
      </w:r>
      <w:r w:rsidR="00E23501" w:rsidDel="004A268D">
        <w:rPr>
          <w:rStyle w:val="normaltextrun"/>
          <w:rFonts w:ascii="Verdana" w:hAnsi="Verdana"/>
          <w:color w:val="000000"/>
          <w:shd w:val="clear" w:color="auto" w:fill="FFFFFF"/>
        </w:rPr>
        <w:t xml:space="preserve">to </w:t>
      </w:r>
      <w:r w:rsidR="00741E08">
        <w:rPr>
          <w:rStyle w:val="normaltextrun"/>
          <w:rFonts w:ascii="Verdana" w:hAnsi="Verdana"/>
          <w:color w:val="000000"/>
          <w:shd w:val="clear" w:color="auto" w:fill="FFFFFF"/>
        </w:rPr>
        <w:t>finish</w:t>
      </w:r>
      <w:r w:rsidR="004A268D">
        <w:rPr>
          <w:rStyle w:val="normaltextrun"/>
          <w:rFonts w:ascii="Verdana" w:hAnsi="Verdana"/>
          <w:color w:val="000000"/>
          <w:shd w:val="clear" w:color="auto" w:fill="FFFFFF"/>
        </w:rPr>
        <w:t xml:space="preserve"> </w:t>
      </w:r>
      <w:r w:rsidR="00F35F99">
        <w:rPr>
          <w:rStyle w:val="normaltextrun"/>
          <w:rFonts w:ascii="Verdana" w:hAnsi="Verdana"/>
          <w:color w:val="000000"/>
          <w:shd w:val="clear" w:color="auto" w:fill="FFFFFF"/>
        </w:rPr>
        <w:t>$</w:t>
      </w:r>
      <w:r w:rsidR="009E6164">
        <w:rPr>
          <w:rStyle w:val="normaltextrun"/>
          <w:rFonts w:ascii="Verdana" w:hAnsi="Verdana"/>
          <w:color w:val="000000"/>
          <w:shd w:val="clear" w:color="auto" w:fill="FFFFFF"/>
        </w:rPr>
        <w:t>2</w:t>
      </w:r>
      <w:r w:rsidR="00F35F99">
        <w:rPr>
          <w:rStyle w:val="normaltextrun"/>
          <w:rFonts w:ascii="Verdana" w:hAnsi="Verdana"/>
          <w:color w:val="000000"/>
          <w:shd w:val="clear" w:color="auto" w:fill="FFFFFF"/>
        </w:rPr>
        <w:t xml:space="preserve"> lower than current</w:t>
      </w:r>
      <w:r w:rsidR="00E23501">
        <w:rPr>
          <w:rStyle w:val="normaltextrun"/>
          <w:rFonts w:ascii="Verdana" w:hAnsi="Verdana"/>
          <w:color w:val="000000"/>
          <w:shd w:val="clear" w:color="auto" w:fill="FFFFFF"/>
        </w:rPr>
        <w:t xml:space="preserve"> level</w:t>
      </w:r>
      <w:r w:rsidR="006947DF">
        <w:rPr>
          <w:rStyle w:val="normaltextrun"/>
          <w:rFonts w:ascii="Verdana" w:hAnsi="Verdana"/>
          <w:color w:val="000000"/>
          <w:shd w:val="clear" w:color="auto" w:fill="FFFFFF"/>
        </w:rPr>
        <w:t>s</w:t>
      </w:r>
      <w:r w:rsidR="00E23501">
        <w:rPr>
          <w:rStyle w:val="normaltextrun"/>
          <w:rFonts w:ascii="Verdana" w:hAnsi="Verdana"/>
          <w:color w:val="000000"/>
          <w:shd w:val="clear" w:color="auto" w:fill="FFFFFF"/>
        </w:rPr>
        <w:t xml:space="preserve"> by the end of the re</w:t>
      </w:r>
      <w:r w:rsidR="006947DF">
        <w:rPr>
          <w:rStyle w:val="normaltextrun"/>
          <w:rFonts w:ascii="Verdana" w:hAnsi="Verdana"/>
          <w:color w:val="000000"/>
          <w:shd w:val="clear" w:color="auto" w:fill="FFFFFF"/>
        </w:rPr>
        <w:t>gulatory period</w:t>
      </w:r>
      <w:r w:rsidR="00F35F99">
        <w:rPr>
          <w:rStyle w:val="normaltextrun"/>
          <w:rFonts w:ascii="Verdana" w:hAnsi="Verdana"/>
          <w:color w:val="000000"/>
          <w:shd w:val="clear" w:color="auto" w:fill="FFFFFF"/>
        </w:rPr>
        <w:t xml:space="preserve">. </w:t>
      </w:r>
      <w:r w:rsidR="00AA1922">
        <w:rPr>
          <w:rStyle w:val="normaltextrun"/>
          <w:rFonts w:ascii="Verdana" w:hAnsi="Verdana"/>
          <w:color w:val="000000"/>
          <w:shd w:val="clear" w:color="auto" w:fill="FFFFFF"/>
        </w:rPr>
        <w:t>Average t</w:t>
      </w:r>
      <w:r w:rsidR="00F35F99">
        <w:rPr>
          <w:rStyle w:val="normaltextrun"/>
          <w:rFonts w:ascii="Verdana" w:hAnsi="Verdana"/>
          <w:color w:val="000000"/>
          <w:shd w:val="clear" w:color="auto" w:fill="FFFFFF"/>
        </w:rPr>
        <w:t xml:space="preserve">enant customer bills in the central region will reduce by $20 </w:t>
      </w:r>
      <w:r w:rsidR="00AA1922">
        <w:rPr>
          <w:rStyle w:val="normaltextrun"/>
          <w:rFonts w:ascii="Verdana" w:hAnsi="Verdana"/>
          <w:color w:val="000000"/>
          <w:shd w:val="clear" w:color="auto" w:fill="FFFFFF"/>
        </w:rPr>
        <w:t xml:space="preserve">(-3.9%) </w:t>
      </w:r>
      <w:r w:rsidR="006947DF">
        <w:rPr>
          <w:rStyle w:val="normaltextrun"/>
          <w:rFonts w:ascii="Verdana" w:hAnsi="Verdana"/>
          <w:color w:val="000000"/>
          <w:shd w:val="clear" w:color="auto" w:fill="FFFFFF"/>
        </w:rPr>
        <w:t xml:space="preserve">in </w:t>
      </w:r>
      <w:r w:rsidR="00AA1922">
        <w:rPr>
          <w:rStyle w:val="normaltextrun"/>
          <w:rFonts w:ascii="Verdana" w:hAnsi="Verdana"/>
          <w:color w:val="000000"/>
          <w:shd w:val="clear" w:color="auto" w:fill="FFFFFF"/>
        </w:rPr>
        <w:t xml:space="preserve">2024-25 </w:t>
      </w:r>
      <w:r w:rsidR="00A77A79">
        <w:rPr>
          <w:rStyle w:val="normaltextrun"/>
          <w:rFonts w:ascii="Verdana" w:hAnsi="Verdana"/>
          <w:color w:val="000000"/>
          <w:shd w:val="clear" w:color="auto" w:fill="FFFFFF"/>
        </w:rPr>
        <w:t xml:space="preserve">and remain flat </w:t>
      </w:r>
      <w:r w:rsidR="00F35F99">
        <w:rPr>
          <w:rStyle w:val="normaltextrun"/>
          <w:rFonts w:ascii="Verdana" w:hAnsi="Verdana"/>
          <w:color w:val="000000"/>
          <w:shd w:val="clear" w:color="auto" w:fill="FFFFFF"/>
        </w:rPr>
        <w:t xml:space="preserve">over the period. </w:t>
      </w:r>
    </w:p>
    <w:p w14:paraId="0E3D7D36" w14:textId="385C4F94" w:rsidR="00881A94" w:rsidRDefault="00F35F99" w:rsidP="00881A94">
      <w:r>
        <w:rPr>
          <w:rStyle w:val="normaltextrun"/>
          <w:rFonts w:ascii="Verdana" w:hAnsi="Verdana"/>
          <w:color w:val="000000"/>
          <w:shd w:val="clear" w:color="auto" w:fill="FFFFFF"/>
        </w:rPr>
        <w:t>In the western region, owner occupiers will see bill decrease</w:t>
      </w:r>
      <w:r w:rsidR="008C781C">
        <w:rPr>
          <w:rStyle w:val="normaltextrun"/>
          <w:rFonts w:ascii="Verdana" w:hAnsi="Verdana"/>
          <w:color w:val="000000"/>
          <w:shd w:val="clear" w:color="auto" w:fill="FFFFFF"/>
        </w:rPr>
        <w:t>s each year of the regulatory period</w:t>
      </w:r>
      <w:r w:rsidR="00D727F3">
        <w:rPr>
          <w:rStyle w:val="normaltextrun"/>
          <w:rFonts w:ascii="Verdana" w:hAnsi="Verdana"/>
          <w:color w:val="000000"/>
          <w:shd w:val="clear" w:color="auto" w:fill="FFFFFF"/>
        </w:rPr>
        <w:t xml:space="preserve"> </w:t>
      </w:r>
      <w:r w:rsidR="003376CF">
        <w:rPr>
          <w:rStyle w:val="normaltextrun"/>
          <w:rFonts w:ascii="Verdana" w:hAnsi="Verdana"/>
          <w:color w:val="000000"/>
          <w:shd w:val="clear" w:color="auto" w:fill="FFFFFF"/>
        </w:rPr>
        <w:t xml:space="preserve">leaving </w:t>
      </w:r>
      <w:r w:rsidR="0083507D">
        <w:rPr>
          <w:rStyle w:val="normaltextrun"/>
          <w:rFonts w:ascii="Verdana" w:hAnsi="Verdana"/>
          <w:color w:val="000000"/>
          <w:shd w:val="clear" w:color="auto" w:fill="FFFFFF"/>
        </w:rPr>
        <w:t xml:space="preserve">bills </w:t>
      </w:r>
      <w:r>
        <w:rPr>
          <w:rStyle w:val="normaltextrun"/>
          <w:rFonts w:ascii="Verdana" w:hAnsi="Verdana"/>
          <w:color w:val="000000"/>
          <w:shd w:val="clear" w:color="auto" w:fill="FFFFFF"/>
        </w:rPr>
        <w:t xml:space="preserve">$47 </w:t>
      </w:r>
      <w:r w:rsidR="00D727F3">
        <w:rPr>
          <w:rStyle w:val="normaltextrun"/>
          <w:rFonts w:ascii="Verdana" w:hAnsi="Verdana"/>
          <w:color w:val="000000"/>
          <w:shd w:val="clear" w:color="auto" w:fill="FFFFFF"/>
        </w:rPr>
        <w:t>lower than current levels (</w:t>
      </w:r>
      <w:r w:rsidR="00BD2FD1">
        <w:rPr>
          <w:rStyle w:val="normaltextrun"/>
          <w:rFonts w:ascii="Verdana" w:hAnsi="Verdana"/>
          <w:color w:val="000000"/>
          <w:shd w:val="clear" w:color="auto" w:fill="FFFFFF"/>
        </w:rPr>
        <w:t>-4.3%)</w:t>
      </w:r>
      <w:r w:rsidR="00FB015F">
        <w:rPr>
          <w:rStyle w:val="normaltextrun"/>
          <w:rFonts w:ascii="Verdana" w:hAnsi="Verdana"/>
          <w:color w:val="000000"/>
          <w:shd w:val="clear" w:color="auto" w:fill="FFFFFF"/>
        </w:rPr>
        <w:t xml:space="preserve"> by</w:t>
      </w:r>
      <w:r>
        <w:rPr>
          <w:rStyle w:val="normaltextrun"/>
          <w:rFonts w:ascii="Verdana" w:hAnsi="Verdana"/>
          <w:color w:val="000000"/>
          <w:shd w:val="clear" w:color="auto" w:fill="FFFFFF"/>
        </w:rPr>
        <w:t xml:space="preserve"> the </w:t>
      </w:r>
      <w:r w:rsidR="00FB015F">
        <w:rPr>
          <w:rStyle w:val="normaltextrun"/>
          <w:rFonts w:ascii="Verdana" w:hAnsi="Verdana"/>
          <w:color w:val="000000"/>
          <w:shd w:val="clear" w:color="auto" w:fill="FFFFFF"/>
        </w:rPr>
        <w:t xml:space="preserve">end of the </w:t>
      </w:r>
      <w:r>
        <w:rPr>
          <w:rStyle w:val="normaltextrun"/>
          <w:rFonts w:ascii="Verdana" w:hAnsi="Verdana"/>
          <w:color w:val="000000"/>
          <w:shd w:val="clear" w:color="auto" w:fill="FFFFFF"/>
        </w:rPr>
        <w:t xml:space="preserve">regulatory period. </w:t>
      </w:r>
      <w:r w:rsidR="00FF769F" w:rsidRPr="00FF769F">
        <w:t xml:space="preserve">Approximately 3% of </w:t>
      </w:r>
      <w:r w:rsidR="000F32B5">
        <w:t xml:space="preserve">our customers </w:t>
      </w:r>
      <w:r w:rsidR="000609FE">
        <w:t xml:space="preserve">are tenants in the </w:t>
      </w:r>
      <w:r w:rsidR="00881A94">
        <w:t>western region</w:t>
      </w:r>
      <w:r w:rsidR="00FB7B51">
        <w:t xml:space="preserve">. These </w:t>
      </w:r>
      <w:r w:rsidR="00FF769F" w:rsidRPr="00FF769F">
        <w:t xml:space="preserve">western region tenants will see a small bill increase of </w:t>
      </w:r>
      <w:r w:rsidR="000C1D90">
        <w:t xml:space="preserve">around $6.50 </w:t>
      </w:r>
      <w:r w:rsidR="00FF769F" w:rsidRPr="00FF769F">
        <w:t xml:space="preserve">per year, adding up to $26 over the regulatory period in real terms. This </w:t>
      </w:r>
      <w:r w:rsidR="00C12FA4">
        <w:t>increase occurs</w:t>
      </w:r>
      <w:r w:rsidR="00FF769F" w:rsidRPr="00FF769F">
        <w:t xml:space="preserve"> because we are changing the way we charge for water in the western region to be more like the central region, with lower fixed charges and higher usage charges</w:t>
      </w:r>
      <w:r w:rsidR="00FF769F">
        <w:t>.</w:t>
      </w:r>
      <w:r w:rsidR="007B06CD">
        <w:t xml:space="preserve"> </w:t>
      </w:r>
      <w:r w:rsidR="007F78EF">
        <w:t xml:space="preserve">We are expanding our customer support programs to ensure that any customer </w:t>
      </w:r>
      <w:r w:rsidR="0084293B">
        <w:t xml:space="preserve">needing support programs has access to the right services. </w:t>
      </w:r>
    </w:p>
    <w:p w14:paraId="78EA9886" w14:textId="1300D3D5" w:rsidR="00881A94" w:rsidRDefault="00881A94" w:rsidP="00881A94">
      <w:r>
        <w:t xml:space="preserve">Customers told us that our bills should be simple and easy to understand. </w:t>
      </w:r>
      <w:r w:rsidR="00651EE6">
        <w:t>Central region c</w:t>
      </w:r>
      <w:r>
        <w:t xml:space="preserve">ustomers will no longer be billed a residential sewage disposal charge and we will remove the Tier 3 water charges in the western region as these can penalise large households that are using water efficiently. </w:t>
      </w:r>
    </w:p>
    <w:p w14:paraId="38EC926E" w14:textId="31B07841" w:rsidR="00881A94" w:rsidRPr="00881A94" w:rsidRDefault="00AD3671" w:rsidP="00881A94">
      <w:r>
        <w:t>We are delivering savings by</w:t>
      </w:r>
      <w:r w:rsidR="00881A94">
        <w:t xml:space="preserve"> becoming a more efficient </w:t>
      </w:r>
      <w:r w:rsidR="00881A94" w:rsidRPr="0055574F">
        <w:t>organisation. We will reduce our operating costs per connection with an average annual efficiency target of 3%. We will</w:t>
      </w:r>
      <w:r w:rsidR="00881A94">
        <w:t xml:space="preserve"> do this by improving the ways we work as we realise the benefits of integration and achieve efficiencies through economies of scale. </w:t>
      </w:r>
      <w:r w:rsidR="007326AD">
        <w:t xml:space="preserve">Customers have not paid for any </w:t>
      </w:r>
      <w:r w:rsidR="00D84BD2">
        <w:t>integration</w:t>
      </w:r>
      <w:r w:rsidR="00060551">
        <w:t>-</w:t>
      </w:r>
      <w:r w:rsidR="00D84BD2">
        <w:t xml:space="preserve">related </w:t>
      </w:r>
      <w:r w:rsidR="007326AD">
        <w:t>increase</w:t>
      </w:r>
      <w:r w:rsidR="00D84BD2">
        <w:t>s</w:t>
      </w:r>
      <w:r w:rsidR="007326AD">
        <w:t xml:space="preserve"> in operating expenditure </w:t>
      </w:r>
      <w:r w:rsidR="00876A0F">
        <w:t xml:space="preserve">that </w:t>
      </w:r>
      <w:r w:rsidR="009C1ED7">
        <w:t xml:space="preserve">occurred between </w:t>
      </w:r>
      <w:r w:rsidR="00881A94">
        <w:t>2020-21 to 2023-24.</w:t>
      </w:r>
    </w:p>
    <w:p w14:paraId="267CED9C" w14:textId="3ACBC277" w:rsidR="00243565" w:rsidRPr="00E80E97" w:rsidRDefault="00A43D64" w:rsidP="00E80E97">
      <w:r>
        <w:t xml:space="preserve">The table below </w:t>
      </w:r>
      <w:r w:rsidR="00BF1394" w:rsidRPr="00E80E97">
        <w:t xml:space="preserve">shows </w:t>
      </w:r>
      <w:r w:rsidR="00243565" w:rsidRPr="00E80E97">
        <w:t xml:space="preserve">indicative customer bill impacts for the next price </w:t>
      </w:r>
      <w:proofErr w:type="gramStart"/>
      <w:r w:rsidR="00243565" w:rsidRPr="00E80E97">
        <w:t>period</w:t>
      </w:r>
      <w:r w:rsidR="006A5CB5">
        <w:t>, before</w:t>
      </w:r>
      <w:proofErr w:type="gramEnd"/>
      <w:r w:rsidR="006A5CB5">
        <w:t xml:space="preserve"> pass through adjustments and inflation</w:t>
      </w:r>
      <w:r w:rsidR="00243565" w:rsidRPr="00E80E97">
        <w:t>. </w:t>
      </w:r>
    </w:p>
    <w:p w14:paraId="7A52A5A9" w14:textId="21B94CD3" w:rsidR="00BF1394" w:rsidRDefault="003B3A26" w:rsidP="003B3A26">
      <w:pPr>
        <w:pStyle w:val="Caption"/>
      </w:pPr>
      <w:r w:rsidRPr="003B3A26">
        <w:rPr>
          <w:b/>
          <w:bCs/>
        </w:rPr>
        <w:t xml:space="preserve">Table </w:t>
      </w:r>
      <w:r w:rsidRPr="003B3A26">
        <w:rPr>
          <w:b/>
          <w:bCs/>
        </w:rPr>
        <w:fldChar w:fldCharType="begin"/>
      </w:r>
      <w:r w:rsidRPr="003B3A26">
        <w:rPr>
          <w:b/>
          <w:bCs/>
        </w:rPr>
        <w:instrText xml:space="preserve"> SEQ Table \* ARABIC </w:instrText>
      </w:r>
      <w:r w:rsidRPr="003B3A26">
        <w:rPr>
          <w:b/>
          <w:bCs/>
        </w:rPr>
        <w:fldChar w:fldCharType="separate"/>
      </w:r>
      <w:r w:rsidR="003B42C6">
        <w:rPr>
          <w:b/>
          <w:bCs/>
          <w:noProof/>
        </w:rPr>
        <w:t>1</w:t>
      </w:r>
      <w:r w:rsidRPr="003B3A26">
        <w:rPr>
          <w:b/>
          <w:bCs/>
        </w:rPr>
        <w:fldChar w:fldCharType="end"/>
      </w:r>
      <w:r>
        <w:t xml:space="preserve"> </w:t>
      </w:r>
      <w:r w:rsidR="00BD29EE" w:rsidRPr="00940BFA">
        <w:t>Proposed residential bills – 150 kilolitres per annum ($, 2023-24)</w:t>
      </w:r>
      <w:r w:rsidR="006A5CB5">
        <w:t xml:space="preserve">, no </w:t>
      </w:r>
      <w:proofErr w:type="gramStart"/>
      <w:r w:rsidR="006A5CB5">
        <w:t>pass through</w:t>
      </w:r>
      <w:proofErr w:type="gramEnd"/>
      <w:r w:rsidR="006A5CB5">
        <w:t xml:space="preserve"> adjustments or inflation impacts</w:t>
      </w:r>
    </w:p>
    <w:tbl>
      <w:tblPr>
        <w:tblStyle w:val="GWWDefaulttable"/>
        <w:tblW w:w="5000" w:type="pct"/>
        <w:tblLook w:val="04A0" w:firstRow="1" w:lastRow="0" w:firstColumn="1" w:lastColumn="0" w:noHBand="0" w:noVBand="1"/>
      </w:tblPr>
      <w:tblGrid>
        <w:gridCol w:w="1193"/>
        <w:gridCol w:w="2446"/>
        <w:gridCol w:w="1201"/>
        <w:gridCol w:w="1201"/>
        <w:gridCol w:w="1201"/>
        <w:gridCol w:w="1201"/>
        <w:gridCol w:w="1195"/>
      </w:tblGrid>
      <w:tr w:rsidR="001B37AE" w:rsidRPr="006C12BA" w14:paraId="4DC50536" w14:textId="77777777" w:rsidTr="0044553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9" w:type="pct"/>
          </w:tcPr>
          <w:p w14:paraId="4B733D01" w14:textId="77777777" w:rsidR="001B37AE" w:rsidRPr="00772A3B" w:rsidRDefault="001B37AE" w:rsidP="00445532">
            <w:pPr>
              <w:rPr>
                <w:szCs w:val="18"/>
              </w:rPr>
            </w:pPr>
            <w:r w:rsidRPr="00772A3B">
              <w:rPr>
                <w:szCs w:val="18"/>
              </w:rPr>
              <w:t>Region</w:t>
            </w:r>
          </w:p>
        </w:tc>
        <w:tc>
          <w:tcPr>
            <w:tcW w:w="1269" w:type="pct"/>
          </w:tcPr>
          <w:p w14:paraId="1EF824C9" w14:textId="77777777" w:rsidR="001B37AE" w:rsidRPr="00772A3B" w:rsidRDefault="001B37AE" w:rsidP="00445532">
            <w:pPr>
              <w:cnfStyle w:val="100000000000" w:firstRow="1" w:lastRow="0" w:firstColumn="0" w:lastColumn="0" w:oddVBand="0" w:evenVBand="0" w:oddHBand="0" w:evenHBand="0" w:firstRowFirstColumn="0" w:firstRowLastColumn="0" w:lastRowFirstColumn="0" w:lastRowLastColumn="0"/>
              <w:rPr>
                <w:szCs w:val="18"/>
              </w:rPr>
            </w:pPr>
            <w:r w:rsidRPr="00772A3B">
              <w:rPr>
                <w:szCs w:val="18"/>
              </w:rPr>
              <w:t>Customer segment</w:t>
            </w:r>
          </w:p>
        </w:tc>
        <w:tc>
          <w:tcPr>
            <w:tcW w:w="623" w:type="pct"/>
            <w:vAlign w:val="center"/>
          </w:tcPr>
          <w:p w14:paraId="30A7E932"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2023-24</w:t>
            </w:r>
          </w:p>
        </w:tc>
        <w:tc>
          <w:tcPr>
            <w:tcW w:w="623" w:type="pct"/>
            <w:vAlign w:val="center"/>
          </w:tcPr>
          <w:p w14:paraId="34A9E327"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2024-25</w:t>
            </w:r>
          </w:p>
        </w:tc>
        <w:tc>
          <w:tcPr>
            <w:tcW w:w="623" w:type="pct"/>
            <w:vAlign w:val="center"/>
          </w:tcPr>
          <w:p w14:paraId="747C2DA6"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2025-26</w:t>
            </w:r>
          </w:p>
        </w:tc>
        <w:tc>
          <w:tcPr>
            <w:tcW w:w="623" w:type="pct"/>
            <w:vAlign w:val="center"/>
          </w:tcPr>
          <w:p w14:paraId="5AF03B61"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2026-27</w:t>
            </w:r>
          </w:p>
        </w:tc>
        <w:tc>
          <w:tcPr>
            <w:tcW w:w="620" w:type="pct"/>
            <w:vAlign w:val="center"/>
          </w:tcPr>
          <w:p w14:paraId="4D22DEAA"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2027-28</w:t>
            </w:r>
          </w:p>
        </w:tc>
      </w:tr>
      <w:tr w:rsidR="001B37AE" w:rsidRPr="006C12BA" w14:paraId="16F4F86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1A65C036" w14:textId="77777777" w:rsidR="001B37AE" w:rsidRPr="00772A3B" w:rsidRDefault="001B37AE" w:rsidP="00445532">
            <w:pPr>
              <w:rPr>
                <w:b w:val="0"/>
                <w:szCs w:val="18"/>
              </w:rPr>
            </w:pPr>
            <w:r w:rsidRPr="00772A3B">
              <w:rPr>
                <w:b w:val="0"/>
                <w:szCs w:val="18"/>
              </w:rPr>
              <w:t>Overall</w:t>
            </w:r>
          </w:p>
        </w:tc>
        <w:tc>
          <w:tcPr>
            <w:tcW w:w="1269" w:type="pct"/>
          </w:tcPr>
          <w:p w14:paraId="4C8B980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2255330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$1,021</w:t>
            </w:r>
          </w:p>
        </w:tc>
        <w:tc>
          <w:tcPr>
            <w:tcW w:w="623" w:type="pct"/>
          </w:tcPr>
          <w:p w14:paraId="399309C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$1,010</w:t>
            </w:r>
          </w:p>
        </w:tc>
        <w:tc>
          <w:tcPr>
            <w:tcW w:w="623" w:type="pct"/>
          </w:tcPr>
          <w:p w14:paraId="58EBE62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3" w:type="pct"/>
          </w:tcPr>
          <w:p w14:paraId="6CE9102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0" w:type="pct"/>
          </w:tcPr>
          <w:p w14:paraId="441C910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$1,012</w:t>
            </w:r>
          </w:p>
        </w:tc>
      </w:tr>
      <w:tr w:rsidR="001B37AE" w:rsidRPr="006C12BA" w14:paraId="7AFF1750"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EE9B9F1" w14:textId="77777777" w:rsidR="001B37AE" w:rsidRPr="00772A3B" w:rsidRDefault="001B37AE" w:rsidP="00445532">
            <w:pPr>
              <w:rPr>
                <w:b w:val="0"/>
                <w:szCs w:val="18"/>
              </w:rPr>
            </w:pPr>
          </w:p>
        </w:tc>
        <w:tc>
          <w:tcPr>
            <w:tcW w:w="1269" w:type="pct"/>
          </w:tcPr>
          <w:p w14:paraId="778F336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BB4FDD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97B1D1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w:t>
            </w:r>
          </w:p>
        </w:tc>
        <w:tc>
          <w:tcPr>
            <w:tcW w:w="623" w:type="pct"/>
          </w:tcPr>
          <w:p w14:paraId="0318AC9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3" w:type="pct"/>
          </w:tcPr>
          <w:p w14:paraId="64A2DD2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0" w:type="pct"/>
          </w:tcPr>
          <w:p w14:paraId="570BCE8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r>
      <w:tr w:rsidR="001B37AE" w:rsidRPr="006C12BA" w14:paraId="4F623AD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72E4516" w14:textId="77777777" w:rsidR="001B37AE" w:rsidRPr="00772A3B" w:rsidRDefault="001B37AE" w:rsidP="00445532">
            <w:pPr>
              <w:rPr>
                <w:b w:val="0"/>
                <w:szCs w:val="18"/>
              </w:rPr>
            </w:pPr>
          </w:p>
        </w:tc>
        <w:tc>
          <w:tcPr>
            <w:tcW w:w="1269" w:type="pct"/>
          </w:tcPr>
          <w:p w14:paraId="351D1B8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38B70A2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$504</w:t>
            </w:r>
          </w:p>
        </w:tc>
        <w:tc>
          <w:tcPr>
            <w:tcW w:w="623" w:type="pct"/>
          </w:tcPr>
          <w:p w14:paraId="610C4AE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$487</w:t>
            </w:r>
          </w:p>
        </w:tc>
        <w:tc>
          <w:tcPr>
            <w:tcW w:w="623" w:type="pct"/>
          </w:tcPr>
          <w:p w14:paraId="2FA2ABF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$488</w:t>
            </w:r>
          </w:p>
        </w:tc>
        <w:tc>
          <w:tcPr>
            <w:tcW w:w="623" w:type="pct"/>
          </w:tcPr>
          <w:p w14:paraId="0EAB8B4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$489</w:t>
            </w:r>
          </w:p>
        </w:tc>
        <w:tc>
          <w:tcPr>
            <w:tcW w:w="620" w:type="pct"/>
          </w:tcPr>
          <w:p w14:paraId="660B02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$490</w:t>
            </w:r>
          </w:p>
        </w:tc>
      </w:tr>
      <w:tr w:rsidR="001B37AE" w:rsidRPr="006C12BA" w14:paraId="6F59A74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067787DF" w14:textId="77777777" w:rsidR="001B37AE" w:rsidRPr="00772A3B" w:rsidRDefault="001B37AE" w:rsidP="00445532">
            <w:pPr>
              <w:rPr>
                <w:b w:val="0"/>
                <w:szCs w:val="18"/>
              </w:rPr>
            </w:pPr>
          </w:p>
        </w:tc>
        <w:tc>
          <w:tcPr>
            <w:tcW w:w="1269" w:type="pct"/>
          </w:tcPr>
          <w:p w14:paraId="32A439F9"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150D5A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52068F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-3.3%</w:t>
            </w:r>
          </w:p>
        </w:tc>
        <w:tc>
          <w:tcPr>
            <w:tcW w:w="623" w:type="pct"/>
          </w:tcPr>
          <w:p w14:paraId="77679FA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3" w:type="pct"/>
          </w:tcPr>
          <w:p w14:paraId="5D648DE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0" w:type="pct"/>
          </w:tcPr>
          <w:p w14:paraId="75A5A937"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r>
      <w:tr w:rsidR="001B37AE" w:rsidRPr="006C12BA" w14:paraId="509A85D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5D742CC8" w14:textId="77777777" w:rsidR="001B37AE" w:rsidRPr="00772A3B" w:rsidRDefault="001B37AE" w:rsidP="00445532">
            <w:pPr>
              <w:rPr>
                <w:b w:val="0"/>
                <w:szCs w:val="18"/>
              </w:rPr>
            </w:pPr>
            <w:r w:rsidRPr="00772A3B">
              <w:rPr>
                <w:b w:val="0"/>
                <w:szCs w:val="18"/>
              </w:rPr>
              <w:t>Central</w:t>
            </w:r>
          </w:p>
        </w:tc>
        <w:tc>
          <w:tcPr>
            <w:tcW w:w="1269" w:type="pct"/>
          </w:tcPr>
          <w:p w14:paraId="4CE6DF94"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501C125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$1,007</w:t>
            </w:r>
          </w:p>
        </w:tc>
        <w:tc>
          <w:tcPr>
            <w:tcW w:w="623" w:type="pct"/>
          </w:tcPr>
          <w:p w14:paraId="5FF7C0A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$996</w:t>
            </w:r>
          </w:p>
        </w:tc>
        <w:tc>
          <w:tcPr>
            <w:tcW w:w="623" w:type="pct"/>
          </w:tcPr>
          <w:p w14:paraId="3EA6EA5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$999</w:t>
            </w:r>
          </w:p>
        </w:tc>
        <w:tc>
          <w:tcPr>
            <w:tcW w:w="623" w:type="pct"/>
          </w:tcPr>
          <w:p w14:paraId="2477CD8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$1,002</w:t>
            </w:r>
          </w:p>
        </w:tc>
        <w:tc>
          <w:tcPr>
            <w:tcW w:w="620" w:type="pct"/>
          </w:tcPr>
          <w:p w14:paraId="2313FB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$1,005</w:t>
            </w:r>
          </w:p>
        </w:tc>
      </w:tr>
      <w:tr w:rsidR="001B37AE" w:rsidRPr="006C12BA" w14:paraId="3859ADA6"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530E514A" w14:textId="77777777" w:rsidR="001B37AE" w:rsidRPr="00772A3B" w:rsidRDefault="001B37AE" w:rsidP="00445532">
            <w:pPr>
              <w:rPr>
                <w:b w:val="0"/>
                <w:szCs w:val="18"/>
              </w:rPr>
            </w:pPr>
          </w:p>
        </w:tc>
        <w:tc>
          <w:tcPr>
            <w:tcW w:w="1269" w:type="pct"/>
          </w:tcPr>
          <w:p w14:paraId="67517433"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3AE3AD1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B73CF5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-1.1%</w:t>
            </w:r>
          </w:p>
        </w:tc>
        <w:tc>
          <w:tcPr>
            <w:tcW w:w="623" w:type="pct"/>
          </w:tcPr>
          <w:p w14:paraId="34E5950B"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3" w:type="pct"/>
          </w:tcPr>
          <w:p w14:paraId="6693A46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0" w:type="pct"/>
          </w:tcPr>
          <w:p w14:paraId="4917FD3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r>
      <w:tr w:rsidR="001B37AE" w:rsidRPr="006C12BA" w14:paraId="66D8651B"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3679983" w14:textId="77777777" w:rsidR="001B37AE" w:rsidRPr="00772A3B" w:rsidRDefault="001B37AE" w:rsidP="00445532">
            <w:pPr>
              <w:rPr>
                <w:b w:val="0"/>
                <w:szCs w:val="18"/>
              </w:rPr>
            </w:pPr>
          </w:p>
        </w:tc>
        <w:tc>
          <w:tcPr>
            <w:tcW w:w="1269" w:type="pct"/>
          </w:tcPr>
          <w:p w14:paraId="18791920"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78C58EA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$531</w:t>
            </w:r>
          </w:p>
        </w:tc>
        <w:tc>
          <w:tcPr>
            <w:tcW w:w="623" w:type="pct"/>
          </w:tcPr>
          <w:p w14:paraId="4DFDA48F"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169ED55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666B712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0" w:type="pct"/>
          </w:tcPr>
          <w:p w14:paraId="42E1ADE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r>
      <w:tr w:rsidR="001B37AE" w:rsidRPr="006C12BA" w14:paraId="3D09244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16ABAAE2" w14:textId="77777777" w:rsidR="001B37AE" w:rsidRPr="00772A3B" w:rsidRDefault="001B37AE" w:rsidP="00445532">
            <w:pPr>
              <w:rPr>
                <w:b w:val="0"/>
                <w:szCs w:val="18"/>
              </w:rPr>
            </w:pPr>
          </w:p>
        </w:tc>
        <w:tc>
          <w:tcPr>
            <w:tcW w:w="1269" w:type="pct"/>
          </w:tcPr>
          <w:p w14:paraId="52C74D0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2E411B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2877397"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-3.9%</w:t>
            </w:r>
          </w:p>
        </w:tc>
        <w:tc>
          <w:tcPr>
            <w:tcW w:w="623" w:type="pct"/>
          </w:tcPr>
          <w:p w14:paraId="616A3BD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3" w:type="pct"/>
          </w:tcPr>
          <w:p w14:paraId="4386E56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0" w:type="pct"/>
          </w:tcPr>
          <w:p w14:paraId="291C482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r>
      <w:tr w:rsidR="001B37AE" w:rsidRPr="006C12BA" w14:paraId="2775C1B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22C0F03D" w14:textId="77777777" w:rsidR="001B37AE" w:rsidRPr="00772A3B" w:rsidRDefault="001B37AE" w:rsidP="00445532">
            <w:pPr>
              <w:rPr>
                <w:b w:val="0"/>
                <w:szCs w:val="18"/>
              </w:rPr>
            </w:pPr>
            <w:r w:rsidRPr="00772A3B">
              <w:rPr>
                <w:b w:val="0"/>
                <w:szCs w:val="18"/>
              </w:rPr>
              <w:t>Western</w:t>
            </w:r>
          </w:p>
        </w:tc>
        <w:tc>
          <w:tcPr>
            <w:tcW w:w="1269" w:type="pct"/>
          </w:tcPr>
          <w:p w14:paraId="5ECD1C17"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7DBB869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$1,099</w:t>
            </w:r>
          </w:p>
        </w:tc>
        <w:tc>
          <w:tcPr>
            <w:tcW w:w="623" w:type="pct"/>
          </w:tcPr>
          <w:p w14:paraId="1E26CF0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$1,092</w:t>
            </w:r>
          </w:p>
        </w:tc>
        <w:tc>
          <w:tcPr>
            <w:tcW w:w="623" w:type="pct"/>
          </w:tcPr>
          <w:p w14:paraId="51E0414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$1,079</w:t>
            </w:r>
          </w:p>
        </w:tc>
        <w:tc>
          <w:tcPr>
            <w:tcW w:w="623" w:type="pct"/>
          </w:tcPr>
          <w:p w14:paraId="23358B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$1,065</w:t>
            </w:r>
          </w:p>
        </w:tc>
        <w:tc>
          <w:tcPr>
            <w:tcW w:w="620" w:type="pct"/>
          </w:tcPr>
          <w:p w14:paraId="582BE82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$1,052</w:t>
            </w:r>
          </w:p>
        </w:tc>
      </w:tr>
      <w:tr w:rsidR="001B37AE" w:rsidRPr="006C12BA" w14:paraId="11CACA92"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B963185" w14:textId="77777777" w:rsidR="001B37AE" w:rsidRPr="00772A3B" w:rsidRDefault="001B37AE" w:rsidP="00445532">
            <w:pPr>
              <w:rPr>
                <w:b w:val="0"/>
                <w:szCs w:val="18"/>
              </w:rPr>
            </w:pPr>
          </w:p>
        </w:tc>
        <w:tc>
          <w:tcPr>
            <w:tcW w:w="1269" w:type="pct"/>
          </w:tcPr>
          <w:p w14:paraId="7BF6AE8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1936583"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EAA2A0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-0.7%</w:t>
            </w:r>
          </w:p>
        </w:tc>
        <w:tc>
          <w:tcPr>
            <w:tcW w:w="623" w:type="pct"/>
          </w:tcPr>
          <w:p w14:paraId="711B4DC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3" w:type="pct"/>
          </w:tcPr>
          <w:p w14:paraId="3F8368B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0" w:type="pct"/>
          </w:tcPr>
          <w:p w14:paraId="2F56035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-1.3%</w:t>
            </w:r>
          </w:p>
        </w:tc>
      </w:tr>
      <w:tr w:rsidR="001B37AE" w:rsidRPr="006C12BA" w14:paraId="7863B4D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BC9EBBA" w14:textId="77777777" w:rsidR="001B37AE" w:rsidRPr="00772A3B" w:rsidRDefault="001B37AE" w:rsidP="00445532">
            <w:pPr>
              <w:rPr>
                <w:b w:val="0"/>
                <w:szCs w:val="18"/>
              </w:rPr>
            </w:pPr>
          </w:p>
        </w:tc>
        <w:tc>
          <w:tcPr>
            <w:tcW w:w="1269" w:type="pct"/>
          </w:tcPr>
          <w:p w14:paraId="7C650A3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4B46FE4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$348</w:t>
            </w:r>
          </w:p>
        </w:tc>
        <w:tc>
          <w:tcPr>
            <w:tcW w:w="623" w:type="pct"/>
          </w:tcPr>
          <w:p w14:paraId="7D950F0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$355</w:t>
            </w:r>
          </w:p>
        </w:tc>
        <w:tc>
          <w:tcPr>
            <w:tcW w:w="623" w:type="pct"/>
          </w:tcPr>
          <w:p w14:paraId="5A6F6733"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$361</w:t>
            </w:r>
          </w:p>
        </w:tc>
        <w:tc>
          <w:tcPr>
            <w:tcW w:w="623" w:type="pct"/>
          </w:tcPr>
          <w:p w14:paraId="7ED6E49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$368</w:t>
            </w:r>
          </w:p>
        </w:tc>
        <w:tc>
          <w:tcPr>
            <w:tcW w:w="620" w:type="pct"/>
          </w:tcPr>
          <w:p w14:paraId="150B951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$374</w:t>
            </w:r>
          </w:p>
        </w:tc>
      </w:tr>
      <w:tr w:rsidR="001B37AE" w:rsidRPr="006C12BA" w14:paraId="7E2A480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41CED34" w14:textId="77777777" w:rsidR="001B37AE" w:rsidRPr="00772A3B" w:rsidRDefault="001B37AE" w:rsidP="00445532">
            <w:pPr>
              <w:rPr>
                <w:szCs w:val="18"/>
              </w:rPr>
            </w:pPr>
          </w:p>
        </w:tc>
        <w:tc>
          <w:tcPr>
            <w:tcW w:w="1269" w:type="pct"/>
          </w:tcPr>
          <w:p w14:paraId="04C4A2C2"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06A4AF2B"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6E0AB0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1.9%</w:t>
            </w:r>
          </w:p>
        </w:tc>
        <w:tc>
          <w:tcPr>
            <w:tcW w:w="623" w:type="pct"/>
          </w:tcPr>
          <w:p w14:paraId="240F3F4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3" w:type="pct"/>
          </w:tcPr>
          <w:p w14:paraId="77FA948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0" w:type="pct"/>
          </w:tcPr>
          <w:p w14:paraId="6320D8C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r>
    </w:tbl>
    <w:p w14:paraId="6846CE56" w14:textId="31C67F1C" w:rsidR="009A3494" w:rsidRPr="005B4BB4" w:rsidRDefault="009A3494" w:rsidP="00243565">
      <w:pPr>
        <w:rPr>
          <w:b/>
        </w:rPr>
      </w:pPr>
    </w:p>
    <w:p w14:paraId="570D84FB" w14:textId="71AC8E4B" w:rsidR="00407A1B" w:rsidRDefault="0E979DC0" w:rsidP="007058D4">
      <w:pPr>
        <w:pStyle w:val="Heading2-nonumber"/>
      </w:pPr>
      <w:bookmarkStart w:id="19" w:name="_Toc146004843"/>
      <w:bookmarkStart w:id="20" w:name="_Toc146004731"/>
      <w:bookmarkStart w:id="21" w:name="_Toc146032359"/>
      <w:bookmarkStart w:id="22" w:name="_Toc146746675"/>
      <w:r w:rsidRPr="007058D4">
        <w:t xml:space="preserve">Our engagement </w:t>
      </w:r>
      <w:proofErr w:type="gramStart"/>
      <w:r w:rsidR="00B3357A">
        <w:t>journey</w:t>
      </w:r>
      <w:bookmarkEnd w:id="19"/>
      <w:bookmarkEnd w:id="20"/>
      <w:bookmarkEnd w:id="21"/>
      <w:bookmarkEnd w:id="22"/>
      <w:proofErr w:type="gramEnd"/>
      <w:r w:rsidR="00B3357A">
        <w:t xml:space="preserve"> </w:t>
      </w:r>
    </w:p>
    <w:p w14:paraId="49943B03" w14:textId="0EAA78C2" w:rsidR="00D84F5A" w:rsidRDefault="00D84F5A" w:rsidP="00B936B3">
      <w:pPr>
        <w:rPr>
          <w:lang w:val="en-US"/>
        </w:rPr>
      </w:pPr>
      <w:r w:rsidRPr="00D84F5A">
        <w:rPr>
          <w:lang w:val="en-US"/>
        </w:rPr>
        <w:t xml:space="preserve">We conducted an ambitious, </w:t>
      </w:r>
      <w:proofErr w:type="gramStart"/>
      <w:r w:rsidRPr="00D84F5A">
        <w:rPr>
          <w:lang w:val="en-US"/>
        </w:rPr>
        <w:t>inclusive</w:t>
      </w:r>
      <w:proofErr w:type="gramEnd"/>
      <w:r w:rsidRPr="00D84F5A">
        <w:rPr>
          <w:lang w:val="en-US"/>
        </w:rPr>
        <w:t xml:space="preserve"> and accessible engagement program to understand our new customer base values and willingness to pay for services</w:t>
      </w:r>
      <w:r>
        <w:rPr>
          <w:lang w:val="en-US"/>
        </w:rPr>
        <w:t>.</w:t>
      </w:r>
      <w:r w:rsidRPr="00D84F5A">
        <w:rPr>
          <w:lang w:val="en-US"/>
        </w:rPr>
        <w:t xml:space="preserve"> </w:t>
      </w:r>
    </w:p>
    <w:p w14:paraId="6F5D81D6" w14:textId="4E69BD69" w:rsidR="00B936B3" w:rsidRPr="00B936B3" w:rsidRDefault="00B936B3" w:rsidP="00B936B3">
      <w:r w:rsidRPr="00B936B3">
        <w:rPr>
          <w:lang w:val="en-US"/>
        </w:rPr>
        <w:t>We heard from more than 8,000 people across our diverse service region through a six-stage engagement journey, over 18 months</w:t>
      </w:r>
      <w:r w:rsidRPr="00B936B3" w:rsidDel="007E6734">
        <w:rPr>
          <w:lang w:val="en-US"/>
        </w:rPr>
        <w:t xml:space="preserve">. </w:t>
      </w:r>
      <w:r w:rsidRPr="00B936B3">
        <w:rPr>
          <w:lang w:val="en-US"/>
        </w:rPr>
        <w:t xml:space="preserve">Our program was grounded in exploratory engagement undertaken in 2021 and guided </w:t>
      </w:r>
      <w:r w:rsidRPr="00B936B3" w:rsidDel="00F247CE">
        <w:rPr>
          <w:lang w:val="en-US"/>
        </w:rPr>
        <w:t xml:space="preserve">by </w:t>
      </w:r>
      <w:r w:rsidRPr="00B936B3">
        <w:rPr>
          <w:lang w:val="en-US"/>
        </w:rPr>
        <w:t xml:space="preserve">our </w:t>
      </w:r>
      <w:r w:rsidRPr="00B936B3">
        <w:rPr>
          <w:i/>
          <w:lang w:val="en-US"/>
        </w:rPr>
        <w:t>2030</w:t>
      </w:r>
      <w:r w:rsidRPr="00B936B3">
        <w:rPr>
          <w:lang w:val="en-US"/>
        </w:rPr>
        <w:t xml:space="preserve"> </w:t>
      </w:r>
      <w:r w:rsidRPr="00B936B3">
        <w:rPr>
          <w:i/>
          <w:lang w:val="en-US"/>
        </w:rPr>
        <w:t>Strategy</w:t>
      </w:r>
      <w:r w:rsidRPr="00B936B3">
        <w:rPr>
          <w:lang w:val="en-US"/>
        </w:rPr>
        <w:t xml:space="preserve">. We used different engagement </w:t>
      </w:r>
      <w:r w:rsidR="008D0E44" w:rsidRPr="00B936B3">
        <w:rPr>
          <w:lang w:val="en-US"/>
        </w:rPr>
        <w:t>types,</w:t>
      </w:r>
      <w:r w:rsidRPr="00B936B3">
        <w:rPr>
          <w:lang w:val="en-US"/>
        </w:rPr>
        <w:t xml:space="preserve"> so findings were robust and fairly represent our customers. Each stage of the engagement informed the next, so we could learn and adapt. </w:t>
      </w:r>
    </w:p>
    <w:p w14:paraId="6119DE8A" w14:textId="58546CDF" w:rsidR="00B936B3" w:rsidRPr="00B936B3" w:rsidRDefault="00B936B3" w:rsidP="00B936B3">
      <w:pPr>
        <w:rPr>
          <w:lang w:val="en-US"/>
        </w:rPr>
      </w:pPr>
      <w:r w:rsidRPr="00B936B3">
        <w:rPr>
          <w:lang w:val="en-US"/>
        </w:rPr>
        <w:t xml:space="preserve">We heard </w:t>
      </w:r>
      <w:r w:rsidR="00274E9F">
        <w:rPr>
          <w:lang w:val="en-US"/>
        </w:rPr>
        <w:t xml:space="preserve">repeatedly that </w:t>
      </w:r>
      <w:r w:rsidRPr="00B936B3">
        <w:rPr>
          <w:lang w:val="en-US"/>
        </w:rPr>
        <w:t xml:space="preserve">the increasing cost of living is impacting our customers. Given its importance, we built </w:t>
      </w:r>
      <w:r w:rsidR="00274E9F">
        <w:rPr>
          <w:lang w:val="en-US"/>
        </w:rPr>
        <w:t xml:space="preserve">affordability </w:t>
      </w:r>
      <w:r w:rsidRPr="00B936B3">
        <w:rPr>
          <w:lang w:val="en-US"/>
        </w:rPr>
        <w:t xml:space="preserve">into the price submission development. Affordability is a principle of our regulatory strategy and influenced our </w:t>
      </w:r>
      <w:r w:rsidR="00281846" w:rsidRPr="00480948">
        <w:t xml:space="preserve">investment and expenditure </w:t>
      </w:r>
      <w:r w:rsidR="00281846">
        <w:rPr>
          <w:lang w:val="en-US"/>
        </w:rPr>
        <w:t>programs</w:t>
      </w:r>
      <w:r w:rsidRPr="00B936B3">
        <w:rPr>
          <w:lang w:val="en-US"/>
        </w:rPr>
        <w:t>. Our customers told us that everyone having access to the same quality and consistency of water is important and that they expect us to support the community and the health of the environment. These themes have shaped our price submission.</w:t>
      </w:r>
    </w:p>
    <w:p w14:paraId="31D35ED0" w14:textId="38868432" w:rsidR="00B936B3" w:rsidRPr="00B936B3" w:rsidRDefault="00B936B3" w:rsidP="00B936B3">
      <w:pPr>
        <w:rPr>
          <w:lang w:val="en-US"/>
        </w:rPr>
      </w:pPr>
      <w:r w:rsidRPr="00B936B3">
        <w:rPr>
          <w:lang w:val="en-US"/>
        </w:rPr>
        <w:t>Our customers told us that managing unplanned disruptions to water services, sourcing water from less traditional ways, such as fit</w:t>
      </w:r>
      <w:r w:rsidR="000C1185">
        <w:rPr>
          <w:lang w:val="en-US"/>
        </w:rPr>
        <w:t>-</w:t>
      </w:r>
      <w:r w:rsidRPr="00B936B3">
        <w:rPr>
          <w:lang w:val="en-US"/>
        </w:rPr>
        <w:t>for</w:t>
      </w:r>
      <w:r w:rsidR="000C1185">
        <w:rPr>
          <w:lang w:val="en-US"/>
        </w:rPr>
        <w:t>-</w:t>
      </w:r>
      <w:r w:rsidRPr="00B936B3">
        <w:rPr>
          <w:lang w:val="en-US"/>
        </w:rPr>
        <w:t>purpose recycled water and stormwater, providing the same level of service for all customers, and supporting the health of waterways were the</w:t>
      </w:r>
      <w:r w:rsidR="00A307EA">
        <w:rPr>
          <w:lang w:val="en-US"/>
        </w:rPr>
        <w:t xml:space="preserve"> four</w:t>
      </w:r>
      <w:r w:rsidRPr="00B936B3">
        <w:rPr>
          <w:lang w:val="en-US"/>
        </w:rPr>
        <w:t xml:space="preserve"> most important topics</w:t>
      </w:r>
      <w:r w:rsidR="00D73309">
        <w:rPr>
          <w:lang w:val="en-US"/>
        </w:rPr>
        <w:t xml:space="preserve"> to them</w:t>
      </w:r>
      <w:r w:rsidRPr="00B936B3">
        <w:rPr>
          <w:lang w:val="en-US"/>
        </w:rPr>
        <w:t xml:space="preserve">. Our community deliberative panel, made up of 44 members, deliberated over five sessions on the four topics and chose to include a fifth topic for clear and accessible communication. The panel put forward 15 recommendations across the five topics and endorsed GWW’s plans to action. </w:t>
      </w:r>
    </w:p>
    <w:p w14:paraId="4FC2D2CD" w14:textId="7869CB18" w:rsidR="007A3EC9" w:rsidRPr="007058D4" w:rsidRDefault="5552B371" w:rsidP="00925B2A">
      <w:pPr>
        <w:pStyle w:val="Heading2-nonumber"/>
      </w:pPr>
      <w:bookmarkStart w:id="23" w:name="_Toc146004844"/>
      <w:bookmarkStart w:id="24" w:name="_Toc146004732"/>
      <w:bookmarkStart w:id="25" w:name="_Toc146032360"/>
      <w:bookmarkStart w:id="26" w:name="_Toc146746676"/>
      <w:r w:rsidRPr="000F742B">
        <w:t>Customer</w:t>
      </w:r>
      <w:r w:rsidRPr="007058D4">
        <w:t xml:space="preserve"> outcomes</w:t>
      </w:r>
      <w:bookmarkEnd w:id="23"/>
      <w:bookmarkEnd w:id="24"/>
      <w:bookmarkEnd w:id="25"/>
      <w:bookmarkEnd w:id="26"/>
    </w:p>
    <w:p w14:paraId="7B64E340" w14:textId="2A2EBEC6" w:rsidR="000A3009" w:rsidRDefault="000A3009" w:rsidP="007058D4">
      <w:r w:rsidRPr="000A3009">
        <w:t xml:space="preserve">Our customer outcomes reflect what customers told us was most important, and </w:t>
      </w:r>
      <w:r w:rsidR="006767B7">
        <w:t xml:space="preserve">the </w:t>
      </w:r>
      <w:r w:rsidRPr="000A3009">
        <w:t xml:space="preserve">experiences define what the outcomes mean for customers every day. We set up a customer forum, which endorsed the final outcomes and selected </w:t>
      </w:r>
      <w:r w:rsidR="008725AF">
        <w:t xml:space="preserve">the </w:t>
      </w:r>
      <w:r w:rsidRPr="000A3009">
        <w:t xml:space="preserve">measures and targets </w:t>
      </w:r>
      <w:r w:rsidR="00AC478A">
        <w:t xml:space="preserve">most meaningful to them </w:t>
      </w:r>
      <w:r w:rsidRPr="000A3009">
        <w:t>to track our performance.</w:t>
      </w:r>
      <w:r w:rsidR="006E28EC">
        <w:t xml:space="preserve"> We </w:t>
      </w:r>
      <w:r w:rsidR="00533D33">
        <w:t xml:space="preserve">added </w:t>
      </w:r>
      <w:r w:rsidR="0016772B">
        <w:t>further</w:t>
      </w:r>
      <w:r w:rsidR="00533D33">
        <w:t xml:space="preserve"> </w:t>
      </w:r>
      <w:r w:rsidR="00145B5D">
        <w:t xml:space="preserve">measures and targets </w:t>
      </w:r>
      <w:r w:rsidR="00D00F0C">
        <w:t>to those selected by our customer</w:t>
      </w:r>
      <w:r w:rsidR="00E40D53">
        <w:t xml:space="preserve"> forum, to </w:t>
      </w:r>
      <w:r w:rsidR="00071695">
        <w:t>ensure</w:t>
      </w:r>
      <w:r w:rsidR="008643A4">
        <w:t xml:space="preserve"> </w:t>
      </w:r>
      <w:r w:rsidR="00F675CD">
        <w:t xml:space="preserve">greater accountability </w:t>
      </w:r>
      <w:r w:rsidR="007877E8">
        <w:t xml:space="preserve">for our performance </w:t>
      </w:r>
      <w:r w:rsidR="00F675CD">
        <w:t>against o</w:t>
      </w:r>
      <w:r w:rsidR="00EC3FEE">
        <w:t>ur customer outcomes</w:t>
      </w:r>
      <w:r w:rsidR="00281846">
        <w:t xml:space="preserve"> and core services</w:t>
      </w:r>
      <w:r w:rsidR="00D963DB">
        <w:t>.</w:t>
      </w:r>
    </w:p>
    <w:p w14:paraId="2F34AA68" w14:textId="4A538109" w:rsidR="007A3EC9" w:rsidRPr="007058D4" w:rsidRDefault="4DAA0546" w:rsidP="007058D4">
      <w:r w:rsidRPr="007058D4">
        <w:lastRenderedPageBreak/>
        <w:t>Our customer outcomes are:</w:t>
      </w:r>
    </w:p>
    <w:p w14:paraId="127A1A79" w14:textId="7A6B0DBA" w:rsidR="007A3EC9" w:rsidRPr="007058D4" w:rsidRDefault="007A3EC9">
      <w:pPr>
        <w:pStyle w:val="ListBullet"/>
        <w:numPr>
          <w:ilvl w:val="0"/>
          <w:numId w:val="70"/>
        </w:numPr>
      </w:pPr>
      <w:r w:rsidRPr="007058D4">
        <w:rPr>
          <w:rStyle w:val="Bold"/>
        </w:rPr>
        <w:t xml:space="preserve">Your water is safe, </w:t>
      </w:r>
      <w:proofErr w:type="gramStart"/>
      <w:r w:rsidRPr="007058D4">
        <w:rPr>
          <w:rStyle w:val="Bold"/>
        </w:rPr>
        <w:t>consistent</w:t>
      </w:r>
      <w:proofErr w:type="gramEnd"/>
      <w:r w:rsidRPr="007058D4">
        <w:rPr>
          <w:rStyle w:val="Bold"/>
        </w:rPr>
        <w:t xml:space="preserve"> and resilient</w:t>
      </w:r>
      <w:r w:rsidRPr="007058D4">
        <w:t xml:space="preserve"> </w:t>
      </w:r>
      <w:r w:rsidR="00F9010B" w:rsidRPr="007058D4">
        <w:t>– we</w:t>
      </w:r>
      <w:r w:rsidRPr="007058D4">
        <w:t xml:space="preserve"> deliver safe and consistent water supply that meets your expectations, regardless of where you live. </w:t>
      </w:r>
    </w:p>
    <w:p w14:paraId="71565165" w14:textId="4DD2F1BE" w:rsidR="007A3EC9" w:rsidRPr="007058D4" w:rsidRDefault="007A3EC9">
      <w:pPr>
        <w:pStyle w:val="ListBullet"/>
        <w:numPr>
          <w:ilvl w:val="0"/>
          <w:numId w:val="70"/>
        </w:numPr>
      </w:pPr>
      <w:r w:rsidRPr="007058D4">
        <w:rPr>
          <w:rStyle w:val="Bold"/>
        </w:rPr>
        <w:t>When things go wrong, we fix them</w:t>
      </w:r>
      <w:r w:rsidRPr="007058D4">
        <w:t xml:space="preserve"> </w:t>
      </w:r>
      <w:r w:rsidR="00F9010B" w:rsidRPr="007058D4">
        <w:t>– we</w:t>
      </w:r>
      <w:r w:rsidRPr="007058D4">
        <w:t xml:space="preserve"> </w:t>
      </w:r>
      <w:r w:rsidR="00F166BF" w:rsidRPr="007058D4">
        <w:t>m</w:t>
      </w:r>
      <w:r w:rsidR="00C1442A" w:rsidRPr="007058D4">
        <w:t>inimi</w:t>
      </w:r>
      <w:r w:rsidR="57C4B7B7" w:rsidRPr="007058D4">
        <w:t>s</w:t>
      </w:r>
      <w:r w:rsidR="00C1442A" w:rsidRPr="007058D4">
        <w:t>e</w:t>
      </w:r>
      <w:r w:rsidRPr="007058D4">
        <w:t xml:space="preserve"> the impact of any disruptions and keep you informed while we do. </w:t>
      </w:r>
    </w:p>
    <w:p w14:paraId="177D8DCC" w14:textId="21B0C335" w:rsidR="007A3EC9" w:rsidRPr="007058D4" w:rsidRDefault="007A3EC9">
      <w:pPr>
        <w:pStyle w:val="ListBullet"/>
        <w:numPr>
          <w:ilvl w:val="0"/>
          <w:numId w:val="70"/>
        </w:numPr>
      </w:pPr>
      <w:r w:rsidRPr="007058D4">
        <w:rPr>
          <w:rStyle w:val="Bold"/>
        </w:rPr>
        <w:t>We support our diverse communities and customers</w:t>
      </w:r>
      <w:r w:rsidRPr="007058D4">
        <w:t xml:space="preserve"> </w:t>
      </w:r>
      <w:r w:rsidR="00F9010B" w:rsidRPr="007058D4">
        <w:t>– we</w:t>
      </w:r>
      <w:r w:rsidRPr="007058D4">
        <w:t xml:space="preserve"> help improve the liveability and wellbeing of our communities and support you if you’re experiencing hardship. </w:t>
      </w:r>
    </w:p>
    <w:p w14:paraId="46B5998F" w14:textId="6C639111" w:rsidR="007A3EC9" w:rsidRPr="007058D4" w:rsidRDefault="007A3EC9">
      <w:pPr>
        <w:pStyle w:val="ListBullet"/>
        <w:numPr>
          <w:ilvl w:val="0"/>
          <w:numId w:val="70"/>
        </w:numPr>
      </w:pPr>
      <w:r w:rsidRPr="007058D4">
        <w:rPr>
          <w:rStyle w:val="Bold"/>
        </w:rPr>
        <w:t>We enable growth and help businesses thrive</w:t>
      </w:r>
      <w:r w:rsidRPr="007058D4">
        <w:t xml:space="preserve"> – we are a co-leader in development and growth in </w:t>
      </w:r>
      <w:r w:rsidR="002F15E1">
        <w:t>the</w:t>
      </w:r>
      <w:r w:rsidRPr="007058D4">
        <w:t xml:space="preserve"> region and support attracting sustainable and thriving industries. </w:t>
      </w:r>
    </w:p>
    <w:p w14:paraId="3FD0E39B" w14:textId="1822ACF9" w:rsidR="007A3EC9" w:rsidRPr="007058D4" w:rsidRDefault="007A3EC9">
      <w:pPr>
        <w:pStyle w:val="ListBullet"/>
        <w:numPr>
          <w:ilvl w:val="0"/>
          <w:numId w:val="70"/>
        </w:numPr>
      </w:pPr>
      <w:r w:rsidRPr="007058D4">
        <w:rPr>
          <w:rStyle w:val="Bold"/>
        </w:rPr>
        <w:t>We heal and care for Country</w:t>
      </w:r>
      <w:r w:rsidRPr="007058D4">
        <w:t xml:space="preserve"> </w:t>
      </w:r>
      <w:r w:rsidR="00F9010B" w:rsidRPr="007058D4">
        <w:t>– we</w:t>
      </w:r>
      <w:r w:rsidRPr="007058D4">
        <w:t xml:space="preserve"> improve the health of our catchments and waterways by limiting and reducing our impact on the environment for all users, including Traditional Owners. </w:t>
      </w:r>
    </w:p>
    <w:p w14:paraId="4BB89749" w14:textId="20CBBA0E" w:rsidR="007A3EC9" w:rsidRPr="000E1C8B" w:rsidRDefault="007A3EC9" w:rsidP="007A3EC9">
      <w:pPr>
        <w:spacing w:before="0" w:after="0"/>
        <w:textAlignment w:val="baseline"/>
      </w:pPr>
      <w:r w:rsidRPr="0FE7EF46">
        <w:rPr>
          <w:rFonts w:ascii="Verdana" w:hAnsi="Verdana" w:cs="Segoe UI"/>
          <w:color w:val="000000" w:themeColor="text1"/>
          <w:lang w:val="en-US"/>
        </w:rPr>
        <w:t xml:space="preserve">Our customer forum will meet annually to </w:t>
      </w:r>
      <w:r w:rsidR="00AC0DFF" w:rsidRPr="0FE7EF46">
        <w:rPr>
          <w:rFonts w:ascii="Verdana" w:hAnsi="Verdana" w:cs="Segoe UI"/>
          <w:color w:val="000000" w:themeColor="text1"/>
          <w:lang w:val="en-US"/>
        </w:rPr>
        <w:t>track our performance</w:t>
      </w:r>
      <w:r w:rsidR="00800040">
        <w:rPr>
          <w:rFonts w:ascii="Verdana" w:hAnsi="Verdana" w:cs="Segoe UI"/>
          <w:color w:val="000000" w:themeColor="text1"/>
          <w:lang w:val="en-US"/>
        </w:rPr>
        <w:t xml:space="preserve"> and keep us accountable</w:t>
      </w:r>
      <w:r w:rsidR="3F793A3E" w:rsidRPr="00F50F13">
        <w:t>.</w:t>
      </w:r>
    </w:p>
    <w:p w14:paraId="1542C47D" w14:textId="77777777" w:rsidR="00015712" w:rsidRPr="00E866DA" w:rsidRDefault="00015712" w:rsidP="00015712">
      <w:pPr>
        <w:pStyle w:val="Heading2-nonumber"/>
      </w:pPr>
      <w:bookmarkStart w:id="27" w:name="_Toc146746677"/>
      <w:bookmarkStart w:id="28" w:name="_Toc146004845"/>
      <w:bookmarkStart w:id="29" w:name="_Toc146004733"/>
      <w:bookmarkStart w:id="30" w:name="_Toc146032361"/>
      <w:r w:rsidRPr="00E866DA">
        <w:t xml:space="preserve">Investment delivering our customer </w:t>
      </w:r>
      <w:proofErr w:type="gramStart"/>
      <w:r w:rsidRPr="00E866DA">
        <w:t>outcomes</w:t>
      </w:r>
      <w:bookmarkEnd w:id="27"/>
      <w:proofErr w:type="gramEnd"/>
    </w:p>
    <w:p w14:paraId="3D78B578" w14:textId="5C7C6FE4" w:rsidR="00015712" w:rsidRPr="0087025F" w:rsidRDefault="00015712" w:rsidP="00015712">
      <w:r w:rsidRPr="005B4BB4">
        <w:t xml:space="preserve">Our </w:t>
      </w:r>
      <w:r w:rsidR="00281846">
        <w:t xml:space="preserve">proposed </w:t>
      </w:r>
      <w:r w:rsidRPr="005B4BB4">
        <w:t xml:space="preserve">capital program focuses on </w:t>
      </w:r>
      <w:r w:rsidR="00855425">
        <w:t>delivering customer outcomes</w:t>
      </w:r>
      <w:r w:rsidR="00052189">
        <w:t xml:space="preserve">, </w:t>
      </w:r>
      <w:r w:rsidRPr="005B4BB4">
        <w:t xml:space="preserve">risk mitigation and improving infrastructure to bring together two water corporations with different functions, </w:t>
      </w:r>
      <w:proofErr w:type="gramStart"/>
      <w:r w:rsidRPr="005B4BB4">
        <w:t>processes</w:t>
      </w:r>
      <w:proofErr w:type="gramEnd"/>
      <w:r w:rsidRPr="005B4BB4">
        <w:t xml:space="preserve"> and asset management regimes to serve a rapidly growing region.</w:t>
      </w:r>
    </w:p>
    <w:p w14:paraId="7DD3ADA2" w14:textId="3906EACB" w:rsidR="00650A53" w:rsidRDefault="00052189" w:rsidP="00015712">
      <w:r>
        <w:t xml:space="preserve">Capital </w:t>
      </w:r>
      <w:r w:rsidR="00741613">
        <w:t xml:space="preserve">expenditure </w:t>
      </w:r>
      <w:r>
        <w:t xml:space="preserve">of </w:t>
      </w:r>
      <w:r w:rsidRPr="00F50F13">
        <w:t>$1.7</w:t>
      </w:r>
      <w:r>
        <w:t xml:space="preserve"> billion is proposed for the five years spanning 2023-24 to 2027-28. This considers what we have been able to deliver in the past and the improvements we’re making to infrastructure </w:t>
      </w:r>
      <w:r w:rsidR="00C10A2E">
        <w:t xml:space="preserve">planning and </w:t>
      </w:r>
      <w:r>
        <w:t>delivery</w:t>
      </w:r>
      <w:r w:rsidR="00C10A2E">
        <w:t>.</w:t>
      </w:r>
      <w:r w:rsidR="00562EC2">
        <w:t xml:space="preserve"> This investment will allow us to deliver</w:t>
      </w:r>
      <w:r w:rsidR="005E5A8A">
        <w:t xml:space="preserve"> our services to a standard </w:t>
      </w:r>
      <w:r w:rsidR="00C36A3D">
        <w:t xml:space="preserve">that </w:t>
      </w:r>
      <w:r w:rsidR="00B65D41">
        <w:t xml:space="preserve">meets customer expectations. </w:t>
      </w:r>
    </w:p>
    <w:p w14:paraId="74619CFC" w14:textId="6EDFF766" w:rsidR="00015712" w:rsidRDefault="00015712" w:rsidP="00015712">
      <w:r>
        <w:t>The</w:t>
      </w:r>
      <w:r w:rsidRPr="0087025F">
        <w:t xml:space="preserve"> largest </w:t>
      </w:r>
      <w:r w:rsidR="003D77EC">
        <w:t>investment</w:t>
      </w:r>
      <w:r w:rsidR="000D43B3">
        <w:t xml:space="preserve">s in infrastructure </w:t>
      </w:r>
      <w:r w:rsidR="008700E4">
        <w:t xml:space="preserve">across our service area </w:t>
      </w:r>
      <w:r w:rsidR="000D43B3">
        <w:t>cover</w:t>
      </w:r>
      <w:r w:rsidRPr="0087025F">
        <w:t xml:space="preserve"> sew</w:t>
      </w:r>
      <w:r w:rsidR="005C16A2">
        <w:t>age</w:t>
      </w:r>
      <w:r w:rsidRPr="0087025F">
        <w:t xml:space="preserve"> treatment, water main renewals, and new water and sewer networks </w:t>
      </w:r>
      <w:r>
        <w:t xml:space="preserve">that </w:t>
      </w:r>
      <w:r w:rsidRPr="0087025F">
        <w:t>support growth. We are</w:t>
      </w:r>
      <w:r w:rsidRPr="0087025F" w:rsidDel="00BA3FC8">
        <w:t xml:space="preserve"> </w:t>
      </w:r>
      <w:r w:rsidRPr="0087025F">
        <w:t xml:space="preserve">investing in consolidating and improving asset monitoring systems and information technology to create long-term </w:t>
      </w:r>
      <w:r>
        <w:t xml:space="preserve">operational and capital </w:t>
      </w:r>
      <w:r w:rsidRPr="0087025F">
        <w:t xml:space="preserve">efficiencies </w:t>
      </w:r>
      <w:r>
        <w:t>and improve</w:t>
      </w:r>
      <w:r w:rsidRPr="0087025F">
        <w:t xml:space="preserve"> customer service and communication.</w:t>
      </w:r>
    </w:p>
    <w:p w14:paraId="5FD07451" w14:textId="7E9AD6C3" w:rsidR="00015712" w:rsidRDefault="00015712" w:rsidP="00015712">
      <w:pPr>
        <w:sectPr w:rsidR="00015712" w:rsidSect="008C1A38">
          <w:headerReference w:type="first" r:id="rId25"/>
          <w:pgSz w:w="11906" w:h="16838" w:code="9"/>
          <w:pgMar w:top="1134" w:right="1134" w:bottom="1134" w:left="1134" w:header="709" w:footer="652" w:gutter="0"/>
          <w:pgNumType w:fmt="lowerRoman"/>
          <w:cols w:space="708"/>
          <w:docGrid w:linePitch="360"/>
        </w:sectPr>
      </w:pPr>
      <w:r>
        <w:t>Our capital expenditure program include</w:t>
      </w:r>
      <w:r w:rsidR="00A903E9">
        <w:t>s</w:t>
      </w:r>
      <w:r>
        <w:t xml:space="preserve"> the top 10 major projects, large ongoing capital works programs and investments aligned to our customer outcomes. </w:t>
      </w:r>
    </w:p>
    <w:p w14:paraId="4A3BBC5A" w14:textId="7B36A37D" w:rsidR="002A474B" w:rsidRDefault="002A474B" w:rsidP="007058D4">
      <w:pPr>
        <w:pStyle w:val="Heading2-nonumber"/>
      </w:pPr>
      <w:bookmarkStart w:id="31" w:name="_Toc146746678"/>
      <w:r w:rsidRPr="00612042">
        <w:lastRenderedPageBreak/>
        <w:t>Where we are investing</w:t>
      </w:r>
      <w:bookmarkEnd w:id="31"/>
    </w:p>
    <w:p w14:paraId="64B91D34" w14:textId="173D539C" w:rsidR="003A2FE3" w:rsidRPr="00045866" w:rsidRDefault="007C37EA" w:rsidP="000158AC">
      <w:pPr>
        <w:sectPr w:rsidR="003A2FE3" w:rsidRPr="00045866" w:rsidSect="008C1A38">
          <w:headerReference w:type="first" r:id="rId26"/>
          <w:pgSz w:w="16838" w:h="11906" w:orient="landscape" w:code="9"/>
          <w:pgMar w:top="1134" w:right="1134" w:bottom="1134" w:left="1134" w:header="709" w:footer="652" w:gutter="0"/>
          <w:pgNumType w:fmt="lowerRoman"/>
          <w:cols w:space="708"/>
          <w:docGrid w:linePitch="360"/>
        </w:sectPr>
      </w:pPr>
      <w:bookmarkStart w:id="32" w:name="_Toc146004846"/>
      <w:bookmarkStart w:id="33" w:name="_Toc146004734"/>
      <w:bookmarkStart w:id="34" w:name="_Toc146032362"/>
      <w:bookmarkEnd w:id="28"/>
      <w:bookmarkEnd w:id="29"/>
      <w:bookmarkEnd w:id="30"/>
      <w:r>
        <w:rPr>
          <w:noProof/>
        </w:rPr>
        <w:drawing>
          <wp:inline distT="0" distB="0" distL="0" distR="0" wp14:anchorId="703EB677" wp14:editId="5BB5AFBE">
            <wp:extent cx="9053156" cy="5705475"/>
            <wp:effectExtent l="0" t="0" r="0" b="0"/>
            <wp:docPr id="10" name="Picture 10" descr="This infographic is titled &quot;Where we are investing and it has five columns. Each column has a sub header and dot points. The column one title is: your water is safe, consistent, and resilient. The first column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The column two title is: when things go wrong, we fix them. It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reducing operational risks through stable, consistent and reliable infrastructure and asset monitoring.&#10;Column three's title is: We support our diverse communities and customers. It has three bullet points: Improving data security to protect customer and business privacy; new billing system to support water industry standards and communicate with customer fast and more effectively through channels of their choice; improving business capability in managing, storing and processing data and automating processes.&#10;Column four's title is: We enable growth and help businesses to thrive. It has two bullet points: Increasing sewer and water network capacity to deliver services to a growing population; Upgrading Melton recycled water plant to address growth and replace end-of-life assets.&#10;Column five's title is: We heal and care for Country. It has three bullet points: Upgrading treatment plants to improve recycled water quality at Woodend and Gisborne and support waterway health; Increasing storage at Romsey recycled water plan to prevent spills and allow reuse at the right time; Test the effectiveness of ultrafiltration package plan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nfographic is titled &quot;Where we are investing and it has five columns. Each column has a sub header and dot points. The column one title is: your water is safe, consistent, and resilient. The first column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The column two title is: when things go wrong, we fix them. It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reducing operational risks through stable, consistent and reliable infrastructure and asset monitoring.&#10;Column three's title is: We support our diverse communities and customers. It has three bullet points: Improving data security to protect customer and business privacy; new billing system to support water industry standards and communicate with customer fast and more effectively through channels of their choice; improving business capability in managing, storing and processing data and automating processes.&#10;Column four's title is: We enable growth and help businesses to thrive. It has two bullet points: Increasing sewer and water network capacity to deliver services to a growing population; Upgrading Melton recycled water plant to address growth and replace end-of-life assets.&#10;Column five's title is: We heal and care for Country. It has three bullet points: Upgrading treatment plants to improve recycled water quality at Woodend and Gisborne and support waterway health; Increasing storage at Romsey recycled water plan to prevent spills and allow reuse at the right time; Test the effectiveness of ultrafiltration package plant technology."/>
                    <pic:cNvPicPr/>
                  </pic:nvPicPr>
                  <pic:blipFill rotWithShape="1">
                    <a:blip r:embed="rId27">
                      <a:extLst>
                        <a:ext uri="{28A0092B-C50C-407E-A947-70E740481C1C}">
                          <a14:useLocalDpi xmlns:a14="http://schemas.microsoft.com/office/drawing/2010/main" val="0"/>
                        </a:ext>
                      </a:extLst>
                    </a:blip>
                    <a:srcRect t="10894"/>
                    <a:stretch/>
                  </pic:blipFill>
                  <pic:spPr bwMode="auto">
                    <a:xfrm>
                      <a:off x="0" y="0"/>
                      <a:ext cx="9060354" cy="5710012"/>
                    </a:xfrm>
                    <a:prstGeom prst="rect">
                      <a:avLst/>
                    </a:prstGeom>
                    <a:ln>
                      <a:noFill/>
                    </a:ln>
                    <a:extLst>
                      <a:ext uri="{53640926-AAD7-44D8-BBD7-CCE9431645EC}">
                        <a14:shadowObscured xmlns:a14="http://schemas.microsoft.com/office/drawing/2010/main"/>
                      </a:ext>
                    </a:extLst>
                  </pic:spPr>
                </pic:pic>
              </a:graphicData>
            </a:graphic>
          </wp:inline>
        </w:drawing>
      </w:r>
      <w:r w:rsidR="00440207">
        <w:br w:type="textWrapping" w:clear="all"/>
      </w:r>
    </w:p>
    <w:p w14:paraId="42DF6D31" w14:textId="77777777" w:rsidR="002A474B" w:rsidRPr="007058D4" w:rsidRDefault="002A474B" w:rsidP="002A474B">
      <w:pPr>
        <w:pStyle w:val="Heading2-nonumber"/>
      </w:pPr>
      <w:bookmarkStart w:id="35" w:name="_Toc146746679"/>
      <w:r w:rsidRPr="007058D4">
        <w:lastRenderedPageBreak/>
        <w:t>Our commitment to Traditional Owners and First Nations people</w:t>
      </w:r>
      <w:bookmarkEnd w:id="35"/>
    </w:p>
    <w:p w14:paraId="3A5313FB" w14:textId="135D0C93" w:rsidR="002A474B" w:rsidRPr="00240419" w:rsidRDefault="002A474B" w:rsidP="002A474B">
      <w:pPr>
        <w:rPr>
          <w:rFonts w:ascii="Verdana" w:hAnsi="Verdana"/>
          <w:color w:val="000000"/>
          <w:shd w:val="clear" w:color="auto" w:fill="FFFFFF"/>
        </w:rPr>
      </w:pPr>
      <w:r>
        <w:rPr>
          <w:rFonts w:ascii="Verdana" w:hAnsi="Verdana"/>
          <w:color w:val="000000"/>
          <w:shd w:val="clear" w:color="auto" w:fill="FFFFFF"/>
        </w:rPr>
        <w:t>Traditional Owners and First Nations voices are important to the 2024 price submission and</w:t>
      </w:r>
      <w:r w:rsidRPr="00240419">
        <w:rPr>
          <w:rFonts w:ascii="Verdana" w:hAnsi="Verdana"/>
          <w:color w:val="000000"/>
          <w:shd w:val="clear" w:color="auto" w:fill="FFFFFF"/>
        </w:rPr>
        <w:t xml:space="preserve"> beyond this regulatory period. The deliberative panel established </w:t>
      </w:r>
      <w:r>
        <w:rPr>
          <w:rFonts w:ascii="Verdana" w:hAnsi="Verdana"/>
          <w:color w:val="000000"/>
          <w:shd w:val="clear" w:color="auto" w:fill="FFFFFF"/>
        </w:rPr>
        <w:t xml:space="preserve">to help develop this </w:t>
      </w:r>
      <w:r w:rsidRPr="00240419">
        <w:rPr>
          <w:rFonts w:ascii="Verdana" w:hAnsi="Verdana"/>
          <w:color w:val="000000"/>
          <w:shd w:val="clear" w:color="auto" w:fill="FFFFFF"/>
        </w:rPr>
        <w:t>price submission made First Nations recruitment a priority</w:t>
      </w:r>
      <w:r>
        <w:rPr>
          <w:rFonts w:ascii="Verdana" w:hAnsi="Verdana"/>
          <w:color w:val="000000"/>
          <w:shd w:val="clear" w:color="auto" w:fill="FFFFFF"/>
        </w:rPr>
        <w:t xml:space="preserve"> and</w:t>
      </w:r>
      <w:r w:rsidRPr="00240419">
        <w:rPr>
          <w:rFonts w:ascii="Verdana" w:hAnsi="Verdana"/>
          <w:color w:val="000000"/>
          <w:shd w:val="clear" w:color="auto" w:fill="FFFFFF"/>
        </w:rPr>
        <w:t xml:space="preserve"> put measures in place to ensure cultural safety</w:t>
      </w:r>
      <w:r w:rsidR="009F53E8">
        <w:rPr>
          <w:rFonts w:ascii="Verdana" w:hAnsi="Verdana"/>
          <w:color w:val="000000"/>
          <w:shd w:val="clear" w:color="auto" w:fill="FFFFFF"/>
        </w:rPr>
        <w:t>.</w:t>
      </w:r>
      <w:r w:rsidRPr="00240419">
        <w:rPr>
          <w:rFonts w:ascii="Verdana" w:hAnsi="Verdana"/>
          <w:color w:val="000000"/>
          <w:shd w:val="clear" w:color="auto" w:fill="FFFFFF"/>
        </w:rPr>
        <w:t xml:space="preserve"> </w:t>
      </w:r>
    </w:p>
    <w:p w14:paraId="4733FF04" w14:textId="66CBF41D" w:rsidR="002A474B" w:rsidRPr="00E866DA" w:rsidRDefault="002A474B" w:rsidP="002A474B">
      <w:r w:rsidRPr="00E866DA">
        <w:t>We acknowledge that our price submission timelines may not align with Traditional Owners</w:t>
      </w:r>
      <w:r w:rsidR="003C1514">
        <w:t>’</w:t>
      </w:r>
      <w:r w:rsidRPr="00E866DA">
        <w:t xml:space="preserve"> or be a priority and that partnership requires investment and time. </w:t>
      </w:r>
      <w:r w:rsidR="001029C9">
        <w:t xml:space="preserve">We have developed a summary of what we’ve heard from Traditional Owners over time, that supports </w:t>
      </w:r>
      <w:r w:rsidR="003252E5">
        <w:t>their desire and capacity to engage with us.</w:t>
      </w:r>
      <w:r w:rsidRPr="00E866DA">
        <w:t xml:space="preserve"> We propose $4 million operating expenditure</w:t>
      </w:r>
      <w:r w:rsidRPr="00E866DA" w:rsidDel="00717937">
        <w:t xml:space="preserve"> </w:t>
      </w:r>
      <w:r w:rsidRPr="00E866DA">
        <w:t xml:space="preserve">over the next regulatory period to support Traditional Owners to lead self-determined </w:t>
      </w:r>
      <w:r w:rsidR="007E50A9">
        <w:t xml:space="preserve">capacity building </w:t>
      </w:r>
      <w:r w:rsidRPr="00E866DA">
        <w:t xml:space="preserve">projects and activities and </w:t>
      </w:r>
      <w:r w:rsidR="007E50A9">
        <w:t xml:space="preserve">to </w:t>
      </w:r>
      <w:r w:rsidRPr="00E866DA">
        <w:t xml:space="preserve">deliver on policy and partnership objectives to form genuine ongoing partnerships. </w:t>
      </w:r>
    </w:p>
    <w:p w14:paraId="30CB1492" w14:textId="77777777" w:rsidR="002A474B" w:rsidRDefault="002A474B" w:rsidP="002A474B">
      <w:pPr>
        <w:rPr>
          <w:rFonts w:ascii="Verdana" w:hAnsi="Verdana"/>
          <w:color w:val="000000"/>
          <w:shd w:val="clear" w:color="auto" w:fill="FFFFFF"/>
        </w:rPr>
      </w:pPr>
      <w:r w:rsidRPr="00240419">
        <w:rPr>
          <w:rFonts w:ascii="Verdana" w:hAnsi="Verdana"/>
          <w:color w:val="000000"/>
          <w:shd w:val="clear" w:color="auto" w:fill="FFFFFF"/>
        </w:rPr>
        <w:t>We are committed to working in partnership with Traditional Owners and will continue to engage in conversations in a way that best suits individual Traditional Owners</w:t>
      </w:r>
      <w:r>
        <w:rPr>
          <w:rFonts w:ascii="Verdana" w:hAnsi="Verdana"/>
          <w:color w:val="000000"/>
          <w:shd w:val="clear" w:color="auto" w:fill="FFFFFF"/>
        </w:rPr>
        <w:t>’</w:t>
      </w:r>
      <w:r w:rsidRPr="00240419">
        <w:rPr>
          <w:rFonts w:ascii="Verdana" w:hAnsi="Verdana"/>
          <w:color w:val="000000"/>
          <w:shd w:val="clear" w:color="auto" w:fill="FFFFFF"/>
        </w:rPr>
        <w:t xml:space="preserve"> needs and interests. </w:t>
      </w:r>
      <w:r>
        <w:rPr>
          <w:rFonts w:ascii="Verdana" w:hAnsi="Verdana"/>
          <w:color w:val="000000"/>
          <w:shd w:val="clear" w:color="auto" w:fill="FFFFFF"/>
        </w:rPr>
        <w:t xml:space="preserve">We will </w:t>
      </w:r>
      <w:r w:rsidRPr="00240419">
        <w:rPr>
          <w:rFonts w:ascii="Verdana" w:hAnsi="Verdana"/>
          <w:color w:val="000000"/>
          <w:shd w:val="clear" w:color="auto" w:fill="FFFFFF"/>
        </w:rPr>
        <w:t>advocat</w:t>
      </w:r>
      <w:r>
        <w:rPr>
          <w:rFonts w:ascii="Verdana" w:hAnsi="Verdana"/>
          <w:color w:val="000000"/>
          <w:shd w:val="clear" w:color="auto" w:fill="FFFFFF"/>
        </w:rPr>
        <w:t>e</w:t>
      </w:r>
      <w:r w:rsidRPr="00240419">
        <w:rPr>
          <w:rFonts w:ascii="Verdana" w:hAnsi="Verdana"/>
          <w:color w:val="000000"/>
          <w:shd w:val="clear" w:color="auto" w:fill="FFFFFF"/>
        </w:rPr>
        <w:t xml:space="preserve"> for greater collaboration across the sector to streamline the many commitments put onto Traditional Owners and support a more holistic approach to delivering Traditional Owner aspirations</w:t>
      </w:r>
      <w:r>
        <w:rPr>
          <w:rFonts w:ascii="Verdana" w:hAnsi="Verdana"/>
          <w:color w:val="000000"/>
          <w:shd w:val="clear" w:color="auto" w:fill="FFFFFF"/>
        </w:rPr>
        <w:t xml:space="preserve"> for Country. </w:t>
      </w:r>
    </w:p>
    <w:p w14:paraId="78F78750" w14:textId="576C3386" w:rsidR="35341D58" w:rsidRPr="00E866DA" w:rsidRDefault="35341D58" w:rsidP="00E866DA">
      <w:pPr>
        <w:pStyle w:val="Heading2-nonumber"/>
      </w:pPr>
      <w:bookmarkStart w:id="36" w:name="_Toc146746680"/>
      <w:r w:rsidRPr="00E866DA">
        <w:t xml:space="preserve">Continuing our support for customers experiencing </w:t>
      </w:r>
      <w:r w:rsidR="5286AFC3" w:rsidRPr="00E866DA">
        <w:t>vulnerability</w:t>
      </w:r>
      <w:bookmarkEnd w:id="32"/>
      <w:bookmarkEnd w:id="33"/>
      <w:bookmarkEnd w:id="34"/>
      <w:bookmarkEnd w:id="36"/>
    </w:p>
    <w:p w14:paraId="5CF30B01" w14:textId="3765C1FC" w:rsidR="35341D58" w:rsidRDefault="00000281" w:rsidP="00E866DA">
      <w:r>
        <w:t>C</w:t>
      </w:r>
      <w:r w:rsidR="35341D58" w:rsidRPr="00E866DA">
        <w:t xml:space="preserve">ost-of-living </w:t>
      </w:r>
      <w:r w:rsidR="00C10A2E">
        <w:t>challenges</w:t>
      </w:r>
      <w:r w:rsidR="35341D58" w:rsidRPr="00E866DA">
        <w:t xml:space="preserve"> continue to </w:t>
      </w:r>
      <w:r w:rsidR="00CC45E7" w:rsidRPr="00E866DA">
        <w:t xml:space="preserve">affect </w:t>
      </w:r>
      <w:r w:rsidR="35341D58" w:rsidRPr="00E866DA">
        <w:t xml:space="preserve">our customers’ ability to pay their bills on time or at all. </w:t>
      </w:r>
      <w:r w:rsidR="6FE65831" w:rsidRPr="00E866DA">
        <w:t xml:space="preserve">In </w:t>
      </w:r>
      <w:r w:rsidR="35341D58" w:rsidRPr="00E866DA">
        <w:t>some cases</w:t>
      </w:r>
      <w:r w:rsidR="3AC2E90C" w:rsidRPr="00E866DA">
        <w:t>,</w:t>
      </w:r>
      <w:r w:rsidR="35341D58" w:rsidRPr="00E866DA">
        <w:t xml:space="preserve"> without </w:t>
      </w:r>
      <w:r w:rsidR="00954EF6" w:rsidRPr="00E866DA">
        <w:t xml:space="preserve">GWW providing a </w:t>
      </w:r>
      <w:r w:rsidR="35341D58" w:rsidRPr="00E866DA">
        <w:t xml:space="preserve">partial </w:t>
      </w:r>
      <w:r w:rsidR="004D1E23" w:rsidRPr="00E866DA">
        <w:t>or</w:t>
      </w:r>
      <w:r w:rsidR="35341D58" w:rsidRPr="00E866DA">
        <w:t xml:space="preserve"> complete waiver, customer</w:t>
      </w:r>
      <w:r w:rsidR="00954EF6" w:rsidRPr="00E866DA">
        <w:t>s</w:t>
      </w:r>
      <w:r w:rsidR="35341D58" w:rsidRPr="00E866DA">
        <w:t xml:space="preserve"> would never get their account to a manageable position, let alone be debt free.</w:t>
      </w:r>
    </w:p>
    <w:p w14:paraId="1AED68FC" w14:textId="46DDECFC" w:rsidR="00C10A2E" w:rsidRPr="00E866DA" w:rsidRDefault="00C10A2E" w:rsidP="00E866DA">
      <w:r w:rsidRPr="00E866DA">
        <w:t>Our customers told us that supporting customers experiencing vulnerability is important and we need to make sure we continue to provide suitable services. We are proposing $5.2 million in operating expenditure over the regulatory period for tailored services</w:t>
      </w:r>
      <w:r w:rsidRPr="00E866DA" w:rsidDel="003A4472">
        <w:t xml:space="preserve"> </w:t>
      </w:r>
      <w:r w:rsidRPr="00E866DA">
        <w:t>and</w:t>
      </w:r>
      <w:r w:rsidRPr="00E866DA" w:rsidDel="003A4472">
        <w:t xml:space="preserve"> </w:t>
      </w:r>
      <w:r w:rsidRPr="00E866DA">
        <w:t>proactive engagement with customers and to equip our people with the right skills to support our community.</w:t>
      </w:r>
    </w:p>
    <w:p w14:paraId="4BDE7125" w14:textId="05C807E4" w:rsidR="52631DB9" w:rsidRPr="00E866DA" w:rsidRDefault="3D31E244" w:rsidP="00E866DA">
      <w:r w:rsidRPr="00E866DA">
        <w:t xml:space="preserve">To ensure our people have the skills to support our customers, we </w:t>
      </w:r>
      <w:r w:rsidR="00C10A2E">
        <w:t>will continue</w:t>
      </w:r>
      <w:r w:rsidRPr="00E866DA">
        <w:t xml:space="preserve"> </w:t>
      </w:r>
      <w:r w:rsidR="00C10A2E">
        <w:t xml:space="preserve">providing </w:t>
      </w:r>
      <w:r w:rsidRPr="00E866DA">
        <w:t xml:space="preserve">training via </w:t>
      </w:r>
      <w:r w:rsidR="35341D58" w:rsidRPr="00E866DA">
        <w:t>specialist community organisations that engage with the people we support. This includes</w:t>
      </w:r>
      <w:r w:rsidR="00717937" w:rsidRPr="00E866DA">
        <w:t xml:space="preserve"> </w:t>
      </w:r>
      <w:r w:rsidR="35341D58" w:rsidRPr="00E866DA">
        <w:t>data protection and privacy training</w:t>
      </w:r>
      <w:r w:rsidR="000C7937" w:rsidRPr="00E866DA">
        <w:t>,</w:t>
      </w:r>
      <w:r w:rsidR="35341D58" w:rsidRPr="00E866DA">
        <w:t xml:space="preserve"> as we understand the importance of privacy intersecting with vulnerability.</w:t>
      </w:r>
    </w:p>
    <w:p w14:paraId="366870A7" w14:textId="7E4CBBDD" w:rsidR="00015712" w:rsidRPr="007058D4" w:rsidRDefault="00015712" w:rsidP="00015712">
      <w:pPr>
        <w:pStyle w:val="Heading2-nonumber"/>
      </w:pPr>
      <w:bookmarkStart w:id="37" w:name="_Toc146004842"/>
      <w:bookmarkStart w:id="38" w:name="_Toc146004730"/>
      <w:bookmarkStart w:id="39" w:name="_Toc146032358"/>
      <w:bookmarkStart w:id="40" w:name="_Toc146746681"/>
      <w:r w:rsidRPr="007058D4">
        <w:t>Performance</w:t>
      </w:r>
      <w:r>
        <w:t xml:space="preserve"> </w:t>
      </w:r>
      <w:r w:rsidRPr="007058D4">
        <w:t>through growth and integration</w:t>
      </w:r>
      <w:bookmarkEnd w:id="37"/>
      <w:bookmarkEnd w:id="38"/>
      <w:bookmarkEnd w:id="39"/>
      <w:bookmarkEnd w:id="40"/>
    </w:p>
    <w:p w14:paraId="5FB684D1" w14:textId="2DD490E0" w:rsidR="00015712" w:rsidRDefault="00015712" w:rsidP="00015712">
      <w:r w:rsidRPr="00F325D9">
        <w:t xml:space="preserve">Effective integration is </w:t>
      </w:r>
      <w:r w:rsidR="004D5151">
        <w:t>vital to deliver long-term benefits to our customers</w:t>
      </w:r>
      <w:r w:rsidRPr="00F325D9">
        <w:t xml:space="preserve">. It takes time and investment to </w:t>
      </w:r>
      <w:r w:rsidR="004606B7">
        <w:t xml:space="preserve">meet this challenge and </w:t>
      </w:r>
      <w:r w:rsidRPr="00F325D9">
        <w:t xml:space="preserve">evolve an organisation. Our </w:t>
      </w:r>
      <w:r w:rsidR="002F15E1">
        <w:t xml:space="preserve">service </w:t>
      </w:r>
      <w:r w:rsidRPr="00F325D9">
        <w:t>region is experiencing high growth, cost</w:t>
      </w:r>
      <w:r w:rsidR="000A2BB3">
        <w:t>-</w:t>
      </w:r>
      <w:r w:rsidRPr="00F325D9">
        <w:t>of</w:t>
      </w:r>
      <w:r w:rsidR="000A2BB3">
        <w:t>-</w:t>
      </w:r>
      <w:r w:rsidRPr="00F325D9">
        <w:t>living pressures, ageing assets, increasing construction costs, climate change impacts and recovery post-</w:t>
      </w:r>
      <w:r w:rsidR="003C4949">
        <w:t xml:space="preserve">COVID-19 </w:t>
      </w:r>
      <w:r w:rsidRPr="00F325D9">
        <w:t>pandemic. Within this uncertainty, we know that a clear vision and organisational capability are critical to integration success as we look to the future.</w:t>
      </w:r>
    </w:p>
    <w:p w14:paraId="78123112" w14:textId="0EBE842F" w:rsidR="00015712" w:rsidRDefault="00015712" w:rsidP="00015712">
      <w:r>
        <w:t xml:space="preserve">In the lead up to this price submission for GWW, we remain committed to the outcomes in the 2018 CWW and 2020 WW price submissions. We met most of our customer </w:t>
      </w:r>
      <w:r>
        <w:lastRenderedPageBreak/>
        <w:t xml:space="preserve">outcomes and managed our capital program with reasonable justification for material cost variations. Our new customer base was satisfied with how we interacted with them and saw us as a trusted and reliable service provider. While high growth, the pandemic and integration drove higher spending than anticipated, our customers reported that we provide value for money (Essential Services Commission </w:t>
      </w:r>
      <w:r w:rsidR="007F0717">
        <w:t>(</w:t>
      </w:r>
      <w:r>
        <w:t>ESC</w:t>
      </w:r>
      <w:r w:rsidR="007F0717">
        <w:t>)</w:t>
      </w:r>
      <w:r>
        <w:t xml:space="preserve"> perception survey).  </w:t>
      </w:r>
    </w:p>
    <w:p w14:paraId="6CF17600" w14:textId="15AE46DB" w:rsidR="00015712" w:rsidRDefault="00015712" w:rsidP="00015712">
      <w:r>
        <w:t>We completed nearly half of our major capital works planned for 2018-</w:t>
      </w:r>
      <w:r w:rsidR="009D3E69">
        <w:t xml:space="preserve">19 to </w:t>
      </w:r>
      <w:r w:rsidR="0016770C">
        <w:t>2022</w:t>
      </w:r>
      <w:r>
        <w:t>-23, with the rest</w:t>
      </w:r>
      <w:r w:rsidR="008C4E06">
        <w:t xml:space="preserve"> still within</w:t>
      </w:r>
      <w:r w:rsidR="00E10E79">
        <w:t xml:space="preserve"> our plans</w:t>
      </w:r>
      <w:r>
        <w:t xml:space="preserve"> to be completed. Some projects were delayed due to </w:t>
      </w:r>
      <w:r w:rsidR="00E13655">
        <w:t>COVID-19</w:t>
      </w:r>
      <w:r>
        <w:t xml:space="preserve">, while others were re-prioritised following integration, making way for more pressing infrastructure projects. Integration meant that for some projects we could make more efficient decisions, which changed the scope for internal systems and assets. We also deferred or delayed some projects by sharing our assets and managing our combined network more efficiently. </w:t>
      </w:r>
    </w:p>
    <w:p w14:paraId="0648BE96" w14:textId="5DD399C7" w:rsidR="00015712" w:rsidRDefault="00015712" w:rsidP="00015712">
      <w:r w:rsidRPr="0055574F">
        <w:t>Our total controllable operating expenditure across the 2018</w:t>
      </w:r>
      <w:r w:rsidR="00685384">
        <w:t>-19 to 2022</w:t>
      </w:r>
      <w:r w:rsidRPr="0055574F">
        <w:t>–23 regulatory period was 7.9% higher than we anticipated in our CWW and WW price determinations. This expenditure enabled us to transform our business in areas such as safety, customer</w:t>
      </w:r>
      <w:r>
        <w:t xml:space="preserve"> service, asset management, compliance, and corporate functions through a period of sustained growth and integration. </w:t>
      </w:r>
    </w:p>
    <w:p w14:paraId="0CDA8451" w14:textId="77777777" w:rsidR="00361E16" w:rsidRDefault="00361E16" w:rsidP="007C44F9">
      <w:pPr>
        <w:pStyle w:val="Heading2-nonumber"/>
      </w:pPr>
      <w:bookmarkStart w:id="41" w:name="_Toc146746682"/>
      <w:r>
        <w:t>Looking ahead</w:t>
      </w:r>
      <w:bookmarkEnd w:id="41"/>
      <w:r>
        <w:t xml:space="preserve"> </w:t>
      </w:r>
    </w:p>
    <w:p w14:paraId="000ECCBC" w14:textId="77777777" w:rsidR="0070209F" w:rsidRDefault="0070209F" w:rsidP="0070209F">
      <w:r>
        <w:t>Through all this change and progress, we have looked after our customers. Customers have paid no more than they would have with WW or CWW, and many customers have paid less. Most customers will continue to pay less again this regulatory period.</w:t>
      </w:r>
    </w:p>
    <w:p w14:paraId="392FDEE9" w14:textId="726DCC86" w:rsidR="004A4073" w:rsidRDefault="004A4073" w:rsidP="004A4073">
      <w:r>
        <w:t>We are making changes now that will create long</w:t>
      </w:r>
      <w:r w:rsidR="00387398">
        <w:t>-</w:t>
      </w:r>
      <w:r>
        <w:t xml:space="preserve">term benefits for our customers. </w:t>
      </w:r>
      <w:r w:rsidR="00755223">
        <w:t>Our operating expenditure forecast includes a</w:t>
      </w:r>
      <w:r w:rsidR="00796C22">
        <w:t xml:space="preserve"> </w:t>
      </w:r>
      <w:r w:rsidR="009B6937">
        <w:t xml:space="preserve">3% </w:t>
      </w:r>
      <w:r w:rsidR="008C422D">
        <w:t xml:space="preserve">annual </w:t>
      </w:r>
      <w:r w:rsidR="009B6937">
        <w:t>average efficiency</w:t>
      </w:r>
      <w:r w:rsidR="008C422D">
        <w:t>. This will be delivered through</w:t>
      </w:r>
      <w:r w:rsidR="009B6937">
        <w:t xml:space="preserve"> o</w:t>
      </w:r>
      <w:r>
        <w:t xml:space="preserve">ur sustainable efficiency program </w:t>
      </w:r>
      <w:r w:rsidR="008C422D">
        <w:t>which</w:t>
      </w:r>
      <w:r>
        <w:t xml:space="preserve"> will deliver efficiencies of 1.6% per annum on average, in addition to the 1.4% efficiency that we will achieve through economies of scale and scope. </w:t>
      </w:r>
      <w:r w:rsidR="00B91E04">
        <w:t xml:space="preserve">Our committed </w:t>
      </w:r>
      <w:r w:rsidR="007159FF">
        <w:t xml:space="preserve">efficiency </w:t>
      </w:r>
      <w:r w:rsidR="00C03AB6">
        <w:t xml:space="preserve">rate is </w:t>
      </w:r>
      <w:r w:rsidR="0043738C">
        <w:t xml:space="preserve">above the </w:t>
      </w:r>
      <w:r w:rsidR="0051103B">
        <w:t>ES</w:t>
      </w:r>
      <w:r w:rsidR="008036A0">
        <w:t xml:space="preserve">C’s efficiency </w:t>
      </w:r>
      <w:r w:rsidR="008A116E">
        <w:t xml:space="preserve">hurdle rate </w:t>
      </w:r>
      <w:r w:rsidR="00EF7CD9">
        <w:t xml:space="preserve">and delivers an </w:t>
      </w:r>
      <w:r w:rsidR="00227A3C">
        <w:t xml:space="preserve">0.19% </w:t>
      </w:r>
      <w:r w:rsidR="00EF7CD9">
        <w:t>average</w:t>
      </w:r>
      <w:r w:rsidR="00227A3C">
        <w:t xml:space="preserve"> net efficiency over the regulatory period.</w:t>
      </w:r>
      <w:r w:rsidR="00EF7CD9">
        <w:t xml:space="preserve"> </w:t>
      </w:r>
      <w:r>
        <w:t>This will reduce our controllable operational expenditure from $341 to $31</w:t>
      </w:r>
      <w:r w:rsidR="00BF14AA">
        <w:t>0</w:t>
      </w:r>
      <w:r>
        <w:t xml:space="preserve"> per connection over the regulatory period. </w:t>
      </w:r>
    </w:p>
    <w:p w14:paraId="466199C2" w14:textId="563CCC78" w:rsidR="0070209F" w:rsidRDefault="00514F4A" w:rsidP="004A4073">
      <w:r w:rsidRPr="00514F4A">
        <w:t xml:space="preserve">We </w:t>
      </w:r>
      <w:r w:rsidR="00AC2EF3">
        <w:t>have</w:t>
      </w:r>
      <w:r w:rsidRPr="00514F4A">
        <w:t xml:space="preserve"> incorporated customer expectations for affordability, everyone having access to the same quality and consistency of water over the long-term and supporting the community and the health of the environment into our expenditure and investment programs. </w:t>
      </w:r>
      <w:r w:rsidR="002768BB" w:rsidRPr="00514F4A">
        <w:t xml:space="preserve">Our refreshed Guaranteed Service Level scheme balances risk fairly between GWW and our customers, increasing the number and value of payments </w:t>
      </w:r>
      <w:r w:rsidR="002768BB">
        <w:t>available</w:t>
      </w:r>
      <w:r w:rsidR="002768BB" w:rsidRPr="00514F4A">
        <w:t>.</w:t>
      </w:r>
    </w:p>
    <w:p w14:paraId="39582EA6" w14:textId="7C6BFD8F" w:rsidR="0082768B" w:rsidRDefault="00514F4A" w:rsidP="004A4073">
      <w:r w:rsidRPr="00514F4A">
        <w:t xml:space="preserve">Our proposed spending aligns with our customers’ priorities, minimises risk and is prudent and efficient. We are improving the ways we work and have a high efficiency target for the regulatory period, delivering the benefits of integration to our customers. </w:t>
      </w:r>
    </w:p>
    <w:p w14:paraId="3B609B81" w14:textId="1B8D5417" w:rsidR="00407A1B" w:rsidRPr="009B7185" w:rsidRDefault="00407A1B" w:rsidP="009B7185">
      <w:pPr>
        <w:pStyle w:val="Heading2-nonumber"/>
      </w:pPr>
      <w:bookmarkStart w:id="42" w:name="_Toc146004849"/>
      <w:bookmarkStart w:id="43" w:name="_Toc146004737"/>
      <w:bookmarkStart w:id="44" w:name="_Toc146032365"/>
      <w:bookmarkStart w:id="45" w:name="_Toc146746683"/>
      <w:r w:rsidRPr="009B7185">
        <w:t>Our proposed PREMO rating</w:t>
      </w:r>
      <w:bookmarkEnd w:id="42"/>
      <w:bookmarkEnd w:id="43"/>
      <w:bookmarkEnd w:id="44"/>
      <w:bookmarkEnd w:id="45"/>
    </w:p>
    <w:p w14:paraId="501C7D77" w14:textId="3D911D39" w:rsidR="000334E7" w:rsidRPr="000E1C8B" w:rsidRDefault="00EC5401" w:rsidP="000334E7">
      <w:r>
        <w:rPr>
          <w:rFonts w:ascii="Verdana" w:hAnsi="Verdana"/>
          <w:color w:val="000000"/>
          <w:shd w:val="clear" w:color="auto" w:fill="FFFFFF"/>
        </w:rPr>
        <w:t>Our</w:t>
      </w:r>
      <w:r w:rsidR="00E435D1" w:rsidRPr="00E435D1">
        <w:rPr>
          <w:rFonts w:ascii="Verdana" w:hAnsi="Verdana"/>
          <w:color w:val="000000"/>
          <w:shd w:val="clear" w:color="auto" w:fill="FFFFFF"/>
        </w:rPr>
        <w:t xml:space="preserve"> self-assessment for this price submission is a ‘Standard’ PREMO rating. A detailed assessment against each of the PREMO guidance questions is provided in </w:t>
      </w:r>
      <w:r w:rsidR="00A46061">
        <w:rPr>
          <w:rFonts w:ascii="Verdana" w:hAnsi="Verdana"/>
          <w:color w:val="000000"/>
          <w:shd w:val="clear" w:color="auto" w:fill="FFFFFF"/>
        </w:rPr>
        <w:fldChar w:fldCharType="begin"/>
      </w:r>
      <w:r w:rsidR="00A46061">
        <w:rPr>
          <w:rFonts w:ascii="Verdana" w:hAnsi="Verdana"/>
          <w:color w:val="000000"/>
          <w:shd w:val="clear" w:color="auto" w:fill="FFFFFF"/>
        </w:rPr>
        <w:instrText xml:space="preserve"> REF _Ref145918769 \r \h </w:instrText>
      </w:r>
      <w:r w:rsidR="00A46061">
        <w:rPr>
          <w:rFonts w:ascii="Verdana" w:hAnsi="Verdana"/>
          <w:color w:val="000000"/>
          <w:shd w:val="clear" w:color="auto" w:fill="FFFFFF"/>
        </w:rPr>
      </w:r>
      <w:r w:rsidR="0069425C">
        <w:rPr>
          <w:rFonts w:ascii="Verdana" w:hAnsi="Verdana"/>
          <w:color w:val="000000"/>
          <w:shd w:val="clear" w:color="auto" w:fill="FFFFFF"/>
        </w:rPr>
        <w:fldChar w:fldCharType="separate"/>
      </w:r>
      <w:r w:rsidR="00A46061">
        <w:rPr>
          <w:rFonts w:ascii="Verdana" w:hAnsi="Verdana"/>
          <w:color w:val="000000"/>
          <w:shd w:val="clear" w:color="auto" w:fill="FFFFFF"/>
        </w:rPr>
        <w:fldChar w:fldCharType="end"/>
      </w:r>
      <w:r w:rsidR="00A46061">
        <w:rPr>
          <w:rFonts w:ascii="Verdana" w:hAnsi="Verdana"/>
          <w:color w:val="000000"/>
          <w:shd w:val="clear" w:color="auto" w:fill="FFFFFF"/>
        </w:rPr>
        <w:t xml:space="preserve"> </w:t>
      </w:r>
      <w:r w:rsidR="00E435D1" w:rsidRPr="00E435D1">
        <w:rPr>
          <w:rFonts w:ascii="Verdana" w:hAnsi="Verdana"/>
          <w:color w:val="000000"/>
          <w:shd w:val="clear" w:color="auto" w:fill="FFFFFF"/>
        </w:rPr>
        <w:t>and a summary</w:t>
      </w:r>
      <w:r w:rsidR="00100FEF">
        <w:rPr>
          <w:rFonts w:ascii="Verdana" w:hAnsi="Verdana"/>
          <w:color w:val="000000"/>
          <w:shd w:val="clear" w:color="auto" w:fill="FFFFFF"/>
        </w:rPr>
        <w:t xml:space="preserve"> is</w:t>
      </w:r>
      <w:r w:rsidR="00E435D1" w:rsidRPr="00E435D1">
        <w:rPr>
          <w:rFonts w:ascii="Verdana" w:hAnsi="Verdana"/>
          <w:color w:val="000000"/>
          <w:shd w:val="clear" w:color="auto" w:fill="FFFFFF"/>
        </w:rPr>
        <w:t xml:space="preserve"> provided</w:t>
      </w:r>
      <w:r w:rsidR="00392F12">
        <w:rPr>
          <w:rFonts w:ascii="Verdana" w:hAnsi="Verdana"/>
          <w:color w:val="000000"/>
          <w:shd w:val="clear" w:color="auto" w:fill="FFFFFF"/>
        </w:rPr>
        <w:t xml:space="preserve"> </w:t>
      </w:r>
      <w:r w:rsidR="00C36910">
        <w:rPr>
          <w:rFonts w:ascii="Verdana" w:hAnsi="Verdana"/>
          <w:color w:val="000000"/>
          <w:shd w:val="clear" w:color="auto" w:fill="FFFFFF"/>
        </w:rPr>
        <w:t>below</w:t>
      </w:r>
      <w:r w:rsidR="00E435D1">
        <w:rPr>
          <w:rFonts w:ascii="Verdana" w:hAnsi="Verdana"/>
          <w:color w:val="000000"/>
          <w:shd w:val="clear" w:color="auto" w:fill="FFFFFF"/>
        </w:rPr>
        <w:t>.</w:t>
      </w:r>
    </w:p>
    <w:p w14:paraId="5F5F0E01" w14:textId="264EE24D" w:rsidR="00684BAE" w:rsidRDefault="0047620A" w:rsidP="0047620A">
      <w:pPr>
        <w:pStyle w:val="Caption"/>
      </w:pPr>
      <w:r w:rsidRPr="00F53C38">
        <w:rPr>
          <w:b/>
          <w:bCs/>
        </w:rPr>
        <w:lastRenderedPageBreak/>
        <w:t xml:space="preserve">Table </w:t>
      </w:r>
      <w:r w:rsidRPr="00F53C38">
        <w:rPr>
          <w:b/>
          <w:bCs/>
        </w:rPr>
        <w:fldChar w:fldCharType="begin"/>
      </w:r>
      <w:r w:rsidRPr="00F53C38">
        <w:rPr>
          <w:b/>
          <w:bCs/>
        </w:rPr>
        <w:instrText xml:space="preserve"> SEQ Table \* ARABIC </w:instrText>
      </w:r>
      <w:r w:rsidRPr="00F53C38">
        <w:rPr>
          <w:b/>
          <w:bCs/>
        </w:rPr>
        <w:fldChar w:fldCharType="separate"/>
      </w:r>
      <w:r w:rsidR="003B42C6">
        <w:rPr>
          <w:b/>
          <w:bCs/>
          <w:noProof/>
        </w:rPr>
        <w:t>2</w:t>
      </w:r>
      <w:r w:rsidRPr="00F53C38">
        <w:rPr>
          <w:b/>
          <w:bCs/>
        </w:rPr>
        <w:fldChar w:fldCharType="end"/>
      </w:r>
      <w:r>
        <w:t xml:space="preserve"> </w:t>
      </w:r>
      <w:r w:rsidR="00684BAE">
        <w:t>Our proposed PREMO rating</w:t>
      </w:r>
    </w:p>
    <w:tbl>
      <w:tblPr>
        <w:tblStyle w:val="GWWDefaulttable"/>
        <w:tblW w:w="5000" w:type="pct"/>
        <w:tblLook w:val="04A0" w:firstRow="1" w:lastRow="0" w:firstColumn="1" w:lastColumn="0" w:noHBand="0" w:noVBand="1"/>
      </w:tblPr>
      <w:tblGrid>
        <w:gridCol w:w="1820"/>
        <w:gridCol w:w="2292"/>
        <w:gridCol w:w="5526"/>
      </w:tblGrid>
      <w:tr w:rsidR="00A01F42" w:rsidRPr="0082576D" w14:paraId="5D59EB24" w14:textId="77777777" w:rsidTr="00EA24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4" w:type="pct"/>
            <w:vAlign w:val="center"/>
          </w:tcPr>
          <w:p w14:paraId="3B675B39" w14:textId="436BBCD6" w:rsidR="00A01F42" w:rsidRPr="0082576D" w:rsidRDefault="00A01F42" w:rsidP="00C90C94">
            <w:r w:rsidRPr="0082576D">
              <w:t xml:space="preserve">PREMO </w:t>
            </w:r>
            <w:r w:rsidR="00392F12">
              <w:t>e</w:t>
            </w:r>
            <w:r w:rsidRPr="0082576D">
              <w:t xml:space="preserve">lement </w:t>
            </w:r>
          </w:p>
        </w:tc>
        <w:tc>
          <w:tcPr>
            <w:tcW w:w="1189" w:type="pct"/>
            <w:vAlign w:val="center"/>
          </w:tcPr>
          <w:p w14:paraId="07237E90" w14:textId="5C6E2F12" w:rsidR="00A01F42" w:rsidRPr="0082576D" w:rsidRDefault="00A01F42" w:rsidP="00C90C94">
            <w:pPr>
              <w:cnfStyle w:val="100000000000" w:firstRow="1" w:lastRow="0" w:firstColumn="0" w:lastColumn="0" w:oddVBand="0" w:evenVBand="0" w:oddHBand="0" w:evenHBand="0" w:firstRowFirstColumn="0" w:firstRowLastColumn="0" w:lastRowFirstColumn="0" w:lastRowLastColumn="0"/>
            </w:pPr>
            <w:r w:rsidRPr="0082576D">
              <w:t xml:space="preserve">Self-assessed rating </w:t>
            </w:r>
          </w:p>
        </w:tc>
        <w:tc>
          <w:tcPr>
            <w:tcW w:w="2867" w:type="pct"/>
            <w:vAlign w:val="center"/>
          </w:tcPr>
          <w:p w14:paraId="77BB2084" w14:textId="0E80C1EA" w:rsidR="00A01F42" w:rsidRPr="0082576D" w:rsidRDefault="00A01F42" w:rsidP="00C90C94">
            <w:pPr>
              <w:cnfStyle w:val="100000000000" w:firstRow="1" w:lastRow="0" w:firstColumn="0" w:lastColumn="0" w:oddVBand="0" w:evenVBand="0" w:oddHBand="0" w:evenHBand="0" w:firstRowFirstColumn="0" w:firstRowLastColumn="0" w:lastRowFirstColumn="0" w:lastRowLastColumn="0"/>
            </w:pPr>
            <w:r w:rsidRPr="0082576D">
              <w:t xml:space="preserve">Rationale for rating </w:t>
            </w:r>
          </w:p>
        </w:tc>
      </w:tr>
      <w:tr w:rsidR="00A01F42" w:rsidRPr="0082576D" w14:paraId="71D883D3"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5D9EA33C" w14:textId="4438EB1E" w:rsidR="00A01F42" w:rsidRPr="002520BC" w:rsidRDefault="00A01F42" w:rsidP="00C90C94">
            <w:pPr>
              <w:rPr>
                <w:b w:val="0"/>
                <w:bCs/>
              </w:rPr>
            </w:pPr>
            <w:r w:rsidRPr="002520BC">
              <w:rPr>
                <w:b w:val="0"/>
                <w:bCs/>
              </w:rPr>
              <w:t xml:space="preserve">Performance </w:t>
            </w:r>
          </w:p>
        </w:tc>
        <w:tc>
          <w:tcPr>
            <w:tcW w:w="1189" w:type="pct"/>
          </w:tcPr>
          <w:p w14:paraId="29E928DD" w14:textId="47B0EDDC"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0D1679F" w14:textId="1A9A1419" w:rsidR="00A01F42" w:rsidRPr="0082576D" w:rsidRDefault="00360365" w:rsidP="00C90C94">
            <w:pPr>
              <w:cnfStyle w:val="000000000000" w:firstRow="0" w:lastRow="0" w:firstColumn="0" w:lastColumn="0" w:oddVBand="0" w:evenVBand="0" w:oddHBand="0" w:evenHBand="0" w:firstRowFirstColumn="0" w:firstRowLastColumn="0" w:lastRowFirstColumn="0" w:lastRowLastColumn="0"/>
            </w:pPr>
            <w:r w:rsidRPr="0082576D">
              <w:t>Meeting our</w:t>
            </w:r>
            <w:r w:rsidR="00A06A01">
              <w:t xml:space="preserve"> previous CWW and WW price submission </w:t>
            </w:r>
            <w:r w:rsidRPr="0082576D">
              <w:t>outcomes with increasing customer satisfaction and overall management of the capital program with reasonable justification for material cost variations</w:t>
            </w:r>
            <w:r w:rsidR="00853A97">
              <w:t>.</w:t>
            </w:r>
            <w:r w:rsidRPr="0082576D">
              <w:t> </w:t>
            </w:r>
          </w:p>
        </w:tc>
      </w:tr>
      <w:tr w:rsidR="00A01F42" w:rsidRPr="0082576D" w14:paraId="5FA2917D"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1A4629CB" w14:textId="724063A7" w:rsidR="00A01F42" w:rsidRPr="002520BC" w:rsidRDefault="00A01F42" w:rsidP="00C90C94">
            <w:pPr>
              <w:rPr>
                <w:b w:val="0"/>
                <w:bCs/>
              </w:rPr>
            </w:pPr>
            <w:r w:rsidRPr="002520BC">
              <w:rPr>
                <w:b w:val="0"/>
                <w:bCs/>
              </w:rPr>
              <w:t>Risk</w:t>
            </w:r>
          </w:p>
        </w:tc>
        <w:tc>
          <w:tcPr>
            <w:tcW w:w="1189" w:type="pct"/>
          </w:tcPr>
          <w:p w14:paraId="10BE1934" w14:textId="43C93EB3"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67D9AC2A" w14:textId="222BBC0F" w:rsidR="00A01F42" w:rsidRPr="0082576D" w:rsidRDefault="00360365" w:rsidP="00C90C94">
            <w:pPr>
              <w:cnfStyle w:val="000000000000" w:firstRow="0" w:lastRow="0" w:firstColumn="0" w:lastColumn="0" w:oddVBand="0" w:evenVBand="0" w:oddHBand="0" w:evenHBand="0" w:firstRowFirstColumn="0" w:firstRowLastColumn="0" w:lastRowFirstColumn="0" w:lastRowLastColumn="0"/>
            </w:pPr>
            <w:r w:rsidRPr="0082576D">
              <w:t>Price controls to align tariffs across our full region and avoid and manage bill shocks. A prioritised and deliverable capital program, with risk appropriately shared between customers and the business.</w:t>
            </w:r>
          </w:p>
        </w:tc>
      </w:tr>
      <w:tr w:rsidR="00A01F42" w:rsidRPr="0082576D" w14:paraId="2A178F64"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7AB43F8C" w14:textId="73B982CD" w:rsidR="00A01F42" w:rsidRPr="002520BC" w:rsidRDefault="00A01F42" w:rsidP="00C90C94">
            <w:pPr>
              <w:rPr>
                <w:b w:val="0"/>
                <w:bCs/>
              </w:rPr>
            </w:pPr>
            <w:r w:rsidRPr="002520BC">
              <w:rPr>
                <w:b w:val="0"/>
                <w:bCs/>
              </w:rPr>
              <w:t>Engagement</w:t>
            </w:r>
          </w:p>
        </w:tc>
        <w:tc>
          <w:tcPr>
            <w:tcW w:w="1189" w:type="pct"/>
          </w:tcPr>
          <w:p w14:paraId="6FF6E793" w14:textId="52799CA5"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Advanced</w:t>
            </w:r>
          </w:p>
        </w:tc>
        <w:tc>
          <w:tcPr>
            <w:tcW w:w="2867" w:type="pct"/>
          </w:tcPr>
          <w:p w14:paraId="6E1EED35" w14:textId="70D1E8F1" w:rsidR="00A01F42" w:rsidRPr="0082576D" w:rsidRDefault="00724CBE" w:rsidP="00C90C94">
            <w:pPr>
              <w:cnfStyle w:val="000000000000" w:firstRow="0" w:lastRow="0" w:firstColumn="0" w:lastColumn="0" w:oddVBand="0" w:evenVBand="0" w:oddHBand="0" w:evenHBand="0" w:firstRowFirstColumn="0" w:firstRowLastColumn="0" w:lastRowFirstColumn="0" w:lastRowLastColumn="0"/>
            </w:pPr>
            <w:r w:rsidRPr="00724CBE">
              <w:t>Extensive and inclusive engagement program with our new customer base. Customers’ priorities have influenced our expenditure and investment plans.</w:t>
            </w:r>
          </w:p>
        </w:tc>
      </w:tr>
      <w:tr w:rsidR="00A01F42" w:rsidRPr="0082576D" w14:paraId="36EA49CB"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64E4CBCA" w14:textId="208606D2" w:rsidR="00A01F42" w:rsidRPr="002520BC" w:rsidRDefault="00A01F42" w:rsidP="00C90C94">
            <w:pPr>
              <w:rPr>
                <w:b w:val="0"/>
                <w:bCs/>
              </w:rPr>
            </w:pPr>
            <w:r w:rsidRPr="002520BC">
              <w:rPr>
                <w:b w:val="0"/>
                <w:bCs/>
              </w:rPr>
              <w:t>Management</w:t>
            </w:r>
          </w:p>
        </w:tc>
        <w:tc>
          <w:tcPr>
            <w:tcW w:w="1189" w:type="pct"/>
          </w:tcPr>
          <w:p w14:paraId="386AE3C4" w14:textId="341E28D0"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7B0B8CE" w14:textId="03C220C6" w:rsidR="00A01F42" w:rsidRPr="0082576D" w:rsidRDefault="00565824" w:rsidP="00C90C94">
            <w:pPr>
              <w:cnfStyle w:val="000000000000" w:firstRow="0" w:lastRow="0" w:firstColumn="0" w:lastColumn="0" w:oddVBand="0" w:evenVBand="0" w:oddHBand="0" w:evenHBand="0" w:firstRowFirstColumn="0" w:firstRowLastColumn="0" w:lastRowFirstColumn="0" w:lastRowLastColumn="0"/>
            </w:pPr>
            <w:r w:rsidRPr="00565824">
              <w:t>Prudent and efficient investment and expenditure plans with an ambitious efficiency target. Decreasing and stable bills in real terms over the regulatory period, aligning with customer expectations for affordability. Ongoing engagement in place to hold us accountable to customers with full board and leadership support</w:t>
            </w:r>
          </w:p>
        </w:tc>
      </w:tr>
      <w:tr w:rsidR="00A01F42" w:rsidRPr="0082576D" w14:paraId="10D24E4C"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551DCB69" w14:textId="26270174" w:rsidR="00A01F42" w:rsidRPr="002520BC" w:rsidRDefault="00A01F42" w:rsidP="00C90C94">
            <w:pPr>
              <w:rPr>
                <w:b w:val="0"/>
                <w:bCs/>
              </w:rPr>
            </w:pPr>
            <w:r w:rsidRPr="002520BC">
              <w:rPr>
                <w:b w:val="0"/>
                <w:bCs/>
              </w:rPr>
              <w:t xml:space="preserve">Outcomes </w:t>
            </w:r>
          </w:p>
        </w:tc>
        <w:tc>
          <w:tcPr>
            <w:tcW w:w="1189" w:type="pct"/>
          </w:tcPr>
          <w:p w14:paraId="73114CBD" w14:textId="6C87A78C"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9B9E771" w14:textId="6D9A0318" w:rsidR="00A01F42" w:rsidRPr="0082576D" w:rsidRDefault="00C76780" w:rsidP="00C90C94">
            <w:pPr>
              <w:cnfStyle w:val="000000000000" w:firstRow="0" w:lastRow="0" w:firstColumn="0" w:lastColumn="0" w:oddVBand="0" w:evenVBand="0" w:oddHBand="0" w:evenHBand="0" w:firstRowFirstColumn="0" w:firstRowLastColumn="0" w:lastRowFirstColumn="0" w:lastRowLastColumn="0"/>
            </w:pPr>
            <w:r w:rsidRPr="00C76780">
              <w:t xml:space="preserve">Our customer outcomes, experiences and measures have been developed and endorsed by our customers, with clear, </w:t>
            </w:r>
            <w:proofErr w:type="gramStart"/>
            <w:r w:rsidRPr="00C76780">
              <w:t>measurable</w:t>
            </w:r>
            <w:proofErr w:type="gramEnd"/>
            <w:r w:rsidRPr="00C76780">
              <w:t xml:space="preserve"> and reportable targets.</w:t>
            </w:r>
          </w:p>
        </w:tc>
      </w:tr>
    </w:tbl>
    <w:p w14:paraId="0AC2E096" w14:textId="77777777" w:rsidR="007D290A" w:rsidRDefault="007D290A" w:rsidP="00F61C6A">
      <w:pPr>
        <w:sectPr w:rsidR="007D290A" w:rsidSect="00D30220">
          <w:headerReference w:type="first" r:id="rId28"/>
          <w:pgSz w:w="11906" w:h="16838" w:code="9"/>
          <w:pgMar w:top="1134" w:right="1134" w:bottom="1134" w:left="1134" w:header="709" w:footer="652" w:gutter="0"/>
          <w:pgNumType w:fmt="lowerRoman"/>
          <w:cols w:space="708"/>
          <w:docGrid w:linePitch="360"/>
        </w:sectPr>
      </w:pPr>
    </w:p>
    <w:p w14:paraId="43B80597" w14:textId="766F1F81" w:rsidR="00407A1B" w:rsidRPr="008A41A1" w:rsidRDefault="00601898" w:rsidP="008A41A1">
      <w:pPr>
        <w:pStyle w:val="Heading1"/>
      </w:pPr>
      <w:bookmarkStart w:id="46" w:name="_Toc146004850"/>
      <w:bookmarkStart w:id="47" w:name="_Toc146004738"/>
      <w:bookmarkStart w:id="48" w:name="_Toc146746684"/>
      <w:r w:rsidRPr="008A41A1">
        <w:lastRenderedPageBreak/>
        <w:t>GWW</w:t>
      </w:r>
      <w:r w:rsidR="005F40CE" w:rsidRPr="008A41A1">
        <w:t>’s</w:t>
      </w:r>
      <w:r w:rsidR="00BA7009" w:rsidRPr="008A41A1">
        <w:t xml:space="preserve"> first </w:t>
      </w:r>
      <w:r w:rsidRPr="008A41A1">
        <w:t>price submission</w:t>
      </w:r>
      <w:bookmarkEnd w:id="46"/>
      <w:bookmarkEnd w:id="47"/>
      <w:bookmarkEnd w:id="48"/>
    </w:p>
    <w:p w14:paraId="38C7F677" w14:textId="38D5066F" w:rsidR="00E015F8" w:rsidRPr="0082576D" w:rsidRDefault="00E015F8" w:rsidP="0082576D">
      <w:r w:rsidRPr="0082576D">
        <w:t xml:space="preserve">GWW is the first Victorian water corporation to be formed by bringing together a regional </w:t>
      </w:r>
      <w:r w:rsidR="00AF7F84" w:rsidRPr="0082576D">
        <w:t xml:space="preserve">urban </w:t>
      </w:r>
      <w:r w:rsidR="00601898" w:rsidRPr="0082576D">
        <w:t xml:space="preserve">water corporation </w:t>
      </w:r>
      <w:r w:rsidRPr="0082576D">
        <w:t xml:space="preserve">and a metropolitan </w:t>
      </w:r>
      <w:r w:rsidR="00601898" w:rsidRPr="0082576D">
        <w:t xml:space="preserve">water </w:t>
      </w:r>
      <w:r w:rsidRPr="0082576D">
        <w:t xml:space="preserve">corporation. Without a roadmap to guide us, we have taken a considered approach to set up GWW with the capabilities and services required to serve a </w:t>
      </w:r>
      <w:proofErr w:type="gramStart"/>
      <w:r w:rsidRPr="0082576D">
        <w:t>rapidly</w:t>
      </w:r>
      <w:r w:rsidR="00CA7129">
        <w:t>-</w:t>
      </w:r>
      <w:r w:rsidRPr="0082576D">
        <w:t>growing</w:t>
      </w:r>
      <w:proofErr w:type="gramEnd"/>
      <w:r w:rsidRPr="0082576D">
        <w:t xml:space="preserve"> region and deliver </w:t>
      </w:r>
      <w:r w:rsidR="003671B8" w:rsidRPr="0082576D">
        <w:t xml:space="preserve">immediate and </w:t>
      </w:r>
      <w:r w:rsidRPr="0082576D">
        <w:t>long-term benefits to our customers.  </w:t>
      </w:r>
    </w:p>
    <w:p w14:paraId="2769EA80" w14:textId="3639AEFF" w:rsidR="00BB6B5F" w:rsidRPr="0082576D" w:rsidRDefault="002D3232" w:rsidP="00925B2A">
      <w:r w:rsidRPr="0082576D">
        <w:t xml:space="preserve">The </w:t>
      </w:r>
      <w:r w:rsidR="57999CD6" w:rsidRPr="0082576D">
        <w:t xml:space="preserve">ESC </w:t>
      </w:r>
      <w:r w:rsidRPr="0082576D">
        <w:t xml:space="preserve">granted </w:t>
      </w:r>
      <w:r w:rsidR="2D9D5467" w:rsidRPr="0082576D">
        <w:t>GWW</w:t>
      </w:r>
      <w:r w:rsidR="00BB6B5F" w:rsidRPr="0082576D">
        <w:t xml:space="preserve"> a 12-month extension to submit our first price submission in September 2023</w:t>
      </w:r>
      <w:r w:rsidRPr="0082576D">
        <w:t>,</w:t>
      </w:r>
      <w:r w:rsidR="00BB6B5F" w:rsidRPr="0082576D">
        <w:t xml:space="preserve"> acknowledging that:  </w:t>
      </w:r>
    </w:p>
    <w:p w14:paraId="2555E9E6" w14:textId="77777777" w:rsidR="00BB6B5F" w:rsidRDefault="00BB6B5F">
      <w:pPr>
        <w:pStyle w:val="ListBullet"/>
        <w:numPr>
          <w:ilvl w:val="0"/>
          <w:numId w:val="71"/>
        </w:numPr>
      </w:pPr>
      <w:r w:rsidRPr="00E015F8">
        <w:rPr>
          <w:rFonts w:ascii="Verdana" w:hAnsi="Verdana" w:cs="Segoe UI"/>
          <w:color w:val="0E101A"/>
        </w:rPr>
        <w:t xml:space="preserve">integration created a significant impact on our business processes and unique circumstances for our pricing </w:t>
      </w:r>
      <w:proofErr w:type="gramStart"/>
      <w:r w:rsidRPr="00E015F8">
        <w:rPr>
          <w:rFonts w:ascii="Verdana" w:hAnsi="Verdana" w:cs="Segoe UI"/>
          <w:color w:val="0E101A"/>
        </w:rPr>
        <w:t>decisions</w:t>
      </w:r>
      <w:proofErr w:type="gramEnd"/>
      <w:r w:rsidRPr="000E1C8B">
        <w:t> </w:t>
      </w:r>
    </w:p>
    <w:p w14:paraId="7772FB20" w14:textId="68293832" w:rsidR="00C76349" w:rsidRPr="000E1C8B" w:rsidRDefault="00BB6B5F">
      <w:pPr>
        <w:pStyle w:val="ListBullet"/>
        <w:numPr>
          <w:ilvl w:val="0"/>
          <w:numId w:val="71"/>
        </w:numPr>
      </w:pPr>
      <w:r w:rsidRPr="00E015F8">
        <w:rPr>
          <w:rFonts w:ascii="Verdana" w:hAnsi="Verdana" w:cs="Segoe UI"/>
          <w:color w:val="0E101A"/>
        </w:rPr>
        <w:t>an extension w</w:t>
      </w:r>
      <w:r w:rsidR="00C45DC8">
        <w:rPr>
          <w:rFonts w:ascii="Verdana" w:hAnsi="Verdana" w:cs="Segoe UI"/>
          <w:color w:val="0E101A"/>
        </w:rPr>
        <w:t>ould</w:t>
      </w:r>
      <w:r w:rsidRPr="00E015F8">
        <w:rPr>
          <w:rFonts w:ascii="Verdana" w:hAnsi="Verdana" w:cs="Segoe UI"/>
          <w:color w:val="0E101A"/>
        </w:rPr>
        <w:t xml:space="preserve"> give us more time to consider the impacts of integration and optimise to create long-term price certainty for </w:t>
      </w:r>
      <w:proofErr w:type="gramStart"/>
      <w:r w:rsidRPr="00E015F8">
        <w:rPr>
          <w:rFonts w:ascii="Verdana" w:hAnsi="Verdana" w:cs="Segoe UI"/>
          <w:color w:val="0E101A"/>
        </w:rPr>
        <w:t>customers</w:t>
      </w:r>
      <w:proofErr w:type="gramEnd"/>
      <w:r w:rsidRPr="00E015F8">
        <w:rPr>
          <w:rFonts w:ascii="Verdana" w:hAnsi="Verdana" w:cs="Segoe UI"/>
          <w:color w:val="0E101A"/>
        </w:rPr>
        <w:t> </w:t>
      </w:r>
      <w:r w:rsidRPr="000E1C8B">
        <w:t> </w:t>
      </w:r>
    </w:p>
    <w:p w14:paraId="172C34F5" w14:textId="1FC60DB9" w:rsidR="00BB6B5F" w:rsidRDefault="00BB6B5F">
      <w:pPr>
        <w:pStyle w:val="ListBullet"/>
        <w:numPr>
          <w:ilvl w:val="0"/>
          <w:numId w:val="71"/>
        </w:numPr>
        <w:rPr>
          <w:rFonts w:ascii="Segoe UI" w:hAnsi="Segoe UI"/>
          <w:sz w:val="18"/>
          <w:szCs w:val="18"/>
        </w:rPr>
      </w:pPr>
      <w:r w:rsidRPr="00E015F8">
        <w:rPr>
          <w:rFonts w:ascii="Verdana" w:hAnsi="Verdana" w:cs="Segoe UI"/>
          <w:color w:val="0E101A"/>
        </w:rPr>
        <w:t>GWW customers w</w:t>
      </w:r>
      <w:r w:rsidR="00C45DC8">
        <w:rPr>
          <w:rFonts w:ascii="Verdana" w:hAnsi="Verdana" w:cs="Segoe UI"/>
          <w:color w:val="0E101A"/>
        </w:rPr>
        <w:t>ould</w:t>
      </w:r>
      <w:r w:rsidRPr="00E015F8">
        <w:rPr>
          <w:rFonts w:ascii="Verdana" w:hAnsi="Verdana" w:cs="Segoe UI"/>
          <w:color w:val="0E101A"/>
        </w:rPr>
        <w:t xml:space="preserve"> benefit from an engagement program informed by a deeper understanding of the integrated organisation </w:t>
      </w:r>
      <w:r w:rsidR="760D4A1C" w:rsidRPr="7ECA79F8">
        <w:rPr>
          <w:rFonts w:ascii="Verdana" w:hAnsi="Verdana" w:cs="Segoe UI"/>
          <w:color w:val="0E101A"/>
        </w:rPr>
        <w:t>efficiencies</w:t>
      </w:r>
      <w:r w:rsidR="1C7473EC" w:rsidRPr="7ECA79F8">
        <w:rPr>
          <w:rFonts w:ascii="Verdana" w:hAnsi="Verdana" w:cs="Segoe UI"/>
          <w:color w:val="0E101A"/>
        </w:rPr>
        <w:t xml:space="preserve"> </w:t>
      </w:r>
      <w:r w:rsidR="40F752A8" w:rsidRPr="7ECA79F8">
        <w:rPr>
          <w:rFonts w:ascii="Verdana" w:hAnsi="Verdana" w:cs="Segoe UI"/>
          <w:color w:val="0E101A"/>
        </w:rPr>
        <w:t>that</w:t>
      </w:r>
      <w:r w:rsidRPr="00E015F8">
        <w:rPr>
          <w:rFonts w:ascii="Verdana" w:hAnsi="Verdana" w:cs="Segoe UI"/>
          <w:color w:val="0E101A"/>
        </w:rPr>
        <w:t xml:space="preserve"> can better capture efficient costs</w:t>
      </w:r>
      <w:r w:rsidR="00372856">
        <w:rPr>
          <w:rFonts w:ascii="Verdana" w:hAnsi="Verdana" w:cs="Segoe UI"/>
          <w:color w:val="0E101A"/>
        </w:rPr>
        <w:t>.</w:t>
      </w:r>
    </w:p>
    <w:p w14:paraId="20BD6640" w14:textId="6515442B" w:rsidR="00F075A3" w:rsidRPr="0082576D" w:rsidRDefault="002D3232" w:rsidP="0082576D">
      <w:r w:rsidRPr="0082576D">
        <w:t>The</w:t>
      </w:r>
      <w:r w:rsidR="00E015F8" w:rsidRPr="0082576D">
        <w:t xml:space="preserve"> extra 12 months allowed GWW to delve deeper into the impacts and opportunities of integration, </w:t>
      </w:r>
      <w:r w:rsidR="0081087B" w:rsidRPr="0082576D">
        <w:t xml:space="preserve">better </w:t>
      </w:r>
      <w:r w:rsidR="00E015F8" w:rsidRPr="0082576D">
        <w:t xml:space="preserve">align </w:t>
      </w:r>
      <w:r w:rsidR="0081087B" w:rsidRPr="0082576D">
        <w:t>our services</w:t>
      </w:r>
      <w:r w:rsidR="00E015F8" w:rsidRPr="0082576D">
        <w:t xml:space="preserve"> with </w:t>
      </w:r>
      <w:r w:rsidR="0081087B" w:rsidRPr="0082576D">
        <w:t xml:space="preserve">the values of </w:t>
      </w:r>
      <w:r w:rsidR="00E015F8" w:rsidRPr="0082576D">
        <w:t>our new customer base</w:t>
      </w:r>
      <w:r w:rsidR="002B5A46" w:rsidRPr="0082576D">
        <w:t>, start delivering benefits to our customers,</w:t>
      </w:r>
      <w:r w:rsidR="00E015F8" w:rsidRPr="0082576D">
        <w:t xml:space="preserve"> and </w:t>
      </w:r>
      <w:r w:rsidR="00522C33" w:rsidRPr="0082576D">
        <w:t xml:space="preserve">better understand the </w:t>
      </w:r>
      <w:r w:rsidR="00E015F8" w:rsidRPr="0082576D">
        <w:t xml:space="preserve">required organisational and operational uplift to deliver on </w:t>
      </w:r>
      <w:r w:rsidR="00BA4705" w:rsidRPr="0082576D">
        <w:t>a new</w:t>
      </w:r>
      <w:r w:rsidR="005A5CCB" w:rsidRPr="0082576D">
        <w:t xml:space="preserve"> set of customer outcomes</w:t>
      </w:r>
      <w:r w:rsidR="00E015F8" w:rsidRPr="0082576D">
        <w:t>. </w:t>
      </w:r>
    </w:p>
    <w:p w14:paraId="05BB5956" w14:textId="2E6AB4F9" w:rsidR="00407A1B" w:rsidRPr="000E1C8B" w:rsidRDefault="00407A1B">
      <w:pPr>
        <w:pStyle w:val="Heading2"/>
        <w:numPr>
          <w:ilvl w:val="1"/>
          <w:numId w:val="65"/>
        </w:numPr>
      </w:pPr>
      <w:bookmarkStart w:id="49" w:name="_Toc146004851"/>
      <w:bookmarkStart w:id="50" w:name="_Toc146004739"/>
      <w:bookmarkStart w:id="51" w:name="_Toc146746685"/>
      <w:r w:rsidRPr="0082576D">
        <w:t>Who is Greater Western Water?</w:t>
      </w:r>
      <w:bookmarkEnd w:id="49"/>
      <w:bookmarkEnd w:id="50"/>
      <w:bookmarkEnd w:id="51"/>
    </w:p>
    <w:p w14:paraId="581D39F8" w14:textId="1E683EEA" w:rsidR="00AC38AB" w:rsidRPr="0082576D" w:rsidRDefault="00AC38AB" w:rsidP="0082576D">
      <w:r w:rsidRPr="0082576D">
        <w:t>We are Victoria’s newest water corporation and serve one of Australia’s fastest-growing regions, with the population expected to almost double over the next 30 years.</w:t>
      </w:r>
    </w:p>
    <w:p w14:paraId="79719094" w14:textId="202B3D20" w:rsidR="00853A97" w:rsidRDefault="00AC38AB" w:rsidP="00AC38AB">
      <w:r w:rsidRPr="52B13EC7">
        <w:rPr>
          <w:rFonts w:ascii="Verdana" w:hAnsi="Verdana" w:cs="Segoe UI"/>
          <w:color w:val="000000" w:themeColor="text1"/>
        </w:rPr>
        <w:t xml:space="preserve">We provide </w:t>
      </w:r>
      <w:r w:rsidR="002B5A46" w:rsidRPr="52B13EC7">
        <w:rPr>
          <w:rFonts w:ascii="Verdana" w:hAnsi="Verdana" w:cs="Segoe UI"/>
          <w:color w:val="000000" w:themeColor="text1"/>
        </w:rPr>
        <w:t xml:space="preserve">critical public health services through the </w:t>
      </w:r>
      <w:r w:rsidR="00EB62B2">
        <w:rPr>
          <w:rFonts w:ascii="Verdana" w:hAnsi="Verdana" w:cs="Segoe UI"/>
          <w:color w:val="000000" w:themeColor="text1"/>
        </w:rPr>
        <w:t>provision</w:t>
      </w:r>
      <w:r w:rsidR="00EB62B2" w:rsidRPr="52B13EC7">
        <w:rPr>
          <w:rFonts w:ascii="Verdana" w:hAnsi="Verdana" w:cs="Segoe UI"/>
          <w:color w:val="000000" w:themeColor="text1"/>
        </w:rPr>
        <w:t xml:space="preserve"> </w:t>
      </w:r>
      <w:r w:rsidR="002B5A46" w:rsidRPr="52B13EC7">
        <w:rPr>
          <w:rFonts w:ascii="Verdana" w:hAnsi="Verdana" w:cs="Segoe UI"/>
          <w:color w:val="000000" w:themeColor="text1"/>
        </w:rPr>
        <w:t>of</w:t>
      </w:r>
      <w:r w:rsidRPr="52B13EC7">
        <w:rPr>
          <w:rFonts w:ascii="Verdana" w:hAnsi="Verdana" w:cs="Segoe UI"/>
          <w:color w:val="000000" w:themeColor="text1"/>
        </w:rPr>
        <w:t xml:space="preserve"> drinking water, </w:t>
      </w:r>
      <w:r w:rsidR="008E66A5">
        <w:rPr>
          <w:rFonts w:ascii="Verdana" w:hAnsi="Verdana" w:cs="Segoe UI"/>
          <w:color w:val="000000" w:themeColor="text1"/>
        </w:rPr>
        <w:t xml:space="preserve">sewerage services, </w:t>
      </w:r>
      <w:r w:rsidRPr="0082576D">
        <w:t xml:space="preserve">recycled </w:t>
      </w:r>
      <w:proofErr w:type="gramStart"/>
      <w:r w:rsidRPr="0082576D">
        <w:t>water</w:t>
      </w:r>
      <w:proofErr w:type="gramEnd"/>
      <w:r w:rsidRPr="0082576D">
        <w:t xml:space="preserve"> and trade waste services to approximately </w:t>
      </w:r>
      <w:r w:rsidR="008D1F8A">
        <w:t>568,000</w:t>
      </w:r>
      <w:r w:rsidRPr="0082576D">
        <w:t xml:space="preserve"> residential customers and more than </w:t>
      </w:r>
      <w:r w:rsidR="3FE701A1" w:rsidRPr="0082576D">
        <w:t>45</w:t>
      </w:r>
      <w:r w:rsidRPr="0082576D">
        <w:t>,000 non-residential customers across an area of 3,700 square kilometres</w:t>
      </w:r>
      <w:r w:rsidR="00870BD8">
        <w:t>. Our service area</w:t>
      </w:r>
      <w:r w:rsidRPr="0082576D">
        <w:t xml:space="preserve"> stretch</w:t>
      </w:r>
      <w:r w:rsidR="003E080E">
        <w:t>es</w:t>
      </w:r>
      <w:r w:rsidRPr="0082576D">
        <w:t xml:space="preserve"> from Melbourne's CBD, inner and north-western suburbs through the Melton and Sunbury growth corridors to Bacchus Marsh and the Macedon Ranges. </w:t>
      </w:r>
    </w:p>
    <w:p w14:paraId="7445CFDC" w14:textId="6E24161F" w:rsidR="00AC38AB" w:rsidRDefault="00AC38AB" w:rsidP="00AC38AB">
      <w:pPr>
        <w:rPr>
          <w:rFonts w:ascii="Segoe UI" w:hAnsi="Segoe UI"/>
          <w:sz w:val="18"/>
          <w:szCs w:val="18"/>
        </w:rPr>
      </w:pPr>
      <w:r w:rsidRPr="0082576D">
        <w:t>Key statistics:</w:t>
      </w:r>
    </w:p>
    <w:p w14:paraId="354412EC" w14:textId="47452875" w:rsidR="00AC38AB" w:rsidRPr="00925B2A" w:rsidRDefault="00AC38AB">
      <w:pPr>
        <w:pStyle w:val="ListBullet"/>
        <w:numPr>
          <w:ilvl w:val="0"/>
          <w:numId w:val="73"/>
        </w:numPr>
      </w:pPr>
      <w:r w:rsidRPr="00925B2A">
        <w:t>$3.7 billion infrastructure asset base</w:t>
      </w:r>
    </w:p>
    <w:p w14:paraId="0F96C613" w14:textId="4EAD7A97" w:rsidR="00AC38AB" w:rsidRPr="00925B2A" w:rsidRDefault="00AC38AB">
      <w:pPr>
        <w:pStyle w:val="ListBullet"/>
        <w:numPr>
          <w:ilvl w:val="0"/>
          <w:numId w:val="73"/>
        </w:numPr>
      </w:pPr>
      <w:r w:rsidRPr="00925B2A">
        <w:t>20 large dams</w:t>
      </w:r>
    </w:p>
    <w:p w14:paraId="26396E51" w14:textId="1A84994E" w:rsidR="00AC38AB" w:rsidRPr="00925B2A" w:rsidRDefault="00AC38AB">
      <w:pPr>
        <w:pStyle w:val="ListBullet"/>
        <w:numPr>
          <w:ilvl w:val="0"/>
          <w:numId w:val="73"/>
        </w:numPr>
      </w:pPr>
      <w:r w:rsidRPr="00925B2A">
        <w:t>7 water filtration plants</w:t>
      </w:r>
    </w:p>
    <w:p w14:paraId="0449E1BC" w14:textId="708E8C70" w:rsidR="00AC38AB" w:rsidRPr="00925B2A" w:rsidRDefault="00AC38AB">
      <w:pPr>
        <w:pStyle w:val="ListBullet"/>
        <w:numPr>
          <w:ilvl w:val="0"/>
          <w:numId w:val="73"/>
        </w:numPr>
      </w:pPr>
      <w:r w:rsidRPr="00925B2A">
        <w:t>10 recycled water plants</w:t>
      </w:r>
    </w:p>
    <w:p w14:paraId="2165A7A4" w14:textId="056DEE0D" w:rsidR="00AC38AB" w:rsidRPr="00925B2A" w:rsidRDefault="4D1D5676">
      <w:pPr>
        <w:pStyle w:val="ListBullet"/>
        <w:numPr>
          <w:ilvl w:val="0"/>
          <w:numId w:val="73"/>
        </w:numPr>
      </w:pPr>
      <w:r w:rsidRPr="00925B2A">
        <w:t>568,000</w:t>
      </w:r>
      <w:r w:rsidR="00AC38AB" w:rsidRPr="00925B2A">
        <w:t xml:space="preserve"> residential customers and 4</w:t>
      </w:r>
      <w:r w:rsidR="195C5091" w:rsidRPr="00925B2A">
        <w:t>7,000</w:t>
      </w:r>
      <w:r w:rsidR="00AC38AB" w:rsidRPr="00925B2A">
        <w:t xml:space="preserve"> business customers</w:t>
      </w:r>
    </w:p>
    <w:p w14:paraId="53DCF6D9" w14:textId="27AE98E7" w:rsidR="00AC38AB" w:rsidRPr="00925B2A" w:rsidRDefault="00AC38AB">
      <w:pPr>
        <w:pStyle w:val="ListBullet"/>
        <w:numPr>
          <w:ilvl w:val="0"/>
          <w:numId w:val="73"/>
        </w:numPr>
      </w:pPr>
      <w:r w:rsidRPr="00925B2A">
        <w:t>7,500 km of water mains</w:t>
      </w:r>
    </w:p>
    <w:p w14:paraId="5EF6CC7B" w14:textId="702CA544" w:rsidR="00AC38AB" w:rsidRPr="00925B2A" w:rsidRDefault="00AC38AB">
      <w:pPr>
        <w:pStyle w:val="ListBullet"/>
        <w:numPr>
          <w:ilvl w:val="0"/>
          <w:numId w:val="73"/>
        </w:numPr>
      </w:pPr>
      <w:r w:rsidRPr="00925B2A">
        <w:t>6,400 km of sewer mains</w:t>
      </w:r>
    </w:p>
    <w:p w14:paraId="3D0F68DE" w14:textId="4622CE4F" w:rsidR="00AC38AB" w:rsidRPr="00925B2A" w:rsidRDefault="00AC38AB">
      <w:pPr>
        <w:pStyle w:val="ListBullet"/>
        <w:numPr>
          <w:ilvl w:val="0"/>
          <w:numId w:val="73"/>
        </w:numPr>
      </w:pPr>
      <w:r w:rsidRPr="00925B2A">
        <w:t>11</w:t>
      </w:r>
      <w:r w:rsidR="0DB6641A" w:rsidRPr="00925B2A">
        <w:t>5,171</w:t>
      </w:r>
      <w:r w:rsidR="009C487D" w:rsidRPr="00925B2A">
        <w:t xml:space="preserve"> </w:t>
      </w:r>
      <w:r w:rsidRPr="00925B2A">
        <w:t xml:space="preserve">ML year of </w:t>
      </w:r>
      <w:r w:rsidR="009C487D" w:rsidRPr="00925B2A">
        <w:t xml:space="preserve">drinking </w:t>
      </w:r>
      <w:r w:rsidRPr="00925B2A">
        <w:t>water consumption</w:t>
      </w:r>
    </w:p>
    <w:p w14:paraId="1336F2DB" w14:textId="2E53D4B2" w:rsidR="00AC38AB" w:rsidRPr="00925B2A" w:rsidRDefault="00AC38AB">
      <w:pPr>
        <w:pStyle w:val="ListBullet"/>
        <w:numPr>
          <w:ilvl w:val="0"/>
          <w:numId w:val="73"/>
        </w:numPr>
      </w:pPr>
      <w:r w:rsidRPr="00925B2A">
        <w:t>108,000</w:t>
      </w:r>
      <w:r w:rsidR="006A6B07" w:rsidRPr="00925B2A">
        <w:t xml:space="preserve"> ML</w:t>
      </w:r>
      <w:r w:rsidRPr="00925B2A">
        <w:t xml:space="preserve"> year of sewage </w:t>
      </w:r>
      <w:proofErr w:type="gramStart"/>
      <w:r w:rsidRPr="00925B2A">
        <w:t>managed</w:t>
      </w:r>
      <w:proofErr w:type="gramEnd"/>
    </w:p>
    <w:p w14:paraId="0EDC163E" w14:textId="3068EF82" w:rsidR="00810F69" w:rsidRPr="00925B2A" w:rsidRDefault="00AC38AB">
      <w:pPr>
        <w:pStyle w:val="ListBullet"/>
        <w:numPr>
          <w:ilvl w:val="0"/>
          <w:numId w:val="73"/>
        </w:numPr>
      </w:pPr>
      <w:r w:rsidRPr="00925B2A">
        <w:t>6,</w:t>
      </w:r>
      <w:r w:rsidR="009C487D" w:rsidRPr="00925B2A">
        <w:t xml:space="preserve">377 ML </w:t>
      </w:r>
      <w:r w:rsidRPr="00925B2A">
        <w:t xml:space="preserve">year of recycled water </w:t>
      </w:r>
      <w:proofErr w:type="gramStart"/>
      <w:r w:rsidRPr="00925B2A">
        <w:t>supplied</w:t>
      </w:r>
      <w:proofErr w:type="gramEnd"/>
    </w:p>
    <w:p w14:paraId="66D3410E" w14:textId="6D8AA4BB" w:rsidR="00F51C20" w:rsidRPr="000A1343" w:rsidRDefault="00951EA1">
      <w:pPr>
        <w:pStyle w:val="ListBullet"/>
        <w:numPr>
          <w:ilvl w:val="0"/>
          <w:numId w:val="72"/>
        </w:numPr>
        <w:rPr>
          <w:highlight w:val="yellow"/>
        </w:rPr>
      </w:pPr>
      <w:r>
        <w:rPr>
          <w:highlight w:val="yellow"/>
        </w:rPr>
        <w:br w:type="page"/>
      </w:r>
    </w:p>
    <w:p w14:paraId="7F5EE5CC" w14:textId="05E34FEA" w:rsidR="00407A1B" w:rsidRDefault="00407A1B">
      <w:pPr>
        <w:pStyle w:val="Heading2"/>
        <w:numPr>
          <w:ilvl w:val="1"/>
          <w:numId w:val="65"/>
        </w:numPr>
      </w:pPr>
      <w:bookmarkStart w:id="52" w:name="_Toc146004852"/>
      <w:bookmarkStart w:id="53" w:name="_Toc146004740"/>
      <w:bookmarkStart w:id="54" w:name="_Toc146746686"/>
      <w:r w:rsidRPr="008C1A06">
        <w:lastRenderedPageBreak/>
        <w:t xml:space="preserve">Our customers, </w:t>
      </w:r>
      <w:proofErr w:type="gramStart"/>
      <w:r w:rsidRPr="008C1A06">
        <w:t>community</w:t>
      </w:r>
      <w:proofErr w:type="gramEnd"/>
      <w:r w:rsidRPr="008C1A06">
        <w:t xml:space="preserve"> and partners</w:t>
      </w:r>
      <w:bookmarkEnd w:id="52"/>
      <w:bookmarkEnd w:id="53"/>
      <w:bookmarkEnd w:id="54"/>
    </w:p>
    <w:p w14:paraId="0BF3A866" w14:textId="77777777" w:rsidR="00B118E1" w:rsidRDefault="00B118E1" w:rsidP="00B118E1">
      <w:r>
        <w:t xml:space="preserve">We seek to partner with all Traditional Owners and First Nations people across our service region, which is embedded in our Reconciliation Action Plan and </w:t>
      </w:r>
      <w:r w:rsidRPr="00EE3506">
        <w:rPr>
          <w:i/>
          <w:iCs/>
        </w:rPr>
        <w:t>2030 Strategy.</w:t>
      </w:r>
      <w:r>
        <w:t xml:space="preserve"> We operate on the lands of five formally recognised Traditional Owners Groups: Bunurong Land Council Aboriginal Corporation, DJAARA (Dja </w:t>
      </w:r>
      <w:proofErr w:type="spellStart"/>
      <w:r>
        <w:t>Dja</w:t>
      </w:r>
      <w:proofErr w:type="spellEnd"/>
      <w:r>
        <w:t xml:space="preserve"> Wurrung Clans Aboriginal Corporation), </w:t>
      </w:r>
      <w:proofErr w:type="spellStart"/>
      <w:r>
        <w:t>Taungurung</w:t>
      </w:r>
      <w:proofErr w:type="spellEnd"/>
      <w:r>
        <w:t xml:space="preserve"> Land and Waters Council, </w:t>
      </w:r>
      <w:proofErr w:type="spellStart"/>
      <w:r>
        <w:t>Wadawurrung</w:t>
      </w:r>
      <w:proofErr w:type="spellEnd"/>
      <w:r>
        <w:t xml:space="preserve"> Traditional Owners Aboriginal Corporation and Wurundjeri </w:t>
      </w:r>
      <w:proofErr w:type="spellStart"/>
      <w:r>
        <w:t>Woi</w:t>
      </w:r>
      <w:proofErr w:type="spellEnd"/>
      <w:r>
        <w:t xml:space="preserve"> Wurrung Cultural Heritage Aboriginal Corporation. These groups all have interests and rights to water access and management. </w:t>
      </w:r>
    </w:p>
    <w:p w14:paraId="1D9015D7" w14:textId="77777777" w:rsidR="00B118E1" w:rsidRDefault="00B118E1" w:rsidP="00B118E1">
      <w:r>
        <w:t xml:space="preserve">We serve a diverse community. Our service region covers 11 local government areas and is home to schools, commerce and industry, agriculture, and small businesses. We service world-class sporting precincts, including the MCG, Marvel Stadium and Flemington Racecourse, and critical community infrastructure, including 21 hospitals and 10 university campuses.  </w:t>
      </w:r>
    </w:p>
    <w:p w14:paraId="3DD83A19" w14:textId="68D3D328" w:rsidR="00B118E1" w:rsidRDefault="00B118E1" w:rsidP="00B118E1">
      <w:r>
        <w:t xml:space="preserve">Customers across our service region receive different service levels, water quality, security, and tariff and pricing structures depending on the legacy business that served them. This means our customers currently pay different prices and receive varying levels of service. </w:t>
      </w:r>
      <w:r w:rsidR="00E4699E" w:rsidRPr="00254FA3">
        <w:fldChar w:fldCharType="begin"/>
      </w:r>
      <w:r w:rsidR="00E4699E" w:rsidRPr="00254FA3">
        <w:instrText xml:space="preserve"> REF _Ref146734868 \h </w:instrText>
      </w:r>
      <w:r w:rsidR="00254FA3" w:rsidRPr="00254FA3">
        <w:instrText xml:space="preserve"> \* MERGEFORMAT </w:instrText>
      </w:r>
      <w:r w:rsidR="00E4699E" w:rsidRPr="00254FA3">
        <w:fldChar w:fldCharType="separate"/>
      </w:r>
      <w:r w:rsidR="00E4699E" w:rsidRPr="00254FA3">
        <w:t>Figure 1</w:t>
      </w:r>
      <w:r w:rsidR="00E4699E" w:rsidRPr="00254FA3">
        <w:fldChar w:fldCharType="end"/>
      </w:r>
      <w:r w:rsidR="00254FA3">
        <w:t xml:space="preserve"> </w:t>
      </w:r>
      <w:r w:rsidR="00D10D99">
        <w:t>below</w:t>
      </w:r>
      <w:r w:rsidR="00FF6538" w:rsidRPr="00961A72">
        <w:t xml:space="preserve"> shows our legacy business </w:t>
      </w:r>
      <w:r w:rsidR="00964D94" w:rsidRPr="00961A72">
        <w:t xml:space="preserve">service areas, </w:t>
      </w:r>
      <w:r w:rsidR="005F2263">
        <w:t xml:space="preserve">for the central and western region </w:t>
      </w:r>
      <w:r w:rsidR="00E74CEB" w:rsidRPr="00961A72">
        <w:t xml:space="preserve">where differences in pricing and services occur. </w:t>
      </w:r>
    </w:p>
    <w:p w14:paraId="280CDA52" w14:textId="0C30A7CF" w:rsidR="0093363D" w:rsidRDefault="00552074" w:rsidP="00552074">
      <w:pPr>
        <w:jc w:val="center"/>
      </w:pPr>
      <w:r>
        <w:rPr>
          <w:noProof/>
        </w:rPr>
        <w:drawing>
          <wp:inline distT="0" distB="0" distL="0" distR="0" wp14:anchorId="1DEF5011" wp14:editId="76AC2C12">
            <wp:extent cx="5495026" cy="4842423"/>
            <wp:effectExtent l="0" t="0" r="0" b="0"/>
            <wp:docPr id="21" name="Picture 21" descr="This is a picture of the previously City West Water and Western Water service area. The boundary between the previous service areas runs along the Wyndham, Melton and Hume areas. The picture shows the local government areas in the GWW service area, our neighbouring water corporations) and the locations of our key assets and off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picture of the previously City West Water and Western Water service area. The boundary between the previous service areas runs along the Wyndham, Melton and Hume areas. The picture shows the local government areas in the GWW service area, our neighbouring water corporations) and the locations of our key assets and offices. "/>
                    <pic:cNvPicPr/>
                  </pic:nvPicPr>
                  <pic:blipFill>
                    <a:blip r:embed="rId29">
                      <a:extLst>
                        <a:ext uri="{28A0092B-C50C-407E-A947-70E740481C1C}">
                          <a14:useLocalDpi xmlns:a14="http://schemas.microsoft.com/office/drawing/2010/main" val="0"/>
                        </a:ext>
                      </a:extLst>
                    </a:blip>
                    <a:stretch>
                      <a:fillRect/>
                    </a:stretch>
                  </pic:blipFill>
                  <pic:spPr>
                    <a:xfrm>
                      <a:off x="0" y="0"/>
                      <a:ext cx="5501804" cy="4848396"/>
                    </a:xfrm>
                    <a:prstGeom prst="rect">
                      <a:avLst/>
                    </a:prstGeom>
                  </pic:spPr>
                </pic:pic>
              </a:graphicData>
            </a:graphic>
          </wp:inline>
        </w:drawing>
      </w:r>
    </w:p>
    <w:p w14:paraId="39AA322D" w14:textId="07DE6EC5" w:rsidR="0093363D" w:rsidRPr="00925B2A" w:rsidRDefault="0093363D" w:rsidP="00B118E1">
      <w:pPr>
        <w:rPr>
          <w:color w:val="1A206C" w:themeColor="text2"/>
          <w:sz w:val="16"/>
          <w:szCs w:val="16"/>
        </w:rPr>
      </w:pPr>
      <w:bookmarkStart w:id="55" w:name="_Ref146734868"/>
      <w:r w:rsidRPr="00925B2A">
        <w:rPr>
          <w:b/>
          <w:bCs/>
          <w:color w:val="1A206C" w:themeColor="text2"/>
          <w:sz w:val="16"/>
          <w:szCs w:val="16"/>
        </w:rPr>
        <w:t xml:space="preserve">Figure </w:t>
      </w:r>
      <w:r w:rsidRPr="00925B2A">
        <w:rPr>
          <w:b/>
          <w:bCs/>
          <w:color w:val="1A206C" w:themeColor="text2"/>
          <w:sz w:val="16"/>
          <w:szCs w:val="16"/>
        </w:rPr>
        <w:fldChar w:fldCharType="begin"/>
      </w:r>
      <w:r w:rsidRPr="00925B2A">
        <w:rPr>
          <w:b/>
          <w:sz w:val="16"/>
          <w:szCs w:val="16"/>
        </w:rPr>
        <w:instrText xml:space="preserve"> SEQ Figure \* ARABIC </w:instrText>
      </w:r>
      <w:r w:rsidRPr="00925B2A">
        <w:rPr>
          <w:b/>
          <w:bCs/>
          <w:color w:val="1A206C" w:themeColor="text2"/>
          <w:sz w:val="16"/>
          <w:szCs w:val="16"/>
        </w:rPr>
        <w:fldChar w:fldCharType="separate"/>
      </w:r>
      <w:r w:rsidR="003B42C6">
        <w:rPr>
          <w:b/>
          <w:noProof/>
          <w:sz w:val="16"/>
          <w:szCs w:val="16"/>
        </w:rPr>
        <w:t>1</w:t>
      </w:r>
      <w:r w:rsidRPr="00925B2A">
        <w:rPr>
          <w:b/>
          <w:bCs/>
          <w:color w:val="1A206C" w:themeColor="text2"/>
          <w:sz w:val="16"/>
          <w:szCs w:val="16"/>
        </w:rPr>
        <w:fldChar w:fldCharType="end"/>
      </w:r>
      <w:bookmarkEnd w:id="55"/>
      <w:r w:rsidRPr="00925B2A">
        <w:rPr>
          <w:color w:val="1A206C" w:themeColor="text2"/>
          <w:sz w:val="16"/>
          <w:szCs w:val="16"/>
        </w:rPr>
        <w:t xml:space="preserve"> Greater Western Water’s service area (consisting of legacy City West Water and Western Water service areas</w:t>
      </w:r>
      <w:r w:rsidR="00D03B7C">
        <w:rPr>
          <w:color w:val="1A206C" w:themeColor="text2"/>
          <w:sz w:val="16"/>
          <w:szCs w:val="16"/>
        </w:rPr>
        <w:t>)</w:t>
      </w:r>
    </w:p>
    <w:p w14:paraId="2BA91D36" w14:textId="7CD3D76A" w:rsidR="003F3621" w:rsidRPr="008C1A06" w:rsidRDefault="00407A1B">
      <w:pPr>
        <w:pStyle w:val="Heading2"/>
        <w:numPr>
          <w:ilvl w:val="1"/>
          <w:numId w:val="65"/>
        </w:numPr>
      </w:pPr>
      <w:bookmarkStart w:id="56" w:name="_Toc146004853"/>
      <w:bookmarkStart w:id="57" w:name="_Toc146004741"/>
      <w:bookmarkStart w:id="58" w:name="_Ref146637274"/>
      <w:bookmarkStart w:id="59" w:name="_Toc146746687"/>
      <w:r w:rsidRPr="008C1A06">
        <w:lastRenderedPageBreak/>
        <w:t>Integrating two businesses into one</w:t>
      </w:r>
      <w:bookmarkEnd w:id="56"/>
      <w:bookmarkEnd w:id="57"/>
      <w:bookmarkEnd w:id="58"/>
      <w:bookmarkEnd w:id="59"/>
    </w:p>
    <w:p w14:paraId="1F114DC6" w14:textId="6DCF7849" w:rsidR="00F77A99" w:rsidRPr="004C2971" w:rsidRDefault="004605D2" w:rsidP="004C2971">
      <w:r w:rsidRPr="004605D2">
        <w:t xml:space="preserve">We have come a long way since the announcement of </w:t>
      </w:r>
      <w:r w:rsidR="003E1AE6">
        <w:t xml:space="preserve">the </w:t>
      </w:r>
      <w:r w:rsidRPr="004605D2">
        <w:t xml:space="preserve">integration </w:t>
      </w:r>
      <w:r w:rsidR="003E1AE6">
        <w:t>of CWW and WW into GWW</w:t>
      </w:r>
      <w:r w:rsidRPr="004605D2">
        <w:t xml:space="preserve"> in late 2020.</w:t>
      </w:r>
      <w:r w:rsidR="004A2CF1">
        <w:t xml:space="preserve"> </w:t>
      </w:r>
      <w:r w:rsidRPr="004605D2">
        <w:t xml:space="preserve">We have integrated our people systems, payroll systems, financial systems, policies and procedures, brand, </w:t>
      </w:r>
      <w:proofErr w:type="gramStart"/>
      <w:r w:rsidRPr="004605D2">
        <w:t>signage</w:t>
      </w:r>
      <w:proofErr w:type="gramEnd"/>
      <w:r w:rsidRPr="004605D2">
        <w:t xml:space="preserve"> and our organisational culture. We have developed our </w:t>
      </w:r>
      <w:r w:rsidRPr="000A3EC2">
        <w:rPr>
          <w:i/>
        </w:rPr>
        <w:t>2030 Strategy</w:t>
      </w:r>
      <w:r w:rsidRPr="004605D2">
        <w:t xml:space="preserve">, supported the </w:t>
      </w:r>
      <w:proofErr w:type="gramStart"/>
      <w:r w:rsidRPr="004605D2">
        <w:t>community</w:t>
      </w:r>
      <w:proofErr w:type="gramEnd"/>
      <w:r w:rsidRPr="004605D2">
        <w:t xml:space="preserve"> and delivered vital public health services through the COVID-19 pandemic, a triple La Nina event and floods, and we have now completed our first price submission. Even with all this progress, there are more improvements to be made before we seamlessly operat</w:t>
      </w:r>
      <w:r w:rsidR="00F6537C">
        <w:t>e</w:t>
      </w:r>
      <w:r w:rsidRPr="004605D2">
        <w:t xml:space="preserve"> as a single business</w:t>
      </w:r>
      <w:r w:rsidR="00F77A99" w:rsidRPr="004C2971">
        <w:t>. </w:t>
      </w:r>
    </w:p>
    <w:p w14:paraId="75E16AAF" w14:textId="504FF1AF" w:rsidR="00F77A99" w:rsidRPr="004C2971" w:rsidRDefault="00D27EFF" w:rsidP="004C2971">
      <w:r w:rsidRPr="004C2971">
        <w:t xml:space="preserve">Our legacy operating models provided different services to our customers through vertically integrated (catchment to tap) and retailer-wholesaler business models. This means that we source, store, deliver and treat water differently across our </w:t>
      </w:r>
      <w:r w:rsidR="002F15E1">
        <w:t xml:space="preserve">service </w:t>
      </w:r>
      <w:r w:rsidRPr="004C2971">
        <w:t xml:space="preserve">region. To continue to provide safe and affordable services across a </w:t>
      </w:r>
      <w:proofErr w:type="gramStart"/>
      <w:r w:rsidRPr="004C2971">
        <w:t>rapidly</w:t>
      </w:r>
      <w:r w:rsidR="004D5ED0">
        <w:t>-</w:t>
      </w:r>
      <w:r w:rsidRPr="004C2971">
        <w:t>growing</w:t>
      </w:r>
      <w:proofErr w:type="gramEnd"/>
      <w:r w:rsidRPr="004C2971">
        <w:t xml:space="preserve"> region, our systems</w:t>
      </w:r>
      <w:r w:rsidR="5D08E62F" w:rsidRPr="004C2971">
        <w:t xml:space="preserve"> and </w:t>
      </w:r>
      <w:r w:rsidRPr="004C2971">
        <w:t>operations</w:t>
      </w:r>
      <w:r w:rsidR="31F4D3E3" w:rsidRPr="004C2971">
        <w:t xml:space="preserve"> </w:t>
      </w:r>
      <w:r w:rsidRPr="004C2971">
        <w:t>need to adapt to a</w:t>
      </w:r>
      <w:r w:rsidR="3D6B9998" w:rsidRPr="004C2971">
        <w:t xml:space="preserve"> new</w:t>
      </w:r>
      <w:r w:rsidRPr="004C2971">
        <w:t xml:space="preserve"> delivery model. </w:t>
      </w:r>
      <w:r w:rsidR="00F77A99" w:rsidRPr="004C2971">
        <w:t>We are still working through</w:t>
      </w:r>
      <w:r w:rsidR="002B5A46" w:rsidRPr="004C2971">
        <w:t xml:space="preserve"> alignment of</w:t>
      </w:r>
      <w:r w:rsidR="00F77A99" w:rsidRPr="004C2971">
        <w:t xml:space="preserve"> two very different business models with different functions and challenges, and there are more efficiencies to be realised as we </w:t>
      </w:r>
      <w:r w:rsidR="002B5A46" w:rsidRPr="004C2971">
        <w:t>progress</w:t>
      </w:r>
      <w:r w:rsidR="00156756" w:rsidRPr="004C2971">
        <w:t xml:space="preserve"> and grow</w:t>
      </w:r>
      <w:r w:rsidR="00F77A99" w:rsidRPr="004C2971">
        <w:t>.   </w:t>
      </w:r>
    </w:p>
    <w:p w14:paraId="43468328" w14:textId="2E8548A2" w:rsidR="001E3B90" w:rsidRDefault="001E3B90" w:rsidP="004C2971">
      <w:r w:rsidRPr="001E3B90">
        <w:t>Leading up to integration, CWW had a relatively straight-forward asset base, but faced issues of stretching asset systems beyond their intended lifespan to ensure customer affordability. WW faced complexities arising from higher-than-forecast growth and financial constraints, resulting in demand for service exceeding asset capacity</w:t>
      </w:r>
      <w:r w:rsidR="00DB2150">
        <w:t>.</w:t>
      </w:r>
    </w:p>
    <w:p w14:paraId="4520E1EB" w14:textId="5B5652E4" w:rsidR="00DB2150" w:rsidRDefault="00DB2150" w:rsidP="00DB2150">
      <w:r>
        <w:t>These differences in business models and asset systems meant immediately post integration, GWW had a diverse and complex infrastructure program without fit-for-purpose systems and processes</w:t>
      </w:r>
      <w:r w:rsidR="00F56C27">
        <w:t xml:space="preserve"> and</w:t>
      </w:r>
      <w:r w:rsidR="0021272E">
        <w:t xml:space="preserve"> </w:t>
      </w:r>
      <w:r w:rsidR="00194FAB">
        <w:t>experienced</w:t>
      </w:r>
      <w:r>
        <w:t xml:space="preserve"> operational </w:t>
      </w:r>
      <w:proofErr w:type="gramStart"/>
      <w:r>
        <w:t>incidents</w:t>
      </w:r>
      <w:r w:rsidR="001F078B">
        <w:t xml:space="preserve">, </w:t>
      </w:r>
      <w:r>
        <w:t xml:space="preserve"> water</w:t>
      </w:r>
      <w:proofErr w:type="gramEnd"/>
      <w:r>
        <w:t xml:space="preserve"> security challenges in parts of our</w:t>
      </w:r>
      <w:r w:rsidR="002F15E1">
        <w:t xml:space="preserve"> service</w:t>
      </w:r>
      <w:r>
        <w:t xml:space="preserve"> region and cases of non-compliance with EPA licence conditions.  </w:t>
      </w:r>
    </w:p>
    <w:p w14:paraId="3EE2A396" w14:textId="67F5794C" w:rsidR="00DB2150" w:rsidRDefault="00DB2150" w:rsidP="00DB2150">
      <w:r>
        <w:t>To move forward as a truly integrated business, we need a strategic program that enhances our asset delivery maturity by addressing ‘pain points’ across the asset delivery lifecycle, supported by sound operational processes and capability.</w:t>
      </w:r>
    </w:p>
    <w:p w14:paraId="5F4DB61F" w14:textId="435BB2BF" w:rsidR="00407A1B" w:rsidRPr="000E1C8B" w:rsidRDefault="004A7ACA">
      <w:pPr>
        <w:pStyle w:val="Heading2"/>
        <w:numPr>
          <w:ilvl w:val="1"/>
          <w:numId w:val="65"/>
        </w:numPr>
      </w:pPr>
      <w:bookmarkStart w:id="60" w:name="_Toc146004854"/>
      <w:bookmarkStart w:id="61" w:name="_Toc146004742"/>
      <w:bookmarkStart w:id="62" w:name="_Toc146746688"/>
      <w:r>
        <w:t>B</w:t>
      </w:r>
      <w:r w:rsidR="00407A1B">
        <w:t xml:space="preserve">uilding the </w:t>
      </w:r>
      <w:r w:rsidR="00407A1B" w:rsidRPr="166D8760">
        <w:t>foundation</w:t>
      </w:r>
      <w:r>
        <w:t>s</w:t>
      </w:r>
      <w:r w:rsidR="00407A1B" w:rsidRPr="166D8760">
        <w:t xml:space="preserve"> </w:t>
      </w:r>
      <w:r>
        <w:t xml:space="preserve">of </w:t>
      </w:r>
      <w:r w:rsidR="00E23B80" w:rsidRPr="008C1A06">
        <w:t>our</w:t>
      </w:r>
      <w:r w:rsidR="00E23B80">
        <w:t xml:space="preserve"> </w:t>
      </w:r>
      <w:r w:rsidR="00407A1B">
        <w:t>long-term vision</w:t>
      </w:r>
      <w:bookmarkEnd w:id="60"/>
      <w:bookmarkEnd w:id="61"/>
      <w:bookmarkEnd w:id="62"/>
    </w:p>
    <w:p w14:paraId="1F93290D" w14:textId="45B3F6A1" w:rsidR="005761D2" w:rsidRPr="005761D2" w:rsidRDefault="005761D2" w:rsidP="005761D2">
      <w:pPr>
        <w:rPr>
          <w:rFonts w:ascii="Verdana" w:hAnsi="Verdana" w:cs="Segoe UI"/>
        </w:rPr>
      </w:pPr>
      <w:r w:rsidRPr="005761D2">
        <w:rPr>
          <w:rFonts w:ascii="Verdana" w:hAnsi="Verdana" w:cs="Segoe UI"/>
        </w:rPr>
        <w:t xml:space="preserve">Our </w:t>
      </w:r>
      <w:r w:rsidRPr="00D27BC8">
        <w:rPr>
          <w:rFonts w:ascii="Verdana" w:hAnsi="Verdana" w:cs="Segoe UI"/>
          <w:i/>
          <w:iCs/>
        </w:rPr>
        <w:t>2030 Strategy</w:t>
      </w:r>
      <w:r w:rsidRPr="005761D2">
        <w:rPr>
          <w:rFonts w:ascii="Verdana" w:hAnsi="Verdana" w:cs="Segoe UI"/>
        </w:rPr>
        <w:t xml:space="preserve"> </w:t>
      </w:r>
      <w:r w:rsidR="00214E5B">
        <w:rPr>
          <w:rFonts w:ascii="Verdana" w:hAnsi="Verdana" w:cs="Segoe UI"/>
        </w:rPr>
        <w:t xml:space="preserve">outlines our </w:t>
      </w:r>
      <w:r w:rsidRPr="005761D2">
        <w:rPr>
          <w:rFonts w:ascii="Verdana" w:hAnsi="Verdana" w:cs="Segoe UI"/>
        </w:rPr>
        <w:t xml:space="preserve">purpose </w:t>
      </w:r>
      <w:r w:rsidR="00214E5B">
        <w:rPr>
          <w:rFonts w:ascii="Verdana" w:hAnsi="Verdana" w:cs="Segoe UI"/>
        </w:rPr>
        <w:t xml:space="preserve">of </w:t>
      </w:r>
      <w:r w:rsidRPr="005761D2">
        <w:rPr>
          <w:rFonts w:ascii="Verdana" w:hAnsi="Verdana" w:cs="Segoe UI"/>
        </w:rPr>
        <w:t>deliver</w:t>
      </w:r>
      <w:r w:rsidR="00214E5B">
        <w:rPr>
          <w:rFonts w:ascii="Verdana" w:hAnsi="Verdana" w:cs="Segoe UI"/>
        </w:rPr>
        <w:t>ing</w:t>
      </w:r>
      <w:r w:rsidRPr="005761D2">
        <w:rPr>
          <w:rFonts w:ascii="Verdana" w:hAnsi="Verdana" w:cs="Segoe UI"/>
        </w:rPr>
        <w:t xml:space="preserve"> trusted water services for our communities and future generations. We are a key provider of public health services to the community, striving towards our vision of thriving people and Country. </w:t>
      </w:r>
    </w:p>
    <w:p w14:paraId="7E27B23B" w14:textId="49E5B2C9" w:rsidR="00275707" w:rsidRDefault="005761D2" w:rsidP="005761D2">
      <w:pPr>
        <w:rPr>
          <w:rFonts w:ascii="Verdana" w:hAnsi="Verdana" w:cs="Segoe UI"/>
        </w:rPr>
      </w:pPr>
      <w:r w:rsidRPr="005761D2">
        <w:rPr>
          <w:rFonts w:ascii="Verdana" w:hAnsi="Verdana" w:cs="Segoe UI"/>
        </w:rPr>
        <w:t xml:space="preserve">We have put in place critical processes and systems to support our people and provide benefits to our customers. We launched our </w:t>
      </w:r>
      <w:r w:rsidRPr="00E31FC3">
        <w:rPr>
          <w:rFonts w:ascii="Verdana" w:hAnsi="Verdana" w:cs="Segoe UI"/>
          <w:i/>
          <w:iCs/>
        </w:rPr>
        <w:t>2030 Strategy</w:t>
      </w:r>
      <w:r w:rsidRPr="005761D2">
        <w:rPr>
          <w:rFonts w:ascii="Verdana" w:hAnsi="Verdana" w:cs="Segoe UI"/>
        </w:rPr>
        <w:t xml:space="preserve"> (</w:t>
      </w:r>
      <w:r w:rsidR="00264E66">
        <w:rPr>
          <w:rFonts w:ascii="Verdana" w:hAnsi="Verdana" w:cs="Segoe UI"/>
          <w:b/>
          <w:bCs/>
        </w:rPr>
        <w:fldChar w:fldCharType="begin"/>
      </w:r>
      <w:r w:rsidR="00264E66">
        <w:rPr>
          <w:rFonts w:ascii="Verdana" w:hAnsi="Verdana" w:cs="Segoe UI"/>
        </w:rPr>
        <w:instrText xml:space="preserve"> REF _Ref146636791 \h </w:instrText>
      </w:r>
      <w:r w:rsidR="00264E66">
        <w:rPr>
          <w:rFonts w:ascii="Verdana" w:hAnsi="Verdana" w:cs="Segoe UI"/>
          <w:b/>
          <w:bCs/>
        </w:rPr>
      </w:r>
      <w:r w:rsidR="00264E66">
        <w:rPr>
          <w:rFonts w:ascii="Verdana" w:hAnsi="Verdana" w:cs="Segoe UI"/>
          <w:b/>
          <w:bCs/>
        </w:rPr>
        <w:fldChar w:fldCharType="separate"/>
      </w:r>
      <w:r w:rsidR="003B42C6" w:rsidRPr="00531124">
        <w:rPr>
          <w:b/>
          <w:bCs/>
        </w:rPr>
        <w:t xml:space="preserve">Figure </w:t>
      </w:r>
      <w:r w:rsidR="003B42C6">
        <w:rPr>
          <w:b/>
          <w:bCs/>
          <w:noProof/>
        </w:rPr>
        <w:t>2</w:t>
      </w:r>
      <w:r w:rsidR="00264E66">
        <w:rPr>
          <w:rFonts w:ascii="Verdana" w:hAnsi="Verdana" w:cs="Segoe UI"/>
          <w:b/>
          <w:bCs/>
        </w:rPr>
        <w:fldChar w:fldCharType="end"/>
      </w:r>
      <w:r w:rsidRPr="005761D2">
        <w:rPr>
          <w:rFonts w:ascii="Verdana" w:hAnsi="Verdana" w:cs="Segoe UI"/>
        </w:rPr>
        <w:t>), new risk management framework, culture ambition, and key policies for social procurement and compliance.</w:t>
      </w:r>
    </w:p>
    <w:p w14:paraId="73BBAAC7" w14:textId="09BA24C9" w:rsidR="2CD4A076" w:rsidRDefault="2CD4A076" w:rsidP="00275707">
      <w:pPr>
        <w:jc w:val="center"/>
      </w:pPr>
      <w:r>
        <w:rPr>
          <w:noProof/>
        </w:rPr>
        <w:lastRenderedPageBreak/>
        <w:drawing>
          <wp:inline distT="0" distB="0" distL="0" distR="0" wp14:anchorId="5BBA6557" wp14:editId="6E65D9C3">
            <wp:extent cx="4080294" cy="4080294"/>
            <wp:effectExtent l="0" t="0" r="0" b="0"/>
            <wp:docPr id="483388036" name="Picture 483388036" descr="This is an infographic titled &quot;Greater Western Water's 2030 Strategy&quot;.  Below that heading are two text boxes.  The first says: &quot;Our Purpose: Trusted water services for our communities and future generations&quot;. The second says &quot;Our Vision: Thriving people and Country. Strategic outcomes (the what): Customers, Communities and Country&quot;. Below those two text boxes are two rows, each containing three symbols with labels.  The first row is our strategic outcomes (the what).  The symbols shown are Customers, Communities, Country.  The second row is our strategic enablers  (the how): The symbols shown are People, Partnerships,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8036" name="Picture 483388036" descr="This is an infographic titled &quot;Greater Western Water's 2030 Strategy&quot;.  Below that heading are two text boxes.  The first says: &quot;Our Purpose: Trusted water services for our communities and future generations&quot;. The second says &quot;Our Vision: Thriving people and Country. Strategic outcomes (the what): Customers, Communities and Country&quot;. Below those two text boxes are two rows, each containing three symbols with labels.  The first row is our strategic outcomes (the what).  The symbols shown are Customers, Communities, Country.  The second row is our strategic enablers  (the how): The symbols shown are People, Partnerships, Progres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6669" cy="4096669"/>
                    </a:xfrm>
                    <a:prstGeom prst="rect">
                      <a:avLst/>
                    </a:prstGeom>
                  </pic:spPr>
                </pic:pic>
              </a:graphicData>
            </a:graphic>
          </wp:inline>
        </w:drawing>
      </w:r>
    </w:p>
    <w:p w14:paraId="77AF4903" w14:textId="6FA276D1" w:rsidR="00C36910" w:rsidRDefault="00C36910" w:rsidP="00C36910">
      <w:pPr>
        <w:pStyle w:val="Caption"/>
        <w:rPr>
          <w:rFonts w:ascii="Verdana" w:hAnsi="Verdana" w:cs="Segoe UI"/>
        </w:rPr>
      </w:pPr>
      <w:bookmarkStart w:id="63" w:name="_Ref146636791"/>
      <w:r w:rsidRPr="00531124">
        <w:rPr>
          <w:b/>
          <w:bCs/>
        </w:rPr>
        <w:t xml:space="preserve">Figure </w:t>
      </w:r>
      <w:r w:rsidRPr="00531124">
        <w:rPr>
          <w:b/>
          <w:bCs/>
        </w:rPr>
        <w:fldChar w:fldCharType="begin"/>
      </w:r>
      <w:r w:rsidRPr="00531124">
        <w:rPr>
          <w:b/>
          <w:bCs/>
        </w:rPr>
        <w:instrText>SEQ Figure \* ARABIC</w:instrText>
      </w:r>
      <w:r w:rsidRPr="00531124">
        <w:rPr>
          <w:b/>
          <w:bCs/>
        </w:rPr>
        <w:fldChar w:fldCharType="separate"/>
      </w:r>
      <w:r w:rsidR="003B42C6">
        <w:rPr>
          <w:b/>
          <w:bCs/>
          <w:noProof/>
        </w:rPr>
        <w:t>2</w:t>
      </w:r>
      <w:r w:rsidRPr="00531124">
        <w:rPr>
          <w:b/>
          <w:bCs/>
        </w:rPr>
        <w:fldChar w:fldCharType="end"/>
      </w:r>
      <w:bookmarkEnd w:id="63"/>
      <w:r>
        <w:t xml:space="preserve"> GWW 2030 Strategy Summary</w:t>
      </w:r>
    </w:p>
    <w:p w14:paraId="623287B1" w14:textId="47B3AF12" w:rsidR="0060187A" w:rsidRPr="0060187A" w:rsidRDefault="0060187A" w:rsidP="0060187A">
      <w:pPr>
        <w:rPr>
          <w:rFonts w:ascii="Verdana" w:hAnsi="Verdana" w:cs="Segoe UI"/>
        </w:rPr>
      </w:pPr>
      <w:r w:rsidRPr="0060187A">
        <w:rPr>
          <w:rFonts w:ascii="Verdana" w:hAnsi="Verdana" w:cs="Segoe UI"/>
        </w:rPr>
        <w:t xml:space="preserve">We are investing in programs that will establish the foundational capabilities, </w:t>
      </w:r>
      <w:proofErr w:type="gramStart"/>
      <w:r w:rsidRPr="0060187A">
        <w:rPr>
          <w:rFonts w:ascii="Verdana" w:hAnsi="Verdana" w:cs="Segoe UI"/>
        </w:rPr>
        <w:t>processes</w:t>
      </w:r>
      <w:proofErr w:type="gramEnd"/>
      <w:r w:rsidRPr="0060187A">
        <w:rPr>
          <w:rFonts w:ascii="Verdana" w:hAnsi="Verdana" w:cs="Segoe UI"/>
        </w:rPr>
        <w:t xml:space="preserve"> and systems to deliver an increased capital program and sustainable efficiency program. The</w:t>
      </w:r>
      <w:r w:rsidR="00856513" w:rsidRPr="00856513">
        <w:t xml:space="preserve"> </w:t>
      </w:r>
      <w:r w:rsidR="00856513" w:rsidRPr="00856513">
        <w:rPr>
          <w:rFonts w:ascii="Verdana" w:hAnsi="Verdana" w:cs="Segoe UI"/>
        </w:rPr>
        <w:t>transformational</w:t>
      </w:r>
      <w:r w:rsidR="00856513" w:rsidRPr="0060187A">
        <w:rPr>
          <w:rFonts w:ascii="Verdana" w:hAnsi="Verdana" w:cs="Segoe UI"/>
        </w:rPr>
        <w:t xml:space="preserve"> programs</w:t>
      </w:r>
      <w:r w:rsidRPr="0060187A">
        <w:rPr>
          <w:rFonts w:ascii="Verdana" w:hAnsi="Verdana" w:cs="Segoe UI"/>
        </w:rPr>
        <w:t xml:space="preserve"> include improving our asset delivery capability and developing a new customer experience platform for easier</w:t>
      </w:r>
      <w:r w:rsidR="0052052E">
        <w:rPr>
          <w:rFonts w:ascii="Verdana" w:hAnsi="Verdana" w:cs="Segoe UI"/>
        </w:rPr>
        <w:t xml:space="preserve"> and</w:t>
      </w:r>
      <w:r w:rsidRPr="0060187A">
        <w:rPr>
          <w:rFonts w:ascii="Verdana" w:hAnsi="Verdana" w:cs="Segoe UI"/>
        </w:rPr>
        <w:t xml:space="preserve"> more accessible communication. </w:t>
      </w:r>
    </w:p>
    <w:p w14:paraId="3C15E77F" w14:textId="59CCEDBB" w:rsidR="001833C5" w:rsidRDefault="0060187A" w:rsidP="0060187A">
      <w:pPr>
        <w:rPr>
          <w:rFonts w:ascii="Verdana" w:hAnsi="Verdana" w:cs="Segoe UI"/>
        </w:rPr>
      </w:pPr>
      <w:r w:rsidRPr="0060187A">
        <w:rPr>
          <w:rFonts w:ascii="Verdana" w:hAnsi="Verdana" w:cs="Segoe UI"/>
        </w:rPr>
        <w:t xml:space="preserve">The Asset Delivery Organisational Review (ADOR) is a key project that will change how we plan, </w:t>
      </w:r>
      <w:proofErr w:type="gramStart"/>
      <w:r w:rsidRPr="0060187A">
        <w:rPr>
          <w:rFonts w:ascii="Verdana" w:hAnsi="Verdana" w:cs="Segoe UI"/>
        </w:rPr>
        <w:t>design</w:t>
      </w:r>
      <w:proofErr w:type="gramEnd"/>
      <w:r w:rsidRPr="0060187A">
        <w:rPr>
          <w:rFonts w:ascii="Verdana" w:hAnsi="Verdana" w:cs="Segoe UI"/>
        </w:rPr>
        <w:t xml:space="preserve"> and build infrastructure. The full implementation of this $10 million program and the associated systems and processes is planned for June 2024. ADOR will build GWW’s capacity to deliver the infrastructure required to meet our obligations and deliver our customer outcomes. It will minimise the impact on</w:t>
      </w:r>
      <w:r w:rsidR="001544C4">
        <w:rPr>
          <w:rFonts w:ascii="Verdana" w:hAnsi="Verdana" w:cs="Segoe UI"/>
        </w:rPr>
        <w:t xml:space="preserve"> the communities we </w:t>
      </w:r>
      <w:r w:rsidRPr="0060187A">
        <w:rPr>
          <w:rFonts w:ascii="Verdana" w:hAnsi="Verdana" w:cs="Segoe UI"/>
        </w:rPr>
        <w:t>as we plan and build infrastructure that is resilient under the pressures of growth and climate change. ADOR will also improve our ability to deliver broader social benefits aligned to government policy such as diversity and inclusion and working with Traditional Owners earlier in the asset planning and management lifecycle</w:t>
      </w:r>
      <w:r w:rsidR="007749CD">
        <w:rPr>
          <w:rFonts w:ascii="Verdana" w:hAnsi="Verdana" w:cs="Segoe UI"/>
        </w:rPr>
        <w:t>.</w:t>
      </w:r>
    </w:p>
    <w:p w14:paraId="603121A3" w14:textId="5871D57F" w:rsidR="004C0B41" w:rsidRDefault="00933274" w:rsidP="0060187A">
      <w:pPr>
        <w:rPr>
          <w:rFonts w:ascii="Verdana" w:hAnsi="Verdana" w:cs="Segoe UI"/>
        </w:rPr>
      </w:pPr>
      <w:r>
        <w:rPr>
          <w:rFonts w:ascii="Verdana" w:hAnsi="Verdana" w:cs="Segoe UI"/>
          <w:noProof/>
        </w:rPr>
        <w:lastRenderedPageBreak/>
        <w:drawing>
          <wp:inline distT="0" distB="0" distL="0" distR="0" wp14:anchorId="46DC86B7" wp14:editId="4A6A64C8">
            <wp:extent cx="6191250" cy="4041834"/>
            <wp:effectExtent l="0" t="0" r="0" b="0"/>
            <wp:docPr id="11" name="Picture 11" descr="This image is a case study with the title &quot;Asset Delivery Transformation Program (ADOR)&quot; &#10;&#10;The text reads &quot;ADOR is a multi year program to transform our asset delivery capability and capacity, so we can continue to deliver fairly prices, high quality and reliable water and sewer services to our customers.  The program will improve the effectiveness and efficiency of our infrastructure capital delivery program.  In 2023-24, the key areas of uplift include: improving procurement, commercial and partnership approaches &#10;improving infrastructure planning and investment decision making; &#10;building broader organisational reliance and capability; estblishing an infrastrucure portfolio approach to drive greater efficiency, implement a single project management framework, better manage risk and improve performance measures; establishing 'on way of working, embedding consistent health, safety, environment and quality processes and practices across our asset delivery activities.&quot;&#10;&#10;Below that text is a photo with the title 'Water main renewal in inner suburbs of Melbourne'.  It shows some people in high-vis protective gear beside works in progress in an urba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is a case study with the title &quot;Asset Delivery Transformation Program (ADOR)&quot; &#10;&#10;The text reads &quot;ADOR is a multi year program to transform our asset delivery capability and capacity, so we can continue to deliver fairly prices, high quality and reliable water and sewer services to our customers.  The program will improve the effectiveness and efficiency of our infrastructure capital delivery program.  In 2023-24, the key areas of uplift include: improving procurement, commercial and partnership approaches &#10;improving infrastructure planning and investment decision making; &#10;building broader organisational reliance and capability; estblishing an infrastrucure portfolio approach to drive greater efficiency, implement a single project management framework, better manage risk and improve performance measures; establishing 'on way of working, embedding consistent health, safety, environment and quality processes and practices across our asset delivery activities.&quot;&#10;&#10;Below that text is a photo with the title 'Water main renewal in inner suburbs of Melbourne'.  It shows some people in high-vis protective gear beside works in progress in an urban are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041834"/>
                    </a:xfrm>
                    <a:prstGeom prst="rect">
                      <a:avLst/>
                    </a:prstGeom>
                    <a:noFill/>
                  </pic:spPr>
                </pic:pic>
              </a:graphicData>
            </a:graphic>
          </wp:inline>
        </w:drawing>
      </w:r>
    </w:p>
    <w:p w14:paraId="32439BA1" w14:textId="1CD087C1" w:rsidR="00C36910" w:rsidRDefault="00C36910" w:rsidP="00C36910">
      <w:pPr>
        <w:pStyle w:val="Caption"/>
        <w:rPr>
          <w:rFonts w:ascii="Verdana" w:hAnsi="Verdana" w:cs="Segoe UI"/>
        </w:rPr>
      </w:pPr>
      <w:r w:rsidRPr="001C1561">
        <w:rPr>
          <w:b/>
        </w:rPr>
        <w:t xml:space="preserve">Figure </w:t>
      </w:r>
      <w:r w:rsidRPr="001C1561">
        <w:rPr>
          <w:b/>
        </w:rPr>
        <w:fldChar w:fldCharType="begin"/>
      </w:r>
      <w:r>
        <w:instrText>SEQ Figure \* ARABIC</w:instrText>
      </w:r>
      <w:r w:rsidRPr="001C1561">
        <w:rPr>
          <w:b/>
        </w:rPr>
        <w:fldChar w:fldCharType="separate"/>
      </w:r>
      <w:r w:rsidR="003B42C6">
        <w:rPr>
          <w:noProof/>
        </w:rPr>
        <w:t>3</w:t>
      </w:r>
      <w:r w:rsidRPr="001C1561">
        <w:rPr>
          <w:b/>
        </w:rPr>
        <w:fldChar w:fldCharType="end"/>
      </w:r>
      <w:r>
        <w:t xml:space="preserve"> ADOR Case Study</w:t>
      </w:r>
    </w:p>
    <w:p w14:paraId="595EC8EB" w14:textId="679D4495" w:rsidR="0012776D" w:rsidRDefault="00090D24" w:rsidP="0012776D">
      <w:r w:rsidRPr="00090D24">
        <w:t>Throughout the period 2023-24 to 2027-28</w:t>
      </w:r>
      <w:r w:rsidR="0012776D">
        <w:t xml:space="preserve">, we are making strategic investments </w:t>
      </w:r>
      <w:r w:rsidR="00EB48BF">
        <w:t xml:space="preserve">and </w:t>
      </w:r>
      <w:r w:rsidR="00D96D58">
        <w:t>expenditure</w:t>
      </w:r>
      <w:r w:rsidR="0012776D">
        <w:t xml:space="preserve"> in core services that address our biggest risks and return value to our customers. Our capital </w:t>
      </w:r>
      <w:r w:rsidR="00741613">
        <w:t xml:space="preserve">expenditure </w:t>
      </w:r>
      <w:r w:rsidR="0012776D">
        <w:t xml:space="preserve">will create efficiencies over the long term and aligns with what our customers have told us is important. We are using the skills and resources gained during integration to deliver a transformational program that will </w:t>
      </w:r>
      <w:r w:rsidR="00906C06">
        <w:t xml:space="preserve">create </w:t>
      </w:r>
      <w:r w:rsidR="0012776D">
        <w:t>sustainable efficiencies through this price period and into the next. Our sustainable efficiency program will reprioritise resources and streamline functions to reduce operating expenditure and deliver benefits to customers.</w:t>
      </w:r>
      <w:r w:rsidR="00BF6874">
        <w:t xml:space="preserve"> </w:t>
      </w:r>
      <w:r w:rsidR="00CA1646">
        <w:t>Our major</w:t>
      </w:r>
      <w:r w:rsidR="00BF6874">
        <w:t xml:space="preserve"> capital </w:t>
      </w:r>
      <w:r w:rsidR="00741613">
        <w:t>expenditure</w:t>
      </w:r>
      <w:r w:rsidR="00CA1646">
        <w:t xml:space="preserve"> will</w:t>
      </w:r>
      <w:r w:rsidR="00972F1B">
        <w:t xml:space="preserve"> deliver on our</w:t>
      </w:r>
      <w:r w:rsidR="00BF6874">
        <w:t xml:space="preserve"> customer outcomes </w:t>
      </w:r>
      <w:r w:rsidR="00FD1641">
        <w:t xml:space="preserve">(outlined in </w:t>
      </w:r>
      <w:r w:rsidR="002767E8">
        <w:t xml:space="preserve">Section </w:t>
      </w:r>
      <w:r w:rsidR="003D56A0">
        <w:t>3</w:t>
      </w:r>
      <w:r w:rsidR="002767E8">
        <w:fldChar w:fldCharType="begin"/>
      </w:r>
      <w:r w:rsidR="002767E8">
        <w:instrText xml:space="preserve"> REF _Ref146611397 \r \h </w:instrText>
      </w:r>
      <w:r w:rsidR="0069425C">
        <w:fldChar w:fldCharType="separate"/>
      </w:r>
      <w:r w:rsidR="002767E8">
        <w:fldChar w:fldCharType="end"/>
      </w:r>
      <w:r w:rsidR="0075247D">
        <w:t xml:space="preserve">) </w:t>
      </w:r>
      <w:r w:rsidR="00CA1646">
        <w:t xml:space="preserve">and </w:t>
      </w:r>
      <w:r w:rsidR="00C55EF8">
        <w:t>create improvements with lasting benefits to customers</w:t>
      </w:r>
      <w:r w:rsidR="00FD1641">
        <w:t xml:space="preserve">. </w:t>
      </w:r>
      <w:r w:rsidR="00982089">
        <w:t xml:space="preserve">The next page </w:t>
      </w:r>
      <w:r w:rsidR="002B007D">
        <w:t xml:space="preserve">shows </w:t>
      </w:r>
      <w:r w:rsidR="00EA1408">
        <w:t xml:space="preserve">how </w:t>
      </w:r>
      <w:r w:rsidR="002628B2">
        <w:t xml:space="preserve">some of </w:t>
      </w:r>
      <w:r w:rsidR="00EA1408">
        <w:t xml:space="preserve">our infrastructure investments </w:t>
      </w:r>
      <w:r w:rsidR="002628B2">
        <w:t xml:space="preserve">will support our </w:t>
      </w:r>
      <w:r w:rsidR="00EA1408">
        <w:t xml:space="preserve">customer outcomes. </w:t>
      </w:r>
      <w:r w:rsidR="00972F1B">
        <w:t xml:space="preserve"> </w:t>
      </w:r>
    </w:p>
    <w:p w14:paraId="76E7529A" w14:textId="77777777" w:rsidR="00C05F20" w:rsidRDefault="00C05F20">
      <w:pPr>
        <w:spacing w:before="0" w:after="160" w:line="259" w:lineRule="auto"/>
        <w:sectPr w:rsidR="00C05F20" w:rsidSect="008C1A38">
          <w:headerReference w:type="default" r:id="rId32"/>
          <w:headerReference w:type="first" r:id="rId33"/>
          <w:pgSz w:w="11906" w:h="16838" w:code="9"/>
          <w:pgMar w:top="1134" w:right="1134" w:bottom="1134" w:left="1134" w:header="709" w:footer="652" w:gutter="0"/>
          <w:pgNumType w:start="1"/>
          <w:cols w:space="708"/>
          <w:docGrid w:linePitch="360"/>
        </w:sectPr>
      </w:pPr>
    </w:p>
    <w:p w14:paraId="531FAC09" w14:textId="117C9D91" w:rsidR="00B339EA" w:rsidRDefault="00B339EA" w:rsidP="0012776D"/>
    <w:p w14:paraId="2F82FF26" w14:textId="457F11A8" w:rsidR="00B339EA" w:rsidRDefault="00B339EA" w:rsidP="0012776D"/>
    <w:p w14:paraId="79276F28" w14:textId="405C3AD6" w:rsidR="00212E13" w:rsidRDefault="0084389A" w:rsidP="00E84193">
      <w:bookmarkStart w:id="64" w:name="_Toc146004855"/>
      <w:bookmarkStart w:id="65" w:name="_Toc146004743"/>
      <w:r>
        <w:rPr>
          <w:noProof/>
        </w:rPr>
        <w:drawing>
          <wp:inline distT="0" distB="0" distL="0" distR="0" wp14:anchorId="0D59D98C" wp14:editId="7CF4A8AA">
            <wp:extent cx="6120130" cy="8653145"/>
            <wp:effectExtent l="0" t="0" r="0" b="0"/>
            <wp:docPr id="24" name="Picture 24" descr="The infographic has five boxes with the title “ Where we are investing”. Each box has a sub header and dot points. Box one title is: your water is safe, consistent, and resilient” and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Box  two title is “ when things go wrong, we fix them” and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and reducing operational risk through stable, consistent and reliable infrastructure and asset monitoring”. &#10;Box three title is” we support our diverse communities and customers” and includes three dot points “improving data security to protect customer and businesses privacy; new billing system to support water industry standards and communicate with customers faster and more effectively through channels of their choice and improving business capability in managing, storing and processing data and automating processes”. Continued next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infographic has five boxes with the title “ Where we are investing”. Each box has a sub header and dot points. Box one title is: your water is safe, consistent, and resilient” and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Box  two title is “ when things go wrong, we fix them” and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and reducing operational risk through stable, consistent and reliable infrastructure and asset monitoring”. &#10;Box three title is” we support our diverse communities and customers” and includes three dot points “improving data security to protect customer and businesses privacy; new billing system to support water industry standards and communicate with customers faster and more effectively through channels of their choice and improving business capability in managing, storing and processing data and automating processes”. Continued next image.&#10;"/>
                    <pic:cNvPicPr/>
                  </pic:nvPicPr>
                  <pic:blipFill>
                    <a:blip r:embed="rId34">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r w:rsidR="00212E13">
        <w:br w:type="page"/>
      </w:r>
    </w:p>
    <w:p w14:paraId="48588AF7" w14:textId="77777777" w:rsidR="007D6FCA" w:rsidRDefault="007D6FCA" w:rsidP="00E84193"/>
    <w:p w14:paraId="34024F44" w14:textId="77777777" w:rsidR="007D6FCA" w:rsidRDefault="007D6FCA" w:rsidP="00E84193"/>
    <w:p w14:paraId="6CEC3877" w14:textId="1ACD6A08" w:rsidR="00C05F20" w:rsidRDefault="00766D22" w:rsidP="00212E13">
      <w:pPr>
        <w:spacing w:before="0" w:after="160" w:line="259" w:lineRule="auto"/>
        <w:sectPr w:rsidR="00C05F20" w:rsidSect="00FB40C9">
          <w:pgSz w:w="11906" w:h="16838" w:code="9"/>
          <w:pgMar w:top="1134" w:right="1134" w:bottom="1134" w:left="1134" w:header="709" w:footer="652" w:gutter="0"/>
          <w:pgNumType w:start="1"/>
          <w:cols w:space="708"/>
          <w:docGrid w:linePitch="360"/>
        </w:sectPr>
      </w:pPr>
      <w:r>
        <w:rPr>
          <w:noProof/>
        </w:rPr>
        <w:drawing>
          <wp:inline distT="0" distB="0" distL="0" distR="0" wp14:anchorId="32CDD2E9" wp14:editId="66AA3F12">
            <wp:extent cx="6120130" cy="8653145"/>
            <wp:effectExtent l="0" t="0" r="0" b="0"/>
            <wp:docPr id="12" name="Picture 12" descr="Box four title is “ we enable growth and help businesses to thrive” and includes two dot points “ increasing sewer and water network capacity to deliver services to a growing population and upgrading Melton recycled water plant to address growth and replace end-of-life assets”. &#10;Box five title is “We heal and care for Country” and includes three dot points “ upgrading treatment plants to improve recycled water quality at Woodend and Gisborne and support waterway health; increasing storage at Romsey recycled water plant to prevent spills and allow reuse at the right time and teat the effectiveness of ultrafiltration package plant techn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x four title is “ we enable growth and help businesses to thrive” and includes two dot points “ increasing sewer and water network capacity to deliver services to a growing population and upgrading Melton recycled water plant to address growth and replace end-of-life assets”. &#10;Box five title is “We heal and care for Country” and includes three dot points “ upgrading treatment plants to improve recycled water quality at Woodend and Gisborne and support waterway health; increasing storage at Romsey recycled water plant to prevent spills and allow reuse at the right time and teat the effectiveness of ultrafiltration package plant technology”.&#10;"/>
                    <pic:cNvPicPr/>
                  </pic:nvPicPr>
                  <pic:blipFill>
                    <a:blip r:embed="rId35">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661B2F5D" w14:textId="1B79C896" w:rsidR="00C47A2D" w:rsidRPr="008A41A1" w:rsidRDefault="00364803" w:rsidP="008A41A1">
      <w:pPr>
        <w:pStyle w:val="Heading1"/>
      </w:pPr>
      <w:bookmarkStart w:id="66" w:name="_Ref146622191"/>
      <w:bookmarkStart w:id="67" w:name="_Toc146746689"/>
      <w:r w:rsidRPr="008A41A1">
        <w:lastRenderedPageBreak/>
        <w:t>Engagement</w:t>
      </w:r>
      <w:bookmarkEnd w:id="64"/>
      <w:bookmarkEnd w:id="65"/>
      <w:bookmarkEnd w:id="66"/>
      <w:bookmarkEnd w:id="67"/>
    </w:p>
    <w:p w14:paraId="6E2497F2" w14:textId="3913FFE7" w:rsidR="001300BE" w:rsidRPr="001300BE" w:rsidRDefault="001300BE" w:rsidP="001300BE">
      <w:r w:rsidRPr="007E7A59">
        <w:t xml:space="preserve">This section provides information supporting our </w:t>
      </w:r>
      <w:r>
        <w:t xml:space="preserve">Engagement </w:t>
      </w:r>
      <w:r w:rsidRPr="007E7A59">
        <w:t xml:space="preserve">PREMO self-assessment. </w:t>
      </w:r>
    </w:p>
    <w:p w14:paraId="3AD5B86F" w14:textId="54E68EA4" w:rsidR="004D3F7A" w:rsidRPr="004D3F7A" w:rsidRDefault="00DC2F11" w:rsidP="00E415E0">
      <w:pPr>
        <w:pStyle w:val="BoxedQuoteHeading"/>
      </w:pPr>
      <w:r>
        <w:t>Summary</w:t>
      </w:r>
      <w:r w:rsidR="004D3F7A" w:rsidRPr="004D3F7A">
        <w:t xml:space="preserve"> </w:t>
      </w:r>
    </w:p>
    <w:p w14:paraId="341158E3" w14:textId="627647D6" w:rsidR="004D3F7A" w:rsidRPr="004D3F7A" w:rsidRDefault="004D3F7A" w:rsidP="004D3F7A">
      <w:pPr>
        <w:pStyle w:val="BoxedBullet"/>
      </w:pPr>
      <w:r w:rsidRPr="004D3F7A">
        <w:t xml:space="preserve">We delivered a broad, </w:t>
      </w:r>
      <w:proofErr w:type="gramStart"/>
      <w:r w:rsidRPr="004D3F7A">
        <w:t>extensive</w:t>
      </w:r>
      <w:proofErr w:type="gramEnd"/>
      <w:r w:rsidRPr="004D3F7A">
        <w:t xml:space="preserve"> and inclusive engagement journey</w:t>
      </w:r>
      <w:r w:rsidR="00BD59B3">
        <w:t>. We</w:t>
      </w:r>
      <w:r w:rsidR="00BC00EB">
        <w:t xml:space="preserve"> heard from 8</w:t>
      </w:r>
      <w:r w:rsidR="008F1EAA">
        <w:t>,</w:t>
      </w:r>
      <w:r w:rsidR="00BC00EB">
        <w:t>000 customers</w:t>
      </w:r>
      <w:r w:rsidR="002B63B7">
        <w:t xml:space="preserve"> and stakeholders to truly</w:t>
      </w:r>
      <w:r w:rsidRPr="004D3F7A">
        <w:t xml:space="preserve"> understand our new customer base, with special consideration given to customers experiencing hardship and people whose voices are not always heard. </w:t>
      </w:r>
    </w:p>
    <w:p w14:paraId="188BB8C9" w14:textId="76586C7B" w:rsidR="004D3F7A" w:rsidRPr="004D3F7A" w:rsidRDefault="004D3F7A" w:rsidP="004D3F7A">
      <w:pPr>
        <w:pStyle w:val="BoxedBullet"/>
      </w:pPr>
      <w:r w:rsidRPr="004D3F7A">
        <w:t xml:space="preserve">Our first price submission has been shaped by </w:t>
      </w:r>
      <w:r w:rsidR="002B63B7">
        <w:t>our</w:t>
      </w:r>
      <w:r w:rsidRPr="004D3F7A">
        <w:t xml:space="preserve"> communities</w:t>
      </w:r>
      <w:r w:rsidR="00BD59B3">
        <w:t>’</w:t>
      </w:r>
      <w:r w:rsidRPr="004D3F7A">
        <w:t xml:space="preserve"> </w:t>
      </w:r>
      <w:r w:rsidR="002B63B7">
        <w:t>voices</w:t>
      </w:r>
      <w:r w:rsidRPr="004D3F7A">
        <w:t xml:space="preserve"> and overall provided a ‘collaboration’ level engagement (IAP2 framework).</w:t>
      </w:r>
    </w:p>
    <w:p w14:paraId="433CB2F6" w14:textId="0657509E" w:rsidR="004D3F7A" w:rsidRPr="004D3F7A" w:rsidRDefault="004D3F7A" w:rsidP="004D3F7A">
      <w:pPr>
        <w:pStyle w:val="BoxedBullet"/>
      </w:pPr>
      <w:r w:rsidRPr="004D3F7A">
        <w:t xml:space="preserve">We listened, </w:t>
      </w:r>
      <w:proofErr w:type="gramStart"/>
      <w:r w:rsidRPr="004D3F7A">
        <w:t>learned</w:t>
      </w:r>
      <w:proofErr w:type="gramEnd"/>
      <w:r w:rsidRPr="004D3F7A">
        <w:t xml:space="preserve"> and tested customer sentiment and willingness to pay which led to five endorsed customer outcomes for improved benefits to customers. </w:t>
      </w:r>
    </w:p>
    <w:p w14:paraId="0AAA6D33" w14:textId="79DFC83E" w:rsidR="004D3F7A" w:rsidRPr="004D3F7A" w:rsidRDefault="00BD59B3" w:rsidP="004D3F7A">
      <w:pPr>
        <w:pStyle w:val="BoxedBullet"/>
      </w:pPr>
      <w:r>
        <w:t>We put d</w:t>
      </w:r>
      <w:r w:rsidR="004D3F7A" w:rsidRPr="004D3F7A">
        <w:t>ecision</w:t>
      </w:r>
      <w:r>
        <w:t>-</w:t>
      </w:r>
      <w:r w:rsidR="004D3F7A" w:rsidRPr="004D3F7A">
        <w:t>making power in the hands of a deliberative panel</w:t>
      </w:r>
      <w:r>
        <w:t>, which</w:t>
      </w:r>
      <w:r w:rsidR="00866E57">
        <w:t xml:space="preserve"> </w:t>
      </w:r>
      <w:r>
        <w:t>made</w:t>
      </w:r>
      <w:r w:rsidR="004D3F7A" w:rsidRPr="004D3F7A">
        <w:t xml:space="preserve"> 15 recommendations and accepted GWW’s plans to action.</w:t>
      </w:r>
    </w:p>
    <w:p w14:paraId="29329D77" w14:textId="3ED2648B" w:rsidR="00E04B8D" w:rsidRDefault="004D3F7A" w:rsidP="004D3F7A">
      <w:pPr>
        <w:pStyle w:val="BoxedBullet"/>
      </w:pPr>
      <w:r w:rsidRPr="004D3F7A">
        <w:t>Our PREMO self-assessed rating for Engagement is ‘Advanced’</w:t>
      </w:r>
      <w:r w:rsidR="000B1589">
        <w:t>.</w:t>
      </w:r>
    </w:p>
    <w:p w14:paraId="18DF0391" w14:textId="77777777" w:rsidR="004D3F7A" w:rsidRDefault="004D3F7A">
      <w:pPr>
        <w:rPr>
          <w:rFonts w:ascii="Verdana" w:eastAsia="Verdana" w:hAnsi="Verdana" w:cs="Verdana"/>
        </w:rPr>
      </w:pPr>
    </w:p>
    <w:p w14:paraId="2D8D23E2" w14:textId="0A814C39" w:rsidR="00314DF2" w:rsidRDefault="00314DF2" w:rsidP="00314DF2">
      <w:r>
        <w:t xml:space="preserve">GWW is committed to working with our customers and communities to provide water services that reflect their needs and values. This price submission has been shaped by what we have heard from our customers, </w:t>
      </w:r>
      <w:proofErr w:type="gramStart"/>
      <w:r>
        <w:t>communities</w:t>
      </w:r>
      <w:proofErr w:type="gramEnd"/>
      <w:r>
        <w:t xml:space="preserve"> and partners. Overall, we provided a ‘collaboration’ level engagement, as described in the IAP2 framework. </w:t>
      </w:r>
    </w:p>
    <w:p w14:paraId="649652F9" w14:textId="1AA66AE6" w:rsidR="5A55FFB2" w:rsidRDefault="00314DF2" w:rsidP="00314DF2">
      <w:r>
        <w:t xml:space="preserve">We designed the engagement to be accessible and inclusive. The ESC’s ‘Getting </w:t>
      </w:r>
      <w:proofErr w:type="gramStart"/>
      <w:r>
        <w:t>to</w:t>
      </w:r>
      <w:proofErr w:type="gramEnd"/>
      <w:r>
        <w:t xml:space="preserve"> Fair’ strategy and guidance for ‘Sensitive and appropriate engagement with consumers experiencing vulnerability’ provided frameworks to support a set of values already held by our board and staff. We used the Commission for Gender Equality in the Public Sector’s Gender Impact Assessment toolkit to ensure all engagement activities supported the voices of all customers. </w:t>
      </w:r>
      <w:r w:rsidR="000234D4">
        <w:t xml:space="preserve"> </w:t>
      </w:r>
    </w:p>
    <w:p w14:paraId="58EB25B5" w14:textId="42CC7B43" w:rsidR="5A55FFB2" w:rsidRDefault="5A55FFB2" w:rsidP="004D3F7A">
      <w:r w:rsidRPr="06996CA3">
        <w:rPr>
          <w:color w:val="000000" w:themeColor="text1"/>
        </w:rPr>
        <w:t>We used our</w:t>
      </w:r>
      <w:r w:rsidRPr="06996CA3">
        <w:t xml:space="preserve"> </w:t>
      </w:r>
      <w:r w:rsidRPr="00D07742">
        <w:rPr>
          <w:i/>
        </w:rPr>
        <w:t>2030 Strategy</w:t>
      </w:r>
      <w:r w:rsidRPr="3642F086">
        <w:t xml:space="preserve"> </w:t>
      </w:r>
      <w:r w:rsidRPr="06996CA3">
        <w:t>as a starting point</w:t>
      </w:r>
      <w:r w:rsidR="00303F3D">
        <w:t xml:space="preserve">, talking to </w:t>
      </w:r>
      <w:r w:rsidR="004E306E">
        <w:rPr>
          <w:color w:val="000000" w:themeColor="text1"/>
        </w:rPr>
        <w:t xml:space="preserve">customers </w:t>
      </w:r>
      <w:r w:rsidR="00303F3D">
        <w:rPr>
          <w:color w:val="000000" w:themeColor="text1"/>
        </w:rPr>
        <w:t>about</w:t>
      </w:r>
      <w:r w:rsidR="004E306E" w:rsidRPr="06996CA3">
        <w:rPr>
          <w:color w:val="000000" w:themeColor="text1"/>
        </w:rPr>
        <w:t xml:space="preserve"> </w:t>
      </w:r>
      <w:r w:rsidR="00400E72">
        <w:rPr>
          <w:color w:val="000000" w:themeColor="text1"/>
        </w:rPr>
        <w:t>GWW</w:t>
      </w:r>
      <w:r>
        <w:rPr>
          <w:color w:val="000000" w:themeColor="text1"/>
        </w:rPr>
        <w:t>’</w:t>
      </w:r>
      <w:r w:rsidR="00400E72">
        <w:rPr>
          <w:color w:val="000000" w:themeColor="text1"/>
        </w:rPr>
        <w:t>s</w:t>
      </w:r>
      <w:r w:rsidRPr="06996CA3">
        <w:rPr>
          <w:color w:val="000000" w:themeColor="text1"/>
        </w:rPr>
        <w:t xml:space="preserve"> strategic </w:t>
      </w:r>
      <w:r w:rsidR="00DA218B">
        <w:rPr>
          <w:color w:val="000000" w:themeColor="text1"/>
        </w:rPr>
        <w:t>outcomes</w:t>
      </w:r>
      <w:r w:rsidRPr="06996CA3">
        <w:rPr>
          <w:color w:val="000000" w:themeColor="text1"/>
        </w:rPr>
        <w:t xml:space="preserve"> </w:t>
      </w:r>
      <w:r w:rsidR="00E12FFC">
        <w:rPr>
          <w:color w:val="000000" w:themeColor="text1"/>
        </w:rPr>
        <w:t>of</w:t>
      </w:r>
      <w:r w:rsidR="00E12FFC" w:rsidRPr="06996CA3">
        <w:rPr>
          <w:color w:val="000000" w:themeColor="text1"/>
        </w:rPr>
        <w:t xml:space="preserve"> </w:t>
      </w:r>
      <w:r w:rsidR="00E12FFC">
        <w:rPr>
          <w:color w:val="000000" w:themeColor="text1"/>
        </w:rPr>
        <w:t>‘</w:t>
      </w:r>
      <w:r w:rsidRPr="06996CA3">
        <w:rPr>
          <w:color w:val="000000" w:themeColor="text1"/>
        </w:rPr>
        <w:t>customers, communities and Country</w:t>
      </w:r>
      <w:r w:rsidR="00E12FFC">
        <w:rPr>
          <w:color w:val="000000" w:themeColor="text1"/>
        </w:rPr>
        <w:t>’</w:t>
      </w:r>
      <w:r w:rsidRPr="06996CA3">
        <w:rPr>
          <w:color w:val="000000" w:themeColor="text1"/>
        </w:rPr>
        <w:t xml:space="preserve"> </w:t>
      </w:r>
      <w:r w:rsidR="00400E72">
        <w:rPr>
          <w:color w:val="000000" w:themeColor="text1"/>
        </w:rPr>
        <w:t>as well as</w:t>
      </w:r>
      <w:r w:rsidRPr="06996CA3">
        <w:rPr>
          <w:color w:val="000000" w:themeColor="text1"/>
        </w:rPr>
        <w:t xml:space="preserve"> outcomes in the 2018 </w:t>
      </w:r>
      <w:r w:rsidRPr="5F2D85B1">
        <w:rPr>
          <w:color w:val="000000" w:themeColor="text1"/>
        </w:rPr>
        <w:t>C</w:t>
      </w:r>
      <w:r w:rsidR="2F2C080B" w:rsidRPr="5F2D85B1">
        <w:rPr>
          <w:color w:val="000000" w:themeColor="text1"/>
        </w:rPr>
        <w:t xml:space="preserve">ity </w:t>
      </w:r>
      <w:r w:rsidRPr="5F2D85B1">
        <w:rPr>
          <w:color w:val="000000" w:themeColor="text1"/>
        </w:rPr>
        <w:t>W</w:t>
      </w:r>
      <w:r w:rsidR="1EEB6531" w:rsidRPr="5F2D85B1">
        <w:rPr>
          <w:color w:val="000000" w:themeColor="text1"/>
        </w:rPr>
        <w:t xml:space="preserve">est </w:t>
      </w:r>
      <w:r w:rsidRPr="21B4F92C">
        <w:rPr>
          <w:color w:val="000000" w:themeColor="text1"/>
        </w:rPr>
        <w:t>W</w:t>
      </w:r>
      <w:r w:rsidR="6481AD5C" w:rsidRPr="21B4F92C">
        <w:rPr>
          <w:color w:val="000000" w:themeColor="text1"/>
        </w:rPr>
        <w:t>ater</w:t>
      </w:r>
      <w:r w:rsidR="5F343963" w:rsidRPr="5F2D85B1">
        <w:rPr>
          <w:color w:val="000000" w:themeColor="text1"/>
        </w:rPr>
        <w:t xml:space="preserve"> (</w:t>
      </w:r>
      <w:r w:rsidRPr="06996CA3">
        <w:rPr>
          <w:color w:val="000000" w:themeColor="text1"/>
        </w:rPr>
        <w:t>CWW</w:t>
      </w:r>
      <w:r w:rsidR="5F343963" w:rsidRPr="5F2D85B1">
        <w:rPr>
          <w:color w:val="000000" w:themeColor="text1"/>
        </w:rPr>
        <w:t>)</w:t>
      </w:r>
      <w:r w:rsidRPr="06996CA3">
        <w:rPr>
          <w:color w:val="000000" w:themeColor="text1"/>
        </w:rPr>
        <w:t xml:space="preserve"> and 2020 </w:t>
      </w:r>
      <w:r w:rsidRPr="5F2D85B1">
        <w:rPr>
          <w:color w:val="000000" w:themeColor="text1"/>
        </w:rPr>
        <w:t>W</w:t>
      </w:r>
      <w:r w:rsidR="7888A337" w:rsidRPr="5F2D85B1">
        <w:rPr>
          <w:color w:val="000000" w:themeColor="text1"/>
        </w:rPr>
        <w:t xml:space="preserve">estern </w:t>
      </w:r>
      <w:r w:rsidRPr="21B4F92C">
        <w:rPr>
          <w:color w:val="000000" w:themeColor="text1"/>
        </w:rPr>
        <w:t>W</w:t>
      </w:r>
      <w:r w:rsidR="7697B2BB" w:rsidRPr="21B4F92C">
        <w:rPr>
          <w:color w:val="000000" w:themeColor="text1"/>
        </w:rPr>
        <w:t>ater (WW)</w:t>
      </w:r>
      <w:r w:rsidRPr="06996CA3">
        <w:rPr>
          <w:color w:val="000000" w:themeColor="text1"/>
        </w:rPr>
        <w:t xml:space="preserve"> price submissions. </w:t>
      </w:r>
      <w:r w:rsidR="005779B8">
        <w:t>Our</w:t>
      </w:r>
      <w:r w:rsidRPr="06996CA3">
        <w:t xml:space="preserve"> customers </w:t>
      </w:r>
      <w:r w:rsidR="005779B8">
        <w:t xml:space="preserve">responded </w:t>
      </w:r>
      <w:r w:rsidRPr="06996CA3">
        <w:t>positive</w:t>
      </w:r>
      <w:r w:rsidR="005779B8">
        <w:t>ly</w:t>
      </w:r>
      <w:r w:rsidRPr="06996CA3">
        <w:t xml:space="preserve"> to </w:t>
      </w:r>
      <w:r w:rsidR="005779B8">
        <w:t xml:space="preserve">our </w:t>
      </w:r>
      <w:r w:rsidR="005779B8" w:rsidRPr="00D07742">
        <w:rPr>
          <w:i/>
          <w:iCs/>
        </w:rPr>
        <w:t xml:space="preserve">2030 </w:t>
      </w:r>
      <w:r w:rsidR="005779B8" w:rsidRPr="005779B8">
        <w:rPr>
          <w:i/>
          <w:iCs/>
        </w:rPr>
        <w:t>Strategy</w:t>
      </w:r>
      <w:r w:rsidR="005779B8" w:rsidRPr="72BD7A88">
        <w:t xml:space="preserve"> </w:t>
      </w:r>
      <w:r w:rsidR="00DA218B">
        <w:rPr>
          <w:color w:val="000000" w:themeColor="text1"/>
        </w:rPr>
        <w:t>outcomes</w:t>
      </w:r>
      <w:r w:rsidR="00A63BD6">
        <w:rPr>
          <w:color w:val="000000" w:themeColor="text1"/>
        </w:rPr>
        <w:t>, so we</w:t>
      </w:r>
      <w:r w:rsidR="005779B8">
        <w:rPr>
          <w:color w:val="000000" w:themeColor="text1"/>
        </w:rPr>
        <w:t xml:space="preserve"> used </w:t>
      </w:r>
      <w:r w:rsidR="00A63BD6">
        <w:rPr>
          <w:color w:val="000000" w:themeColor="text1"/>
        </w:rPr>
        <w:t>them</w:t>
      </w:r>
      <w:r w:rsidR="6DDC32D2">
        <w:rPr>
          <w:color w:val="000000" w:themeColor="text1"/>
        </w:rPr>
        <w:t xml:space="preserve"> </w:t>
      </w:r>
      <w:r>
        <w:rPr>
          <w:color w:val="000000" w:themeColor="text1"/>
        </w:rPr>
        <w:t xml:space="preserve">as </w:t>
      </w:r>
      <w:r w:rsidR="1F6321EC">
        <w:rPr>
          <w:color w:val="000000" w:themeColor="text1"/>
        </w:rPr>
        <w:t>the</w:t>
      </w:r>
      <w:r>
        <w:rPr>
          <w:color w:val="000000" w:themeColor="text1"/>
        </w:rPr>
        <w:t xml:space="preserve"> foundation for </w:t>
      </w:r>
      <w:r w:rsidR="005779B8">
        <w:rPr>
          <w:color w:val="000000" w:themeColor="text1"/>
        </w:rPr>
        <w:t>our engagement</w:t>
      </w:r>
      <w:r>
        <w:rPr>
          <w:color w:val="000000" w:themeColor="text1"/>
        </w:rPr>
        <w:t xml:space="preserve"> program. </w:t>
      </w:r>
      <w:r w:rsidR="00861DFB">
        <w:t>W</w:t>
      </w:r>
      <w:r w:rsidRPr="06996CA3">
        <w:t xml:space="preserve">e </w:t>
      </w:r>
      <w:r w:rsidR="003B2B6E">
        <w:t>have committed refreshing</w:t>
      </w:r>
      <w:r w:rsidRPr="06996CA3">
        <w:t xml:space="preserve"> our </w:t>
      </w:r>
      <w:r w:rsidR="4DFC98FB" w:rsidRPr="00D07742">
        <w:rPr>
          <w:i/>
        </w:rPr>
        <w:t xml:space="preserve">2030 </w:t>
      </w:r>
      <w:r w:rsidR="009E08C3" w:rsidRPr="00D07742">
        <w:rPr>
          <w:i/>
        </w:rPr>
        <w:t>S</w:t>
      </w:r>
      <w:r w:rsidRPr="00D07742">
        <w:rPr>
          <w:i/>
        </w:rPr>
        <w:t>trategy</w:t>
      </w:r>
      <w:r w:rsidRPr="06996CA3">
        <w:t xml:space="preserve"> to align with what we’ve heard through this customer engagement. </w:t>
      </w:r>
    </w:p>
    <w:p w14:paraId="7C77C3E0" w14:textId="15616BB3" w:rsidR="5A55FFB2" w:rsidRDefault="5A55FFB2" w:rsidP="004D3F7A">
      <w:r w:rsidRPr="3642F086">
        <w:t>To ensure our submission accurately represent</w:t>
      </w:r>
      <w:r w:rsidR="00E44FC1">
        <w:t>s</w:t>
      </w:r>
      <w:r w:rsidRPr="3642F086">
        <w:t xml:space="preserve"> our customer base, we used inclusive techniques to explore, evaluate, </w:t>
      </w:r>
      <w:r w:rsidR="002D4F9F" w:rsidRPr="3642F086">
        <w:t>compare,</w:t>
      </w:r>
      <w:r w:rsidRPr="3642F086">
        <w:t xml:space="preserve"> and confirm the value that we provide to our customers. Special consideration was given to customers experiencing </w:t>
      </w:r>
      <w:r w:rsidR="007C0BCF">
        <w:t>hardship</w:t>
      </w:r>
      <w:r w:rsidR="007C0BCF" w:rsidRPr="3642F086">
        <w:t xml:space="preserve"> </w:t>
      </w:r>
      <w:r w:rsidR="2900AB23" w:rsidRPr="14051D51">
        <w:t>and</w:t>
      </w:r>
      <w:r w:rsidRPr="3642F086">
        <w:t xml:space="preserve"> people whose voices </w:t>
      </w:r>
      <w:r w:rsidR="00861DFB">
        <w:t>are not always heard</w:t>
      </w:r>
      <w:r w:rsidRPr="3642F086">
        <w:t xml:space="preserve">. Community and industry representatives </w:t>
      </w:r>
      <w:r w:rsidR="00E44FC1">
        <w:t>were</w:t>
      </w:r>
      <w:r w:rsidRPr="3642F086">
        <w:t xml:space="preserve"> involved in each stage of our engagement</w:t>
      </w:r>
      <w:r w:rsidR="00E04265">
        <w:t>,</w:t>
      </w:r>
      <w:r w:rsidRPr="3642F086">
        <w:t xml:space="preserve"> </w:t>
      </w:r>
      <w:r w:rsidR="00534767">
        <w:t xml:space="preserve">and we adjusted and improved the </w:t>
      </w:r>
      <w:r w:rsidRPr="3642F086">
        <w:t xml:space="preserve">program </w:t>
      </w:r>
      <w:r w:rsidR="00534767">
        <w:t xml:space="preserve">based </w:t>
      </w:r>
      <w:r w:rsidR="00BD7488">
        <w:t xml:space="preserve">on their advice. </w:t>
      </w:r>
    </w:p>
    <w:p w14:paraId="6ADD386F" w14:textId="3955D7DF" w:rsidR="00BB11DC" w:rsidRDefault="00BB11DC" w:rsidP="216FEECC">
      <w:pPr>
        <w:rPr>
          <w:rFonts w:eastAsiaTheme="minorEastAsia"/>
        </w:rPr>
      </w:pPr>
      <w:r w:rsidRPr="00BB11DC">
        <w:rPr>
          <w:rFonts w:eastAsiaTheme="minorEastAsia"/>
        </w:rPr>
        <w:t xml:space="preserve">We heard that the increasing cost of living is impacting on our customers. In response we have embedded affordability in the development of this price submission. Affordability was a principle of our capital expenditure prioritisation and influenced our regulatory strategy of maintaining stable bills. We also heard that everyone having </w:t>
      </w:r>
      <w:r w:rsidRPr="00BB11DC">
        <w:rPr>
          <w:rFonts w:eastAsiaTheme="minorEastAsia"/>
        </w:rPr>
        <w:lastRenderedPageBreak/>
        <w:t xml:space="preserve">access to the same quality and consistency of water is important and that our customers expect us to support the community and the health of the environment. These themes have shaped our proposal. </w:t>
      </w:r>
    </w:p>
    <w:p w14:paraId="67567815" w14:textId="1FD93544" w:rsidR="00B84FE2" w:rsidRDefault="00D36435" w:rsidP="216FEECC">
      <w:pPr>
        <w:rPr>
          <w:rFonts w:eastAsiaTheme="minorEastAsia"/>
        </w:rPr>
      </w:pPr>
      <w:r w:rsidRPr="216FEECC">
        <w:rPr>
          <w:rFonts w:eastAsiaTheme="minorEastAsia"/>
        </w:rPr>
        <w:t>At each stage of our engagement, we reflected customer voices</w:t>
      </w:r>
      <w:r w:rsidR="00A50396" w:rsidRPr="216FEECC">
        <w:rPr>
          <w:rFonts w:eastAsiaTheme="minorEastAsia"/>
        </w:rPr>
        <w:t xml:space="preserve"> into our work and refined our </w:t>
      </w:r>
      <w:r w:rsidR="00445ABB" w:rsidRPr="216FEECC">
        <w:rPr>
          <w:rFonts w:eastAsiaTheme="minorEastAsia"/>
        </w:rPr>
        <w:t>submission</w:t>
      </w:r>
      <w:r w:rsidR="00282478" w:rsidRPr="216FEECC">
        <w:rPr>
          <w:rFonts w:eastAsiaTheme="minorEastAsia"/>
        </w:rPr>
        <w:t xml:space="preserve">. </w:t>
      </w:r>
      <w:r w:rsidR="003910D0">
        <w:rPr>
          <w:rFonts w:eastAsiaTheme="minorEastAsia"/>
        </w:rPr>
        <w:t xml:space="preserve">The decisions made by </w:t>
      </w:r>
      <w:r w:rsidR="007B202F" w:rsidRPr="216FEECC">
        <w:rPr>
          <w:rFonts w:eastAsiaTheme="minorEastAsia"/>
        </w:rPr>
        <w:t xml:space="preserve">our deliberative panel </w:t>
      </w:r>
      <w:r w:rsidR="003910D0">
        <w:rPr>
          <w:rFonts w:eastAsiaTheme="minorEastAsia"/>
        </w:rPr>
        <w:t>were incorporated into</w:t>
      </w:r>
      <w:r w:rsidR="003910D0" w:rsidRPr="216FEECC">
        <w:rPr>
          <w:rFonts w:eastAsiaTheme="minorEastAsia"/>
        </w:rPr>
        <w:t xml:space="preserve"> </w:t>
      </w:r>
      <w:r w:rsidR="007B202F" w:rsidRPr="216FEECC">
        <w:rPr>
          <w:rFonts w:eastAsiaTheme="minorEastAsia"/>
        </w:rPr>
        <w:t>our capital and operating programs</w:t>
      </w:r>
      <w:r w:rsidR="00BA77C3">
        <w:rPr>
          <w:rFonts w:eastAsiaTheme="minorEastAsia"/>
        </w:rPr>
        <w:t xml:space="preserve"> and customer outcomes</w:t>
      </w:r>
      <w:r w:rsidR="191A77C1" w:rsidRPr="41F4D977">
        <w:rPr>
          <w:rFonts w:eastAsiaTheme="minorEastAsia"/>
        </w:rPr>
        <w:t xml:space="preserve"> </w:t>
      </w:r>
      <w:r w:rsidR="00644BF3">
        <w:rPr>
          <w:rFonts w:eastAsiaTheme="minorEastAsia"/>
        </w:rPr>
        <w:t>to the maximum extent possible</w:t>
      </w:r>
      <w:r w:rsidR="5E09BCBF" w:rsidRPr="41F4D977">
        <w:rPr>
          <w:rFonts w:eastAsiaTheme="minorEastAsia"/>
        </w:rPr>
        <w:t>.</w:t>
      </w:r>
      <w:r w:rsidR="008731EC" w:rsidRPr="216FEECC">
        <w:rPr>
          <w:rFonts w:eastAsiaTheme="minorEastAsia"/>
        </w:rPr>
        <w:t xml:space="preserve"> </w:t>
      </w:r>
    </w:p>
    <w:p w14:paraId="39F4CDBC" w14:textId="37A56D3C" w:rsidR="3642F086" w:rsidRDefault="00E3661B" w:rsidP="3642F086">
      <w:pPr>
        <w:rPr>
          <w:rFonts w:ascii="Verdana" w:eastAsia="Verdana" w:hAnsi="Verdana" w:cs="Verdana"/>
          <w:highlight w:val="yellow"/>
        </w:rPr>
      </w:pPr>
      <w:r w:rsidRPr="216FEECC">
        <w:rPr>
          <w:rFonts w:eastAsiaTheme="minorEastAsia"/>
        </w:rPr>
        <w:t xml:space="preserve">We </w:t>
      </w:r>
      <w:r w:rsidR="00122411">
        <w:rPr>
          <w:rFonts w:eastAsiaTheme="minorEastAsia"/>
        </w:rPr>
        <w:t xml:space="preserve">will be accountable </w:t>
      </w:r>
      <w:r w:rsidRPr="216FEECC">
        <w:rPr>
          <w:rFonts w:eastAsiaTheme="minorEastAsia"/>
        </w:rPr>
        <w:t>to our customers</w:t>
      </w:r>
      <w:r w:rsidR="00687BA2">
        <w:rPr>
          <w:rFonts w:eastAsiaTheme="minorEastAsia"/>
        </w:rPr>
        <w:t xml:space="preserve"> by</w:t>
      </w:r>
      <w:r w:rsidR="00FE7F18" w:rsidRPr="216FEECC">
        <w:rPr>
          <w:rFonts w:eastAsiaTheme="minorEastAsia"/>
        </w:rPr>
        <w:t xml:space="preserve"> report</w:t>
      </w:r>
      <w:r w:rsidR="00687BA2">
        <w:rPr>
          <w:rFonts w:eastAsiaTheme="minorEastAsia"/>
        </w:rPr>
        <w:t>ing</w:t>
      </w:r>
      <w:r w:rsidR="00FE7F18" w:rsidRPr="216FEECC">
        <w:rPr>
          <w:rFonts w:eastAsiaTheme="minorEastAsia"/>
        </w:rPr>
        <w:t xml:space="preserve"> our performance against our customer </w:t>
      </w:r>
      <w:r w:rsidR="00113C8C" w:rsidRPr="216FEECC">
        <w:rPr>
          <w:rFonts w:eastAsiaTheme="minorEastAsia"/>
        </w:rPr>
        <w:t xml:space="preserve">outcomes </w:t>
      </w:r>
      <w:r w:rsidR="009F29F8" w:rsidRPr="216FEECC">
        <w:rPr>
          <w:rFonts w:eastAsiaTheme="minorEastAsia"/>
        </w:rPr>
        <w:t>directly to our customer forum</w:t>
      </w:r>
      <w:r w:rsidR="008F1EAA">
        <w:rPr>
          <w:rFonts w:eastAsiaTheme="minorEastAsia"/>
        </w:rPr>
        <w:t>, through a scorecard</w:t>
      </w:r>
      <w:r w:rsidR="008F5006">
        <w:rPr>
          <w:rFonts w:eastAsiaTheme="minorEastAsia"/>
        </w:rPr>
        <w:t xml:space="preserve"> (see</w:t>
      </w:r>
      <w:r w:rsidR="008F1EAA">
        <w:rPr>
          <w:rFonts w:eastAsiaTheme="minorEastAsia"/>
        </w:rPr>
        <w:t xml:space="preserve"> </w:t>
      </w:r>
      <w:r w:rsidR="002D4F9F">
        <w:rPr>
          <w:rFonts w:eastAsiaTheme="minorEastAsia"/>
        </w:rPr>
        <w:fldChar w:fldCharType="begin"/>
      </w:r>
      <w:r w:rsidR="002D4F9F">
        <w:rPr>
          <w:rFonts w:eastAsiaTheme="minorEastAsia"/>
        </w:rPr>
        <w:instrText xml:space="preserve"> REF _Ref145919059 \r \h </w:instrText>
      </w:r>
      <w:r w:rsidR="002D4F9F">
        <w:rPr>
          <w:rFonts w:eastAsiaTheme="minorEastAsia"/>
        </w:rPr>
      </w:r>
      <w:r w:rsidR="0069425C">
        <w:rPr>
          <w:rFonts w:eastAsiaTheme="minorEastAsia"/>
        </w:rPr>
        <w:fldChar w:fldCharType="separate"/>
      </w:r>
      <w:r w:rsidR="002D4F9F">
        <w:rPr>
          <w:rFonts w:eastAsiaTheme="minorEastAsia"/>
        </w:rPr>
        <w:fldChar w:fldCharType="end"/>
      </w:r>
      <w:r w:rsidR="00F85A18">
        <w:rPr>
          <w:rFonts w:eastAsiaTheme="minorEastAsia"/>
        </w:rPr>
        <w:t>)</w:t>
      </w:r>
      <w:r w:rsidR="008F1EAA">
        <w:rPr>
          <w:rFonts w:eastAsiaTheme="minorEastAsia"/>
        </w:rPr>
        <w:t>.</w:t>
      </w:r>
      <w:r w:rsidR="009F29F8" w:rsidRPr="216FEECC">
        <w:rPr>
          <w:rFonts w:eastAsiaTheme="minorEastAsia"/>
        </w:rPr>
        <w:t xml:space="preserve"> This </w:t>
      </w:r>
      <w:r w:rsidR="00B31080">
        <w:rPr>
          <w:rFonts w:eastAsiaTheme="minorEastAsia"/>
        </w:rPr>
        <w:t xml:space="preserve">performance </w:t>
      </w:r>
      <w:r>
        <w:rPr>
          <w:rFonts w:eastAsiaTheme="minorEastAsia"/>
        </w:rPr>
        <w:t>stewardship</w:t>
      </w:r>
      <w:r w:rsidR="00B31080">
        <w:rPr>
          <w:rFonts w:eastAsiaTheme="minorEastAsia"/>
        </w:rPr>
        <w:t xml:space="preserve"> </w:t>
      </w:r>
      <w:r w:rsidR="009F29F8" w:rsidRPr="216FEECC">
        <w:rPr>
          <w:rFonts w:eastAsiaTheme="minorEastAsia"/>
        </w:rPr>
        <w:t xml:space="preserve">will ensure our customers </w:t>
      </w:r>
      <w:r w:rsidR="00122411">
        <w:rPr>
          <w:rFonts w:eastAsiaTheme="minorEastAsia"/>
        </w:rPr>
        <w:t>can see</w:t>
      </w:r>
      <w:r w:rsidR="009F29F8" w:rsidRPr="216FEECC">
        <w:rPr>
          <w:rFonts w:eastAsiaTheme="minorEastAsia"/>
        </w:rPr>
        <w:t xml:space="preserve"> how we are delivering against what we promised</w:t>
      </w:r>
      <w:r w:rsidR="00687BA2">
        <w:rPr>
          <w:rFonts w:eastAsiaTheme="minorEastAsia"/>
        </w:rPr>
        <w:t xml:space="preserve">. </w:t>
      </w:r>
    </w:p>
    <w:p w14:paraId="4AA6BFE3" w14:textId="77D800BF" w:rsidR="3D714583" w:rsidRDefault="3D714583" w:rsidP="00707B54">
      <w:pPr>
        <w:pStyle w:val="Heading2"/>
      </w:pPr>
      <w:bookmarkStart w:id="68" w:name="_Toc146004856"/>
      <w:bookmarkStart w:id="69" w:name="_Toc146004744"/>
      <w:bookmarkStart w:id="70" w:name="_Toc146746690"/>
      <w:r>
        <w:t xml:space="preserve">Engagement </w:t>
      </w:r>
      <w:r w:rsidR="00EF5191">
        <w:t>j</w:t>
      </w:r>
      <w:r>
        <w:t>ourney</w:t>
      </w:r>
      <w:bookmarkEnd w:id="68"/>
      <w:bookmarkEnd w:id="69"/>
      <w:bookmarkEnd w:id="70"/>
      <w:r>
        <w:t xml:space="preserve"> </w:t>
      </w:r>
    </w:p>
    <w:p w14:paraId="4D4353A8" w14:textId="7C655704" w:rsidR="004115B8" w:rsidRDefault="00E85F72" w:rsidP="64D577FA">
      <w:pPr>
        <w:rPr>
          <w:rFonts w:asciiTheme="majorHAnsi" w:hAnsiTheme="majorHAnsi"/>
        </w:rPr>
      </w:pPr>
      <w:r w:rsidRPr="00837157">
        <w:rPr>
          <w:rFonts w:asciiTheme="majorHAnsi" w:hAnsiTheme="majorHAnsi"/>
        </w:rPr>
        <w:t xml:space="preserve">We </w:t>
      </w:r>
      <w:r w:rsidR="00CB0BBA">
        <w:rPr>
          <w:rFonts w:asciiTheme="majorHAnsi" w:hAnsiTheme="majorHAnsi"/>
        </w:rPr>
        <w:t>used</w:t>
      </w:r>
      <w:r w:rsidR="00CB0BBA" w:rsidRPr="00837157">
        <w:rPr>
          <w:rFonts w:asciiTheme="majorHAnsi" w:hAnsiTheme="majorHAnsi"/>
        </w:rPr>
        <w:t xml:space="preserve"> </w:t>
      </w:r>
      <w:r w:rsidRPr="00837157">
        <w:rPr>
          <w:rFonts w:asciiTheme="majorHAnsi" w:hAnsiTheme="majorHAnsi"/>
        </w:rPr>
        <w:t xml:space="preserve">a </w:t>
      </w:r>
      <w:r w:rsidR="00BB11DC">
        <w:rPr>
          <w:rFonts w:asciiTheme="majorHAnsi" w:hAnsiTheme="majorHAnsi"/>
        </w:rPr>
        <w:t>six</w:t>
      </w:r>
      <w:r w:rsidRPr="00837157">
        <w:rPr>
          <w:rFonts w:asciiTheme="majorHAnsi" w:hAnsiTheme="majorHAnsi"/>
        </w:rPr>
        <w:t>-stage</w:t>
      </w:r>
      <w:r w:rsidRPr="2C8A4757">
        <w:rPr>
          <w:rFonts w:asciiTheme="majorHAnsi" w:hAnsiTheme="majorHAnsi"/>
        </w:rPr>
        <w:t xml:space="preserve"> engagement</w:t>
      </w:r>
      <w:r w:rsidRPr="00837157">
        <w:rPr>
          <w:rFonts w:asciiTheme="majorHAnsi" w:hAnsiTheme="majorHAnsi"/>
        </w:rPr>
        <w:t xml:space="preserve"> </w:t>
      </w:r>
      <w:r w:rsidRPr="41F4D977">
        <w:rPr>
          <w:rFonts w:asciiTheme="majorHAnsi" w:hAnsiTheme="majorHAnsi"/>
        </w:rPr>
        <w:t>approach</w:t>
      </w:r>
      <w:r w:rsidR="00EF5191">
        <w:rPr>
          <w:rFonts w:asciiTheme="majorHAnsi" w:hAnsiTheme="majorHAnsi"/>
        </w:rPr>
        <w:t>:</w:t>
      </w:r>
      <w:r w:rsidR="4FECC860" w:rsidRPr="719266CF">
        <w:rPr>
          <w:rFonts w:asciiTheme="majorHAnsi" w:hAnsiTheme="majorHAnsi"/>
        </w:rPr>
        <w:t xml:space="preserve"> </w:t>
      </w:r>
      <w:r w:rsidR="00F85A18">
        <w:rPr>
          <w:rFonts w:asciiTheme="majorHAnsi" w:hAnsiTheme="majorHAnsi"/>
        </w:rPr>
        <w:t xml:space="preserve">early engagement, </w:t>
      </w:r>
      <w:r w:rsidRPr="00837157">
        <w:rPr>
          <w:rFonts w:asciiTheme="majorHAnsi" w:hAnsiTheme="majorHAnsi"/>
        </w:rPr>
        <w:t xml:space="preserve">activation, exploration, valuation, </w:t>
      </w:r>
      <w:proofErr w:type="gramStart"/>
      <w:r w:rsidRPr="00837157">
        <w:rPr>
          <w:rFonts w:asciiTheme="majorHAnsi" w:hAnsiTheme="majorHAnsi"/>
        </w:rPr>
        <w:t>deliberation</w:t>
      </w:r>
      <w:proofErr w:type="gramEnd"/>
      <w:r w:rsidRPr="00837157">
        <w:rPr>
          <w:rFonts w:asciiTheme="majorHAnsi" w:hAnsiTheme="majorHAnsi"/>
        </w:rPr>
        <w:t xml:space="preserve"> and confirmation</w:t>
      </w:r>
      <w:r w:rsidRPr="7F2FAB5B">
        <w:rPr>
          <w:rFonts w:asciiTheme="majorHAnsi" w:hAnsiTheme="majorHAnsi"/>
        </w:rPr>
        <w:t>.</w:t>
      </w:r>
      <w:r w:rsidRPr="00837157">
        <w:rPr>
          <w:rFonts w:asciiTheme="majorHAnsi" w:hAnsiTheme="majorHAnsi"/>
        </w:rPr>
        <w:t xml:space="preserve"> The</w:t>
      </w:r>
      <w:r w:rsidRPr="00837157" w:rsidDel="000D42BA">
        <w:rPr>
          <w:rFonts w:asciiTheme="majorHAnsi" w:hAnsiTheme="majorHAnsi"/>
        </w:rPr>
        <w:t xml:space="preserve"> </w:t>
      </w:r>
      <w:r w:rsidRPr="00837157">
        <w:rPr>
          <w:rFonts w:asciiTheme="majorHAnsi" w:hAnsiTheme="majorHAnsi"/>
        </w:rPr>
        <w:t xml:space="preserve">findings </w:t>
      </w:r>
      <w:r>
        <w:rPr>
          <w:rFonts w:asciiTheme="majorHAnsi" w:hAnsiTheme="majorHAnsi"/>
        </w:rPr>
        <w:t>of</w:t>
      </w:r>
      <w:r w:rsidRPr="79C2CBB7">
        <w:rPr>
          <w:rFonts w:asciiTheme="majorHAnsi" w:hAnsiTheme="majorHAnsi"/>
        </w:rPr>
        <w:t xml:space="preserve"> each stage </w:t>
      </w:r>
      <w:r w:rsidR="00A03F59">
        <w:rPr>
          <w:rFonts w:asciiTheme="majorHAnsi" w:hAnsiTheme="majorHAnsi"/>
        </w:rPr>
        <w:t>were used to design the next</w:t>
      </w:r>
      <w:r w:rsidR="00E755DE">
        <w:rPr>
          <w:rFonts w:asciiTheme="majorHAnsi" w:hAnsiTheme="majorHAnsi"/>
        </w:rPr>
        <w:t>.</w:t>
      </w:r>
      <w:r w:rsidR="004115B8">
        <w:rPr>
          <w:rFonts w:asciiTheme="majorHAnsi" w:hAnsiTheme="majorHAnsi"/>
        </w:rPr>
        <w:t xml:space="preserve"> </w:t>
      </w:r>
      <w:r w:rsidR="00E755DE">
        <w:rPr>
          <w:rFonts w:asciiTheme="majorHAnsi" w:hAnsiTheme="majorHAnsi"/>
        </w:rPr>
        <w:t>The program facilitated</w:t>
      </w:r>
      <w:r w:rsidR="004115B8" w:rsidRPr="102822AB">
        <w:rPr>
          <w:rFonts w:asciiTheme="majorHAnsi" w:hAnsiTheme="majorHAnsi"/>
        </w:rPr>
        <w:t xml:space="preserve"> knowledge sharing between customers and GWW</w:t>
      </w:r>
      <w:r w:rsidR="004115B8" w:rsidRPr="6CED6E98">
        <w:rPr>
          <w:rFonts w:asciiTheme="majorHAnsi" w:hAnsiTheme="majorHAnsi"/>
        </w:rPr>
        <w:t xml:space="preserve">, with </w:t>
      </w:r>
      <w:r w:rsidR="004115B8" w:rsidRPr="102822AB">
        <w:rPr>
          <w:rFonts w:asciiTheme="majorHAnsi" w:hAnsiTheme="majorHAnsi"/>
        </w:rPr>
        <w:t xml:space="preserve">customers </w:t>
      </w:r>
      <w:r w:rsidR="004115B8" w:rsidRPr="6CED6E98">
        <w:rPr>
          <w:rFonts w:asciiTheme="majorHAnsi" w:hAnsiTheme="majorHAnsi"/>
        </w:rPr>
        <w:t>providing</w:t>
      </w:r>
      <w:r w:rsidR="004115B8" w:rsidRPr="2EC71329">
        <w:rPr>
          <w:rFonts w:asciiTheme="majorHAnsi" w:hAnsiTheme="majorHAnsi"/>
        </w:rPr>
        <w:t xml:space="preserve"> clear direction on </w:t>
      </w:r>
      <w:r w:rsidR="004115B8" w:rsidRPr="3D94712A">
        <w:rPr>
          <w:rFonts w:asciiTheme="majorHAnsi" w:hAnsiTheme="majorHAnsi"/>
        </w:rPr>
        <w:t xml:space="preserve">what </w:t>
      </w:r>
      <w:r w:rsidR="004115B8" w:rsidRPr="4344A7F2">
        <w:rPr>
          <w:rFonts w:asciiTheme="majorHAnsi" w:hAnsiTheme="majorHAnsi"/>
        </w:rPr>
        <w:t>they expect from</w:t>
      </w:r>
      <w:r w:rsidR="004115B8" w:rsidRPr="3DC8F690">
        <w:rPr>
          <w:rFonts w:asciiTheme="majorHAnsi" w:hAnsiTheme="majorHAnsi"/>
        </w:rPr>
        <w:t xml:space="preserve"> </w:t>
      </w:r>
      <w:r w:rsidR="00E755DE">
        <w:rPr>
          <w:rFonts w:asciiTheme="majorHAnsi" w:hAnsiTheme="majorHAnsi"/>
        </w:rPr>
        <w:t>GWW</w:t>
      </w:r>
      <w:r w:rsidR="004115B8" w:rsidRPr="3D94712A">
        <w:rPr>
          <w:rFonts w:asciiTheme="majorHAnsi" w:hAnsiTheme="majorHAnsi"/>
        </w:rPr>
        <w:t xml:space="preserve"> </w:t>
      </w:r>
      <w:r w:rsidR="004115B8" w:rsidRPr="3DC8F690">
        <w:rPr>
          <w:rFonts w:asciiTheme="majorHAnsi" w:hAnsiTheme="majorHAnsi"/>
        </w:rPr>
        <w:t>over the next regulatory period.</w:t>
      </w:r>
      <w:r w:rsidR="004115B8" w:rsidRPr="32C6DA22">
        <w:rPr>
          <w:rFonts w:asciiTheme="majorHAnsi" w:hAnsiTheme="majorHAnsi"/>
        </w:rPr>
        <w:t xml:space="preserve"> </w:t>
      </w:r>
    </w:p>
    <w:p w14:paraId="72120670" w14:textId="42EF876D" w:rsidR="00E85F72" w:rsidRPr="00837157" w:rsidRDefault="00773F68" w:rsidP="00E85F72">
      <w:pPr>
        <w:rPr>
          <w:rFonts w:asciiTheme="majorHAnsi" w:hAnsiTheme="majorHAnsi"/>
        </w:rPr>
      </w:pPr>
      <w:r>
        <w:rPr>
          <w:rFonts w:asciiTheme="majorHAnsi" w:hAnsiTheme="majorHAnsi"/>
        </w:rPr>
        <w:t>Our e</w:t>
      </w:r>
      <w:r w:rsidR="003B2B6E">
        <w:rPr>
          <w:rFonts w:asciiTheme="majorHAnsi" w:hAnsiTheme="majorHAnsi"/>
        </w:rPr>
        <w:t>ngagement</w:t>
      </w:r>
      <w:r w:rsidR="00E755DE">
        <w:rPr>
          <w:rFonts w:asciiTheme="majorHAnsi" w:hAnsiTheme="majorHAnsi"/>
        </w:rPr>
        <w:t xml:space="preserve"> identified</w:t>
      </w:r>
      <w:r w:rsidR="004221DC">
        <w:rPr>
          <w:rFonts w:asciiTheme="majorHAnsi" w:hAnsiTheme="majorHAnsi"/>
        </w:rPr>
        <w:t xml:space="preserve"> </w:t>
      </w:r>
      <w:r w:rsidR="00E85F72" w:rsidRPr="2E00434A">
        <w:rPr>
          <w:rFonts w:asciiTheme="majorHAnsi" w:hAnsiTheme="majorHAnsi"/>
        </w:rPr>
        <w:t>four</w:t>
      </w:r>
      <w:r w:rsidR="00E85F72" w:rsidRPr="69BE1595">
        <w:rPr>
          <w:rFonts w:asciiTheme="majorHAnsi" w:hAnsiTheme="majorHAnsi"/>
        </w:rPr>
        <w:t xml:space="preserve"> </w:t>
      </w:r>
      <w:r w:rsidR="13AD4C56" w:rsidRPr="3610BC72">
        <w:rPr>
          <w:rFonts w:asciiTheme="majorHAnsi" w:hAnsiTheme="majorHAnsi"/>
        </w:rPr>
        <w:t xml:space="preserve">key </w:t>
      </w:r>
      <w:r w:rsidR="00E85F72" w:rsidRPr="13250D76">
        <w:rPr>
          <w:rFonts w:asciiTheme="majorHAnsi" w:hAnsiTheme="majorHAnsi"/>
        </w:rPr>
        <w:t xml:space="preserve">topics </w:t>
      </w:r>
      <w:r w:rsidR="00E85F72">
        <w:rPr>
          <w:rFonts w:asciiTheme="majorHAnsi" w:hAnsiTheme="majorHAnsi"/>
        </w:rPr>
        <w:t xml:space="preserve">that </w:t>
      </w:r>
      <w:r w:rsidR="00E85F72" w:rsidRPr="0174156A">
        <w:rPr>
          <w:rFonts w:asciiTheme="majorHAnsi" w:hAnsiTheme="majorHAnsi"/>
        </w:rPr>
        <w:t xml:space="preserve">our customers and community </w:t>
      </w:r>
      <w:r w:rsidR="0092726F">
        <w:rPr>
          <w:rFonts w:asciiTheme="majorHAnsi" w:hAnsiTheme="majorHAnsi"/>
        </w:rPr>
        <w:t>saw as complex and important</w:t>
      </w:r>
      <w:r w:rsidR="00E85F72">
        <w:rPr>
          <w:rFonts w:asciiTheme="majorHAnsi" w:hAnsiTheme="majorHAnsi"/>
        </w:rPr>
        <w:t xml:space="preserve">. </w:t>
      </w:r>
      <w:r w:rsidR="00E85F72" w:rsidRPr="00837157">
        <w:rPr>
          <w:rFonts w:asciiTheme="majorHAnsi" w:hAnsiTheme="majorHAnsi"/>
        </w:rPr>
        <w:t>We u</w:t>
      </w:r>
      <w:r w:rsidR="00A04D3A">
        <w:rPr>
          <w:rFonts w:asciiTheme="majorHAnsi" w:hAnsiTheme="majorHAnsi"/>
        </w:rPr>
        <w:t>sed</w:t>
      </w:r>
      <w:r w:rsidR="00E85F72" w:rsidRPr="00837157">
        <w:rPr>
          <w:rFonts w:asciiTheme="majorHAnsi" w:hAnsiTheme="majorHAnsi"/>
        </w:rPr>
        <w:t xml:space="preserve"> a deliberative </w:t>
      </w:r>
      <w:r w:rsidR="00E85F72" w:rsidRPr="2E00434A">
        <w:rPr>
          <w:rFonts w:asciiTheme="majorHAnsi" w:hAnsiTheme="majorHAnsi"/>
        </w:rPr>
        <w:t xml:space="preserve">panel </w:t>
      </w:r>
      <w:r w:rsidR="00E85F72" w:rsidRPr="00837157">
        <w:rPr>
          <w:rFonts w:asciiTheme="majorHAnsi" w:hAnsiTheme="majorHAnsi"/>
        </w:rPr>
        <w:t>process</w:t>
      </w:r>
      <w:r w:rsidR="00381C0A">
        <w:rPr>
          <w:rFonts w:asciiTheme="majorHAnsi" w:hAnsiTheme="majorHAnsi"/>
        </w:rPr>
        <w:t>.</w:t>
      </w:r>
      <w:r w:rsidR="00E85F72" w:rsidRPr="00837157">
        <w:rPr>
          <w:rFonts w:asciiTheme="majorHAnsi" w:hAnsiTheme="majorHAnsi"/>
        </w:rPr>
        <w:t xml:space="preserve"> </w:t>
      </w:r>
      <w:r w:rsidR="00381C0A">
        <w:rPr>
          <w:rFonts w:asciiTheme="majorHAnsi" w:hAnsiTheme="majorHAnsi"/>
        </w:rPr>
        <w:t>The panel</w:t>
      </w:r>
      <w:r w:rsidR="00E85F72" w:rsidRPr="00837157">
        <w:rPr>
          <w:rFonts w:asciiTheme="majorHAnsi" w:hAnsiTheme="majorHAnsi"/>
        </w:rPr>
        <w:t xml:space="preserve"> </w:t>
      </w:r>
      <w:r w:rsidR="00436AF8">
        <w:rPr>
          <w:rFonts w:asciiTheme="majorHAnsi" w:hAnsiTheme="majorHAnsi"/>
        </w:rPr>
        <w:t>develop</w:t>
      </w:r>
      <w:r w:rsidR="003B2B6E">
        <w:rPr>
          <w:rFonts w:asciiTheme="majorHAnsi" w:hAnsiTheme="majorHAnsi"/>
        </w:rPr>
        <w:t>ed</w:t>
      </w:r>
      <w:r w:rsidR="00436AF8">
        <w:rPr>
          <w:rFonts w:asciiTheme="majorHAnsi" w:hAnsiTheme="majorHAnsi"/>
        </w:rPr>
        <w:t xml:space="preserve"> </w:t>
      </w:r>
      <w:r w:rsidR="00E755DE">
        <w:rPr>
          <w:rFonts w:asciiTheme="majorHAnsi" w:hAnsiTheme="majorHAnsi"/>
        </w:rPr>
        <w:t>recommendations</w:t>
      </w:r>
      <w:r w:rsidR="00F85A18">
        <w:rPr>
          <w:rFonts w:asciiTheme="majorHAnsi" w:hAnsiTheme="majorHAnsi"/>
        </w:rPr>
        <w:t>,</w:t>
      </w:r>
      <w:r w:rsidR="00AC4DC2">
        <w:rPr>
          <w:rFonts w:asciiTheme="majorHAnsi" w:hAnsiTheme="majorHAnsi"/>
        </w:rPr>
        <w:t xml:space="preserve"> taking into consideration</w:t>
      </w:r>
      <w:r w:rsidR="00E85F72" w:rsidRPr="00837157">
        <w:rPr>
          <w:rFonts w:asciiTheme="majorHAnsi" w:hAnsiTheme="majorHAnsi"/>
        </w:rPr>
        <w:t xml:space="preserve"> the qualitative and quantitative findings of </w:t>
      </w:r>
      <w:r w:rsidR="00AC4DC2">
        <w:rPr>
          <w:rFonts w:asciiTheme="majorHAnsi" w:hAnsiTheme="majorHAnsi"/>
        </w:rPr>
        <w:t>earlier engagement stages. T</w:t>
      </w:r>
      <w:r w:rsidR="55118EC2" w:rsidRPr="41F4D977">
        <w:rPr>
          <w:rFonts w:asciiTheme="majorHAnsi" w:hAnsiTheme="majorHAnsi"/>
        </w:rPr>
        <w:t>he</w:t>
      </w:r>
      <w:r w:rsidR="00E85F72">
        <w:rPr>
          <w:rFonts w:asciiTheme="majorHAnsi" w:hAnsiTheme="majorHAnsi"/>
        </w:rPr>
        <w:t xml:space="preserve"> </w:t>
      </w:r>
      <w:r w:rsidR="00E85F72" w:rsidRPr="2E00434A">
        <w:rPr>
          <w:rFonts w:asciiTheme="majorHAnsi" w:hAnsiTheme="majorHAnsi"/>
        </w:rPr>
        <w:t>panel</w:t>
      </w:r>
      <w:r w:rsidR="00AC4DC2">
        <w:rPr>
          <w:rFonts w:asciiTheme="majorHAnsi" w:hAnsiTheme="majorHAnsi"/>
        </w:rPr>
        <w:t xml:space="preserve"> chose to provide recommendations on </w:t>
      </w:r>
      <w:r w:rsidR="00E85F72">
        <w:rPr>
          <w:rFonts w:asciiTheme="majorHAnsi" w:hAnsiTheme="majorHAnsi"/>
        </w:rPr>
        <w:t xml:space="preserve">a </w:t>
      </w:r>
      <w:r w:rsidR="00E85F72" w:rsidRPr="2E00434A">
        <w:rPr>
          <w:rFonts w:asciiTheme="majorHAnsi" w:hAnsiTheme="majorHAnsi"/>
        </w:rPr>
        <w:t>fifth topic</w:t>
      </w:r>
      <w:r w:rsidR="00B453E2">
        <w:rPr>
          <w:rFonts w:asciiTheme="majorHAnsi" w:hAnsiTheme="majorHAnsi"/>
        </w:rPr>
        <w:t>:</w:t>
      </w:r>
      <w:r w:rsidR="00E85F72" w:rsidRPr="6AE10119">
        <w:rPr>
          <w:rFonts w:asciiTheme="majorHAnsi" w:hAnsiTheme="majorHAnsi"/>
        </w:rPr>
        <w:t xml:space="preserve"> clear and accessible communication. </w:t>
      </w:r>
    </w:p>
    <w:p w14:paraId="41B91D50" w14:textId="77777777" w:rsidR="00315A35" w:rsidRDefault="00315A35" w:rsidP="4325C39E">
      <w:pPr>
        <w:rPr>
          <w:rFonts w:asciiTheme="majorHAnsi" w:hAnsiTheme="majorHAnsi"/>
          <w:highlight w:val="yellow"/>
        </w:rPr>
        <w:sectPr w:rsidR="00315A35" w:rsidSect="00583DBC">
          <w:pgSz w:w="11906" w:h="16838" w:code="9"/>
          <w:pgMar w:top="1134" w:right="1134" w:bottom="1134" w:left="1134" w:header="709" w:footer="652" w:gutter="0"/>
          <w:cols w:space="708"/>
          <w:docGrid w:linePitch="360"/>
        </w:sectPr>
      </w:pPr>
    </w:p>
    <w:p w14:paraId="3EBCB046" w14:textId="38D658AB" w:rsidR="00DC6C55" w:rsidRDefault="00315A35" w:rsidP="4325C39E">
      <w:pPr>
        <w:rPr>
          <w:rFonts w:asciiTheme="majorHAnsi" w:hAnsiTheme="majorHAnsi"/>
          <w:highlight w:val="yellow"/>
        </w:rPr>
      </w:pPr>
      <w:r>
        <w:rPr>
          <w:rFonts w:asciiTheme="majorHAnsi" w:hAnsiTheme="majorHAnsi"/>
          <w:noProof/>
        </w:rPr>
        <w:lastRenderedPageBreak/>
        <w:drawing>
          <wp:inline distT="0" distB="0" distL="0" distR="0" wp14:anchorId="20D91F23" wp14:editId="2850808C">
            <wp:extent cx="6120130" cy="8653145"/>
            <wp:effectExtent l="0" t="0" r="0" b="0"/>
            <wp:docPr id="13" name="Picture 13" descr="The first part of an infographic which shows the GWW price submission engagement journey. We started with our 2030 Strategy and strategic outcomes, guided by our community engagement framework, ESC's sensitive' Getting to Fair Strategy' and ESC's sensitive and appropriate engagement guidance. &#10;Early engagement from July – December 2021. Understanding how to engage with customers and exploring principles and prices.  Consisted of 5 tariff reform focus groups, 3 stakeholder interviews, 6 community focus groups which was 78 people engaged. &#10;Activation from August – September 2022. Consisted of internal GWW workshops to identify challenges and set engagement scope, structure and purpose. &#10;&#10;Exploration from October – December 2022. Consisted of 10 stakeholder survey and interviews, community survey, 8 focus groups, face to face engagement in regional communities, engaging 3,299 people.&#10;Valuation from December 2022 to March 2023. Testing our customers willingness to pay for their identified priorities. Best worst survey. Bill simulator survey. 8 focus groups. Customer advisory group. 3,294 people engaged. &#10;Deliberation from March – June 2023. Refining customer oucomes and changing our plans based on panel recommendations.  Deliberative panel.  44 people engaged. &#10;Confirmation from June- Aug 2023.  Endorsing customer outcomes, selecting performance measures and closing the loop. Included customer forum, customer survey, face to face engagement, engaging 1,333 people.  &#10;These stages achieved:&#10;new customer outcomes, experiences and measures&#10;15 community panel recommendations&#10;Tariff structures reflecting customer views &#10;Our 2024 price submission.&#10;Our customers and communities include First Nations people, customers experiencing financial hardship, customers living with a disability, customers from diverse cultural backgrounds, young people and international students, retirees, renters and homeowners, small businesses, trade waste and industry customers, not for profit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irst part of an infographic which shows the GWW price submission engagement journey. We started with our 2030 Strategy and strategic outcomes, guided by our community engagement framework, ESC's sensitive' Getting to Fair Strategy' and ESC's sensitive and appropriate engagement guidance. &#10;Early engagement from July – December 2021. Understanding how to engage with customers and exploring principles and prices.  Consisted of 5 tariff reform focus groups, 3 stakeholder interviews, 6 community focus groups which was 78 people engaged. &#10;Activation from August – September 2022. Consisted of internal GWW workshops to identify challenges and set engagement scope, structure and purpose. &#10;&#10;Exploration from October – December 2022. Consisted of 10 stakeholder survey and interviews, community survey, 8 focus groups, face to face engagement in regional communities, engaging 3,299 people.&#10;Valuation from December 2022 to March 2023. Testing our customers willingness to pay for their identified priorities. Best worst survey. Bill simulator survey. 8 focus groups. Customer advisory group. 3,294 people engaged. &#10;Deliberation from March – June 2023. Refining customer oucomes and changing our plans based on panel recommendations.  Deliberative panel.  44 people engaged. &#10;Confirmation from June- Aug 2023.  Endorsing customer outcomes, selecting performance measures and closing the loop. Included customer forum, customer survey, face to face engagement, engaging 1,333 people.  &#10;These stages achieved:&#10;new customer outcomes, experiences and measures&#10;15 community panel recommendations&#10;Tariff structures reflecting customer views &#10;Our 2024 price submission.&#10;Our customers and communities include First Nations people, customers experiencing financial hardship, customers living with a disability, customers from diverse cultural backgrounds, young people and international students, retirees, renters and homeowners, small businesses, trade waste and industry customers, not for profit community groups."/>
                    <pic:cNvPicPr/>
                  </pic:nvPicPr>
                  <pic:blipFill>
                    <a:blip r:embed="rId36">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1214714A" w14:textId="77777777" w:rsidR="00DC6C55" w:rsidRDefault="00DC6C55">
      <w:pPr>
        <w:spacing w:before="0" w:after="160" w:line="259" w:lineRule="auto"/>
        <w:rPr>
          <w:rFonts w:asciiTheme="majorHAnsi" w:hAnsiTheme="majorHAnsi"/>
          <w:highlight w:val="yellow"/>
        </w:rPr>
      </w:pPr>
      <w:r>
        <w:rPr>
          <w:rFonts w:asciiTheme="majorHAnsi" w:hAnsiTheme="majorHAnsi"/>
          <w:highlight w:val="yellow"/>
        </w:rPr>
        <w:br w:type="page"/>
      </w:r>
    </w:p>
    <w:p w14:paraId="6509823D" w14:textId="2501FB7F" w:rsidR="00E86871" w:rsidRDefault="00DC6C55" w:rsidP="4325C39E">
      <w:pPr>
        <w:rPr>
          <w:rFonts w:asciiTheme="majorHAnsi" w:hAnsiTheme="majorHAnsi"/>
          <w:highlight w:val="yellow"/>
        </w:rPr>
        <w:sectPr w:rsidR="00E86871" w:rsidSect="00583DBC">
          <w:type w:val="oddPage"/>
          <w:pgSz w:w="11906" w:h="16838" w:code="9"/>
          <w:pgMar w:top="1134" w:right="1134" w:bottom="1134" w:left="1134" w:header="709" w:footer="652" w:gutter="0"/>
          <w:cols w:space="708"/>
          <w:docGrid w:linePitch="360"/>
        </w:sectPr>
      </w:pPr>
      <w:r>
        <w:rPr>
          <w:rFonts w:asciiTheme="majorHAnsi" w:hAnsiTheme="majorHAnsi"/>
          <w:noProof/>
        </w:rPr>
        <w:lastRenderedPageBreak/>
        <w:drawing>
          <wp:inline distT="0" distB="0" distL="0" distR="0" wp14:anchorId="5819EF8E" wp14:editId="45C694AA">
            <wp:extent cx="6120130" cy="8653145"/>
            <wp:effectExtent l="0" t="0" r="0" b="0"/>
            <wp:docPr id="14" name="Picture 14" descr="This is the second part of the engagement journey infographic. All content is in the alt-text of the fir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the second part of the engagement journey infographic. All content is in the alt-text of the first part."/>
                    <pic:cNvPicPr/>
                  </pic:nvPicPr>
                  <pic:blipFill>
                    <a:blip r:embed="rId37">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2688628A" w14:textId="15559EF2" w:rsidR="004A4026" w:rsidRDefault="00E86871" w:rsidP="4325C39E">
      <w:pPr>
        <w:rPr>
          <w:rFonts w:asciiTheme="majorHAnsi" w:hAnsiTheme="majorHAnsi"/>
          <w:highlight w:val="yellow"/>
        </w:rPr>
      </w:pPr>
      <w:r>
        <w:rPr>
          <w:rFonts w:asciiTheme="majorHAnsi" w:hAnsiTheme="majorHAnsi"/>
          <w:noProof/>
        </w:rPr>
        <w:lastRenderedPageBreak/>
        <mc:AlternateContent>
          <mc:Choice Requires="wps">
            <w:drawing>
              <wp:anchor distT="0" distB="0" distL="114300" distR="114300" simplePos="0" relativeHeight="251658244" behindDoc="0" locked="0" layoutInCell="1" allowOverlap="1" wp14:anchorId="0250EE13" wp14:editId="10BF5C75">
                <wp:simplePos x="0" y="0"/>
                <wp:positionH relativeFrom="column">
                  <wp:posOffset>3810</wp:posOffset>
                </wp:positionH>
                <wp:positionV relativeFrom="paragraph">
                  <wp:posOffset>-334835</wp:posOffset>
                </wp:positionV>
                <wp:extent cx="1114797" cy="207818"/>
                <wp:effectExtent l="0" t="0" r="9525" b="1905"/>
                <wp:wrapNone/>
                <wp:docPr id="810165133" name="Rectangle 810165133"/>
                <wp:cNvGraphicFramePr/>
                <a:graphic xmlns:a="http://schemas.openxmlformats.org/drawingml/2006/main">
                  <a:graphicData uri="http://schemas.microsoft.com/office/word/2010/wordprocessingShape">
                    <wps:wsp>
                      <wps:cNvSpPr/>
                      <wps:spPr>
                        <a:xfrm>
                          <a:off x="0" y="0"/>
                          <a:ext cx="1114797"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C0D95" id="Rectangle 810165133" o:spid="_x0000_s1026" style="position:absolute;margin-left:.3pt;margin-top:-26.35pt;width:87.8pt;height:16.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WeewIAAF4FAAAOAAAAZHJzL2Uyb0RvYy54bWysVFFP2zAQfp+0/2D5fSSpygo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" fillcolor="white [3212]" stroked="f" strokeweight="1pt"/>
            </w:pict>
          </mc:Fallback>
        </mc:AlternateContent>
      </w:r>
    </w:p>
    <w:p w14:paraId="61965556" w14:textId="48A5CAA1" w:rsidR="00821EDE" w:rsidRPr="00821EDE" w:rsidRDefault="00C351EB" w:rsidP="00707B54">
      <w:pPr>
        <w:pStyle w:val="Heading2"/>
      </w:pPr>
      <w:bookmarkStart w:id="71" w:name="_Toc146004857"/>
      <w:bookmarkStart w:id="72" w:name="_Toc146004745"/>
      <w:bookmarkStart w:id="73" w:name="_Toc146746691"/>
      <w:r w:rsidRPr="00BB72C5">
        <w:t>Pre</w:t>
      </w:r>
      <w:r w:rsidR="00176969" w:rsidRPr="00BB72C5">
        <w:t>-price submission</w:t>
      </w:r>
      <w:r w:rsidRPr="00BB72C5">
        <w:t xml:space="preserve"> engagement</w:t>
      </w:r>
      <w:bookmarkEnd w:id="71"/>
      <w:bookmarkEnd w:id="72"/>
      <w:bookmarkEnd w:id="73"/>
    </w:p>
    <w:p w14:paraId="78832C52" w14:textId="4C935E1F" w:rsidR="006417D8" w:rsidRDefault="006417D8" w:rsidP="006417D8">
      <w:r>
        <w:t xml:space="preserve">The </w:t>
      </w:r>
      <w:r w:rsidR="7C1211D8">
        <w:t>price submission</w:t>
      </w:r>
      <w:r>
        <w:t xml:space="preserve"> engagement program was influenced</w:t>
      </w:r>
      <w:r w:rsidR="006E1FA2">
        <w:t xml:space="preserve"> </w:t>
      </w:r>
      <w:r>
        <w:t>by pre-existing</w:t>
      </w:r>
      <w:r w:rsidR="00601748">
        <w:t xml:space="preserve"> </w:t>
      </w:r>
      <w:r w:rsidR="60BDED00">
        <w:t xml:space="preserve">customer </w:t>
      </w:r>
      <w:r w:rsidR="0022403D">
        <w:t>engagement</w:t>
      </w:r>
      <w:r w:rsidR="42BCE37C">
        <w:t xml:space="preserve"> </w:t>
      </w:r>
      <w:r w:rsidR="67463CE2">
        <w:t>acti</w:t>
      </w:r>
      <w:r w:rsidR="3F1A51D2">
        <w:t>vities</w:t>
      </w:r>
      <w:r w:rsidR="00243A1A">
        <w:t xml:space="preserve"> including</w:t>
      </w:r>
      <w:r w:rsidR="0022403D">
        <w:t xml:space="preserve">: </w:t>
      </w:r>
    </w:p>
    <w:p w14:paraId="6FC42516" w14:textId="37AB630B" w:rsidR="0022403D" w:rsidRDefault="0022403D">
      <w:pPr>
        <w:pStyle w:val="ListBullet"/>
        <w:numPr>
          <w:ilvl w:val="0"/>
          <w:numId w:val="72"/>
        </w:numPr>
      </w:pPr>
      <w:r w:rsidRPr="00A961E4">
        <w:rPr>
          <w:i/>
        </w:rPr>
        <w:t>2030 Strategy</w:t>
      </w:r>
      <w:r>
        <w:t xml:space="preserve"> </w:t>
      </w:r>
      <w:r w:rsidR="008D1E96">
        <w:t>engagement</w:t>
      </w:r>
    </w:p>
    <w:p w14:paraId="7C507ABB" w14:textId="0FECC966" w:rsidR="00176969" w:rsidRDefault="00176969">
      <w:pPr>
        <w:pStyle w:val="ListBullet"/>
        <w:numPr>
          <w:ilvl w:val="0"/>
          <w:numId w:val="72"/>
        </w:numPr>
      </w:pPr>
      <w:r>
        <w:t xml:space="preserve">community engagement framework </w:t>
      </w:r>
    </w:p>
    <w:p w14:paraId="16A05460" w14:textId="19EA32BF" w:rsidR="00176969" w:rsidRDefault="0078212E">
      <w:pPr>
        <w:pStyle w:val="ListBullet"/>
        <w:numPr>
          <w:ilvl w:val="0"/>
          <w:numId w:val="72"/>
        </w:numPr>
      </w:pPr>
      <w:r>
        <w:t xml:space="preserve">regular </w:t>
      </w:r>
      <w:r w:rsidR="00176969">
        <w:t>customer satisfaction survey</w:t>
      </w:r>
      <w:r w:rsidR="00243A1A">
        <w:t>s</w:t>
      </w:r>
      <w:r w:rsidR="00C510DA">
        <w:t>.</w:t>
      </w:r>
    </w:p>
    <w:p w14:paraId="0AC8AE7C" w14:textId="6444A492" w:rsidR="00C672D8" w:rsidRPr="00707B54" w:rsidRDefault="00C672D8" w:rsidP="005B69CD">
      <w:pPr>
        <w:pStyle w:val="Heading3"/>
      </w:pPr>
      <w:r w:rsidRPr="00707B54">
        <w:t>Early engagement</w:t>
      </w:r>
    </w:p>
    <w:p w14:paraId="4FDA753B" w14:textId="77777777" w:rsidR="00C672D8" w:rsidRPr="00917E91" w:rsidRDefault="00C672D8" w:rsidP="00C672D8">
      <w:pPr>
        <w:pStyle w:val="Heading4"/>
      </w:pPr>
      <w:r>
        <w:t xml:space="preserve">Engagement focus </w:t>
      </w:r>
    </w:p>
    <w:p w14:paraId="1022F516" w14:textId="122E85FC" w:rsidR="00F350F8" w:rsidRPr="00837157" w:rsidRDefault="00F350F8" w:rsidP="00F350F8">
      <w:pPr>
        <w:rPr>
          <w:rFonts w:asciiTheme="majorHAnsi" w:hAnsiTheme="majorHAnsi"/>
        </w:rPr>
      </w:pPr>
      <w:r w:rsidRPr="00837157">
        <w:rPr>
          <w:rFonts w:asciiTheme="majorHAnsi" w:hAnsiTheme="majorHAnsi"/>
        </w:rPr>
        <w:t xml:space="preserve">Our </w:t>
      </w:r>
      <w:r w:rsidR="00A94F81">
        <w:rPr>
          <w:rFonts w:asciiTheme="majorHAnsi" w:hAnsiTheme="majorHAnsi"/>
        </w:rPr>
        <w:t xml:space="preserve">initial engagement </w:t>
      </w:r>
      <w:r w:rsidR="00083187">
        <w:rPr>
          <w:rFonts w:asciiTheme="majorHAnsi" w:hAnsiTheme="majorHAnsi"/>
        </w:rPr>
        <w:t>community focus groups</w:t>
      </w:r>
      <w:r w:rsidRPr="00837157">
        <w:rPr>
          <w:rFonts w:asciiTheme="majorHAnsi" w:hAnsiTheme="majorHAnsi"/>
        </w:rPr>
        <w:t xml:space="preserve"> (June 2021) </w:t>
      </w:r>
      <w:r w:rsidR="0083774F">
        <w:rPr>
          <w:rFonts w:asciiTheme="majorHAnsi" w:hAnsiTheme="majorHAnsi"/>
        </w:rPr>
        <w:t xml:space="preserve">ensured </w:t>
      </w:r>
      <w:r w:rsidRPr="00837157">
        <w:rPr>
          <w:rFonts w:asciiTheme="majorHAnsi" w:hAnsiTheme="majorHAnsi"/>
        </w:rPr>
        <w:t>our engagement approach was appropriate and accessible for all customers</w:t>
      </w:r>
      <w:r>
        <w:rPr>
          <w:rFonts w:asciiTheme="majorHAnsi" w:hAnsiTheme="majorHAnsi"/>
        </w:rPr>
        <w:t>.</w:t>
      </w:r>
      <w:r w:rsidR="00727CF3">
        <w:rPr>
          <w:rFonts w:asciiTheme="majorHAnsi" w:hAnsiTheme="majorHAnsi"/>
        </w:rPr>
        <w:t xml:space="preserve"> </w:t>
      </w:r>
      <w:r w:rsidR="00987DF8">
        <w:rPr>
          <w:rFonts w:asciiTheme="majorHAnsi" w:hAnsiTheme="majorHAnsi"/>
        </w:rPr>
        <w:t xml:space="preserve">Following the focus groups, </w:t>
      </w:r>
      <w:r w:rsidR="00E22A81">
        <w:rPr>
          <w:rFonts w:asciiTheme="majorHAnsi" w:hAnsiTheme="majorHAnsi"/>
        </w:rPr>
        <w:t xml:space="preserve">we ran a joint tariff reform engagement program </w:t>
      </w:r>
      <w:r w:rsidR="00B041F8">
        <w:rPr>
          <w:rFonts w:asciiTheme="majorHAnsi" w:hAnsiTheme="majorHAnsi"/>
        </w:rPr>
        <w:t>(</w:t>
      </w:r>
      <w:r w:rsidR="005A1634">
        <w:rPr>
          <w:rFonts w:asciiTheme="majorHAnsi" w:hAnsiTheme="majorHAnsi"/>
        </w:rPr>
        <w:t xml:space="preserve">October-December 2021) </w:t>
      </w:r>
      <w:r w:rsidR="00E22A81">
        <w:rPr>
          <w:rFonts w:asciiTheme="majorHAnsi" w:hAnsiTheme="majorHAnsi"/>
        </w:rPr>
        <w:t xml:space="preserve">with </w:t>
      </w:r>
      <w:proofErr w:type="gramStart"/>
      <w:r w:rsidR="00E22A81">
        <w:rPr>
          <w:rFonts w:asciiTheme="majorHAnsi" w:hAnsiTheme="majorHAnsi"/>
        </w:rPr>
        <w:t>South East</w:t>
      </w:r>
      <w:proofErr w:type="gramEnd"/>
      <w:r w:rsidR="00E22A81">
        <w:rPr>
          <w:rFonts w:asciiTheme="majorHAnsi" w:hAnsiTheme="majorHAnsi"/>
        </w:rPr>
        <w:t xml:space="preserve"> Water and Yarra Valley Water</w:t>
      </w:r>
      <w:r w:rsidR="004441E6">
        <w:rPr>
          <w:rFonts w:asciiTheme="majorHAnsi" w:hAnsiTheme="majorHAnsi"/>
        </w:rPr>
        <w:t>.</w:t>
      </w:r>
    </w:p>
    <w:p w14:paraId="0C943EB0" w14:textId="77777777" w:rsidR="00375BD2" w:rsidRDefault="00375BD2" w:rsidP="00375BD2">
      <w:pPr>
        <w:pStyle w:val="Heading4"/>
      </w:pPr>
      <w:r>
        <w:t>How we engaged</w:t>
      </w:r>
    </w:p>
    <w:p w14:paraId="5AB29903" w14:textId="00F41BBC" w:rsidR="00375BD2" w:rsidRDefault="00375BD2" w:rsidP="00375BD2">
      <w:r>
        <w:rPr>
          <w:b/>
          <w:bCs/>
        </w:rPr>
        <w:t xml:space="preserve">Community </w:t>
      </w:r>
      <w:r w:rsidRPr="00837157">
        <w:rPr>
          <w:b/>
          <w:bCs/>
        </w:rPr>
        <w:t>focus groups</w:t>
      </w:r>
      <w:r w:rsidRPr="00837157">
        <w:t xml:space="preserve"> (28 participants)</w:t>
      </w:r>
    </w:p>
    <w:tbl>
      <w:tblPr>
        <w:tblStyle w:val="GWWDefaulttable"/>
        <w:tblW w:w="4999" w:type="pct"/>
        <w:tblBorders>
          <w:top w:val="single" w:sz="4" w:space="0" w:color="auto"/>
        </w:tblBorders>
        <w:tblLook w:val="0480" w:firstRow="0" w:lastRow="0" w:firstColumn="1" w:lastColumn="0" w:noHBand="0" w:noVBand="1"/>
      </w:tblPr>
      <w:tblGrid>
        <w:gridCol w:w="1983"/>
        <w:gridCol w:w="7653"/>
      </w:tblGrid>
      <w:tr w:rsidR="009A7D42" w14:paraId="79995D5C" w14:textId="77777777" w:rsidTr="000D1C7D">
        <w:trPr>
          <w:trHeight w:val="300"/>
        </w:trPr>
        <w:tc>
          <w:tcPr>
            <w:cnfStyle w:val="001000000000" w:firstRow="0" w:lastRow="0" w:firstColumn="1" w:lastColumn="0" w:oddVBand="0" w:evenVBand="0" w:oddHBand="0" w:evenHBand="0" w:firstRowFirstColumn="0" w:firstRowLastColumn="0" w:lastRowFirstColumn="0" w:lastRowLastColumn="0"/>
            <w:tcW w:w="1029" w:type="pct"/>
          </w:tcPr>
          <w:p w14:paraId="10A4F770" w14:textId="77777777" w:rsidR="00375BD2" w:rsidRPr="005C643C" w:rsidRDefault="00375BD2">
            <w:pPr>
              <w:rPr>
                <w:b w:val="0"/>
              </w:rPr>
            </w:pPr>
            <w:r w:rsidRPr="005C643C">
              <w:rPr>
                <w:b w:val="0"/>
              </w:rPr>
              <w:t>Who we heard from</w:t>
            </w:r>
          </w:p>
        </w:tc>
        <w:tc>
          <w:tcPr>
            <w:tcW w:w="3971" w:type="pct"/>
          </w:tcPr>
          <w:p w14:paraId="23B53405" w14:textId="18EC67A6" w:rsidR="00375BD2" w:rsidRDefault="00375BD2">
            <w:pPr>
              <w:cnfStyle w:val="000000000000" w:firstRow="0" w:lastRow="0" w:firstColumn="0" w:lastColumn="0" w:oddVBand="0" w:evenVBand="0" w:oddHBand="0" w:evenHBand="0" w:firstRowFirstColumn="0" w:firstRowLastColumn="0" w:lastRowFirstColumn="0" w:lastRowLastColumn="0"/>
            </w:pPr>
            <w:r>
              <w:t>R</w:t>
            </w:r>
            <w:r w:rsidRPr="00837157">
              <w:t>esidential</w:t>
            </w:r>
            <w:r w:rsidR="00C510DA">
              <w:t xml:space="preserve"> and</w:t>
            </w:r>
            <w:r w:rsidRPr="00837157">
              <w:t xml:space="preserve"> business customers, young people, culturally and linguistically diverse</w:t>
            </w:r>
            <w:r w:rsidR="00C510DA">
              <w:t xml:space="preserve"> people</w:t>
            </w:r>
            <w:r w:rsidRPr="00837157">
              <w:t>, retirees, industrial and agricultural customers</w:t>
            </w:r>
          </w:p>
        </w:tc>
      </w:tr>
      <w:tr w:rsidR="009A7D42" w14:paraId="0457C85D" w14:textId="77777777" w:rsidTr="000D1C7D">
        <w:trPr>
          <w:trHeight w:val="300"/>
        </w:trPr>
        <w:tc>
          <w:tcPr>
            <w:cnfStyle w:val="001000000000" w:firstRow="0" w:lastRow="0" w:firstColumn="1" w:lastColumn="0" w:oddVBand="0" w:evenVBand="0" w:oddHBand="0" w:evenHBand="0" w:firstRowFirstColumn="0" w:firstRowLastColumn="0" w:lastRowFirstColumn="0" w:lastRowLastColumn="0"/>
            <w:tcW w:w="1029" w:type="pct"/>
          </w:tcPr>
          <w:p w14:paraId="0B9F7F72" w14:textId="77777777" w:rsidR="00375BD2" w:rsidRPr="005C643C" w:rsidRDefault="00375BD2">
            <w:pPr>
              <w:rPr>
                <w:b w:val="0"/>
              </w:rPr>
            </w:pPr>
            <w:r w:rsidRPr="005C643C">
              <w:rPr>
                <w:b w:val="0"/>
              </w:rPr>
              <w:t xml:space="preserve">Purpose </w:t>
            </w:r>
          </w:p>
        </w:tc>
        <w:tc>
          <w:tcPr>
            <w:tcW w:w="3971" w:type="pct"/>
          </w:tcPr>
          <w:p w14:paraId="00E8F6FC" w14:textId="77777777" w:rsidR="00375BD2" w:rsidRDefault="00375BD2">
            <w:pPr>
              <w:cnfStyle w:val="000000000000" w:firstRow="0" w:lastRow="0" w:firstColumn="0" w:lastColumn="0" w:oddVBand="0" w:evenVBand="0" w:oddHBand="0" w:evenHBand="0" w:firstRowFirstColumn="0" w:firstRowLastColumn="0" w:lastRowFirstColumn="0" w:lastRowLastColumn="0"/>
            </w:pPr>
            <w:r>
              <w:t>I</w:t>
            </w:r>
            <w:r w:rsidRPr="00837157">
              <w:t>dentify customer preferences for communication and engagement</w:t>
            </w:r>
          </w:p>
        </w:tc>
      </w:tr>
    </w:tbl>
    <w:p w14:paraId="1398768B" w14:textId="77777777" w:rsidR="0093200B" w:rsidRPr="0093200B" w:rsidRDefault="0093200B"/>
    <w:p w14:paraId="77C33F02" w14:textId="3A7842DF" w:rsidR="0013585F" w:rsidRDefault="0013585F" w:rsidP="0013585F">
      <w:r>
        <w:rPr>
          <w:b/>
          <w:bCs/>
        </w:rPr>
        <w:t xml:space="preserve">Joint tariff </w:t>
      </w:r>
      <w:r w:rsidR="00936DFB">
        <w:rPr>
          <w:b/>
          <w:bCs/>
        </w:rPr>
        <w:t xml:space="preserve">reform </w:t>
      </w:r>
      <w:r>
        <w:rPr>
          <w:b/>
          <w:bCs/>
        </w:rPr>
        <w:t>focus groups</w:t>
      </w:r>
      <w:r>
        <w:rPr>
          <w:b/>
        </w:rPr>
        <w:t xml:space="preserve"> </w:t>
      </w:r>
      <w:r w:rsidR="00C52535">
        <w:rPr>
          <w:b/>
          <w:bCs/>
        </w:rPr>
        <w:t>and stakeholder interviews</w:t>
      </w:r>
      <w:r w:rsidRPr="00837157">
        <w:t xml:space="preserve"> (</w:t>
      </w:r>
      <w:r>
        <w:t>44</w:t>
      </w:r>
      <w:r w:rsidRPr="00837157">
        <w:t xml:space="preserve"> </w:t>
      </w:r>
      <w:r w:rsidR="00C52535">
        <w:t xml:space="preserve">focus group </w:t>
      </w:r>
      <w:r w:rsidRPr="00837157">
        <w:t>participants</w:t>
      </w:r>
      <w:r w:rsidR="00C52535">
        <w:t xml:space="preserve">, </w:t>
      </w:r>
      <w:r w:rsidR="00A82361">
        <w:t>six interviewees</w:t>
      </w:r>
      <w:r w:rsidRPr="00837157">
        <w:t>)</w:t>
      </w:r>
    </w:p>
    <w:tbl>
      <w:tblPr>
        <w:tblStyle w:val="GWWDefaulttable"/>
        <w:tblW w:w="5000" w:type="pct"/>
        <w:tblBorders>
          <w:top w:val="single" w:sz="4" w:space="0" w:color="auto"/>
        </w:tblBorders>
        <w:tblLook w:val="0480" w:firstRow="0" w:lastRow="0" w:firstColumn="1" w:lastColumn="0" w:noHBand="0" w:noVBand="1"/>
      </w:tblPr>
      <w:tblGrid>
        <w:gridCol w:w="1985"/>
        <w:gridCol w:w="7653"/>
      </w:tblGrid>
      <w:tr w:rsidR="0013585F" w14:paraId="4DDECDFA" w14:textId="77777777" w:rsidTr="00C322F4">
        <w:trPr>
          <w:trHeight w:val="300"/>
        </w:trPr>
        <w:tc>
          <w:tcPr>
            <w:cnfStyle w:val="001000000000" w:firstRow="0" w:lastRow="0" w:firstColumn="1" w:lastColumn="0" w:oddVBand="0" w:evenVBand="0" w:oddHBand="0" w:evenHBand="0" w:firstRowFirstColumn="0" w:firstRowLastColumn="0" w:lastRowFirstColumn="0" w:lastRowLastColumn="0"/>
            <w:tcW w:w="1030" w:type="pct"/>
          </w:tcPr>
          <w:p w14:paraId="18551E8C" w14:textId="77777777" w:rsidR="0013585F" w:rsidRPr="005C643C" w:rsidRDefault="0013585F">
            <w:pPr>
              <w:rPr>
                <w:b w:val="0"/>
              </w:rPr>
            </w:pPr>
            <w:r w:rsidRPr="005C643C">
              <w:rPr>
                <w:b w:val="0"/>
              </w:rPr>
              <w:t>Who we heard from</w:t>
            </w:r>
          </w:p>
        </w:tc>
        <w:tc>
          <w:tcPr>
            <w:tcW w:w="3970" w:type="pct"/>
          </w:tcPr>
          <w:p w14:paraId="1481AD37" w14:textId="4ED7553C" w:rsidR="0013585F" w:rsidRDefault="00A82361">
            <w:pPr>
              <w:cnfStyle w:val="000000000000" w:firstRow="0" w:lastRow="0" w:firstColumn="0" w:lastColumn="0" w:oddVBand="0" w:evenVBand="0" w:oddHBand="0" w:evenHBand="0" w:firstRowFirstColumn="0" w:firstRowLastColumn="0" w:lastRowFirstColumn="0" w:lastRowLastColumn="0"/>
            </w:pPr>
            <w:r>
              <w:t xml:space="preserve">Financially vulnerable customers, </w:t>
            </w:r>
            <w:r w:rsidR="004977B6">
              <w:t xml:space="preserve">politically progressive </w:t>
            </w:r>
            <w:r w:rsidR="000F0DF1">
              <w:t>– high and low income, politically conservative – high and low income</w:t>
            </w:r>
          </w:p>
        </w:tc>
      </w:tr>
      <w:tr w:rsidR="0013585F" w14:paraId="5F24516A" w14:textId="77777777" w:rsidTr="00C322F4">
        <w:trPr>
          <w:trHeight w:val="300"/>
        </w:trPr>
        <w:tc>
          <w:tcPr>
            <w:cnfStyle w:val="001000000000" w:firstRow="0" w:lastRow="0" w:firstColumn="1" w:lastColumn="0" w:oddVBand="0" w:evenVBand="0" w:oddHBand="0" w:evenHBand="0" w:firstRowFirstColumn="0" w:firstRowLastColumn="0" w:lastRowFirstColumn="0" w:lastRowLastColumn="0"/>
            <w:tcW w:w="1030" w:type="pct"/>
          </w:tcPr>
          <w:p w14:paraId="7790D618" w14:textId="77777777" w:rsidR="0013585F" w:rsidRPr="005C643C" w:rsidRDefault="0013585F">
            <w:pPr>
              <w:rPr>
                <w:b w:val="0"/>
              </w:rPr>
            </w:pPr>
            <w:r w:rsidRPr="005C643C">
              <w:rPr>
                <w:b w:val="0"/>
              </w:rPr>
              <w:t xml:space="preserve">Purpose </w:t>
            </w:r>
          </w:p>
        </w:tc>
        <w:tc>
          <w:tcPr>
            <w:tcW w:w="3970" w:type="pct"/>
          </w:tcPr>
          <w:p w14:paraId="0A72549A" w14:textId="4CE88114" w:rsidR="0013585F" w:rsidRDefault="00F16503">
            <w:pPr>
              <w:cnfStyle w:val="000000000000" w:firstRow="0" w:lastRow="0" w:firstColumn="0" w:lastColumn="0" w:oddVBand="0" w:evenVBand="0" w:oddHBand="0" w:evenHBand="0" w:firstRowFirstColumn="0" w:firstRowLastColumn="0" w:lastRowFirstColumn="0" w:lastRowLastColumn="0"/>
            </w:pPr>
            <w:r>
              <w:t xml:space="preserve">Determine customer tariff design preferences </w:t>
            </w:r>
            <w:r w:rsidR="004B08D6">
              <w:t xml:space="preserve">for </w:t>
            </w:r>
            <w:r w:rsidR="004B08D6" w:rsidRPr="004B08D6">
              <w:t xml:space="preserve">fixed vs variable tariffs, inclining step tariffs, the sewage disposal </w:t>
            </w:r>
            <w:proofErr w:type="gramStart"/>
            <w:r w:rsidR="004B08D6" w:rsidRPr="004B08D6">
              <w:t>charge</w:t>
            </w:r>
            <w:proofErr w:type="gramEnd"/>
            <w:r w:rsidR="004B08D6" w:rsidRPr="004B08D6">
              <w:t xml:space="preserve"> and the water meter charge</w:t>
            </w:r>
            <w:r w:rsidR="00903D28">
              <w:t>.</w:t>
            </w:r>
          </w:p>
        </w:tc>
      </w:tr>
    </w:tbl>
    <w:p w14:paraId="34A18B8A" w14:textId="77777777" w:rsidR="0013585F" w:rsidRPr="0093200B" w:rsidRDefault="0013585F" w:rsidP="00C322F4"/>
    <w:p w14:paraId="27FEDC75" w14:textId="77777777" w:rsidR="002C2F6C" w:rsidRDefault="002C2F6C" w:rsidP="002C2F6C">
      <w:pPr>
        <w:pStyle w:val="Heading4"/>
      </w:pPr>
      <w:r>
        <w:t xml:space="preserve">How customer feedback influenced our price submission </w:t>
      </w:r>
    </w:p>
    <w:p w14:paraId="775C3EAE" w14:textId="4A1606FB" w:rsidR="002C2F6C" w:rsidRDefault="002C2F6C" w:rsidP="002C2F6C">
      <w:r>
        <w:t>The</w:t>
      </w:r>
      <w:r w:rsidR="00936DFB">
        <w:t xml:space="preserve"> community</w:t>
      </w:r>
      <w:r>
        <w:t xml:space="preserve"> focus group findings were </w:t>
      </w:r>
      <w:r w:rsidR="002268D9">
        <w:t xml:space="preserve">used to </w:t>
      </w:r>
      <w:r w:rsidR="00E100EC">
        <w:t xml:space="preserve">improve our </w:t>
      </w:r>
      <w:r>
        <w:t>engagement</w:t>
      </w:r>
      <w:r w:rsidR="74A5486F">
        <w:t xml:space="preserve"> program d</w:t>
      </w:r>
      <w:r w:rsidR="652C8110">
        <w:t>esign</w:t>
      </w:r>
      <w:r w:rsidR="00E100EC">
        <w:t xml:space="preserve"> by</w:t>
      </w:r>
      <w:r>
        <w:t>:</w:t>
      </w:r>
    </w:p>
    <w:p w14:paraId="49E847B2" w14:textId="12DD7AB8" w:rsidR="002C2F6C" w:rsidRDefault="00C510DA">
      <w:pPr>
        <w:pStyle w:val="ListBullet"/>
        <w:numPr>
          <w:ilvl w:val="0"/>
          <w:numId w:val="74"/>
        </w:numPr>
      </w:pPr>
      <w:r>
        <w:t>c</w:t>
      </w:r>
      <w:r w:rsidR="0F6B1588">
        <w:t>hanging</w:t>
      </w:r>
      <w:r w:rsidR="002C2F6C">
        <w:t xml:space="preserve"> the </w:t>
      </w:r>
      <w:proofErr w:type="gramStart"/>
      <w:r w:rsidR="002C2F6C">
        <w:t>way</w:t>
      </w:r>
      <w:proofErr w:type="gramEnd"/>
      <w:r w:rsidR="002C2F6C">
        <w:t xml:space="preserve"> we </w:t>
      </w:r>
      <w:r w:rsidR="5ECC9021">
        <w:t xml:space="preserve">planned to </w:t>
      </w:r>
      <w:r w:rsidR="002C2F6C">
        <w:t xml:space="preserve">deliver surveys </w:t>
      </w:r>
      <w:r w:rsidR="14805012">
        <w:t xml:space="preserve">by </w:t>
      </w:r>
      <w:r w:rsidR="002C2F6C">
        <w:t xml:space="preserve">offering </w:t>
      </w:r>
      <w:r w:rsidR="0083774F">
        <w:t xml:space="preserve">the opportunity to </w:t>
      </w:r>
      <w:r w:rsidR="002C2F6C">
        <w:t xml:space="preserve">win </w:t>
      </w:r>
      <w:r w:rsidR="00A72850">
        <w:t xml:space="preserve">a water bill credit </w:t>
      </w:r>
      <w:r w:rsidR="0016615F">
        <w:t>(</w:t>
      </w:r>
      <w:r>
        <w:t>for example</w:t>
      </w:r>
      <w:r w:rsidR="007A7B07">
        <w:t xml:space="preserve"> ‘win $50 off your next water bill</w:t>
      </w:r>
      <w:r>
        <w:t>’</w:t>
      </w:r>
      <w:r w:rsidR="007A7B07">
        <w:t>)</w:t>
      </w:r>
      <w:r w:rsidR="00A72850">
        <w:t xml:space="preserve"> </w:t>
      </w:r>
    </w:p>
    <w:p w14:paraId="391403B1" w14:textId="1E30DC7D" w:rsidR="007A7B07" w:rsidRDefault="00C510DA">
      <w:pPr>
        <w:pStyle w:val="ListBullet"/>
        <w:numPr>
          <w:ilvl w:val="0"/>
          <w:numId w:val="74"/>
        </w:numPr>
      </w:pPr>
      <w:r>
        <w:t>paying</w:t>
      </w:r>
      <w:r w:rsidR="124FB21B">
        <w:t xml:space="preserve"> all</w:t>
      </w:r>
      <w:r w:rsidR="00A72850">
        <w:t xml:space="preserve"> </w:t>
      </w:r>
      <w:r w:rsidR="002C2F6C">
        <w:t xml:space="preserve">focus groups, deliberative </w:t>
      </w:r>
      <w:proofErr w:type="gramStart"/>
      <w:r w:rsidR="002C2F6C">
        <w:t>panel</w:t>
      </w:r>
      <w:proofErr w:type="gramEnd"/>
      <w:r w:rsidR="002C2F6C">
        <w:t xml:space="preserve"> and customer forum </w:t>
      </w:r>
      <w:r w:rsidR="00230686">
        <w:t>participants</w:t>
      </w:r>
      <w:r w:rsidR="00FC12E5">
        <w:t xml:space="preserve"> </w:t>
      </w:r>
      <w:r w:rsidR="6438CCE6">
        <w:t>for their time</w:t>
      </w:r>
    </w:p>
    <w:p w14:paraId="28DD92AC" w14:textId="1ACBDE1F" w:rsidR="002C2F6C" w:rsidRDefault="00C510DA">
      <w:pPr>
        <w:pStyle w:val="ListBullet"/>
        <w:numPr>
          <w:ilvl w:val="0"/>
          <w:numId w:val="74"/>
        </w:numPr>
      </w:pPr>
      <w:r>
        <w:t>b</w:t>
      </w:r>
      <w:r w:rsidR="71D2B635">
        <w:t>eing</w:t>
      </w:r>
      <w:r w:rsidR="5241010E">
        <w:t xml:space="preserve"> </w:t>
      </w:r>
      <w:r w:rsidR="007A7B07">
        <w:t>transparent</w:t>
      </w:r>
      <w:r w:rsidR="6438CCE6">
        <w:t xml:space="preserve"> </w:t>
      </w:r>
      <w:r w:rsidR="007A7B07">
        <w:t xml:space="preserve">with communication </w:t>
      </w:r>
      <w:r w:rsidR="3A46A1C3">
        <w:t>materials</w:t>
      </w:r>
      <w:r w:rsidR="007A7B07">
        <w:t xml:space="preserve"> and purpose</w:t>
      </w:r>
      <w:r w:rsidR="6438CCE6">
        <w:t xml:space="preserve"> </w:t>
      </w:r>
    </w:p>
    <w:p w14:paraId="575094E5" w14:textId="1160F40B" w:rsidR="002C2F6C" w:rsidRDefault="00C510DA">
      <w:pPr>
        <w:pStyle w:val="ListBullet"/>
        <w:numPr>
          <w:ilvl w:val="0"/>
          <w:numId w:val="74"/>
        </w:numPr>
      </w:pPr>
      <w:r>
        <w:t>allowing enough time for recruiting p</w:t>
      </w:r>
      <w:r w:rsidR="008B1282">
        <w:t>articipants</w:t>
      </w:r>
      <w:r w:rsidR="002C2F6C">
        <w:t xml:space="preserve"> </w:t>
      </w:r>
      <w:r w:rsidR="0ACE3A07">
        <w:t>(</w:t>
      </w:r>
      <w:r w:rsidR="006B4DC5">
        <w:t>at least two weeks</w:t>
      </w:r>
      <w:r w:rsidR="1043623B">
        <w:t>)</w:t>
      </w:r>
      <w:r w:rsidR="002C2F6C">
        <w:t xml:space="preserve"> </w:t>
      </w:r>
    </w:p>
    <w:p w14:paraId="496CE8D0" w14:textId="450A1544" w:rsidR="002C2F6C" w:rsidRPr="008E6767" w:rsidRDefault="002C2F6C">
      <w:pPr>
        <w:pStyle w:val="ListBullet"/>
        <w:numPr>
          <w:ilvl w:val="0"/>
          <w:numId w:val="74"/>
        </w:numPr>
      </w:pPr>
      <w:r>
        <w:lastRenderedPageBreak/>
        <w:t>attending</w:t>
      </w:r>
      <w:r w:rsidR="7E977A98">
        <w:t xml:space="preserve"> </w:t>
      </w:r>
      <w:r>
        <w:t>established events</w:t>
      </w:r>
      <w:r w:rsidR="008B1282">
        <w:t>,</w:t>
      </w:r>
      <w:r w:rsidR="3092CEE1">
        <w:t xml:space="preserve"> such as</w:t>
      </w:r>
      <w:r>
        <w:t xml:space="preserve"> farmers markets and charity events</w:t>
      </w:r>
      <w:r w:rsidR="008B1282">
        <w:t>,</w:t>
      </w:r>
      <w:r>
        <w:t xml:space="preserve"> to engage with our community. </w:t>
      </w:r>
    </w:p>
    <w:p w14:paraId="6C2D77A5" w14:textId="44191524" w:rsidR="00F703F8" w:rsidRDefault="00103BA0" w:rsidP="00044659">
      <w:r>
        <w:t>We used t</w:t>
      </w:r>
      <w:r w:rsidR="00F6591A" w:rsidRPr="00F703F8">
        <w:t xml:space="preserve">he findings from the </w:t>
      </w:r>
      <w:r w:rsidR="02F7C85B" w:rsidRPr="00F703F8">
        <w:t>joint</w:t>
      </w:r>
      <w:r w:rsidR="00F6591A" w:rsidRPr="00F703F8">
        <w:t xml:space="preserve"> tariff </w:t>
      </w:r>
      <w:r w:rsidR="66721704" w:rsidRPr="00F703F8">
        <w:t xml:space="preserve">reform focus groups </w:t>
      </w:r>
      <w:r>
        <w:t xml:space="preserve">to develop </w:t>
      </w:r>
      <w:r w:rsidR="41A97369" w:rsidRPr="00F703F8">
        <w:t>our 2024 proposed</w:t>
      </w:r>
      <w:r w:rsidR="00F761BC" w:rsidRPr="00F703F8">
        <w:t xml:space="preserve"> tariff structure</w:t>
      </w:r>
      <w:r w:rsidR="2AD0D0B2" w:rsidRPr="00F703F8">
        <w:t>s</w:t>
      </w:r>
      <w:r w:rsidR="007D178B">
        <w:t xml:space="preserve"> </w:t>
      </w:r>
      <w:r w:rsidR="00F85A18">
        <w:t>(see</w:t>
      </w:r>
      <w:r w:rsidR="00DC5E7B" w:rsidRPr="006450AD">
        <w:t xml:space="preserve"> </w:t>
      </w:r>
      <w:r w:rsidR="005E2CAE">
        <w:t>S</w:t>
      </w:r>
      <w:r w:rsidR="002F3241">
        <w:t xml:space="preserve">ection </w:t>
      </w:r>
      <w:r w:rsidR="003D56A0">
        <w:t>6</w:t>
      </w:r>
      <w:r w:rsidR="002F3241">
        <w:fldChar w:fldCharType="begin"/>
      </w:r>
      <w:r w:rsidR="002F3241">
        <w:instrText xml:space="preserve"> REF _Ref145919119 \r \h </w:instrText>
      </w:r>
      <w:r w:rsidR="0069425C">
        <w:fldChar w:fldCharType="separate"/>
      </w:r>
      <w:r w:rsidR="002F3241">
        <w:fldChar w:fldCharType="end"/>
      </w:r>
      <w:r w:rsidR="00F85A18">
        <w:t>)</w:t>
      </w:r>
      <w:r w:rsidR="002F3241">
        <w:t>.</w:t>
      </w:r>
    </w:p>
    <w:p w14:paraId="4FC539B3" w14:textId="4088BBA4" w:rsidR="007862F9" w:rsidRDefault="4F03A411" w:rsidP="00707B54">
      <w:pPr>
        <w:pStyle w:val="Heading2"/>
      </w:pPr>
      <w:bookmarkStart w:id="74" w:name="_Toc146004858"/>
      <w:bookmarkStart w:id="75" w:name="_Toc146004746"/>
      <w:bookmarkStart w:id="76" w:name="_Toc146746692"/>
      <w:r>
        <w:t>Price submission engagement</w:t>
      </w:r>
      <w:bookmarkEnd w:id="74"/>
      <w:bookmarkEnd w:id="75"/>
      <w:bookmarkEnd w:id="76"/>
    </w:p>
    <w:p w14:paraId="03A909D2" w14:textId="6844910D" w:rsidR="007862F9" w:rsidRDefault="007862F9" w:rsidP="005B69CD">
      <w:pPr>
        <w:pStyle w:val="Heading3"/>
      </w:pPr>
      <w:r>
        <w:t>Activation</w:t>
      </w:r>
    </w:p>
    <w:p w14:paraId="06EA629B" w14:textId="77777777" w:rsidR="007862F9" w:rsidRPr="00856F80" w:rsidRDefault="007862F9" w:rsidP="007862F9">
      <w:pPr>
        <w:pStyle w:val="Heading4"/>
      </w:pPr>
      <w:r>
        <w:t>Engagement focus</w:t>
      </w:r>
    </w:p>
    <w:p w14:paraId="65679D6D" w14:textId="2386E04C" w:rsidR="007862F9" w:rsidRPr="00837157" w:rsidRDefault="008B1282" w:rsidP="00044659">
      <w:r>
        <w:t>The</w:t>
      </w:r>
      <w:r w:rsidR="007862F9" w:rsidRPr="00856F80">
        <w:t xml:space="preserve"> </w:t>
      </w:r>
      <w:r w:rsidR="007862F9" w:rsidRPr="00856F80">
        <w:rPr>
          <w:b/>
          <w:bCs/>
        </w:rPr>
        <w:t>Activation</w:t>
      </w:r>
      <w:r w:rsidR="007862F9" w:rsidRPr="00856F80">
        <w:t xml:space="preserve"> </w:t>
      </w:r>
      <w:r>
        <w:t>stage</w:t>
      </w:r>
      <w:r w:rsidR="007862F9" w:rsidRPr="00856F80">
        <w:t xml:space="preserve"> (August – October 2022) focused on </w:t>
      </w:r>
      <w:r w:rsidR="007862F9" w:rsidRPr="73DCBEF2">
        <w:t>engag</w:t>
      </w:r>
      <w:r w:rsidR="1ADF571D" w:rsidRPr="73DCBEF2">
        <w:t>ing within GWW</w:t>
      </w:r>
      <w:r w:rsidR="007862F9" w:rsidRPr="73DCBEF2">
        <w:t>.</w:t>
      </w:r>
      <w:r w:rsidR="007862F9" w:rsidRPr="00856F80">
        <w:t xml:space="preserve"> We identified challenges </w:t>
      </w:r>
      <w:r w:rsidR="00901D27">
        <w:t xml:space="preserve">where </w:t>
      </w:r>
      <w:r w:rsidR="008A0DA7">
        <w:t xml:space="preserve">we needed </w:t>
      </w:r>
      <w:r w:rsidR="00C173B2">
        <w:t>customers</w:t>
      </w:r>
      <w:r w:rsidR="0086369C">
        <w:t>’</w:t>
      </w:r>
      <w:r w:rsidR="00C173B2">
        <w:t xml:space="preserve"> </w:t>
      </w:r>
      <w:r w:rsidR="00901D27">
        <w:t xml:space="preserve">direction </w:t>
      </w:r>
      <w:r w:rsidR="00117123">
        <w:t>and</w:t>
      </w:r>
      <w:r w:rsidR="52B7541A" w:rsidRPr="1AD489D1">
        <w:t xml:space="preserve"> decisions</w:t>
      </w:r>
      <w:r w:rsidR="007862F9" w:rsidRPr="1AD489D1">
        <w:t>.</w:t>
      </w:r>
      <w:r w:rsidR="007862F9" w:rsidRPr="00856F80">
        <w:t xml:space="preserve"> We </w:t>
      </w:r>
      <w:r w:rsidR="003D6DEB">
        <w:t xml:space="preserve">established </w:t>
      </w:r>
      <w:r w:rsidR="72037C0A" w:rsidRPr="1AD489D1">
        <w:t>the scope of</w:t>
      </w:r>
      <w:r w:rsidR="007862F9" w:rsidRPr="00856F80">
        <w:t xml:space="preserve"> our engagement</w:t>
      </w:r>
      <w:r w:rsidR="770057B5" w:rsidRPr="1AD489D1">
        <w:t>, asking</w:t>
      </w:r>
      <w:r w:rsidR="007862F9" w:rsidRPr="00856F80">
        <w:t>: ‘How can we leverage the voices of our customers to achieve a balance of investment in the future while maintaining an affordable service for our customers?’</w:t>
      </w:r>
      <w:r w:rsidR="2950F3B2" w:rsidRPr="62EFBC8B">
        <w:t>. We</w:t>
      </w:r>
      <w:r w:rsidR="007862F9" w:rsidRPr="00856F80">
        <w:t xml:space="preserve"> decided </w:t>
      </w:r>
      <w:r>
        <w:t>to use</w:t>
      </w:r>
      <w:r w:rsidR="007862F9" w:rsidRPr="00856F80">
        <w:t xml:space="preserve"> our </w:t>
      </w:r>
      <w:r w:rsidR="007862F9" w:rsidRPr="00856F80">
        <w:rPr>
          <w:i/>
          <w:iCs/>
        </w:rPr>
        <w:t>2030 Strategy</w:t>
      </w:r>
      <w:r w:rsidR="007862F9" w:rsidRPr="00856F80">
        <w:t xml:space="preserve"> </w:t>
      </w:r>
      <w:r w:rsidR="00367A02">
        <w:t>strategic outcomes</w:t>
      </w:r>
      <w:r w:rsidR="009C0F64" w:rsidDel="003D6DEB">
        <w:t xml:space="preserve"> </w:t>
      </w:r>
      <w:r w:rsidR="007862F9" w:rsidRPr="00856F80">
        <w:t>to help structure our conversations with customers</w:t>
      </w:r>
      <w:r w:rsidR="007862F9">
        <w:t>.</w:t>
      </w:r>
      <w:r w:rsidR="007862F9" w:rsidRPr="00856F80">
        <w:t xml:space="preserve">  </w:t>
      </w:r>
    </w:p>
    <w:p w14:paraId="530F591B" w14:textId="2C27C53C" w:rsidR="007862F9" w:rsidRPr="00837157" w:rsidRDefault="007862F9" w:rsidP="007862F9">
      <w:pPr>
        <w:rPr>
          <w:rFonts w:asciiTheme="majorHAnsi" w:hAnsiTheme="majorHAnsi"/>
        </w:rPr>
      </w:pPr>
      <w:r w:rsidRPr="00837157">
        <w:rPr>
          <w:rFonts w:asciiTheme="majorHAnsi" w:hAnsiTheme="majorHAnsi"/>
        </w:rPr>
        <w:t>This work identified</w:t>
      </w:r>
      <w:r w:rsidR="00117123">
        <w:rPr>
          <w:rFonts w:asciiTheme="majorHAnsi" w:hAnsiTheme="majorHAnsi"/>
        </w:rPr>
        <w:t xml:space="preserve"> some of our largest potential spend areas and biggest</w:t>
      </w:r>
      <w:r w:rsidRPr="00837157">
        <w:rPr>
          <w:rFonts w:asciiTheme="majorHAnsi" w:hAnsiTheme="majorHAnsi"/>
        </w:rPr>
        <w:t xml:space="preserve"> </w:t>
      </w:r>
      <w:r w:rsidRPr="4375F124">
        <w:rPr>
          <w:rFonts w:asciiTheme="majorHAnsi" w:hAnsiTheme="majorHAnsi"/>
        </w:rPr>
        <w:t xml:space="preserve">challenges </w:t>
      </w:r>
      <w:r w:rsidR="0042517F">
        <w:rPr>
          <w:rFonts w:asciiTheme="majorHAnsi" w:hAnsiTheme="majorHAnsi"/>
        </w:rPr>
        <w:t xml:space="preserve">that </w:t>
      </w:r>
      <w:r w:rsidRPr="5A1E6E30">
        <w:rPr>
          <w:rFonts w:asciiTheme="majorHAnsi" w:hAnsiTheme="majorHAnsi"/>
        </w:rPr>
        <w:t xml:space="preserve">customers </w:t>
      </w:r>
      <w:r w:rsidR="4FD89253" w:rsidRPr="0453B241">
        <w:rPr>
          <w:rFonts w:asciiTheme="majorHAnsi" w:hAnsiTheme="majorHAnsi"/>
        </w:rPr>
        <w:t>could</w:t>
      </w:r>
      <w:r w:rsidRPr="6B763581">
        <w:rPr>
          <w:rFonts w:asciiTheme="majorHAnsi" w:hAnsiTheme="majorHAnsi"/>
        </w:rPr>
        <w:t xml:space="preserve"> influence</w:t>
      </w:r>
      <w:r w:rsidR="27AFD58A" w:rsidRPr="0453B241">
        <w:rPr>
          <w:rFonts w:asciiTheme="majorHAnsi" w:hAnsiTheme="majorHAnsi"/>
        </w:rPr>
        <w:t>,</w:t>
      </w:r>
      <w:r w:rsidRPr="593B4F97">
        <w:rPr>
          <w:rFonts w:asciiTheme="majorHAnsi" w:hAnsiTheme="majorHAnsi"/>
        </w:rPr>
        <w:t xml:space="preserve"> </w:t>
      </w:r>
      <w:r w:rsidR="6F7F8439" w:rsidRPr="65920FA6">
        <w:rPr>
          <w:rFonts w:asciiTheme="majorHAnsi" w:hAnsiTheme="majorHAnsi"/>
        </w:rPr>
        <w:t xml:space="preserve">including: </w:t>
      </w:r>
    </w:p>
    <w:p w14:paraId="0EDA39FA" w14:textId="238B1B85" w:rsidR="007862F9" w:rsidRPr="00837157" w:rsidRDefault="007862F9">
      <w:pPr>
        <w:pStyle w:val="ListBullet"/>
        <w:numPr>
          <w:ilvl w:val="0"/>
          <w:numId w:val="75"/>
        </w:numPr>
      </w:pPr>
      <w:r>
        <w:t xml:space="preserve">reliability – </w:t>
      </w:r>
      <w:r w:rsidRPr="00837157">
        <w:t xml:space="preserve">how quickly we should align service levels </w:t>
      </w:r>
      <w:r w:rsidR="006F4A20">
        <w:t xml:space="preserve">across the region </w:t>
      </w:r>
      <w:r>
        <w:t xml:space="preserve">and how we </w:t>
      </w:r>
      <w:r w:rsidR="000B3A90">
        <w:t xml:space="preserve">should </w:t>
      </w:r>
      <w:r w:rsidR="00254413">
        <w:t xml:space="preserve">manage </w:t>
      </w:r>
      <w:r w:rsidRPr="00837157">
        <w:t xml:space="preserve">unplanned </w:t>
      </w:r>
      <w:proofErr w:type="gramStart"/>
      <w:r w:rsidRPr="00837157">
        <w:t>interruptions</w:t>
      </w:r>
      <w:proofErr w:type="gramEnd"/>
    </w:p>
    <w:p w14:paraId="64EEE523" w14:textId="77777777" w:rsidR="007862F9" w:rsidRPr="00837157" w:rsidRDefault="007862F9">
      <w:pPr>
        <w:pStyle w:val="ListBullet"/>
        <w:numPr>
          <w:ilvl w:val="0"/>
          <w:numId w:val="75"/>
        </w:numPr>
      </w:pPr>
      <w:r w:rsidRPr="00837157">
        <w:t xml:space="preserve">the balance between affordability and system reliability </w:t>
      </w:r>
    </w:p>
    <w:p w14:paraId="3BD96E32" w14:textId="3CF4FF80" w:rsidR="007862F9" w:rsidRPr="00837157" w:rsidRDefault="007862F9">
      <w:pPr>
        <w:pStyle w:val="ListBullet"/>
        <w:numPr>
          <w:ilvl w:val="0"/>
          <w:numId w:val="75"/>
        </w:numPr>
      </w:pPr>
      <w:r w:rsidRPr="00837157">
        <w:t>how we achieve net zero</w:t>
      </w:r>
      <w:r w:rsidR="00D31B71">
        <w:t xml:space="preserve"> emissions</w:t>
      </w:r>
    </w:p>
    <w:p w14:paraId="1F653F05" w14:textId="77777777" w:rsidR="007862F9" w:rsidRPr="00837157" w:rsidRDefault="007862F9">
      <w:pPr>
        <w:pStyle w:val="ListBullet"/>
        <w:numPr>
          <w:ilvl w:val="0"/>
          <w:numId w:val="75"/>
        </w:numPr>
      </w:pPr>
      <w:r w:rsidRPr="00837157">
        <w:t>how we go about healing and caring for Country</w:t>
      </w:r>
    </w:p>
    <w:p w14:paraId="0A2F67E7" w14:textId="5E1C9AF6" w:rsidR="007862F9" w:rsidRPr="00837157" w:rsidRDefault="007862F9">
      <w:pPr>
        <w:pStyle w:val="ListBullet"/>
        <w:numPr>
          <w:ilvl w:val="0"/>
          <w:numId w:val="75"/>
        </w:numPr>
      </w:pPr>
      <w:r w:rsidRPr="00837157">
        <w:t xml:space="preserve">how we support our customers – particularly those who experience </w:t>
      </w:r>
      <w:r w:rsidR="007C0BCF">
        <w:t>hardship</w:t>
      </w:r>
    </w:p>
    <w:p w14:paraId="57B1CE86" w14:textId="714FFAAD" w:rsidR="007862F9" w:rsidRPr="00837157" w:rsidRDefault="007862F9">
      <w:pPr>
        <w:pStyle w:val="ListBullet"/>
        <w:numPr>
          <w:ilvl w:val="0"/>
          <w:numId w:val="75"/>
        </w:numPr>
      </w:pPr>
      <w:r w:rsidRPr="00837157">
        <w:t xml:space="preserve">what digitisation of </w:t>
      </w:r>
      <w:r w:rsidRPr="65920FA6">
        <w:t>service</w:t>
      </w:r>
      <w:r w:rsidR="2C95439A" w:rsidRPr="65920FA6">
        <w:t>s</w:t>
      </w:r>
      <w:r w:rsidRPr="00837157">
        <w:t xml:space="preserve"> customers would </w:t>
      </w:r>
      <w:proofErr w:type="gramStart"/>
      <w:r w:rsidRPr="00837157">
        <w:t>value</w:t>
      </w:r>
      <w:proofErr w:type="gramEnd"/>
      <w:r w:rsidRPr="00837157">
        <w:t xml:space="preserve"> </w:t>
      </w:r>
    </w:p>
    <w:p w14:paraId="5B4CE111" w14:textId="291D3D39" w:rsidR="007862F9" w:rsidRPr="00837157" w:rsidRDefault="007862F9">
      <w:pPr>
        <w:pStyle w:val="ListBullet"/>
        <w:numPr>
          <w:ilvl w:val="0"/>
          <w:numId w:val="75"/>
        </w:numPr>
      </w:pPr>
      <w:r w:rsidRPr="00837157">
        <w:t xml:space="preserve">what opportunities customers would </w:t>
      </w:r>
      <w:r w:rsidR="734C1B97" w:rsidRPr="1B86B4A3">
        <w:t xml:space="preserve">like GWW to </w:t>
      </w:r>
      <w:r w:rsidRPr="00837157">
        <w:t xml:space="preserve">investigate </w:t>
      </w:r>
      <w:r w:rsidRPr="7D58A49F">
        <w:t>to</w:t>
      </w:r>
      <w:r w:rsidRPr="00837157">
        <w:t xml:space="preserve"> improve climate resilience </w:t>
      </w:r>
      <w:r w:rsidR="159492F9" w:rsidRPr="1B86B4A3">
        <w:t>through alternative water</w:t>
      </w:r>
      <w:r w:rsidR="7D614318" w:rsidRPr="66198543">
        <w:t xml:space="preserve"> </w:t>
      </w:r>
      <w:proofErr w:type="gramStart"/>
      <w:r w:rsidR="7D614318" w:rsidRPr="66198543">
        <w:t>use</w:t>
      </w:r>
      <w:proofErr w:type="gramEnd"/>
    </w:p>
    <w:p w14:paraId="2F6322B7" w14:textId="28F00CD0" w:rsidR="007862F9" w:rsidRPr="00837157" w:rsidRDefault="006D7F75">
      <w:pPr>
        <w:pStyle w:val="ListBullet"/>
        <w:numPr>
          <w:ilvl w:val="0"/>
          <w:numId w:val="75"/>
        </w:numPr>
      </w:pPr>
      <w:r>
        <w:t xml:space="preserve">the ways we deliver against our compliance </w:t>
      </w:r>
      <w:proofErr w:type="gramStart"/>
      <w:r>
        <w:t>obligations</w:t>
      </w:r>
      <w:proofErr w:type="gramEnd"/>
      <w:r>
        <w:t xml:space="preserve"> </w:t>
      </w:r>
      <w:r w:rsidR="007862F9" w:rsidRPr="00837157">
        <w:t xml:space="preserve"> </w:t>
      </w:r>
    </w:p>
    <w:p w14:paraId="0937A2A5" w14:textId="77777777" w:rsidR="007862F9" w:rsidRPr="00837157" w:rsidRDefault="007862F9">
      <w:pPr>
        <w:pStyle w:val="ListBullet"/>
        <w:numPr>
          <w:ilvl w:val="0"/>
          <w:numId w:val="75"/>
        </w:numPr>
      </w:pPr>
      <w:r w:rsidRPr="00837157">
        <w:t>level of investment in integrated water management solutions</w:t>
      </w:r>
    </w:p>
    <w:p w14:paraId="3592C9DE" w14:textId="7B7E0E87" w:rsidR="007862F9" w:rsidRPr="00837157" w:rsidRDefault="007862F9">
      <w:pPr>
        <w:pStyle w:val="ListBullet"/>
        <w:numPr>
          <w:ilvl w:val="0"/>
          <w:numId w:val="75"/>
        </w:numPr>
      </w:pPr>
      <w:r w:rsidRPr="00837157">
        <w:t xml:space="preserve">how we support </w:t>
      </w:r>
      <w:r w:rsidR="00112A46">
        <w:t>environmental (waterway)</w:t>
      </w:r>
      <w:r w:rsidR="00112A46" w:rsidRPr="00837157">
        <w:t xml:space="preserve"> </w:t>
      </w:r>
      <w:r w:rsidRPr="00837157">
        <w:t>health</w:t>
      </w:r>
      <w:r w:rsidR="00903D28">
        <w:t>.</w:t>
      </w:r>
    </w:p>
    <w:p w14:paraId="0F0E5914" w14:textId="6DE09EE8" w:rsidR="0084356A" w:rsidRPr="00837157" w:rsidRDefault="00F20C5C" w:rsidP="007862F9">
      <w:pPr>
        <w:rPr>
          <w:rFonts w:asciiTheme="majorHAnsi" w:hAnsiTheme="majorHAnsi"/>
        </w:rPr>
      </w:pPr>
      <w:r>
        <w:rPr>
          <w:rFonts w:asciiTheme="majorHAnsi" w:hAnsiTheme="majorHAnsi"/>
        </w:rPr>
        <w:t>We</w:t>
      </w:r>
      <w:r w:rsidR="004036BE">
        <w:rPr>
          <w:rFonts w:asciiTheme="majorHAnsi" w:hAnsiTheme="majorHAnsi"/>
        </w:rPr>
        <w:t xml:space="preserve"> also built on our understanding of </w:t>
      </w:r>
      <w:r w:rsidR="003F6AC7">
        <w:rPr>
          <w:rFonts w:asciiTheme="majorHAnsi" w:hAnsiTheme="majorHAnsi"/>
        </w:rPr>
        <w:t>the wider community context</w:t>
      </w:r>
      <w:r w:rsidR="59D9117B" w:rsidRPr="54655B71">
        <w:rPr>
          <w:rFonts w:asciiTheme="majorHAnsi" w:hAnsiTheme="majorHAnsi"/>
        </w:rPr>
        <w:t xml:space="preserve"> by</w:t>
      </w:r>
      <w:r w:rsidR="003F6AC7">
        <w:rPr>
          <w:rFonts w:asciiTheme="majorHAnsi" w:hAnsiTheme="majorHAnsi"/>
        </w:rPr>
        <w:t xml:space="preserve"> reviewing 3,200 customer </w:t>
      </w:r>
      <w:r w:rsidR="00B237EE">
        <w:rPr>
          <w:rFonts w:asciiTheme="majorHAnsi" w:hAnsiTheme="majorHAnsi"/>
        </w:rPr>
        <w:t xml:space="preserve">responses </w:t>
      </w:r>
      <w:r w:rsidR="00A91807">
        <w:rPr>
          <w:rFonts w:asciiTheme="majorHAnsi" w:hAnsiTheme="majorHAnsi"/>
        </w:rPr>
        <w:t xml:space="preserve">to other industry surveys and research </w:t>
      </w:r>
      <w:r w:rsidR="00AB4AA8">
        <w:rPr>
          <w:rFonts w:asciiTheme="majorHAnsi" w:hAnsiTheme="majorHAnsi"/>
        </w:rPr>
        <w:t>papers.</w:t>
      </w:r>
      <w:r w:rsidR="0084356A">
        <w:rPr>
          <w:rStyle w:val="EndnoteReference"/>
          <w:rFonts w:asciiTheme="majorHAnsi" w:hAnsiTheme="majorHAnsi"/>
        </w:rPr>
        <w:endnoteReference w:id="3"/>
      </w:r>
    </w:p>
    <w:p w14:paraId="645645AB" w14:textId="0DEABFDB" w:rsidR="009239E5" w:rsidRDefault="009239E5" w:rsidP="005B69CD">
      <w:pPr>
        <w:pStyle w:val="Heading3"/>
      </w:pPr>
      <w:r>
        <w:t>Exploration</w:t>
      </w:r>
    </w:p>
    <w:p w14:paraId="5CBB9932" w14:textId="77777777" w:rsidR="009239E5" w:rsidRPr="002B7187" w:rsidRDefault="009239E5" w:rsidP="009239E5">
      <w:pPr>
        <w:pStyle w:val="Heading4"/>
      </w:pPr>
      <w:r>
        <w:t xml:space="preserve">Engagement focus </w:t>
      </w:r>
    </w:p>
    <w:p w14:paraId="6E78DD3F" w14:textId="5D9303AA" w:rsidR="009239E5" w:rsidRDefault="009239E5" w:rsidP="009239E5">
      <w:pPr>
        <w:rPr>
          <w:rFonts w:asciiTheme="majorHAnsi" w:hAnsiTheme="majorHAnsi"/>
        </w:rPr>
      </w:pPr>
      <w:r w:rsidRPr="00837157">
        <w:rPr>
          <w:rFonts w:asciiTheme="majorHAnsi" w:hAnsiTheme="majorHAnsi"/>
          <w:bCs/>
        </w:rPr>
        <w:t>The</w:t>
      </w:r>
      <w:r w:rsidRPr="00837157">
        <w:rPr>
          <w:rFonts w:asciiTheme="majorHAnsi" w:hAnsiTheme="majorHAnsi"/>
          <w:b/>
        </w:rPr>
        <w:t xml:space="preserve"> </w:t>
      </w:r>
      <w:r>
        <w:rPr>
          <w:rFonts w:asciiTheme="majorHAnsi" w:hAnsiTheme="majorHAnsi"/>
          <w:b/>
        </w:rPr>
        <w:t>E</w:t>
      </w:r>
      <w:r w:rsidRPr="00837157">
        <w:rPr>
          <w:rFonts w:asciiTheme="majorHAnsi" w:hAnsiTheme="majorHAnsi"/>
          <w:b/>
        </w:rPr>
        <w:t>xploration</w:t>
      </w:r>
      <w:r w:rsidRPr="00837157">
        <w:rPr>
          <w:rFonts w:asciiTheme="majorHAnsi" w:hAnsiTheme="majorHAnsi"/>
        </w:rPr>
        <w:t xml:space="preserve"> </w:t>
      </w:r>
      <w:r w:rsidR="202BD2CA" w:rsidRPr="54655B71">
        <w:rPr>
          <w:rFonts w:asciiTheme="majorHAnsi" w:hAnsiTheme="majorHAnsi"/>
        </w:rPr>
        <w:t xml:space="preserve">stage </w:t>
      </w:r>
      <w:r w:rsidRPr="00837157">
        <w:rPr>
          <w:rFonts w:asciiTheme="majorHAnsi" w:hAnsiTheme="majorHAnsi"/>
        </w:rPr>
        <w:t xml:space="preserve">(October – December 2022) tested our </w:t>
      </w:r>
      <w:r w:rsidRPr="00837157">
        <w:rPr>
          <w:rFonts w:asciiTheme="majorHAnsi" w:hAnsiTheme="majorHAnsi"/>
          <w:i/>
        </w:rPr>
        <w:t>2030 Strategy</w:t>
      </w:r>
      <w:r w:rsidRPr="00837157">
        <w:rPr>
          <w:rFonts w:asciiTheme="majorHAnsi" w:hAnsiTheme="majorHAnsi"/>
        </w:rPr>
        <w:t xml:space="preserve"> </w:t>
      </w:r>
      <w:r w:rsidR="00D802B1">
        <w:rPr>
          <w:rFonts w:asciiTheme="majorHAnsi" w:hAnsiTheme="majorHAnsi"/>
        </w:rPr>
        <w:t>outcomes</w:t>
      </w:r>
      <w:r w:rsidRPr="00837157">
        <w:rPr>
          <w:rFonts w:asciiTheme="majorHAnsi" w:hAnsiTheme="majorHAnsi"/>
        </w:rPr>
        <w:t xml:space="preserve"> of customers, </w:t>
      </w:r>
      <w:proofErr w:type="gramStart"/>
      <w:r w:rsidRPr="00837157">
        <w:rPr>
          <w:rFonts w:asciiTheme="majorHAnsi" w:hAnsiTheme="majorHAnsi"/>
        </w:rPr>
        <w:t>communities</w:t>
      </w:r>
      <w:proofErr w:type="gramEnd"/>
      <w:r w:rsidRPr="00837157">
        <w:rPr>
          <w:rFonts w:asciiTheme="majorHAnsi" w:hAnsiTheme="majorHAnsi"/>
        </w:rPr>
        <w:t xml:space="preserve"> and Country. </w:t>
      </w:r>
      <w:r>
        <w:rPr>
          <w:rFonts w:asciiTheme="majorHAnsi" w:hAnsiTheme="majorHAnsi"/>
        </w:rPr>
        <w:t xml:space="preserve">It also tested </w:t>
      </w:r>
      <w:r w:rsidR="00577550">
        <w:rPr>
          <w:rFonts w:asciiTheme="majorHAnsi" w:hAnsiTheme="majorHAnsi"/>
        </w:rPr>
        <w:t xml:space="preserve">which </w:t>
      </w:r>
      <w:r>
        <w:rPr>
          <w:rFonts w:asciiTheme="majorHAnsi" w:hAnsiTheme="majorHAnsi"/>
        </w:rPr>
        <w:t xml:space="preserve">of our key challenges from the activation </w:t>
      </w:r>
      <w:r w:rsidR="750D9BAF" w:rsidRPr="54655B71">
        <w:rPr>
          <w:rFonts w:asciiTheme="majorHAnsi" w:hAnsiTheme="majorHAnsi"/>
        </w:rPr>
        <w:t xml:space="preserve">stage </w:t>
      </w:r>
      <w:r>
        <w:rPr>
          <w:rFonts w:asciiTheme="majorHAnsi" w:hAnsiTheme="majorHAnsi"/>
        </w:rPr>
        <w:t xml:space="preserve">were most important to our customers. </w:t>
      </w:r>
    </w:p>
    <w:p w14:paraId="2DCCA8EF" w14:textId="72F4BDC3" w:rsidR="009239E5" w:rsidRDefault="009239E5" w:rsidP="009239E5">
      <w:pPr>
        <w:pStyle w:val="Heading4"/>
      </w:pPr>
      <w:r>
        <w:t>How we engaged</w:t>
      </w:r>
    </w:p>
    <w:p w14:paraId="1627AAB7" w14:textId="2FF1AFBF" w:rsidR="009239E5" w:rsidRDefault="009239E5" w:rsidP="009239E5">
      <w:r w:rsidRPr="00837157">
        <w:rPr>
          <w:b/>
          <w:bCs/>
        </w:rPr>
        <w:t>Community survey and focus groups</w:t>
      </w:r>
      <w:r w:rsidRPr="00837157">
        <w:t xml:space="preserve"> (3,097 survey response, 69 focus group attendees)</w:t>
      </w:r>
    </w:p>
    <w:p w14:paraId="0ACCEB67" w14:textId="3220D0A9" w:rsidR="009239E5" w:rsidRDefault="009239E5" w:rsidP="009239E5">
      <w:pPr>
        <w:rPr>
          <w:rFonts w:asciiTheme="majorHAnsi" w:hAnsiTheme="majorHAnsi"/>
        </w:rPr>
      </w:pPr>
      <w:r>
        <w:t xml:space="preserve">To ensure accessibility, </w:t>
      </w:r>
      <w:r w:rsidR="396E5C35">
        <w:t>customers</w:t>
      </w:r>
      <w:r>
        <w:t xml:space="preserve"> </w:t>
      </w:r>
      <w:r w:rsidR="197372B8">
        <w:t xml:space="preserve">could call a </w:t>
      </w:r>
      <w:r>
        <w:t xml:space="preserve">hotline </w:t>
      </w:r>
      <w:r w:rsidR="5B5E6FCE" w:rsidRPr="4E6B1D1C">
        <w:rPr>
          <w:rFonts w:asciiTheme="majorHAnsi" w:hAnsiTheme="majorHAnsi"/>
        </w:rPr>
        <w:t xml:space="preserve">where the survey could be translated into </w:t>
      </w:r>
      <w:r w:rsidR="0013585F">
        <w:rPr>
          <w:rFonts w:asciiTheme="majorHAnsi" w:hAnsiTheme="majorHAnsi"/>
        </w:rPr>
        <w:t>their preferred language</w:t>
      </w:r>
      <w:r w:rsidR="00AD74A2">
        <w:rPr>
          <w:rFonts w:asciiTheme="majorHAnsi" w:hAnsiTheme="majorHAnsi"/>
        </w:rPr>
        <w:t xml:space="preserve"> – with more than 300 languages provided by this service</w:t>
      </w:r>
      <w:r w:rsidR="5B5E6FCE" w:rsidRPr="4E6B1D1C">
        <w:rPr>
          <w:rFonts w:asciiTheme="majorHAnsi" w:hAnsiTheme="majorHAnsi"/>
        </w:rPr>
        <w:t>.</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54CF3B15" w14:textId="77777777" w:rsidTr="003B3A50">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38F6F576" w14:textId="77777777" w:rsidR="009239E5" w:rsidRPr="005C643C" w:rsidRDefault="009239E5">
            <w:pPr>
              <w:rPr>
                <w:b w:val="0"/>
              </w:rPr>
            </w:pPr>
            <w:r w:rsidRPr="005C643C">
              <w:rPr>
                <w:b w:val="0"/>
              </w:rPr>
              <w:lastRenderedPageBreak/>
              <w:t>Who we heard from</w:t>
            </w:r>
          </w:p>
        </w:tc>
        <w:tc>
          <w:tcPr>
            <w:tcW w:w="3897" w:type="pct"/>
          </w:tcPr>
          <w:p w14:paraId="75338702" w14:textId="77777777" w:rsidR="009239E5" w:rsidRDefault="009239E5">
            <w:pPr>
              <w:cnfStyle w:val="000000000000" w:firstRow="0" w:lastRow="0" w:firstColumn="0" w:lastColumn="0" w:oddVBand="0" w:evenVBand="0" w:oddHBand="0" w:evenHBand="0" w:firstRowFirstColumn="0" w:firstRowLastColumn="0" w:lastRowFirstColumn="0" w:lastRowLastColumn="0"/>
            </w:pPr>
            <w:r>
              <w:t>R</w:t>
            </w:r>
            <w:r w:rsidRPr="00837157">
              <w:t>enters, homeowners, small businesses, customers who identified as experiencing payment difficulties, young customers and international students, retirees, culturally and linguistically diverse customers, customers who identify as living with a disability</w:t>
            </w:r>
          </w:p>
        </w:tc>
      </w:tr>
      <w:tr w:rsidR="009A7D42" w14:paraId="02DE18F8" w14:textId="77777777" w:rsidTr="003B3A50">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2D1A6913" w14:textId="77777777" w:rsidR="009239E5" w:rsidRPr="005C643C" w:rsidRDefault="009239E5">
            <w:pPr>
              <w:rPr>
                <w:b w:val="0"/>
              </w:rPr>
            </w:pPr>
            <w:r w:rsidRPr="005C643C">
              <w:rPr>
                <w:b w:val="0"/>
              </w:rPr>
              <w:t xml:space="preserve">Purpose </w:t>
            </w:r>
          </w:p>
        </w:tc>
        <w:tc>
          <w:tcPr>
            <w:tcW w:w="3897" w:type="pct"/>
          </w:tcPr>
          <w:p w14:paraId="693DCC93" w14:textId="093B951A" w:rsidR="009239E5" w:rsidRDefault="009239E5">
            <w:pPr>
              <w:cnfStyle w:val="000000000000" w:firstRow="0" w:lastRow="0" w:firstColumn="0" w:lastColumn="0" w:oddVBand="0" w:evenVBand="0" w:oddHBand="0" w:evenHBand="0" w:firstRowFirstColumn="0" w:firstRowLastColumn="0" w:lastRowFirstColumn="0" w:lastRowLastColumn="0"/>
            </w:pPr>
            <w:r>
              <w:t xml:space="preserve">To test if the </w:t>
            </w:r>
            <w:r w:rsidRPr="00CB44FE">
              <w:rPr>
                <w:i/>
              </w:rPr>
              <w:t>2030 Strategy</w:t>
            </w:r>
            <w:r>
              <w:t xml:space="preserve"> still resonated with our customers (including the three </w:t>
            </w:r>
            <w:r w:rsidR="00D802B1">
              <w:t>outcomes</w:t>
            </w:r>
            <w:r>
              <w:t xml:space="preserve"> of customers, </w:t>
            </w:r>
            <w:proofErr w:type="gramStart"/>
            <w:r>
              <w:t>communities</w:t>
            </w:r>
            <w:proofErr w:type="gramEnd"/>
            <w:r>
              <w:t xml:space="preserve"> and Country) and to understand what challenges customers prioritise </w:t>
            </w:r>
            <w:r w:rsidRPr="00E90D77">
              <w:rPr>
                <w:i/>
                <w:iCs/>
              </w:rPr>
              <w:t>outside</w:t>
            </w:r>
            <w:r>
              <w:t xml:space="preserve"> of affordability.</w:t>
            </w:r>
          </w:p>
        </w:tc>
      </w:tr>
    </w:tbl>
    <w:p w14:paraId="1D709559" w14:textId="77777777" w:rsidR="009239E5" w:rsidRDefault="009239E5" w:rsidP="009239E5">
      <w:pPr>
        <w:rPr>
          <w:rFonts w:asciiTheme="majorHAnsi" w:hAnsiTheme="majorHAnsi"/>
        </w:rPr>
      </w:pPr>
    </w:p>
    <w:p w14:paraId="031E341B" w14:textId="77777777" w:rsidR="009239E5" w:rsidRDefault="009239E5" w:rsidP="009239E5">
      <w:r w:rsidRPr="00837157">
        <w:rPr>
          <w:b/>
          <w:bCs/>
        </w:rPr>
        <w:t>Stakeholder survey and interviews</w:t>
      </w:r>
      <w:r w:rsidRPr="00837157">
        <w:t xml:space="preserve"> (10 stakeholders)</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266D8326"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771DBF24" w14:textId="77777777" w:rsidR="009239E5" w:rsidRPr="005C643C" w:rsidRDefault="009239E5">
            <w:pPr>
              <w:rPr>
                <w:b w:val="0"/>
              </w:rPr>
            </w:pPr>
            <w:r w:rsidRPr="005C643C">
              <w:rPr>
                <w:b w:val="0"/>
              </w:rPr>
              <w:t>Who we heard from</w:t>
            </w:r>
          </w:p>
        </w:tc>
        <w:tc>
          <w:tcPr>
            <w:tcW w:w="3897" w:type="pct"/>
          </w:tcPr>
          <w:p w14:paraId="4B3AB639" w14:textId="77777777" w:rsidR="009239E5" w:rsidRDefault="009239E5">
            <w:pPr>
              <w:cnfStyle w:val="000000000000" w:firstRow="0" w:lastRow="0" w:firstColumn="0" w:lastColumn="0" w:oddVBand="0" w:evenVBand="0" w:oddHBand="0" w:evenHBand="0" w:firstRowFirstColumn="0" w:firstRowLastColumn="0" w:lastRowFirstColumn="0" w:lastRowLastColumn="0"/>
            </w:pPr>
            <w:r>
              <w:t>T</w:t>
            </w:r>
            <w:r w:rsidRPr="00837157">
              <w:t xml:space="preserve">rade waste customers, </w:t>
            </w:r>
            <w:r>
              <w:t>education services, water industry experts, disability services and government</w:t>
            </w:r>
          </w:p>
        </w:tc>
      </w:tr>
      <w:tr w:rsidR="009A7D42" w14:paraId="6814A9F4"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524D057F" w14:textId="77777777" w:rsidR="009239E5" w:rsidRPr="005C643C" w:rsidRDefault="009239E5">
            <w:pPr>
              <w:rPr>
                <w:b w:val="0"/>
              </w:rPr>
            </w:pPr>
            <w:r w:rsidRPr="005C643C">
              <w:rPr>
                <w:b w:val="0"/>
              </w:rPr>
              <w:t xml:space="preserve">Purpose </w:t>
            </w:r>
          </w:p>
        </w:tc>
        <w:tc>
          <w:tcPr>
            <w:tcW w:w="3897" w:type="pct"/>
          </w:tcPr>
          <w:p w14:paraId="6FD8B7EB" w14:textId="0E929523" w:rsidR="009239E5" w:rsidRDefault="009239E5">
            <w:pPr>
              <w:cnfStyle w:val="000000000000" w:firstRow="0" w:lastRow="0" w:firstColumn="0" w:lastColumn="0" w:oddVBand="0" w:evenVBand="0" w:oddHBand="0" w:evenHBand="0" w:firstRowFirstColumn="0" w:firstRowLastColumn="0" w:lastRowFirstColumn="0" w:lastRowLastColumn="0"/>
            </w:pPr>
            <w:r>
              <w:t xml:space="preserve">To understand the interests, </w:t>
            </w:r>
            <w:proofErr w:type="gramStart"/>
            <w:r>
              <w:t>concerns</w:t>
            </w:r>
            <w:proofErr w:type="gramEnd"/>
            <w:r>
              <w:t xml:space="preserve"> and priorities of our non-residential stakeholders</w:t>
            </w:r>
            <w:r w:rsidR="00903D28">
              <w:t>.</w:t>
            </w:r>
          </w:p>
        </w:tc>
      </w:tr>
    </w:tbl>
    <w:p w14:paraId="7BC8F1F1" w14:textId="77777777" w:rsidR="009239E5" w:rsidRDefault="009239E5" w:rsidP="009239E5">
      <w:pPr>
        <w:rPr>
          <w:rFonts w:asciiTheme="majorHAnsi" w:hAnsiTheme="majorHAnsi"/>
        </w:rPr>
      </w:pPr>
    </w:p>
    <w:p w14:paraId="66F6B7DD" w14:textId="0A98D9F6" w:rsidR="009239E5" w:rsidRDefault="009239E5" w:rsidP="009239E5">
      <w:pPr>
        <w:rPr>
          <w:b/>
          <w:bCs/>
        </w:rPr>
      </w:pPr>
      <w:r w:rsidRPr="00837157">
        <w:rPr>
          <w:b/>
          <w:bCs/>
        </w:rPr>
        <w:t xml:space="preserve">Pop up events </w:t>
      </w:r>
      <w:r w:rsidRPr="00837157">
        <w:t>(123 community attendees)</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4D95373E"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56B83E04" w14:textId="77777777" w:rsidR="009239E5" w:rsidRPr="005C643C" w:rsidRDefault="009239E5">
            <w:pPr>
              <w:rPr>
                <w:b w:val="0"/>
              </w:rPr>
            </w:pPr>
            <w:r w:rsidRPr="005C643C">
              <w:rPr>
                <w:b w:val="0"/>
              </w:rPr>
              <w:t>Who we heard from</w:t>
            </w:r>
          </w:p>
        </w:tc>
        <w:tc>
          <w:tcPr>
            <w:tcW w:w="3897" w:type="pct"/>
          </w:tcPr>
          <w:p w14:paraId="753000A2" w14:textId="4D8987F7" w:rsidR="009239E5" w:rsidRDefault="00F81204">
            <w:pPr>
              <w:cnfStyle w:val="000000000000" w:firstRow="0" w:lastRow="0" w:firstColumn="0" w:lastColumn="0" w:oddVBand="0" w:evenVBand="0" w:oddHBand="0" w:evenHBand="0" w:firstRowFirstColumn="0" w:firstRowLastColumn="0" w:lastRowFirstColumn="0" w:lastRowLastColumn="0"/>
            </w:pPr>
            <w:r>
              <w:t xml:space="preserve">Macedon Ranges community members – price submission was part of a larger engagement program </w:t>
            </w:r>
            <w:r w:rsidR="0019264C">
              <w:t>for this region</w:t>
            </w:r>
            <w:r w:rsidR="0065348A">
              <w:t xml:space="preserve"> to discuss specific </w:t>
            </w:r>
            <w:r w:rsidR="00703D61">
              <w:t xml:space="preserve">region-relevant </w:t>
            </w:r>
            <w:r w:rsidR="0065348A">
              <w:t>topics</w:t>
            </w:r>
          </w:p>
        </w:tc>
      </w:tr>
      <w:tr w:rsidR="009A7D42" w14:paraId="7A3E743D"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7075310B" w14:textId="77777777" w:rsidR="009239E5" w:rsidRPr="005C643C" w:rsidRDefault="009239E5">
            <w:pPr>
              <w:rPr>
                <w:b w:val="0"/>
              </w:rPr>
            </w:pPr>
            <w:r w:rsidRPr="005C643C">
              <w:rPr>
                <w:b w:val="0"/>
              </w:rPr>
              <w:t xml:space="preserve">Purpose </w:t>
            </w:r>
          </w:p>
        </w:tc>
        <w:tc>
          <w:tcPr>
            <w:tcW w:w="3897" w:type="pct"/>
          </w:tcPr>
          <w:p w14:paraId="5AE765EF" w14:textId="04E247A5" w:rsidR="009239E5" w:rsidRDefault="009239E5">
            <w:pPr>
              <w:cnfStyle w:val="000000000000" w:firstRow="0" w:lastRow="0" w:firstColumn="0" w:lastColumn="0" w:oddVBand="0" w:evenVBand="0" w:oddHBand="0" w:evenHBand="0" w:firstRowFirstColumn="0" w:firstRowLastColumn="0" w:lastRowFirstColumn="0" w:lastRowLastColumn="0"/>
            </w:pPr>
            <w:r>
              <w:t>Opportunity for face-to-face engagement with a community that had limited take</w:t>
            </w:r>
            <w:r w:rsidR="0060172C">
              <w:t>-</w:t>
            </w:r>
            <w:r>
              <w:t xml:space="preserve">up of our online activities </w:t>
            </w:r>
            <w:r w:rsidR="00CF651E">
              <w:t xml:space="preserve">via well attended </w:t>
            </w:r>
            <w:r>
              <w:t>community events.</w:t>
            </w:r>
          </w:p>
        </w:tc>
      </w:tr>
    </w:tbl>
    <w:p w14:paraId="48FE3003" w14:textId="77777777" w:rsidR="009239E5" w:rsidRPr="005C4365" w:rsidRDefault="009239E5" w:rsidP="009239E5"/>
    <w:p w14:paraId="5A84B3A3" w14:textId="77777777" w:rsidR="009239E5" w:rsidRDefault="009239E5" w:rsidP="009239E5">
      <w:pPr>
        <w:pStyle w:val="Heading4"/>
      </w:pPr>
      <w:r>
        <w:t>What our customers told us</w:t>
      </w:r>
    </w:p>
    <w:p w14:paraId="4FF9F40A" w14:textId="2D7DB46E" w:rsidR="009239E5" w:rsidRDefault="387C1A2B" w:rsidP="009239E5">
      <w:r>
        <w:t>R</w:t>
      </w:r>
      <w:r w:rsidR="15680AA7">
        <w:t>esidential and non-residential</w:t>
      </w:r>
      <w:r w:rsidR="009239E5">
        <w:t xml:space="preserve"> customers</w:t>
      </w:r>
      <w:r w:rsidR="009239E5" w:rsidRPr="00D256FB">
        <w:t xml:space="preserve"> told us that </w:t>
      </w:r>
      <w:r w:rsidR="00F20C5C">
        <w:t xml:space="preserve">our </w:t>
      </w:r>
      <w:r w:rsidR="00F20C5C" w:rsidRPr="001A4803">
        <w:rPr>
          <w:i/>
          <w:iCs/>
        </w:rPr>
        <w:t>2030 Strategy</w:t>
      </w:r>
      <w:r w:rsidR="001A4803">
        <w:t xml:space="preserve"> </w:t>
      </w:r>
      <w:r w:rsidR="009239E5" w:rsidRPr="00D256FB">
        <w:t>strateg</w:t>
      </w:r>
      <w:r w:rsidR="00CF651E">
        <w:t>ic</w:t>
      </w:r>
      <w:r w:rsidR="009239E5" w:rsidRPr="09F3F7BC">
        <w:rPr>
          <w:rFonts w:asciiTheme="majorHAnsi" w:hAnsiTheme="majorHAnsi"/>
        </w:rPr>
        <w:t xml:space="preserve"> </w:t>
      </w:r>
      <w:r w:rsidR="00D802B1">
        <w:rPr>
          <w:rFonts w:asciiTheme="majorHAnsi" w:hAnsiTheme="majorHAnsi"/>
        </w:rPr>
        <w:t>outcomes</w:t>
      </w:r>
      <w:r w:rsidR="30B14BF4" w:rsidDel="1106618D">
        <w:rPr>
          <w:rFonts w:asciiTheme="majorHAnsi" w:hAnsiTheme="majorHAnsi"/>
        </w:rPr>
        <w:t xml:space="preserve"> </w:t>
      </w:r>
      <w:r w:rsidR="009239E5">
        <w:t xml:space="preserve">of customers, communities and Country </w:t>
      </w:r>
      <w:r w:rsidR="00E31C6D">
        <w:t>are meaningful</w:t>
      </w:r>
      <w:r w:rsidR="009239E5">
        <w:t xml:space="preserve"> and </w:t>
      </w:r>
      <w:r w:rsidR="00AC642D">
        <w:t xml:space="preserve">capture </w:t>
      </w:r>
      <w:r w:rsidR="009239E5">
        <w:t xml:space="preserve">their values and interests. </w:t>
      </w:r>
    </w:p>
    <w:p w14:paraId="1D8DFD40" w14:textId="1F3EECAD" w:rsidR="009239E5" w:rsidRDefault="00CF651E" w:rsidP="009239E5">
      <w:r>
        <w:t>A</w:t>
      </w:r>
      <w:r w:rsidR="009239E5">
        <w:t>ffordability of our services was emphasised during this stage</w:t>
      </w:r>
      <w:r w:rsidR="008D1CE7">
        <w:t xml:space="preserve">. </w:t>
      </w:r>
      <w:r w:rsidR="00EF0107">
        <w:t xml:space="preserve">As affordability was such a strong message from our customers, </w:t>
      </w:r>
      <w:r w:rsidR="00931BCE">
        <w:t xml:space="preserve">we used </w:t>
      </w:r>
      <w:r w:rsidR="007216D4">
        <w:t xml:space="preserve">it as a </w:t>
      </w:r>
      <w:r w:rsidR="00E12960">
        <w:t>lens</w:t>
      </w:r>
      <w:r w:rsidR="007216D4">
        <w:t xml:space="preserve"> over </w:t>
      </w:r>
      <w:r w:rsidR="00E12960">
        <w:t>the entire program, rather than specifically asking questions about it.</w:t>
      </w:r>
      <w:r w:rsidR="00931BCE">
        <w:t xml:space="preserve"> </w:t>
      </w:r>
    </w:p>
    <w:p w14:paraId="2BF40524" w14:textId="77777777" w:rsidR="00290A1A" w:rsidRDefault="009239E5" w:rsidP="009239E5">
      <w:r>
        <w:t xml:space="preserve">Our stakeholders </w:t>
      </w:r>
      <w:r w:rsidR="2CCEE8B9">
        <w:t xml:space="preserve">told us </w:t>
      </w:r>
      <w:r>
        <w:t xml:space="preserve">that ‘delivering reliable services even in the face of climate change and a rapidly growing population’ was </w:t>
      </w:r>
      <w:r w:rsidR="760DADC7">
        <w:t xml:space="preserve">important </w:t>
      </w:r>
      <w:r>
        <w:t xml:space="preserve">to delivering value to customers. </w:t>
      </w:r>
    </w:p>
    <w:p w14:paraId="39015DF3" w14:textId="25D30859" w:rsidR="009239E5" w:rsidRPr="00837157" w:rsidRDefault="009239E5" w:rsidP="009239E5">
      <w:pPr>
        <w:rPr>
          <w:rFonts w:asciiTheme="majorHAnsi" w:hAnsiTheme="majorHAnsi"/>
        </w:rPr>
      </w:pPr>
      <w:r w:rsidRPr="00837157">
        <w:rPr>
          <w:rFonts w:asciiTheme="majorHAnsi" w:hAnsiTheme="majorHAnsi"/>
        </w:rPr>
        <w:t xml:space="preserve">Residential and non-residential customers identified six priority </w:t>
      </w:r>
      <w:r w:rsidR="066E222E" w:rsidRPr="54655B71">
        <w:rPr>
          <w:rFonts w:asciiTheme="majorHAnsi" w:hAnsiTheme="majorHAnsi"/>
        </w:rPr>
        <w:t xml:space="preserve">topics </w:t>
      </w:r>
      <w:r w:rsidRPr="00837157">
        <w:rPr>
          <w:rFonts w:asciiTheme="majorHAnsi" w:hAnsiTheme="majorHAnsi"/>
        </w:rPr>
        <w:t xml:space="preserve">from the </w:t>
      </w:r>
      <w:r>
        <w:rPr>
          <w:rFonts w:asciiTheme="majorHAnsi" w:hAnsiTheme="majorHAnsi"/>
        </w:rPr>
        <w:t>exploration</w:t>
      </w:r>
      <w:r w:rsidRPr="00837157">
        <w:rPr>
          <w:rFonts w:asciiTheme="majorHAnsi" w:hAnsiTheme="majorHAnsi"/>
        </w:rPr>
        <w:t xml:space="preserve"> phase </w:t>
      </w:r>
      <w:r w:rsidR="006C743A" w:rsidRPr="54655B71">
        <w:rPr>
          <w:rFonts w:asciiTheme="majorHAnsi" w:hAnsiTheme="majorHAnsi"/>
        </w:rPr>
        <w:t xml:space="preserve">that are </w:t>
      </w:r>
      <w:r w:rsidRPr="00837157">
        <w:rPr>
          <w:rFonts w:asciiTheme="majorHAnsi" w:hAnsiTheme="majorHAnsi"/>
        </w:rPr>
        <w:t>as important to them as affordability</w:t>
      </w:r>
      <w:r w:rsidRPr="6B4F4DCB">
        <w:rPr>
          <w:rFonts w:asciiTheme="majorHAnsi" w:hAnsiTheme="majorHAnsi"/>
        </w:rPr>
        <w:t xml:space="preserve">. </w:t>
      </w:r>
      <w:r w:rsidRPr="7E62F2C3">
        <w:rPr>
          <w:rFonts w:asciiTheme="majorHAnsi" w:hAnsiTheme="majorHAnsi"/>
        </w:rPr>
        <w:t xml:space="preserve">These six topics are described below and referred to throughout </w:t>
      </w:r>
      <w:r w:rsidR="008D4E1E" w:rsidRPr="54655B71">
        <w:rPr>
          <w:rFonts w:asciiTheme="majorHAnsi" w:hAnsiTheme="majorHAnsi"/>
        </w:rPr>
        <w:t xml:space="preserve">this </w:t>
      </w:r>
      <w:r w:rsidR="17ED5434" w:rsidRPr="54655B71">
        <w:rPr>
          <w:rFonts w:asciiTheme="majorHAnsi" w:hAnsiTheme="majorHAnsi"/>
        </w:rPr>
        <w:t>submission</w:t>
      </w:r>
      <w:r w:rsidR="008D4E1E" w:rsidRPr="54655B71">
        <w:rPr>
          <w:rFonts w:asciiTheme="majorHAnsi" w:hAnsiTheme="majorHAnsi"/>
        </w:rPr>
        <w:t>.</w:t>
      </w:r>
      <w:r w:rsidRPr="7E62F2C3">
        <w:rPr>
          <w:rFonts w:asciiTheme="majorHAnsi" w:hAnsiTheme="majorHAnsi"/>
        </w:rPr>
        <w:t xml:space="preserve"> After this point, we will only refer to them as their header: </w:t>
      </w:r>
    </w:p>
    <w:p w14:paraId="5227E5E5" w14:textId="4F99C477" w:rsidR="009239E5" w:rsidRPr="004E328E" w:rsidRDefault="006A68EC">
      <w:pPr>
        <w:pStyle w:val="ListBullet"/>
        <w:numPr>
          <w:ilvl w:val="0"/>
          <w:numId w:val="76"/>
        </w:numPr>
        <w:rPr>
          <w:rFonts w:ascii="Verdana" w:eastAsia="Verdana" w:hAnsi="Verdana"/>
        </w:rPr>
      </w:pPr>
      <w:r>
        <w:rPr>
          <w:b/>
          <w:bCs/>
        </w:rPr>
        <w:t>Unplanned</w:t>
      </w:r>
      <w:r w:rsidRPr="005C57FB">
        <w:rPr>
          <w:b/>
          <w:bCs/>
        </w:rPr>
        <w:t xml:space="preserve"> </w:t>
      </w:r>
      <w:r w:rsidR="009239E5" w:rsidRPr="005C57FB">
        <w:rPr>
          <w:b/>
          <w:bCs/>
        </w:rPr>
        <w:t>disruptions</w:t>
      </w:r>
      <w:r w:rsidR="009239E5" w:rsidRPr="004E328E">
        <w:t xml:space="preserve">: </w:t>
      </w:r>
      <w:r w:rsidR="009239E5" w:rsidRPr="004E328E">
        <w:rPr>
          <w:rFonts w:ascii="Verdana" w:eastAsia="Verdana" w:hAnsi="Verdana" w:cs="Verdana"/>
        </w:rPr>
        <w:t xml:space="preserve">An unplanned disruption </w:t>
      </w:r>
      <w:r w:rsidR="008D4E1E">
        <w:rPr>
          <w:rFonts w:ascii="Verdana" w:eastAsia="Verdana" w:hAnsi="Verdana" w:cs="Verdana"/>
        </w:rPr>
        <w:t>is when your service doesn’t wor</w:t>
      </w:r>
      <w:r w:rsidR="00362BAE">
        <w:rPr>
          <w:rFonts w:ascii="Verdana" w:eastAsia="Verdana" w:hAnsi="Verdana" w:cs="Verdana"/>
        </w:rPr>
        <w:t>k</w:t>
      </w:r>
      <w:r w:rsidR="008D4E1E">
        <w:rPr>
          <w:rFonts w:ascii="Verdana" w:eastAsia="Verdana" w:hAnsi="Verdana" w:cs="Verdana"/>
        </w:rPr>
        <w:t>. W</w:t>
      </w:r>
      <w:r w:rsidR="009239E5" w:rsidRPr="004E328E">
        <w:rPr>
          <w:rFonts w:ascii="Verdana" w:eastAsia="Verdana" w:hAnsi="Verdana" w:cs="Verdana"/>
        </w:rPr>
        <w:t xml:space="preserve">hen you turn the taps on, nothing comes out or when you empty the sink or </w:t>
      </w:r>
      <w:r w:rsidR="009239E5" w:rsidRPr="004E328E">
        <w:rPr>
          <w:rFonts w:ascii="Verdana" w:eastAsia="Verdana" w:hAnsi="Verdana" w:cs="Verdana"/>
        </w:rPr>
        <w:lastRenderedPageBreak/>
        <w:t>flush the toilet the water doesn’t go away.</w:t>
      </w:r>
      <w:r w:rsidR="009239E5" w:rsidRPr="2768F9A1">
        <w:t xml:space="preserve"> </w:t>
      </w:r>
      <w:r w:rsidR="009239E5">
        <w:t xml:space="preserve">These are different to planned disruptions where customers are </w:t>
      </w:r>
      <w:r w:rsidR="2E57416B">
        <w:t>notified in advance</w:t>
      </w:r>
      <w:r w:rsidR="009239E5">
        <w:t xml:space="preserve">. </w:t>
      </w:r>
    </w:p>
    <w:p w14:paraId="5FAB5FC6" w14:textId="4EF01966" w:rsidR="009239E5" w:rsidRPr="004E328E" w:rsidRDefault="009239E5">
      <w:pPr>
        <w:pStyle w:val="ListBullet"/>
        <w:numPr>
          <w:ilvl w:val="0"/>
          <w:numId w:val="76"/>
        </w:numPr>
        <w:rPr>
          <w:rFonts w:eastAsia="Verdana" w:cs="Verdana"/>
        </w:rPr>
      </w:pPr>
      <w:r w:rsidRPr="004E328E">
        <w:rPr>
          <w:b/>
        </w:rPr>
        <w:t>Harmonising service levels</w:t>
      </w:r>
      <w:r w:rsidRPr="003D335A">
        <w:t>:</w:t>
      </w:r>
      <w:r w:rsidRPr="004E328E">
        <w:t xml:space="preserve"> GWW customers receive water and sewerage services through </w:t>
      </w:r>
      <w:r w:rsidRPr="004E328E">
        <w:rPr>
          <w:rFonts w:ascii="Verdana" w:eastAsia="Verdana" w:hAnsi="Verdana" w:cs="Verdana"/>
        </w:rPr>
        <w:t xml:space="preserve">local and centralised assets, which vary depending on where you live. This means that not everyone gets the same quality and reliability of water supply. </w:t>
      </w:r>
      <w:r w:rsidR="0046389B">
        <w:rPr>
          <w:rFonts w:ascii="Verdana" w:eastAsia="Verdana" w:hAnsi="Verdana" w:cs="Verdana"/>
        </w:rPr>
        <w:t>This is</w:t>
      </w:r>
      <w:r w:rsidR="0046389B" w:rsidRPr="004E328E">
        <w:rPr>
          <w:rFonts w:ascii="Verdana" w:eastAsia="Verdana" w:hAnsi="Verdana" w:cs="Verdana"/>
        </w:rPr>
        <w:t xml:space="preserve"> </w:t>
      </w:r>
      <w:r w:rsidRPr="004E328E">
        <w:rPr>
          <w:rFonts w:ascii="Verdana" w:eastAsia="Verdana" w:hAnsi="Verdana" w:cs="Verdana"/>
        </w:rPr>
        <w:t>refer</w:t>
      </w:r>
      <w:r w:rsidR="0046389B">
        <w:rPr>
          <w:rFonts w:ascii="Verdana" w:eastAsia="Verdana" w:hAnsi="Verdana" w:cs="Verdana"/>
        </w:rPr>
        <w:t>red</w:t>
      </w:r>
      <w:r w:rsidRPr="004E328E">
        <w:rPr>
          <w:rFonts w:ascii="Verdana" w:eastAsia="Verdana" w:hAnsi="Verdana" w:cs="Verdana"/>
        </w:rPr>
        <w:t xml:space="preserve"> to as different service levels. </w:t>
      </w:r>
    </w:p>
    <w:p w14:paraId="4C862A1D" w14:textId="58E65AEC" w:rsidR="009239E5" w:rsidRPr="004E328E" w:rsidRDefault="009239E5">
      <w:pPr>
        <w:pStyle w:val="ListBullet"/>
        <w:numPr>
          <w:ilvl w:val="0"/>
          <w:numId w:val="76"/>
        </w:numPr>
      </w:pPr>
      <w:r w:rsidRPr="004E328E">
        <w:rPr>
          <w:b/>
        </w:rPr>
        <w:t xml:space="preserve">Getting water from other sources: </w:t>
      </w:r>
      <w:r w:rsidRPr="004E328E">
        <w:t xml:space="preserve">With a growing population and </w:t>
      </w:r>
      <w:r w:rsidR="6E6A0452">
        <w:t xml:space="preserve">changing </w:t>
      </w:r>
      <w:r w:rsidRPr="004E328E">
        <w:t xml:space="preserve">climate affecting how much water comes into </w:t>
      </w:r>
      <w:r w:rsidR="007C2B76">
        <w:t>water</w:t>
      </w:r>
      <w:r w:rsidRPr="004E328E">
        <w:t xml:space="preserve"> storages each year, the water industry is looking at alterative water solutions. </w:t>
      </w:r>
      <w:r w:rsidR="00290A1A" w:rsidRPr="004E328E">
        <w:t>Gett</w:t>
      </w:r>
      <w:r w:rsidR="00290A1A">
        <w:t>ing</w:t>
      </w:r>
      <w:r w:rsidR="00290A1A" w:rsidRPr="004E328E">
        <w:t xml:space="preserve"> </w:t>
      </w:r>
      <w:r w:rsidRPr="004E328E">
        <w:t>water from other sources through this engagement meant increasing our use of fit</w:t>
      </w:r>
      <w:r w:rsidR="169B56FE">
        <w:t>-</w:t>
      </w:r>
      <w:r w:rsidRPr="004E328E">
        <w:t>for</w:t>
      </w:r>
      <w:r w:rsidR="23E2C6DC">
        <w:t>-</w:t>
      </w:r>
      <w:r w:rsidRPr="004E328E">
        <w:t xml:space="preserve">purpose recycled water and treated stormwater for a variety of purposes. </w:t>
      </w:r>
    </w:p>
    <w:p w14:paraId="520A65B0" w14:textId="2D1B85DC" w:rsidR="009239E5" w:rsidRPr="004E328E" w:rsidRDefault="009239E5">
      <w:pPr>
        <w:pStyle w:val="ListBullet"/>
        <w:numPr>
          <w:ilvl w:val="0"/>
          <w:numId w:val="76"/>
        </w:numPr>
      </w:pPr>
      <w:r w:rsidRPr="004E328E">
        <w:rPr>
          <w:b/>
        </w:rPr>
        <w:t>Supporting waterway health</w:t>
      </w:r>
      <w:r w:rsidRPr="004E328E">
        <w:t xml:space="preserve">: GWW is not directly responsible for waterway health but how we store, use and discharge water can have an impact on waterway health. Supporting waterway health for this engagement meant investment to improve the quality of water we discharge, increase </w:t>
      </w:r>
      <w:r w:rsidR="0074347E">
        <w:t xml:space="preserve">capacity in our network to </w:t>
      </w:r>
      <w:r w:rsidRPr="004E328E">
        <w:t xml:space="preserve">minimise possible sewerage spills and working with local partners. </w:t>
      </w:r>
    </w:p>
    <w:p w14:paraId="73EBF1E4" w14:textId="13EBBC31" w:rsidR="009239E5" w:rsidRPr="003B3A50" w:rsidRDefault="009239E5">
      <w:pPr>
        <w:pStyle w:val="ListBullet"/>
        <w:numPr>
          <w:ilvl w:val="0"/>
          <w:numId w:val="76"/>
        </w:numPr>
      </w:pPr>
      <w:r w:rsidRPr="004E328E">
        <w:rPr>
          <w:b/>
        </w:rPr>
        <w:t xml:space="preserve">Reaching net zero: </w:t>
      </w:r>
      <w:r w:rsidRPr="004E328E">
        <w:t xml:space="preserve">GWW is committed to reaching net zero </w:t>
      </w:r>
      <w:r w:rsidR="00ED5A95">
        <w:t xml:space="preserve">emissions </w:t>
      </w:r>
      <w:r w:rsidRPr="004E328E">
        <w:t xml:space="preserve">by 2030 but how we get there can be influenced by customers. This can include </w:t>
      </w:r>
      <w:r w:rsidRPr="004E328E">
        <w:rPr>
          <w:rFonts w:ascii="Verdana" w:eastAsia="Verdana" w:hAnsi="Verdana" w:cs="Verdana"/>
          <w:lang w:val="en-US"/>
        </w:rPr>
        <w:t>investment in trees to support biodiversity and renewable energy installations to support the local economy.</w:t>
      </w:r>
    </w:p>
    <w:p w14:paraId="693AF3EB" w14:textId="79BDD8F7" w:rsidR="00547F2D" w:rsidRDefault="009239E5">
      <w:pPr>
        <w:pStyle w:val="ListBullet"/>
        <w:numPr>
          <w:ilvl w:val="0"/>
          <w:numId w:val="76"/>
        </w:numPr>
        <w:rPr>
          <w:rFonts w:eastAsia="Verdana" w:cs="Verdana"/>
        </w:rPr>
      </w:pPr>
      <w:r w:rsidRPr="00E839B6">
        <w:rPr>
          <w:b/>
        </w:rPr>
        <w:t xml:space="preserve">Supporting customers experiencing </w:t>
      </w:r>
      <w:r w:rsidR="00D7423E" w:rsidRPr="008E340F">
        <w:rPr>
          <w:b/>
        </w:rPr>
        <w:t>hardship</w:t>
      </w:r>
      <w:r w:rsidRPr="00E839B6">
        <w:rPr>
          <w:b/>
        </w:rPr>
        <w:t>:</w:t>
      </w:r>
      <w:r w:rsidRPr="004E328E">
        <w:t xml:space="preserve"> It is </w:t>
      </w:r>
      <w:r w:rsidR="00BB2CF6">
        <w:t xml:space="preserve">a </w:t>
      </w:r>
      <w:r w:rsidRPr="004E328E">
        <w:t>business priority to ensure all customers can access our services and</w:t>
      </w:r>
      <w:r w:rsidR="00BB2CF6">
        <w:t>,</w:t>
      </w:r>
      <w:r w:rsidRPr="004E328E">
        <w:t xml:space="preserve"> l</w:t>
      </w:r>
      <w:r w:rsidRPr="00E839B6">
        <w:rPr>
          <w:rFonts w:eastAsia="Verdana" w:cs="Verdana"/>
        </w:rPr>
        <w:t xml:space="preserve">egally, we are required to provide support for customers experiencing hardship. </w:t>
      </w:r>
      <w:r w:rsidR="001C0711" w:rsidRPr="00E839B6">
        <w:rPr>
          <w:rFonts w:eastAsia="Verdana" w:cs="Verdana"/>
        </w:rPr>
        <w:t xml:space="preserve">We </w:t>
      </w:r>
      <w:r w:rsidR="00547F2D" w:rsidRPr="00E839B6">
        <w:rPr>
          <w:rFonts w:eastAsia="Verdana" w:cs="Verdana"/>
        </w:rPr>
        <w:t xml:space="preserve">currently </w:t>
      </w:r>
      <w:r w:rsidRPr="00E839B6">
        <w:rPr>
          <w:rFonts w:eastAsia="Verdana" w:cs="Verdana"/>
        </w:rPr>
        <w:t xml:space="preserve">provide customers </w:t>
      </w:r>
      <w:r w:rsidR="00BB2CF6" w:rsidRPr="00E839B6">
        <w:rPr>
          <w:rFonts w:eastAsia="Verdana" w:cs="Verdana"/>
        </w:rPr>
        <w:t xml:space="preserve">a </w:t>
      </w:r>
      <w:r w:rsidRPr="00E839B6">
        <w:rPr>
          <w:rFonts w:eastAsia="Verdana" w:cs="Verdana"/>
        </w:rPr>
        <w:t xml:space="preserve">higher </w:t>
      </w:r>
      <w:r w:rsidR="00BB2CF6" w:rsidRPr="00E839B6">
        <w:rPr>
          <w:rFonts w:eastAsia="Verdana" w:cs="Verdana"/>
        </w:rPr>
        <w:t xml:space="preserve">service </w:t>
      </w:r>
      <w:r w:rsidRPr="00E839B6">
        <w:rPr>
          <w:rFonts w:eastAsia="Verdana" w:cs="Verdana"/>
        </w:rPr>
        <w:t>than the government requires</w:t>
      </w:r>
      <w:r w:rsidR="00547F2D" w:rsidRPr="00E839B6">
        <w:rPr>
          <w:rFonts w:eastAsia="Verdana" w:cs="Verdana"/>
        </w:rPr>
        <w:t xml:space="preserve">. </w:t>
      </w:r>
    </w:p>
    <w:p w14:paraId="7FFF19CE" w14:textId="6705EBFB" w:rsidR="009239E5" w:rsidRDefault="009239E5" w:rsidP="00063E0A">
      <w:pPr>
        <w:pStyle w:val="Heading4"/>
      </w:pPr>
      <w:r>
        <w:t xml:space="preserve">How customer feedback influenced our price </w:t>
      </w:r>
      <w:r w:rsidRPr="00063E0A">
        <w:t>submission</w:t>
      </w:r>
      <w:r>
        <w:t xml:space="preserve"> </w:t>
      </w:r>
    </w:p>
    <w:p w14:paraId="5DB6B2A5" w14:textId="5D5EE7DA" w:rsidR="3D714583" w:rsidRDefault="009239E5">
      <w:pPr>
        <w:rPr>
          <w:rFonts w:eastAsia="Verdana"/>
        </w:rPr>
      </w:pPr>
      <w:r>
        <w:rPr>
          <w:rFonts w:eastAsia="Verdana"/>
        </w:rPr>
        <w:t>Customer feedback confirmed that using our</w:t>
      </w:r>
      <w:r w:rsidR="007C2B76">
        <w:rPr>
          <w:rFonts w:eastAsia="Verdana"/>
        </w:rPr>
        <w:t xml:space="preserve"> </w:t>
      </w:r>
      <w:r w:rsidR="007C2B76" w:rsidRPr="007C2B76">
        <w:rPr>
          <w:rFonts w:eastAsia="Verdana"/>
          <w:i/>
          <w:iCs/>
        </w:rPr>
        <w:t>2030 Strategy</w:t>
      </w:r>
      <w:r>
        <w:rPr>
          <w:rFonts w:eastAsia="Verdana"/>
        </w:rPr>
        <w:t xml:space="preserve"> </w:t>
      </w:r>
      <w:r w:rsidR="00CA3E38">
        <w:rPr>
          <w:rFonts w:eastAsia="Verdana"/>
        </w:rPr>
        <w:t xml:space="preserve">strategic </w:t>
      </w:r>
      <w:r w:rsidR="00814366">
        <w:rPr>
          <w:rFonts w:eastAsia="Verdana"/>
        </w:rPr>
        <w:t xml:space="preserve">outcomes </w:t>
      </w:r>
      <w:r>
        <w:rPr>
          <w:rFonts w:eastAsia="Verdana"/>
        </w:rPr>
        <w:t xml:space="preserve">as a basis for the price submission engagement </w:t>
      </w:r>
      <w:r w:rsidR="3D1AD639" w:rsidRPr="54655B71">
        <w:rPr>
          <w:rFonts w:eastAsia="Verdana"/>
        </w:rPr>
        <w:t xml:space="preserve">and the development of customer outcomes </w:t>
      </w:r>
      <w:r>
        <w:rPr>
          <w:rFonts w:eastAsia="Verdana"/>
        </w:rPr>
        <w:t>reflected customer sentiment</w:t>
      </w:r>
      <w:r w:rsidRPr="3FF8BF2A">
        <w:rPr>
          <w:rFonts w:eastAsia="Verdana"/>
        </w:rPr>
        <w:t>.</w:t>
      </w:r>
      <w:r>
        <w:rPr>
          <w:rFonts w:eastAsia="Verdana"/>
        </w:rPr>
        <w:t xml:space="preserve"> The six priority areas </w:t>
      </w:r>
      <w:r w:rsidR="003905B9" w:rsidRPr="54655B71">
        <w:rPr>
          <w:rFonts w:eastAsia="Verdana"/>
        </w:rPr>
        <w:t>identified by</w:t>
      </w:r>
      <w:r>
        <w:rPr>
          <w:rFonts w:eastAsia="Verdana"/>
        </w:rPr>
        <w:t xml:space="preserve"> </w:t>
      </w:r>
      <w:r w:rsidRPr="040731C2">
        <w:rPr>
          <w:rFonts w:eastAsia="Verdana"/>
        </w:rPr>
        <w:t xml:space="preserve">customers </w:t>
      </w:r>
      <w:r w:rsidR="04E981CA" w:rsidRPr="54655B71">
        <w:rPr>
          <w:rFonts w:eastAsia="Verdana"/>
        </w:rPr>
        <w:t>progressed</w:t>
      </w:r>
      <w:r w:rsidR="003905B9" w:rsidRPr="54655B71">
        <w:rPr>
          <w:rFonts w:eastAsia="Verdana"/>
        </w:rPr>
        <w:t xml:space="preserve"> through</w:t>
      </w:r>
      <w:r w:rsidRPr="1C51D823">
        <w:rPr>
          <w:rFonts w:eastAsia="Verdana"/>
        </w:rPr>
        <w:t xml:space="preserve"> to </w:t>
      </w:r>
      <w:r w:rsidR="003905B9" w:rsidRPr="54655B71">
        <w:rPr>
          <w:rFonts w:eastAsia="Verdana"/>
        </w:rPr>
        <w:t xml:space="preserve">the valuation </w:t>
      </w:r>
      <w:r w:rsidR="2EA7B4A4" w:rsidRPr="54655B71">
        <w:rPr>
          <w:rFonts w:eastAsia="Verdana"/>
        </w:rPr>
        <w:t>stage</w:t>
      </w:r>
      <w:r w:rsidR="0F5D5C85" w:rsidRPr="54655B71">
        <w:rPr>
          <w:rFonts w:eastAsia="Verdana"/>
        </w:rPr>
        <w:t xml:space="preserve">. </w:t>
      </w:r>
      <w:r w:rsidR="003905B9" w:rsidRPr="54655B71">
        <w:rPr>
          <w:rFonts w:eastAsia="Verdana"/>
        </w:rPr>
        <w:t xml:space="preserve"> </w:t>
      </w:r>
    </w:p>
    <w:p w14:paraId="779AE98B" w14:textId="77777777" w:rsidR="00F170A7" w:rsidRDefault="00F170A7" w:rsidP="005B69CD">
      <w:pPr>
        <w:pStyle w:val="Heading3"/>
      </w:pPr>
      <w:r>
        <w:t xml:space="preserve">Valuation </w:t>
      </w:r>
    </w:p>
    <w:p w14:paraId="0CFE64A6" w14:textId="77777777" w:rsidR="00F170A7" w:rsidRPr="00434B3F" w:rsidRDefault="00F170A7" w:rsidP="00F170A7">
      <w:pPr>
        <w:pStyle w:val="Heading4"/>
      </w:pPr>
      <w:r>
        <w:t xml:space="preserve">Engagement focus </w:t>
      </w:r>
    </w:p>
    <w:p w14:paraId="29C3C5E2" w14:textId="340298C8" w:rsidR="00F170A7" w:rsidRDefault="00F170A7" w:rsidP="00F170A7">
      <w:pPr>
        <w:rPr>
          <w:rFonts w:asciiTheme="majorHAnsi" w:hAnsiTheme="majorHAnsi"/>
        </w:rPr>
      </w:pPr>
      <w:r w:rsidRPr="00837157">
        <w:rPr>
          <w:rFonts w:asciiTheme="majorHAnsi" w:hAnsiTheme="majorHAnsi"/>
          <w:bCs/>
        </w:rPr>
        <w:t>The</w:t>
      </w:r>
      <w:r w:rsidRPr="00837157">
        <w:rPr>
          <w:rFonts w:asciiTheme="majorHAnsi" w:hAnsiTheme="majorHAnsi"/>
          <w:b/>
        </w:rPr>
        <w:t xml:space="preserve"> </w:t>
      </w:r>
      <w:r>
        <w:rPr>
          <w:rFonts w:asciiTheme="majorHAnsi" w:hAnsiTheme="majorHAnsi"/>
          <w:b/>
        </w:rPr>
        <w:t>V</w:t>
      </w:r>
      <w:r w:rsidRPr="00837157">
        <w:rPr>
          <w:rFonts w:asciiTheme="majorHAnsi" w:hAnsiTheme="majorHAnsi"/>
          <w:b/>
        </w:rPr>
        <w:t>aluation</w:t>
      </w:r>
      <w:r w:rsidRPr="54655B71">
        <w:rPr>
          <w:rFonts w:asciiTheme="majorHAnsi" w:hAnsiTheme="majorHAnsi"/>
          <w:b/>
        </w:rPr>
        <w:t xml:space="preserve"> </w:t>
      </w:r>
      <w:r w:rsidR="7586B134" w:rsidRPr="54655B71">
        <w:rPr>
          <w:rFonts w:asciiTheme="majorHAnsi" w:hAnsiTheme="majorHAnsi"/>
          <w:b/>
          <w:bCs/>
        </w:rPr>
        <w:t>stage</w:t>
      </w:r>
      <w:r w:rsidRPr="54655B71">
        <w:rPr>
          <w:rFonts w:asciiTheme="majorHAnsi" w:hAnsiTheme="majorHAnsi"/>
        </w:rPr>
        <w:t xml:space="preserve"> </w:t>
      </w:r>
      <w:r w:rsidRPr="00837157">
        <w:rPr>
          <w:rFonts w:asciiTheme="majorHAnsi" w:hAnsiTheme="majorHAnsi"/>
        </w:rPr>
        <w:t xml:space="preserve">(December 2022 - </w:t>
      </w:r>
      <w:r>
        <w:rPr>
          <w:rFonts w:asciiTheme="majorHAnsi" w:hAnsiTheme="majorHAnsi"/>
        </w:rPr>
        <w:t>March</w:t>
      </w:r>
      <w:r w:rsidRPr="00837157">
        <w:rPr>
          <w:rFonts w:asciiTheme="majorHAnsi" w:hAnsiTheme="majorHAnsi"/>
        </w:rPr>
        <w:t xml:space="preserve"> 2023) explored our customers</w:t>
      </w:r>
      <w:r w:rsidR="003905B9">
        <w:rPr>
          <w:rFonts w:asciiTheme="majorHAnsi" w:hAnsiTheme="majorHAnsi"/>
        </w:rPr>
        <w:t>’</w:t>
      </w:r>
      <w:r w:rsidRPr="00837157">
        <w:rPr>
          <w:rFonts w:asciiTheme="majorHAnsi" w:hAnsiTheme="majorHAnsi"/>
        </w:rPr>
        <w:t xml:space="preserve"> willingness to pay for the </w:t>
      </w:r>
      <w:r w:rsidRPr="19150D5D">
        <w:rPr>
          <w:rFonts w:asciiTheme="majorHAnsi" w:hAnsiTheme="majorHAnsi"/>
        </w:rPr>
        <w:t>six priority</w:t>
      </w:r>
      <w:r w:rsidRPr="00837157">
        <w:rPr>
          <w:rFonts w:asciiTheme="majorHAnsi" w:hAnsiTheme="majorHAnsi"/>
        </w:rPr>
        <w:t xml:space="preserve"> </w:t>
      </w:r>
      <w:r w:rsidR="42583DF7" w:rsidRPr="54655B71">
        <w:rPr>
          <w:rFonts w:asciiTheme="majorHAnsi" w:hAnsiTheme="majorHAnsi"/>
        </w:rPr>
        <w:t xml:space="preserve">topics </w:t>
      </w:r>
      <w:r w:rsidRPr="39AC28F6">
        <w:rPr>
          <w:rFonts w:asciiTheme="majorHAnsi" w:hAnsiTheme="majorHAnsi"/>
        </w:rPr>
        <w:t>identified</w:t>
      </w:r>
      <w:r w:rsidRPr="4586DD24">
        <w:rPr>
          <w:rFonts w:asciiTheme="majorHAnsi" w:hAnsiTheme="majorHAnsi"/>
        </w:rPr>
        <w:t xml:space="preserve"> in</w:t>
      </w:r>
      <w:r w:rsidRPr="64C5243C">
        <w:rPr>
          <w:rFonts w:asciiTheme="majorHAnsi" w:hAnsiTheme="majorHAnsi"/>
        </w:rPr>
        <w:t xml:space="preserve"> the exploration </w:t>
      </w:r>
      <w:r w:rsidR="66DF8C69" w:rsidRPr="54655B71">
        <w:rPr>
          <w:rFonts w:asciiTheme="majorHAnsi" w:hAnsiTheme="majorHAnsi"/>
        </w:rPr>
        <w:t xml:space="preserve">stage </w:t>
      </w:r>
      <w:r w:rsidRPr="561D0908">
        <w:rPr>
          <w:rFonts w:asciiTheme="majorHAnsi" w:hAnsiTheme="majorHAnsi"/>
        </w:rPr>
        <w:t>through</w:t>
      </w:r>
      <w:r w:rsidRPr="00837157">
        <w:rPr>
          <w:rFonts w:asciiTheme="majorHAnsi" w:hAnsiTheme="majorHAnsi"/>
        </w:rPr>
        <w:t xml:space="preserve"> surveys</w:t>
      </w:r>
      <w:r w:rsidRPr="4487B8E2">
        <w:rPr>
          <w:rFonts w:asciiTheme="majorHAnsi" w:hAnsiTheme="majorHAnsi"/>
        </w:rPr>
        <w:t xml:space="preserve"> </w:t>
      </w:r>
      <w:r w:rsidRPr="1F51F75B">
        <w:rPr>
          <w:rFonts w:asciiTheme="majorHAnsi" w:hAnsiTheme="majorHAnsi"/>
        </w:rPr>
        <w:t xml:space="preserve">and </w:t>
      </w:r>
      <w:r w:rsidRPr="38300CB7">
        <w:rPr>
          <w:rFonts w:asciiTheme="majorHAnsi" w:hAnsiTheme="majorHAnsi"/>
        </w:rPr>
        <w:t>focus groups</w:t>
      </w:r>
      <w:r w:rsidR="428CFDC5" w:rsidRPr="199529D0">
        <w:rPr>
          <w:rFonts w:asciiTheme="majorHAnsi" w:hAnsiTheme="majorHAnsi"/>
        </w:rPr>
        <w:t>.</w:t>
      </w:r>
      <w:r w:rsidR="00843253">
        <w:rPr>
          <w:rFonts w:asciiTheme="majorHAnsi" w:hAnsiTheme="majorHAnsi"/>
        </w:rPr>
        <w:t xml:space="preserve"> </w:t>
      </w:r>
      <w:r w:rsidR="3E5EA6A3" w:rsidRPr="0D9D1CA6">
        <w:rPr>
          <w:rFonts w:asciiTheme="majorHAnsi" w:hAnsiTheme="majorHAnsi"/>
        </w:rPr>
        <w:t xml:space="preserve">Tailored </w:t>
      </w:r>
      <w:r w:rsidR="3E5EA6A3" w:rsidRPr="2E801DC4">
        <w:rPr>
          <w:rFonts w:asciiTheme="majorHAnsi" w:hAnsiTheme="majorHAnsi"/>
        </w:rPr>
        <w:t>f</w:t>
      </w:r>
      <w:r w:rsidR="00843253" w:rsidRPr="2E801DC4">
        <w:rPr>
          <w:rFonts w:asciiTheme="majorHAnsi" w:hAnsiTheme="majorHAnsi"/>
        </w:rPr>
        <w:t>ocus</w:t>
      </w:r>
      <w:r w:rsidR="00843253" w:rsidRPr="0D9D1CA6">
        <w:rPr>
          <w:rFonts w:asciiTheme="majorHAnsi" w:hAnsiTheme="majorHAnsi"/>
        </w:rPr>
        <w:t xml:space="preserve"> group</w:t>
      </w:r>
      <w:r w:rsidR="0FDA1761" w:rsidRPr="0D9D1CA6">
        <w:rPr>
          <w:rFonts w:asciiTheme="majorHAnsi" w:hAnsiTheme="majorHAnsi"/>
        </w:rPr>
        <w:t xml:space="preserve"> </w:t>
      </w:r>
      <w:r w:rsidR="00AB4AA8" w:rsidRPr="2E801DC4">
        <w:rPr>
          <w:rFonts w:asciiTheme="majorHAnsi" w:hAnsiTheme="majorHAnsi"/>
        </w:rPr>
        <w:t>recruitment</w:t>
      </w:r>
      <w:r w:rsidR="00843253">
        <w:rPr>
          <w:rFonts w:asciiTheme="majorHAnsi" w:hAnsiTheme="majorHAnsi"/>
        </w:rPr>
        <w:t xml:space="preserve"> </w:t>
      </w:r>
      <w:r w:rsidR="07AF7DA7" w:rsidRPr="2E801DC4">
        <w:rPr>
          <w:rFonts w:asciiTheme="majorHAnsi" w:hAnsiTheme="majorHAnsi"/>
        </w:rPr>
        <w:t>ensured</w:t>
      </w:r>
      <w:r w:rsidR="002F2431">
        <w:rPr>
          <w:rFonts w:asciiTheme="majorHAnsi" w:hAnsiTheme="majorHAnsi"/>
        </w:rPr>
        <w:t xml:space="preserve"> </w:t>
      </w:r>
      <w:r w:rsidR="4CD72385" w:rsidRPr="54655B71">
        <w:rPr>
          <w:rFonts w:asciiTheme="majorHAnsi" w:hAnsiTheme="majorHAnsi"/>
        </w:rPr>
        <w:t>that</w:t>
      </w:r>
      <w:r w:rsidRPr="091813C6">
        <w:rPr>
          <w:rFonts w:asciiTheme="majorHAnsi" w:hAnsiTheme="majorHAnsi"/>
        </w:rPr>
        <w:t xml:space="preserve"> our diverse </w:t>
      </w:r>
      <w:r w:rsidR="4CD72385" w:rsidRPr="54655B71">
        <w:rPr>
          <w:rFonts w:asciiTheme="majorHAnsi" w:hAnsiTheme="majorHAnsi"/>
        </w:rPr>
        <w:t>customer base was represented.</w:t>
      </w:r>
      <w:r w:rsidR="73AAA6A5" w:rsidRPr="0D9D1CA6">
        <w:rPr>
          <w:rFonts w:asciiTheme="majorHAnsi" w:hAnsiTheme="majorHAnsi"/>
        </w:rPr>
        <w:t xml:space="preserve"> </w:t>
      </w:r>
    </w:p>
    <w:p w14:paraId="568B3EE6" w14:textId="77777777" w:rsidR="00F170A7" w:rsidRDefault="00F170A7" w:rsidP="00F170A7">
      <w:pPr>
        <w:pStyle w:val="Heading4"/>
      </w:pPr>
      <w:r>
        <w:t xml:space="preserve">How we engaged </w:t>
      </w:r>
    </w:p>
    <w:p w14:paraId="41EBFB10" w14:textId="1FEBAC4C" w:rsidR="008B2AB3" w:rsidRDefault="0099379B" w:rsidP="00F170A7">
      <w:r>
        <w:t>To test our customers’ willingness to pay</w:t>
      </w:r>
      <w:r w:rsidR="000505C0" w:rsidRPr="000505C0">
        <w:t xml:space="preserve"> </w:t>
      </w:r>
      <w:r w:rsidR="000505C0">
        <w:t>for the</w:t>
      </w:r>
      <w:r w:rsidR="00E345BC">
        <w:t>ir</w:t>
      </w:r>
      <w:r w:rsidR="000505C0">
        <w:t xml:space="preserve"> priorities</w:t>
      </w:r>
      <w:r>
        <w:t xml:space="preserve">, we </w:t>
      </w:r>
      <w:r w:rsidR="00E27F84">
        <w:t xml:space="preserve">used </w:t>
      </w:r>
      <w:r w:rsidR="009A10A8">
        <w:t>t</w:t>
      </w:r>
      <w:r w:rsidR="000505C0">
        <w:t>w</w:t>
      </w:r>
      <w:r w:rsidR="009A10A8">
        <w:t>o surveys</w:t>
      </w:r>
      <w:r w:rsidR="000505C0">
        <w:t xml:space="preserve">: a </w:t>
      </w:r>
      <w:r w:rsidR="008B2AB3">
        <w:t xml:space="preserve">bill simulator and </w:t>
      </w:r>
      <w:r w:rsidR="63B97EB5">
        <w:t xml:space="preserve">a </w:t>
      </w:r>
      <w:r w:rsidR="008B2AB3">
        <w:t>best-worst</w:t>
      </w:r>
      <w:r w:rsidR="00E27F84">
        <w:t xml:space="preserve"> survey</w:t>
      </w:r>
      <w:r w:rsidR="008B2AB3">
        <w:t>.</w:t>
      </w:r>
      <w:r w:rsidR="0020026B">
        <w:t xml:space="preserve"> </w:t>
      </w:r>
    </w:p>
    <w:p w14:paraId="7901FF34" w14:textId="45BBB8C9" w:rsidR="008B2AB3" w:rsidRDefault="1BA2D2CD" w:rsidP="00F170A7">
      <w:r>
        <w:t>Through early engagement, customers told us that t</w:t>
      </w:r>
      <w:r w:rsidR="0016615F">
        <w:t xml:space="preserve">ransparency </w:t>
      </w:r>
      <w:r w:rsidR="00DD111A">
        <w:t>is important</w:t>
      </w:r>
      <w:r w:rsidR="37990DD5">
        <w:t xml:space="preserve">. </w:t>
      </w:r>
      <w:r w:rsidR="001C4955">
        <w:t xml:space="preserve">To </w:t>
      </w:r>
      <w:r w:rsidR="00E44D1D">
        <w:t xml:space="preserve">meet </w:t>
      </w:r>
      <w:r w:rsidR="00AB4AA8">
        <w:t>c</w:t>
      </w:r>
      <w:r w:rsidR="00E44D1D">
        <w:t xml:space="preserve">ustomer expectations and </w:t>
      </w:r>
      <w:r w:rsidR="002F71ED">
        <w:t xml:space="preserve">be true to our </w:t>
      </w:r>
      <w:r w:rsidR="00341DDE">
        <w:t xml:space="preserve">engagement framework, we clearly stated on both surveys that we are aiming to </w:t>
      </w:r>
      <w:r w:rsidR="00330CDC">
        <w:t>maintain stable bills</w:t>
      </w:r>
      <w:r w:rsidR="00DE4BB9">
        <w:t xml:space="preserve">. </w:t>
      </w:r>
      <w:r w:rsidR="00A628CB">
        <w:t xml:space="preserve">The bill simulator warned customers if their choices </w:t>
      </w:r>
      <w:r w:rsidR="009A3992">
        <w:t xml:space="preserve">would </w:t>
      </w:r>
      <w:r w:rsidR="00D064E6">
        <w:t>mean</w:t>
      </w:r>
      <w:r w:rsidR="00A628CB">
        <w:t xml:space="preserve"> a price increase. It was then up to the respondent to </w:t>
      </w:r>
      <w:r w:rsidR="0070378E">
        <w:t xml:space="preserve">decide if they were comfortable with a price increase. </w:t>
      </w:r>
      <w:r w:rsidR="006E1002">
        <w:t xml:space="preserve"> </w:t>
      </w:r>
      <w:r w:rsidR="001E6373">
        <w:t xml:space="preserve"> </w:t>
      </w:r>
      <w:r w:rsidR="00630CF7">
        <w:t xml:space="preserve"> </w:t>
      </w:r>
    </w:p>
    <w:p w14:paraId="3DF1709F" w14:textId="3186F079" w:rsidR="008B2AB3" w:rsidRDefault="008B2AB3" w:rsidP="00F170A7">
      <w:pPr>
        <w:rPr>
          <w:rFonts w:asciiTheme="majorHAnsi" w:hAnsiTheme="majorHAnsi"/>
        </w:rPr>
      </w:pPr>
      <w:r>
        <w:lastRenderedPageBreak/>
        <w:t xml:space="preserve">To ensure accessibility, both surveys were written in plain English. </w:t>
      </w:r>
      <w:r w:rsidR="00B54613">
        <w:t xml:space="preserve">Our best-worst survey was more inclusive; it required a lower cognitive load and less digital literacy. </w:t>
      </w:r>
      <w:r>
        <w:t xml:space="preserve">We also translated the </w:t>
      </w:r>
      <w:r w:rsidRPr="7DA8FF07">
        <w:rPr>
          <w:rFonts w:asciiTheme="majorHAnsi" w:hAnsiTheme="majorHAnsi"/>
        </w:rPr>
        <w:t xml:space="preserve">best-worst survey into the three most spoken languages in </w:t>
      </w:r>
      <w:r w:rsidR="002F15E1">
        <w:rPr>
          <w:rFonts w:asciiTheme="majorHAnsi" w:hAnsiTheme="majorHAnsi"/>
        </w:rPr>
        <w:t xml:space="preserve">the </w:t>
      </w:r>
      <w:r w:rsidRPr="7DA8FF07">
        <w:rPr>
          <w:rFonts w:asciiTheme="majorHAnsi" w:hAnsiTheme="majorHAnsi"/>
        </w:rPr>
        <w:t>region other than English (Mandarin, Arabic and Vietnamese).</w:t>
      </w:r>
    </w:p>
    <w:p w14:paraId="4DED97BC" w14:textId="46FCE7DB" w:rsidR="00123AB6" w:rsidRDefault="00123AB6" w:rsidP="00F170A7">
      <w:pPr>
        <w:rPr>
          <w:b/>
          <w:bCs/>
        </w:rPr>
      </w:pPr>
      <w:r>
        <w:rPr>
          <w:rFonts w:asciiTheme="majorHAnsi" w:hAnsiTheme="majorHAnsi"/>
        </w:rPr>
        <w:t xml:space="preserve">We </w:t>
      </w:r>
      <w:r w:rsidR="004110DF">
        <w:rPr>
          <w:rFonts w:asciiTheme="majorHAnsi" w:hAnsiTheme="majorHAnsi"/>
        </w:rPr>
        <w:t>recognise</w:t>
      </w:r>
      <w:r>
        <w:rPr>
          <w:rFonts w:asciiTheme="majorHAnsi" w:hAnsiTheme="majorHAnsi"/>
        </w:rPr>
        <w:t xml:space="preserve"> the limitations of </w:t>
      </w:r>
      <w:r w:rsidR="00396280">
        <w:rPr>
          <w:rFonts w:asciiTheme="majorHAnsi" w:hAnsiTheme="majorHAnsi"/>
        </w:rPr>
        <w:t xml:space="preserve">quantitative </w:t>
      </w:r>
      <w:r>
        <w:rPr>
          <w:rFonts w:asciiTheme="majorHAnsi" w:hAnsiTheme="majorHAnsi"/>
        </w:rPr>
        <w:t>surveys, like the willingness to pay surveys</w:t>
      </w:r>
      <w:r w:rsidR="4AAD6C23" w:rsidRPr="34A3451C">
        <w:rPr>
          <w:rFonts w:asciiTheme="majorHAnsi" w:hAnsiTheme="majorHAnsi"/>
        </w:rPr>
        <w:t>, so</w:t>
      </w:r>
      <w:r w:rsidR="2B158727" w:rsidRPr="11EFEE37">
        <w:rPr>
          <w:rFonts w:asciiTheme="majorHAnsi" w:hAnsiTheme="majorHAnsi"/>
        </w:rPr>
        <w:t xml:space="preserve"> we</w:t>
      </w:r>
      <w:r w:rsidR="00AB4AA8">
        <w:rPr>
          <w:rFonts w:asciiTheme="majorHAnsi" w:hAnsiTheme="majorHAnsi"/>
        </w:rPr>
        <w:t xml:space="preserve"> </w:t>
      </w:r>
      <w:r w:rsidR="00AC0DC3">
        <w:rPr>
          <w:rFonts w:asciiTheme="majorHAnsi" w:hAnsiTheme="majorHAnsi"/>
        </w:rPr>
        <w:t xml:space="preserve">did not make decisions based </w:t>
      </w:r>
      <w:r w:rsidR="7ADA6804" w:rsidRPr="54655B71">
        <w:rPr>
          <w:rFonts w:asciiTheme="majorHAnsi" w:hAnsiTheme="majorHAnsi"/>
        </w:rPr>
        <w:t xml:space="preserve">on </w:t>
      </w:r>
      <w:r w:rsidR="007B5635">
        <w:rPr>
          <w:rFonts w:asciiTheme="majorHAnsi" w:hAnsiTheme="majorHAnsi"/>
        </w:rPr>
        <w:t xml:space="preserve">these surveys alone. </w:t>
      </w:r>
      <w:r w:rsidR="09EF8BC7" w:rsidRPr="34A3451C">
        <w:rPr>
          <w:rFonts w:asciiTheme="majorHAnsi" w:hAnsiTheme="majorHAnsi"/>
        </w:rPr>
        <w:t>T</w:t>
      </w:r>
      <w:r w:rsidR="00FE1690">
        <w:rPr>
          <w:rFonts w:asciiTheme="majorHAnsi" w:hAnsiTheme="majorHAnsi"/>
        </w:rPr>
        <w:t xml:space="preserve">he surveys allowed us to understand customer </w:t>
      </w:r>
      <w:r w:rsidR="00F03160">
        <w:rPr>
          <w:rFonts w:asciiTheme="majorHAnsi" w:hAnsiTheme="majorHAnsi"/>
        </w:rPr>
        <w:t>priorities</w:t>
      </w:r>
      <w:r w:rsidR="00A10904">
        <w:rPr>
          <w:rFonts w:asciiTheme="majorHAnsi" w:hAnsiTheme="majorHAnsi"/>
        </w:rPr>
        <w:t xml:space="preserve">. They also helped </w:t>
      </w:r>
      <w:r w:rsidR="0051799A">
        <w:rPr>
          <w:rFonts w:asciiTheme="majorHAnsi" w:hAnsiTheme="majorHAnsi"/>
        </w:rPr>
        <w:t>our deliberative panel</w:t>
      </w:r>
      <w:r w:rsidR="00A10904">
        <w:rPr>
          <w:rFonts w:asciiTheme="majorHAnsi" w:hAnsiTheme="majorHAnsi"/>
        </w:rPr>
        <w:t xml:space="preserve"> understand the different segments of our community </w:t>
      </w:r>
      <w:r w:rsidR="00546737">
        <w:rPr>
          <w:rFonts w:asciiTheme="majorHAnsi" w:hAnsiTheme="majorHAnsi"/>
        </w:rPr>
        <w:t xml:space="preserve">that </w:t>
      </w:r>
      <w:r w:rsidR="00A10904">
        <w:rPr>
          <w:rFonts w:asciiTheme="majorHAnsi" w:hAnsiTheme="majorHAnsi"/>
        </w:rPr>
        <w:t>they would need to consider when making decisions</w:t>
      </w:r>
      <w:r w:rsidR="0081239E">
        <w:rPr>
          <w:rFonts w:asciiTheme="majorHAnsi" w:hAnsiTheme="majorHAnsi"/>
        </w:rPr>
        <w:t>.</w:t>
      </w:r>
      <w:r w:rsidR="00686A47">
        <w:rPr>
          <w:rFonts w:asciiTheme="majorHAnsi" w:hAnsiTheme="majorHAnsi"/>
        </w:rPr>
        <w:t xml:space="preserve"> </w:t>
      </w:r>
    </w:p>
    <w:p w14:paraId="35D02913" w14:textId="1720295A" w:rsidR="008B2AB3" w:rsidRDefault="008B2AB3">
      <w:pPr>
        <w:pStyle w:val="ListBullet"/>
        <w:numPr>
          <w:ilvl w:val="0"/>
          <w:numId w:val="77"/>
        </w:numPr>
      </w:pPr>
      <w:r w:rsidRPr="00CB7A95">
        <w:rPr>
          <w:b/>
          <w:bCs/>
        </w:rPr>
        <w:t>B</w:t>
      </w:r>
      <w:r w:rsidR="00422181" w:rsidRPr="00CB7A95">
        <w:rPr>
          <w:b/>
          <w:bCs/>
        </w:rPr>
        <w:t>ill simulator survey and focus groups</w:t>
      </w:r>
      <w:r w:rsidR="00F170A7">
        <w:rPr>
          <w:b/>
          <w:bCs/>
        </w:rPr>
        <w:t xml:space="preserve"> </w:t>
      </w:r>
      <w:r w:rsidR="00F170A7" w:rsidRPr="00837157">
        <w:t xml:space="preserve">(2,177 </w:t>
      </w:r>
      <w:r>
        <w:t xml:space="preserve">survey </w:t>
      </w:r>
      <w:r w:rsidR="00F170A7" w:rsidRPr="00837157">
        <w:t xml:space="preserve">responses </w:t>
      </w:r>
      <w:r w:rsidR="77340143">
        <w:t xml:space="preserve">and </w:t>
      </w:r>
      <w:r w:rsidR="00F170A7" w:rsidRPr="00837157">
        <w:t>68 focus groups attendees)</w:t>
      </w:r>
      <w:r>
        <w:br/>
      </w:r>
      <w:r w:rsidR="00F170A7">
        <w:t xml:space="preserve">The bill simulator allowed respondents to see in ‘real time’ the bill impacts of their decisions on different cohorts (including large and small households who rent and own, concession card holders and small businesses). </w:t>
      </w:r>
      <w:r>
        <w:br/>
      </w:r>
    </w:p>
    <w:p w14:paraId="362B047B" w14:textId="0EBF8444" w:rsidR="00F170A7" w:rsidRDefault="008B2AB3">
      <w:pPr>
        <w:pStyle w:val="ListBullet"/>
        <w:numPr>
          <w:ilvl w:val="0"/>
          <w:numId w:val="77"/>
        </w:numPr>
        <w:rPr>
          <w:rFonts w:asciiTheme="majorHAnsi" w:eastAsiaTheme="minorEastAsia" w:hAnsiTheme="majorHAnsi"/>
        </w:rPr>
      </w:pPr>
      <w:r w:rsidRPr="7A48422E">
        <w:rPr>
          <w:b/>
          <w:bCs/>
        </w:rPr>
        <w:t xml:space="preserve">Best-worst survey </w:t>
      </w:r>
      <w:r w:rsidRPr="00CB7A95">
        <w:t>(</w:t>
      </w:r>
      <w:r>
        <w:t>949 survey responses)</w:t>
      </w:r>
      <w:r>
        <w:br/>
        <w:t xml:space="preserve">Respondents were asked similar questions to the bill simulator, testing the same </w:t>
      </w:r>
      <w:r w:rsidR="005563C8">
        <w:t xml:space="preserve">priority </w:t>
      </w:r>
      <w:r w:rsidR="3CCAE0B9" w:rsidRPr="00E76ADE">
        <w:t>topics</w:t>
      </w:r>
      <w:r w:rsidR="00FC5684">
        <w:t xml:space="preserve">. They </w:t>
      </w:r>
      <w:r>
        <w:t xml:space="preserve">were provided with specific options </w:t>
      </w:r>
      <w:r w:rsidR="006F36E1">
        <w:t xml:space="preserve">for addressing a problem </w:t>
      </w:r>
      <w:r>
        <w:t xml:space="preserve">and </w:t>
      </w:r>
      <w:r w:rsidR="005563C8">
        <w:t xml:space="preserve">were asked to choose </w:t>
      </w:r>
      <w:r>
        <w:t xml:space="preserve">the ‘best’ </w:t>
      </w:r>
      <w:r w:rsidR="005563C8">
        <w:t xml:space="preserve">and </w:t>
      </w:r>
      <w:r>
        <w:t xml:space="preserve">‘worst’ option. </w:t>
      </w:r>
    </w:p>
    <w:tbl>
      <w:tblPr>
        <w:tblStyle w:val="GWWDefaulttable"/>
        <w:tblW w:w="5000" w:type="pct"/>
        <w:tblBorders>
          <w:top w:val="single" w:sz="4" w:space="0" w:color="auto"/>
        </w:tblBorders>
        <w:tblLook w:val="0480" w:firstRow="0" w:lastRow="0" w:firstColumn="1" w:lastColumn="0" w:noHBand="0" w:noVBand="1"/>
      </w:tblPr>
      <w:tblGrid>
        <w:gridCol w:w="2409"/>
        <w:gridCol w:w="7229"/>
      </w:tblGrid>
      <w:tr w:rsidR="00CB7A95" w14:paraId="233861DD" w14:textId="77777777" w:rsidTr="008C6A3C">
        <w:tc>
          <w:tcPr>
            <w:cnfStyle w:val="001000000000" w:firstRow="0" w:lastRow="0" w:firstColumn="1" w:lastColumn="0" w:oddVBand="0" w:evenVBand="0" w:oddHBand="0" w:evenHBand="0" w:firstRowFirstColumn="0" w:firstRowLastColumn="0" w:lastRowFirstColumn="0" w:lastRowLastColumn="0"/>
            <w:tcW w:w="1250" w:type="pct"/>
          </w:tcPr>
          <w:p w14:paraId="2B57B315" w14:textId="77777777" w:rsidR="00F170A7" w:rsidRPr="00347389" w:rsidRDefault="00F170A7">
            <w:pPr>
              <w:rPr>
                <w:b w:val="0"/>
              </w:rPr>
            </w:pPr>
            <w:r w:rsidRPr="00347389">
              <w:rPr>
                <w:b w:val="0"/>
              </w:rPr>
              <w:t>Who we heard from</w:t>
            </w:r>
          </w:p>
        </w:tc>
        <w:tc>
          <w:tcPr>
            <w:tcW w:w="3750" w:type="pct"/>
          </w:tcPr>
          <w:p w14:paraId="5E7E02A5" w14:textId="77777777" w:rsidR="00F170A7" w:rsidRDefault="00F170A7">
            <w:pPr>
              <w:cnfStyle w:val="000000000000" w:firstRow="0" w:lastRow="0" w:firstColumn="0" w:lastColumn="0" w:oddVBand="0" w:evenVBand="0" w:oddHBand="0" w:evenHBand="0" w:firstRowFirstColumn="0" w:firstRowLastColumn="0" w:lastRowFirstColumn="0" w:lastRowLastColumn="0"/>
            </w:pPr>
            <w:r>
              <w:t>R</w:t>
            </w:r>
            <w:r w:rsidRPr="00837157">
              <w:t>enters, homeowners, small businesses, customers who identified as experiencing payment difficulties, young customers and international students, retirees, culturally and linguistically diverse customers, customers who identify as living with a disability</w:t>
            </w:r>
          </w:p>
        </w:tc>
      </w:tr>
      <w:tr w:rsidR="00CB7A95" w14:paraId="72C6F6D8" w14:textId="77777777" w:rsidTr="008C6A3C">
        <w:tc>
          <w:tcPr>
            <w:cnfStyle w:val="001000000000" w:firstRow="0" w:lastRow="0" w:firstColumn="1" w:lastColumn="0" w:oddVBand="0" w:evenVBand="0" w:oddHBand="0" w:evenHBand="0" w:firstRowFirstColumn="0" w:firstRowLastColumn="0" w:lastRowFirstColumn="0" w:lastRowLastColumn="0"/>
            <w:tcW w:w="1250" w:type="pct"/>
          </w:tcPr>
          <w:p w14:paraId="450F20AB" w14:textId="77777777" w:rsidR="00F170A7" w:rsidRPr="00347389" w:rsidRDefault="00F170A7">
            <w:pPr>
              <w:rPr>
                <w:b w:val="0"/>
              </w:rPr>
            </w:pPr>
            <w:r w:rsidRPr="00347389">
              <w:rPr>
                <w:b w:val="0"/>
              </w:rPr>
              <w:t xml:space="preserve">Purpose </w:t>
            </w:r>
          </w:p>
        </w:tc>
        <w:tc>
          <w:tcPr>
            <w:tcW w:w="3750" w:type="pct"/>
          </w:tcPr>
          <w:p w14:paraId="7065219A" w14:textId="11D775F8" w:rsidR="00F170A7" w:rsidRDefault="00F170A7">
            <w:pPr>
              <w:cnfStyle w:val="000000000000" w:firstRow="0" w:lastRow="0" w:firstColumn="0" w:lastColumn="0" w:oddVBand="0" w:evenVBand="0" w:oddHBand="0" w:evenHBand="0" w:firstRowFirstColumn="0" w:firstRowLastColumn="0" w:lastRowFirstColumn="0" w:lastRowLastColumn="0"/>
            </w:pPr>
            <w:r>
              <w:t xml:space="preserve">For our customers and communities to </w:t>
            </w:r>
            <w:r w:rsidR="50979F43">
              <w:t>p</w:t>
            </w:r>
            <w:r>
              <w:t>ut a financial value on the areas identified as important to them in the pr</w:t>
            </w:r>
            <w:r w:rsidR="5727A5EB">
              <w:t>e</w:t>
            </w:r>
            <w:r>
              <w:t>vious engagement activities</w:t>
            </w:r>
            <w:r w:rsidR="00903D28">
              <w:t>.</w:t>
            </w:r>
          </w:p>
        </w:tc>
      </w:tr>
    </w:tbl>
    <w:p w14:paraId="55F8BDDE" w14:textId="77777777" w:rsidR="00F170A7" w:rsidRDefault="00F170A7" w:rsidP="00F170A7">
      <w:pPr>
        <w:rPr>
          <w:rFonts w:asciiTheme="majorHAnsi" w:hAnsiTheme="majorHAnsi"/>
        </w:rPr>
      </w:pPr>
    </w:p>
    <w:p w14:paraId="4E583737" w14:textId="6AF318FD" w:rsidR="00F170A7" w:rsidRDefault="00F170A7" w:rsidP="00F170A7">
      <w:pPr>
        <w:pStyle w:val="Heading4"/>
      </w:pPr>
      <w:r>
        <w:t>What our customers told us</w:t>
      </w:r>
    </w:p>
    <w:p w14:paraId="294B1A2A" w14:textId="0106DBBA" w:rsidR="00F170A7" w:rsidRDefault="00F170A7" w:rsidP="00034666">
      <w:r w:rsidRPr="0908050E">
        <w:t xml:space="preserve">Our </w:t>
      </w:r>
      <w:r w:rsidRPr="7FBCB162">
        <w:t xml:space="preserve">customers and community told </w:t>
      </w:r>
      <w:r w:rsidRPr="240BD8A9">
        <w:t xml:space="preserve">us how much they are </w:t>
      </w:r>
      <w:r w:rsidRPr="252D953D">
        <w:t xml:space="preserve">willing to pay for the </w:t>
      </w:r>
      <w:r>
        <w:t>six</w:t>
      </w:r>
      <w:r w:rsidRPr="252D953D" w:rsidDel="00711310">
        <w:t xml:space="preserve"> </w:t>
      </w:r>
      <w:r w:rsidR="00711310">
        <w:t>priority</w:t>
      </w:r>
      <w:r w:rsidR="00711310" w:rsidRPr="252D953D">
        <w:t xml:space="preserve"> </w:t>
      </w:r>
      <w:r w:rsidR="006337CF">
        <w:t>topics</w:t>
      </w:r>
      <w:r w:rsidR="00B9456E">
        <w:t>.</w:t>
      </w:r>
    </w:p>
    <w:p w14:paraId="5EECB876" w14:textId="77777777" w:rsidR="00DC1997" w:rsidRDefault="00F170A7" w:rsidP="00DC1997">
      <w:pPr>
        <w:pStyle w:val="Heading5"/>
      </w:pPr>
      <w:r w:rsidRPr="00BC02CE">
        <w:t>Unplanned disruptions</w:t>
      </w:r>
    </w:p>
    <w:p w14:paraId="3CF73647" w14:textId="774C43A5" w:rsidR="0026623E" w:rsidRPr="0026623E" w:rsidRDefault="00FD5A7A" w:rsidP="00034666">
      <w:r>
        <w:t>On average</w:t>
      </w:r>
      <w:r w:rsidR="00290A1A">
        <w:t>,</w:t>
      </w:r>
      <w:r>
        <w:t xml:space="preserve"> customers supported </w:t>
      </w:r>
      <w:r w:rsidR="005246AB">
        <w:t>a</w:t>
      </w:r>
      <w:r>
        <w:t xml:space="preserve"> </w:t>
      </w:r>
      <w:r w:rsidR="0026623E">
        <w:t xml:space="preserve">$25.88 million </w:t>
      </w:r>
      <w:r w:rsidR="006229FE">
        <w:t xml:space="preserve">revenue requirement </w:t>
      </w:r>
      <w:r w:rsidR="00B90C36">
        <w:t xml:space="preserve">increase </w:t>
      </w:r>
      <w:r w:rsidR="0026623E">
        <w:t>over the regulatory period</w:t>
      </w:r>
      <w:r w:rsidR="003F1A3F">
        <w:t>.</w:t>
      </w:r>
    </w:p>
    <w:p w14:paraId="4137874A" w14:textId="6BA26BC9" w:rsidR="00F170A7" w:rsidRPr="00BC02CE" w:rsidRDefault="00DC1997" w:rsidP="00034666">
      <w:r>
        <w:t>C</w:t>
      </w:r>
      <w:r w:rsidR="00F170A7" w:rsidRPr="00BC02CE">
        <w:t xml:space="preserve">ustomers said they would be comfortable paying slightly more for </w:t>
      </w:r>
      <w:r w:rsidR="009D79B8">
        <w:t>fewer</w:t>
      </w:r>
      <w:r w:rsidR="009D79B8" w:rsidRPr="00BC02CE">
        <w:t xml:space="preserve"> </w:t>
      </w:r>
      <w:r w:rsidR="00F170A7" w:rsidRPr="00BC02CE">
        <w:t>unplanned disruptions</w:t>
      </w:r>
      <w:r w:rsidR="0026623E">
        <w:t xml:space="preserve">. </w:t>
      </w:r>
      <w:r w:rsidR="00F170A7" w:rsidRPr="00BC02CE">
        <w:t xml:space="preserve"> </w:t>
      </w:r>
    </w:p>
    <w:p w14:paraId="57D7765F" w14:textId="77777777" w:rsidR="00DC1997" w:rsidRDefault="00F170A7" w:rsidP="00DC1997">
      <w:pPr>
        <w:pStyle w:val="Heading5"/>
      </w:pPr>
      <w:r w:rsidRPr="00BC02CE">
        <w:t xml:space="preserve">Harmonising service levels </w:t>
      </w:r>
    </w:p>
    <w:p w14:paraId="0B52A0CE" w14:textId="4648EE00" w:rsidR="00B90C36" w:rsidRDefault="00FD5A7A" w:rsidP="00034666">
      <w:r>
        <w:t>On average</w:t>
      </w:r>
      <w:r w:rsidR="00290A1A">
        <w:t>,</w:t>
      </w:r>
      <w:r>
        <w:t xml:space="preserve"> customers supported </w:t>
      </w:r>
      <w:r w:rsidR="008E2C45">
        <w:t>$</w:t>
      </w:r>
      <w:r w:rsidR="00EB3B74">
        <w:t xml:space="preserve">15 million revenue requirement </w:t>
      </w:r>
      <w:r w:rsidR="006C32FB">
        <w:t>increase</w:t>
      </w:r>
      <w:r w:rsidR="00EB3B74">
        <w:t xml:space="preserve"> </w:t>
      </w:r>
      <w:r w:rsidR="009D4D61">
        <w:t>over the regulatory period</w:t>
      </w:r>
      <w:r w:rsidR="00837984">
        <w:t xml:space="preserve"> to address this issue. </w:t>
      </w:r>
    </w:p>
    <w:p w14:paraId="46343243" w14:textId="5A7307F0" w:rsidR="00CA6DE4" w:rsidRDefault="00DC1997" w:rsidP="00034666">
      <w:r>
        <w:t>T</w:t>
      </w:r>
      <w:r w:rsidR="00F170A7" w:rsidRPr="00BC02CE">
        <w:t>here was no community consensus on this topic through the willingness to pay surveys and focus groups. In the best-worst survey, almost a quarter of customers told us to ‘</w:t>
      </w:r>
      <w:r w:rsidR="7D231854">
        <w:t xml:space="preserve">do </w:t>
      </w:r>
      <w:r w:rsidR="63273E18">
        <w:t>nothing</w:t>
      </w:r>
      <w:r w:rsidR="56374F9A">
        <w:t>’</w:t>
      </w:r>
      <w:r w:rsidR="00F170A7" w:rsidRPr="00BC02CE">
        <w:t>, with the rest split between different improvement measures. However</w:t>
      </w:r>
      <w:r w:rsidR="0A1C980B">
        <w:t xml:space="preserve">, </w:t>
      </w:r>
      <w:r w:rsidR="00F170A7" w:rsidRPr="00BC02CE">
        <w:t>only 10</w:t>
      </w:r>
      <w:r w:rsidR="2679B384">
        <w:t>%</w:t>
      </w:r>
      <w:r w:rsidR="31188360">
        <w:t xml:space="preserve"> </w:t>
      </w:r>
      <w:r w:rsidR="5CEFA6D3">
        <w:t>of</w:t>
      </w:r>
      <w:r w:rsidR="00F170A7" w:rsidRPr="00BC02CE">
        <w:t xml:space="preserve"> bill simulator survey responses </w:t>
      </w:r>
      <w:r w:rsidR="49E68852">
        <w:t xml:space="preserve">chose </w:t>
      </w:r>
      <w:r w:rsidR="00F170A7" w:rsidRPr="00BC02CE">
        <w:t xml:space="preserve">the ‘do nothing’ option. </w:t>
      </w:r>
    </w:p>
    <w:p w14:paraId="0A4DE70C" w14:textId="491F05F4" w:rsidR="00F170A7" w:rsidRPr="00BC02CE" w:rsidRDefault="00F170A7" w:rsidP="00034666">
      <w:r w:rsidRPr="00BC02CE">
        <w:lastRenderedPageBreak/>
        <w:t xml:space="preserve">The overall responses from the bill simulator survey indicated a recommended increase in spend. </w:t>
      </w:r>
    </w:p>
    <w:p w14:paraId="101CBB23" w14:textId="1A3DC945" w:rsidR="006B7BD9" w:rsidRDefault="00F170A7" w:rsidP="009D79B8">
      <w:pPr>
        <w:pStyle w:val="Heading5"/>
      </w:pPr>
      <w:r w:rsidRPr="00BC02CE">
        <w:t>Getting water from other sources</w:t>
      </w:r>
    </w:p>
    <w:p w14:paraId="7EF5050A" w14:textId="529E3139" w:rsidR="009D4D61" w:rsidRDefault="00FD5A7A" w:rsidP="00034666">
      <w:r>
        <w:t>On average</w:t>
      </w:r>
      <w:r w:rsidR="5B92DF0D">
        <w:t>,</w:t>
      </w:r>
      <w:r>
        <w:t xml:space="preserve"> customers supported </w:t>
      </w:r>
      <w:r w:rsidR="00837984">
        <w:t xml:space="preserve">an increase </w:t>
      </w:r>
      <w:r w:rsidR="00837984" w:rsidRPr="009C7A1B">
        <w:t xml:space="preserve">of </w:t>
      </w:r>
      <w:r w:rsidR="009D4D61" w:rsidRPr="009C7A1B">
        <w:t>$13.14</w:t>
      </w:r>
      <w:r w:rsidR="00141427" w:rsidRPr="009C7A1B">
        <w:t xml:space="preserve"> million</w:t>
      </w:r>
      <w:r w:rsidR="00141427" w:rsidRPr="005F0BA0">
        <w:t xml:space="preserve"> revenue</w:t>
      </w:r>
      <w:r w:rsidR="00141427">
        <w:t xml:space="preserve"> requirement </w:t>
      </w:r>
      <w:r w:rsidR="006C32FB">
        <w:t xml:space="preserve">increase </w:t>
      </w:r>
      <w:r w:rsidR="00141427">
        <w:t>over the regulatory period</w:t>
      </w:r>
      <w:r w:rsidR="00837984">
        <w:t xml:space="preserve"> to address this issue.</w:t>
      </w:r>
    </w:p>
    <w:p w14:paraId="69A55D92" w14:textId="69D3DCBD" w:rsidR="00F170A7" w:rsidRPr="00BC02CE" w:rsidRDefault="009D79B8" w:rsidP="00034666">
      <w:r>
        <w:t>U</w:t>
      </w:r>
      <w:r w:rsidR="00F170A7" w:rsidRPr="00BC02CE">
        <w:t xml:space="preserve">sing alternative water was </w:t>
      </w:r>
      <w:r w:rsidR="4E271787">
        <w:t xml:space="preserve">well </w:t>
      </w:r>
      <w:r w:rsidR="00F170A7" w:rsidRPr="00BC02CE">
        <w:t xml:space="preserve">supported through our willingness to pay surveys. </w:t>
      </w:r>
      <w:r w:rsidR="33B7A2FF">
        <w:t>Most</w:t>
      </w:r>
      <w:r w:rsidR="00F170A7" w:rsidRPr="00BC02CE">
        <w:t xml:space="preserve"> customers wanted us to use alternative water</w:t>
      </w:r>
      <w:r w:rsidR="00FA091C">
        <w:t>,</w:t>
      </w:r>
      <w:r w:rsidR="3F2DFE5F">
        <w:t xml:space="preserve"> </w:t>
      </w:r>
      <w:r w:rsidR="6FDF4656">
        <w:t>but not invest</w:t>
      </w:r>
      <w:r w:rsidR="00F170A7" w:rsidRPr="00BC02CE">
        <w:t xml:space="preserve"> in alternative water projects </w:t>
      </w:r>
      <w:r w:rsidR="186F4555">
        <w:t>to</w:t>
      </w:r>
      <w:r w:rsidR="00F170A7" w:rsidRPr="00BC02CE">
        <w:t xml:space="preserve"> keep bills as low as possible. However</w:t>
      </w:r>
      <w:r w:rsidR="00F170A7">
        <w:t>,</w:t>
      </w:r>
      <w:r w:rsidR="00F170A7" w:rsidRPr="00BC02CE">
        <w:t xml:space="preserve"> customers were split between the ways </w:t>
      </w:r>
      <w:r w:rsidR="0BF2005F">
        <w:t>alternative</w:t>
      </w:r>
      <w:r w:rsidR="23BE0723">
        <w:t xml:space="preserve"> water</w:t>
      </w:r>
      <w:r w:rsidR="00F170A7">
        <w:t xml:space="preserve"> </w:t>
      </w:r>
      <w:r w:rsidR="2FA74609">
        <w:t>should be</w:t>
      </w:r>
      <w:r w:rsidR="00F170A7" w:rsidRPr="00BC02CE">
        <w:t xml:space="preserve"> used. </w:t>
      </w:r>
    </w:p>
    <w:p w14:paraId="76E6D6DB" w14:textId="5B5FE94F" w:rsidR="009D79B8" w:rsidRDefault="00F170A7" w:rsidP="009D79B8">
      <w:pPr>
        <w:pStyle w:val="Heading5"/>
      </w:pPr>
      <w:r w:rsidRPr="00BC02CE">
        <w:t xml:space="preserve">Supporting waterway health </w:t>
      </w:r>
    </w:p>
    <w:p w14:paraId="691B460E" w14:textId="5F898078" w:rsidR="00385DAF" w:rsidRDefault="0039555E" w:rsidP="00034666">
      <w:r>
        <w:t>On average</w:t>
      </w:r>
      <w:r w:rsidR="002B7A7D">
        <w:t>,</w:t>
      </w:r>
      <w:r>
        <w:t xml:space="preserve"> </w:t>
      </w:r>
      <w:r w:rsidR="00837984">
        <w:t xml:space="preserve">customers supported </w:t>
      </w:r>
      <w:r w:rsidR="001869E9">
        <w:t xml:space="preserve">an </w:t>
      </w:r>
      <w:r w:rsidR="00385DAF" w:rsidRPr="00BC02CE">
        <w:t>in</w:t>
      </w:r>
      <w:r w:rsidR="001869E9">
        <w:t xml:space="preserve">crease </w:t>
      </w:r>
      <w:r w:rsidR="00F831F5">
        <w:t>of $</w:t>
      </w:r>
      <w:r w:rsidR="00735711">
        <w:t>25.14 million</w:t>
      </w:r>
      <w:r w:rsidR="00385DAF" w:rsidRPr="00BC02CE">
        <w:t xml:space="preserve"> revenue requirement </w:t>
      </w:r>
      <w:r w:rsidR="006C32FB">
        <w:t xml:space="preserve">increase </w:t>
      </w:r>
      <w:r w:rsidR="00735711">
        <w:t>over the regulatory period to address this issue</w:t>
      </w:r>
      <w:r w:rsidR="00385DAF" w:rsidRPr="00BC02CE">
        <w:t>.</w:t>
      </w:r>
    </w:p>
    <w:p w14:paraId="012D7F3C" w14:textId="39FB70D2" w:rsidR="00F170A7" w:rsidRPr="00BC02CE" w:rsidRDefault="009D79B8" w:rsidP="00034666">
      <w:r>
        <w:t>C</w:t>
      </w:r>
      <w:r w:rsidR="00F170A7" w:rsidRPr="00BC02CE">
        <w:t xml:space="preserve">ustomer feedback varied. </w:t>
      </w:r>
      <w:r w:rsidR="341188C6">
        <w:t>D</w:t>
      </w:r>
      <w:r w:rsidR="00F170A7" w:rsidRPr="00BC02CE">
        <w:t xml:space="preserve">uring our previous </w:t>
      </w:r>
      <w:r w:rsidR="00F170A7">
        <w:t>engagement</w:t>
      </w:r>
      <w:r w:rsidR="4B894DC3">
        <w:t xml:space="preserve"> stages</w:t>
      </w:r>
      <w:r w:rsidR="69021C4A">
        <w:t>,</w:t>
      </w:r>
      <w:r w:rsidR="4B894DC3">
        <w:t xml:space="preserve"> customers</w:t>
      </w:r>
      <w:r w:rsidR="000718F8">
        <w:t xml:space="preserve"> </w:t>
      </w:r>
      <w:r w:rsidR="26AFB76E">
        <w:t xml:space="preserve">said </w:t>
      </w:r>
      <w:r w:rsidR="00F170A7" w:rsidRPr="00BC02CE">
        <w:t xml:space="preserve">GWW supporting healthy waterways was a priority. However, our best-worst survey had mixed results – with </w:t>
      </w:r>
      <w:r w:rsidR="2C79BA89">
        <w:t>most</w:t>
      </w:r>
      <w:r w:rsidR="00F170A7" w:rsidRPr="00BC02CE">
        <w:t xml:space="preserve"> customers saying that </w:t>
      </w:r>
      <w:r w:rsidR="00B45E3B">
        <w:t>spending</w:t>
      </w:r>
      <w:r w:rsidR="00F170A7" w:rsidRPr="00BC02CE">
        <w:t xml:space="preserve"> is needed, but findings were split </w:t>
      </w:r>
      <w:r w:rsidR="00735711">
        <w:t xml:space="preserve">about </w:t>
      </w:r>
      <w:r w:rsidR="00F170A7" w:rsidRPr="00BC02CE">
        <w:t>the way customers want</w:t>
      </w:r>
      <w:r w:rsidR="00C611E0">
        <w:t>ed us to address the problem</w:t>
      </w:r>
      <w:r w:rsidR="00F170A7" w:rsidRPr="00BC02CE">
        <w:t xml:space="preserve">. </w:t>
      </w:r>
    </w:p>
    <w:p w14:paraId="3788A80E" w14:textId="77777777" w:rsidR="009D79B8" w:rsidRDefault="00F170A7" w:rsidP="00DC1997">
      <w:pPr>
        <w:spacing w:line="240" w:lineRule="auto"/>
      </w:pPr>
      <w:r w:rsidRPr="009D79B8">
        <w:rPr>
          <w:rStyle w:val="Heading5Char"/>
        </w:rPr>
        <w:t>Reaching net zero</w:t>
      </w:r>
      <w:r w:rsidRPr="00BC02CE">
        <w:t xml:space="preserve"> </w:t>
      </w:r>
    </w:p>
    <w:p w14:paraId="139C2A8B" w14:textId="14492056" w:rsidR="00BC2766" w:rsidRDefault="00BC2766" w:rsidP="00034666">
      <w:r>
        <w:t>On average</w:t>
      </w:r>
      <w:r w:rsidR="7E0B125E">
        <w:t>,</w:t>
      </w:r>
      <w:r>
        <w:t xml:space="preserve"> customers supported an increase of $2.09 million revenue requirement over the regulatory period to address this issue.</w:t>
      </w:r>
    </w:p>
    <w:p w14:paraId="0D903641" w14:textId="4391846D" w:rsidR="00F170A7" w:rsidRPr="00BC02CE" w:rsidRDefault="009D79B8" w:rsidP="00034666">
      <w:r>
        <w:t>C</w:t>
      </w:r>
      <w:r w:rsidR="00F170A7" w:rsidRPr="00BC02CE">
        <w:t xml:space="preserve">ustomers clearly indicated </w:t>
      </w:r>
      <w:r w:rsidR="00290A1A" w:rsidRPr="00BC02CE">
        <w:t xml:space="preserve">through the best-worst survey </w:t>
      </w:r>
      <w:r w:rsidR="00F170A7" w:rsidRPr="00BC02CE">
        <w:t>that they supported us investing in energy efficient operations. The bill simulator found that local investment</w:t>
      </w:r>
      <w:r w:rsidR="00E30369">
        <w:t xml:space="preserve"> in renewable energy</w:t>
      </w:r>
      <w:r w:rsidR="00F170A7" w:rsidRPr="00BC02CE">
        <w:t xml:space="preserve"> was </w:t>
      </w:r>
      <w:r w:rsidR="000E3453">
        <w:t xml:space="preserve">preferred over </w:t>
      </w:r>
      <w:r w:rsidR="00E30369">
        <w:t>purchasing offsets</w:t>
      </w:r>
      <w:r w:rsidR="006B3637">
        <w:t>.</w:t>
      </w:r>
      <w:r w:rsidR="00F170A7" w:rsidRPr="00BC02CE">
        <w:t xml:space="preserve"> </w:t>
      </w:r>
    </w:p>
    <w:p w14:paraId="51F3F487" w14:textId="13322131" w:rsidR="001D2E8C" w:rsidRDefault="00F170A7" w:rsidP="00DC1997">
      <w:pPr>
        <w:spacing w:line="240" w:lineRule="auto"/>
      </w:pPr>
      <w:r w:rsidRPr="001E7B39">
        <w:rPr>
          <w:b/>
        </w:rPr>
        <w:t xml:space="preserve">Supporting customers experiencing </w:t>
      </w:r>
      <w:r w:rsidR="0017168E">
        <w:rPr>
          <w:b/>
          <w:bCs/>
        </w:rPr>
        <w:t>hardship</w:t>
      </w:r>
      <w:r w:rsidRPr="00BC02CE">
        <w:t xml:space="preserve"> </w:t>
      </w:r>
    </w:p>
    <w:p w14:paraId="6C7F7248" w14:textId="01D058B0" w:rsidR="00364FE3" w:rsidRPr="00DC1997" w:rsidRDefault="40E63C03" w:rsidP="00034666">
      <w:pPr>
        <w:rPr>
          <w:rFonts w:eastAsia="Verdana"/>
        </w:rPr>
      </w:pPr>
      <w:r>
        <w:t>T</w:t>
      </w:r>
      <w:r w:rsidR="00992CDD" w:rsidRPr="00BC02CE">
        <w:t>hrough the best-worst survey</w:t>
      </w:r>
      <w:r w:rsidR="00992CDD">
        <w:t xml:space="preserve">, </w:t>
      </w:r>
      <w:r w:rsidR="4B5A16BE">
        <w:t>customers</w:t>
      </w:r>
      <w:r w:rsidR="00F170A7" w:rsidRPr="00BC02CE">
        <w:t xml:space="preserve"> wanted </w:t>
      </w:r>
      <w:r w:rsidR="14AAEDC2">
        <w:t>GWW</w:t>
      </w:r>
      <w:r w:rsidR="00F170A7">
        <w:t xml:space="preserve"> </w:t>
      </w:r>
      <w:r w:rsidR="2F885218">
        <w:t xml:space="preserve">to </w:t>
      </w:r>
      <w:r w:rsidR="00F170A7" w:rsidRPr="00BC02CE">
        <w:t xml:space="preserve">maintain or increase the </w:t>
      </w:r>
      <w:r w:rsidR="4331AB0D">
        <w:t xml:space="preserve">current </w:t>
      </w:r>
      <w:r w:rsidR="00F170A7" w:rsidRPr="00BC02CE">
        <w:t xml:space="preserve">spend </w:t>
      </w:r>
      <w:r w:rsidR="00417B4D">
        <w:t>for</w:t>
      </w:r>
      <w:r w:rsidR="489CBC68">
        <w:t xml:space="preserve"> </w:t>
      </w:r>
      <w:r w:rsidR="00F170A7" w:rsidRPr="00BC02CE">
        <w:t>customer</w:t>
      </w:r>
      <w:r w:rsidR="005719BF">
        <w:t>s</w:t>
      </w:r>
      <w:r w:rsidR="1CE594A4">
        <w:t xml:space="preserve"> experiencing hardship</w:t>
      </w:r>
      <w:r w:rsidR="00F170A7">
        <w:t xml:space="preserve">. </w:t>
      </w:r>
      <w:r w:rsidR="00F170A7" w:rsidRPr="00BC02CE">
        <w:t xml:space="preserve">Their preference was by direct bill relief. These findings were reflected in the bill simulator, with </w:t>
      </w:r>
      <w:proofErr w:type="gramStart"/>
      <w:r w:rsidR="227E4DC7">
        <w:t xml:space="preserve">the </w:t>
      </w:r>
      <w:r w:rsidR="00F170A7" w:rsidRPr="00BC02CE">
        <w:t>vast majority of</w:t>
      </w:r>
      <w:proofErr w:type="gramEnd"/>
      <w:r w:rsidR="00F170A7" w:rsidRPr="00BC02CE">
        <w:t xml:space="preserve"> customers </w:t>
      </w:r>
      <w:r w:rsidR="511370D3">
        <w:t xml:space="preserve">(85%) </w:t>
      </w:r>
      <w:r w:rsidR="00F170A7">
        <w:t>expect</w:t>
      </w:r>
      <w:r w:rsidR="34810AC6">
        <w:t>ing</w:t>
      </w:r>
      <w:r w:rsidR="00F170A7" w:rsidRPr="00BC02CE">
        <w:t xml:space="preserve"> us to continue or increase our support </w:t>
      </w:r>
      <w:r w:rsidR="0D8FB1F9">
        <w:t>for</w:t>
      </w:r>
      <w:r w:rsidR="00F170A7" w:rsidRPr="00BC02CE">
        <w:t xml:space="preserve"> customers experiencing hardship.</w:t>
      </w:r>
      <w:r w:rsidR="0084356A">
        <w:rPr>
          <w:rStyle w:val="EndnoteReference"/>
        </w:rPr>
        <w:endnoteReference w:id="4"/>
      </w:r>
      <w:r w:rsidR="0084356A" w:rsidRPr="00BC02CE">
        <w:t xml:space="preserve"> </w:t>
      </w:r>
    </w:p>
    <w:p w14:paraId="53A33B8C" w14:textId="1D045104" w:rsidR="00F170A7" w:rsidRPr="00F170A7" w:rsidRDefault="00F170A7" w:rsidP="00034666">
      <w:pPr>
        <w:rPr>
          <w:rFonts w:asciiTheme="majorHAnsi" w:eastAsiaTheme="minorEastAsia" w:hAnsiTheme="majorHAnsi"/>
        </w:rPr>
      </w:pPr>
      <w:r w:rsidRPr="3562A2E0">
        <w:rPr>
          <w:rFonts w:asciiTheme="majorHAnsi" w:eastAsiaTheme="minorEastAsia" w:hAnsiTheme="majorHAnsi"/>
        </w:rPr>
        <w:t xml:space="preserve">Our engagement </w:t>
      </w:r>
      <w:r w:rsidRPr="009C398F">
        <w:rPr>
          <w:rFonts w:asciiTheme="majorHAnsi" w:eastAsiaTheme="minorEastAsia" w:hAnsiTheme="majorHAnsi"/>
        </w:rPr>
        <w:t>findings</w:t>
      </w:r>
      <w:r w:rsidRPr="3562A2E0">
        <w:rPr>
          <w:rFonts w:asciiTheme="majorHAnsi" w:eastAsiaTheme="minorEastAsia" w:hAnsiTheme="majorHAnsi"/>
        </w:rPr>
        <w:t xml:space="preserve"> to </w:t>
      </w:r>
      <w:r w:rsidRPr="27B798EB">
        <w:rPr>
          <w:rFonts w:asciiTheme="majorHAnsi" w:eastAsiaTheme="minorEastAsia" w:hAnsiTheme="majorHAnsi"/>
        </w:rPr>
        <w:t xml:space="preserve">date were provided to </w:t>
      </w:r>
      <w:r w:rsidRPr="24CC76FC">
        <w:rPr>
          <w:rFonts w:asciiTheme="majorHAnsi" w:eastAsiaTheme="minorEastAsia" w:hAnsiTheme="majorHAnsi"/>
        </w:rPr>
        <w:t>our</w:t>
      </w:r>
      <w:r w:rsidRPr="4B1007E6">
        <w:rPr>
          <w:rFonts w:asciiTheme="majorHAnsi" w:eastAsiaTheme="minorEastAsia" w:hAnsiTheme="majorHAnsi"/>
        </w:rPr>
        <w:t xml:space="preserve"> </w:t>
      </w:r>
      <w:r w:rsidR="00364FE3">
        <w:rPr>
          <w:rFonts w:asciiTheme="majorHAnsi" w:eastAsiaTheme="minorEastAsia" w:hAnsiTheme="majorHAnsi"/>
        </w:rPr>
        <w:t>Customer Advisory Group</w:t>
      </w:r>
      <w:r w:rsidR="00C42D36">
        <w:rPr>
          <w:rFonts w:asciiTheme="majorHAnsi" w:eastAsiaTheme="minorEastAsia" w:hAnsiTheme="majorHAnsi"/>
        </w:rPr>
        <w:t xml:space="preserve"> (outlined </w:t>
      </w:r>
      <w:r w:rsidR="00E50B35">
        <w:rPr>
          <w:rFonts w:asciiTheme="majorHAnsi" w:eastAsiaTheme="minorEastAsia" w:hAnsiTheme="majorHAnsi"/>
        </w:rPr>
        <w:t xml:space="preserve">in </w:t>
      </w:r>
      <w:r w:rsidR="00D8606C">
        <w:rPr>
          <w:rFonts w:asciiTheme="majorHAnsi" w:eastAsiaTheme="minorEastAsia" w:hAnsiTheme="majorHAnsi"/>
        </w:rPr>
        <w:t>S</w:t>
      </w:r>
      <w:r w:rsidR="00E50B35">
        <w:rPr>
          <w:rFonts w:asciiTheme="majorHAnsi" w:eastAsiaTheme="minorEastAsia" w:hAnsiTheme="majorHAnsi"/>
        </w:rPr>
        <w:t>ection 2</w:t>
      </w:r>
      <w:r w:rsidR="002A4E97">
        <w:rPr>
          <w:rFonts w:asciiTheme="majorHAnsi" w:eastAsiaTheme="minorEastAsia" w:hAnsiTheme="majorHAnsi"/>
        </w:rPr>
        <w:t>.4.2).</w:t>
      </w:r>
      <w:r w:rsidR="008F1EAA">
        <w:rPr>
          <w:rFonts w:asciiTheme="majorHAnsi" w:eastAsiaTheme="minorEastAsia" w:hAnsiTheme="majorHAnsi"/>
        </w:rPr>
        <w:t xml:space="preserve"> </w:t>
      </w:r>
      <w:r w:rsidRPr="24CC76FC">
        <w:rPr>
          <w:rFonts w:asciiTheme="majorHAnsi" w:eastAsiaTheme="minorEastAsia" w:hAnsiTheme="majorHAnsi"/>
        </w:rPr>
        <w:t>The</w:t>
      </w:r>
      <w:r w:rsidRPr="159A6DEA">
        <w:rPr>
          <w:rFonts w:asciiTheme="majorHAnsi" w:eastAsiaTheme="minorEastAsia" w:hAnsiTheme="majorHAnsi"/>
        </w:rPr>
        <w:t xml:space="preserve"> group</w:t>
      </w:r>
      <w:r>
        <w:rPr>
          <w:rFonts w:asciiTheme="majorHAnsi" w:eastAsiaTheme="minorEastAsia" w:hAnsiTheme="majorHAnsi"/>
        </w:rPr>
        <w:t xml:space="preserve"> stressed the need to ensure accessibility and that all voices – especially those who are often drowned out by the majority – had the opportunity to influence the submission.</w:t>
      </w:r>
      <w:r w:rsidRPr="3D8A40BE">
        <w:rPr>
          <w:rFonts w:asciiTheme="majorHAnsi" w:eastAsiaTheme="minorEastAsia" w:hAnsiTheme="majorHAnsi"/>
        </w:rPr>
        <w:t xml:space="preserve"> </w:t>
      </w:r>
      <w:r w:rsidRPr="159A6DEA">
        <w:rPr>
          <w:rFonts w:asciiTheme="majorHAnsi" w:eastAsiaTheme="minorEastAsia" w:hAnsiTheme="majorHAnsi"/>
        </w:rPr>
        <w:t xml:space="preserve"> </w:t>
      </w:r>
    </w:p>
    <w:p w14:paraId="6693BEB1" w14:textId="50CA5818" w:rsidR="00F170A7" w:rsidRDefault="00F170A7" w:rsidP="00E76ADE">
      <w:pPr>
        <w:pStyle w:val="Heading4"/>
      </w:pPr>
      <w:r>
        <w:t xml:space="preserve">How customer feedback influenced our price submission </w:t>
      </w:r>
    </w:p>
    <w:p w14:paraId="1B4DDDC3" w14:textId="66C1A385" w:rsidR="00F170A7" w:rsidRDefault="006240EE" w:rsidP="00034666">
      <w:r>
        <w:t xml:space="preserve">Based on the </w:t>
      </w:r>
      <w:r w:rsidR="7675DBA8">
        <w:t>engagement</w:t>
      </w:r>
      <w:r>
        <w:t xml:space="preserve"> findings</w:t>
      </w:r>
      <w:r w:rsidR="1BD9E5A1">
        <w:t>,</w:t>
      </w:r>
      <w:r>
        <w:t xml:space="preserve"> </w:t>
      </w:r>
      <w:r w:rsidR="008C496B">
        <w:t xml:space="preserve">four </w:t>
      </w:r>
      <w:r w:rsidR="00447518">
        <w:t xml:space="preserve">priority </w:t>
      </w:r>
      <w:r w:rsidR="309FCA81">
        <w:t xml:space="preserve">topics </w:t>
      </w:r>
      <w:r w:rsidR="67FD5278">
        <w:t xml:space="preserve">were </w:t>
      </w:r>
      <w:r w:rsidR="00F170A7">
        <w:t xml:space="preserve">taken to the </w:t>
      </w:r>
      <w:r w:rsidR="008C496B">
        <w:t xml:space="preserve">deliberative </w:t>
      </w:r>
      <w:r w:rsidR="02D94DA7">
        <w:t>stage</w:t>
      </w:r>
      <w:r>
        <w:t>:</w:t>
      </w:r>
      <w:r w:rsidR="00F170A7">
        <w:t xml:space="preserve"> </w:t>
      </w:r>
    </w:p>
    <w:p w14:paraId="433115F7" w14:textId="0F2E3EBD" w:rsidR="006240EE" w:rsidRDefault="005318B4">
      <w:pPr>
        <w:pStyle w:val="ListBullet"/>
        <w:numPr>
          <w:ilvl w:val="0"/>
          <w:numId w:val="78"/>
        </w:numPr>
      </w:pPr>
      <w:r>
        <w:t>u</w:t>
      </w:r>
      <w:r w:rsidR="006240EE">
        <w:t>nplanned disruptions</w:t>
      </w:r>
    </w:p>
    <w:p w14:paraId="65C9C462" w14:textId="59564727" w:rsidR="006240EE" w:rsidRDefault="005318B4">
      <w:pPr>
        <w:pStyle w:val="ListBullet"/>
        <w:numPr>
          <w:ilvl w:val="0"/>
          <w:numId w:val="78"/>
        </w:numPr>
      </w:pPr>
      <w:r>
        <w:t>h</w:t>
      </w:r>
      <w:r w:rsidR="006240EE">
        <w:t>armonising service levels</w:t>
      </w:r>
    </w:p>
    <w:p w14:paraId="655259C8" w14:textId="66F1D360" w:rsidR="006240EE" w:rsidRDefault="005318B4">
      <w:pPr>
        <w:pStyle w:val="ListBullet"/>
        <w:numPr>
          <w:ilvl w:val="0"/>
          <w:numId w:val="78"/>
        </w:numPr>
      </w:pPr>
      <w:r>
        <w:t>g</w:t>
      </w:r>
      <w:r w:rsidR="006240EE">
        <w:t xml:space="preserve">etting water from other sources </w:t>
      </w:r>
    </w:p>
    <w:p w14:paraId="15DEA018" w14:textId="4EC72EA0" w:rsidR="006240EE" w:rsidRDefault="005318B4">
      <w:pPr>
        <w:pStyle w:val="ListBullet"/>
        <w:numPr>
          <w:ilvl w:val="0"/>
          <w:numId w:val="78"/>
        </w:numPr>
      </w:pPr>
      <w:r>
        <w:t>s</w:t>
      </w:r>
      <w:r w:rsidR="006240EE">
        <w:t>upporting waterway health</w:t>
      </w:r>
      <w:r>
        <w:t>.</w:t>
      </w:r>
    </w:p>
    <w:p w14:paraId="0267CD70" w14:textId="2FECC1A1" w:rsidR="00F170A7" w:rsidRDefault="00F170A7" w:rsidP="00034666">
      <w:r>
        <w:t xml:space="preserve">The </w:t>
      </w:r>
      <w:r w:rsidR="6523B5E6">
        <w:t xml:space="preserve">four priority topics and </w:t>
      </w:r>
      <w:r>
        <w:t>suggested revenue requirement</w:t>
      </w:r>
      <w:r w:rsidR="0883F48D">
        <w:t>s</w:t>
      </w:r>
      <w:r w:rsidR="0D3C5659">
        <w:t xml:space="preserve"> </w:t>
      </w:r>
      <w:r>
        <w:t>w</w:t>
      </w:r>
      <w:r w:rsidR="2CA18BD9">
        <w:t>ere</w:t>
      </w:r>
      <w:r>
        <w:t xml:space="preserve"> </w:t>
      </w:r>
      <w:r w:rsidR="4AD0FABA">
        <w:t xml:space="preserve">shared with internal subject matter experts, </w:t>
      </w:r>
      <w:proofErr w:type="gramStart"/>
      <w:r w:rsidR="4AD0FABA">
        <w:t>executives</w:t>
      </w:r>
      <w:proofErr w:type="gramEnd"/>
      <w:r w:rsidR="4AD0FABA">
        <w:t xml:space="preserve"> and</w:t>
      </w:r>
      <w:r>
        <w:t xml:space="preserve"> our </w:t>
      </w:r>
      <w:r w:rsidR="00FA00E4">
        <w:t>b</w:t>
      </w:r>
      <w:r>
        <w:t>oard</w:t>
      </w:r>
      <w:r w:rsidR="64AB5B37">
        <w:t xml:space="preserve">. </w:t>
      </w:r>
      <w:r>
        <w:t xml:space="preserve">Proposed projects </w:t>
      </w:r>
      <w:r w:rsidR="37AAC47A">
        <w:t>and</w:t>
      </w:r>
      <w:r w:rsidR="18473CE7">
        <w:t xml:space="preserve"> </w:t>
      </w:r>
      <w:r w:rsidR="2042D1A4">
        <w:t>estimated</w:t>
      </w:r>
      <w:r w:rsidR="1DFFF87C">
        <w:t xml:space="preserve"> </w:t>
      </w:r>
      <w:r w:rsidR="18473CE7">
        <w:t xml:space="preserve">costs to deliver </w:t>
      </w:r>
      <w:r w:rsidR="161CE4D6">
        <w:t>the</w:t>
      </w:r>
      <w:r w:rsidR="45F453F0">
        <w:t>m</w:t>
      </w:r>
      <w:r>
        <w:t xml:space="preserve"> </w:t>
      </w:r>
      <w:r w:rsidR="74B58B1C">
        <w:t>were</w:t>
      </w:r>
      <w:r>
        <w:t xml:space="preserve"> </w:t>
      </w:r>
      <w:r w:rsidR="008C3B68">
        <w:t>identified</w:t>
      </w:r>
      <w:r>
        <w:t xml:space="preserve"> </w:t>
      </w:r>
      <w:r w:rsidR="1FD61711">
        <w:t xml:space="preserve">across the business </w:t>
      </w:r>
      <w:r w:rsidR="0379BA04">
        <w:t xml:space="preserve">in preparation </w:t>
      </w:r>
      <w:r w:rsidR="010EE61C">
        <w:t>for the</w:t>
      </w:r>
      <w:r w:rsidR="00B564CD">
        <w:t xml:space="preserve"> </w:t>
      </w:r>
      <w:r w:rsidR="00B564CD">
        <w:lastRenderedPageBreak/>
        <w:t>delib</w:t>
      </w:r>
      <w:r w:rsidR="4B2B1342">
        <w:t>eration</w:t>
      </w:r>
      <w:r w:rsidR="2B7DAA54">
        <w:t xml:space="preserve"> stage</w:t>
      </w:r>
      <w:r w:rsidR="18837AC5">
        <w:t xml:space="preserve">. This would </w:t>
      </w:r>
      <w:r w:rsidR="10F4BF42">
        <w:t>e</w:t>
      </w:r>
      <w:r w:rsidR="4C75AA08">
        <w:t>nsure</w:t>
      </w:r>
      <w:r w:rsidR="72DA849A">
        <w:t xml:space="preserve"> our panel had the right information to make informed </w:t>
      </w:r>
      <w:r w:rsidR="00AB4AA8">
        <w:t>decisions</w:t>
      </w:r>
      <w:r w:rsidR="2B7DAA54">
        <w:t xml:space="preserve">. </w:t>
      </w:r>
    </w:p>
    <w:p w14:paraId="4CD68BC5" w14:textId="066475A9" w:rsidR="00F170A7" w:rsidRDefault="0D1C9B64" w:rsidP="00034666">
      <w:r>
        <w:t xml:space="preserve">The </w:t>
      </w:r>
      <w:r w:rsidR="00F170A7">
        <w:t>willingness to pay</w:t>
      </w:r>
      <w:r w:rsidR="24F0289D">
        <w:t xml:space="preserve"> findings were incorporated </w:t>
      </w:r>
      <w:r w:rsidR="27486B3D">
        <w:t xml:space="preserve">into our </w:t>
      </w:r>
      <w:r w:rsidR="24F0289D">
        <w:t>customer outcome</w:t>
      </w:r>
      <w:r w:rsidR="00D3611B">
        <w:t>s</w:t>
      </w:r>
      <w:r w:rsidR="0398561D">
        <w:t xml:space="preserve">. </w:t>
      </w:r>
      <w:r w:rsidR="00542EB8">
        <w:t>T</w:t>
      </w:r>
      <w:r w:rsidR="00F170A7">
        <w:t xml:space="preserve">he areas </w:t>
      </w:r>
      <w:r w:rsidR="00CD452C">
        <w:t>with the highest spend</w:t>
      </w:r>
      <w:r w:rsidR="00F4269B">
        <w:t xml:space="preserve"> were assumed to be priorities</w:t>
      </w:r>
      <w:r w:rsidR="001B38E5">
        <w:t xml:space="preserve"> </w:t>
      </w:r>
      <w:r w:rsidR="00865A5A">
        <w:t xml:space="preserve">and </w:t>
      </w:r>
      <w:r w:rsidR="681BCF8B">
        <w:t xml:space="preserve">helped to refine our customer outcomes. </w:t>
      </w:r>
      <w:r w:rsidR="00735D88">
        <w:t xml:space="preserve"> </w:t>
      </w:r>
    </w:p>
    <w:p w14:paraId="6171ABAC" w14:textId="218570C6" w:rsidR="00F170A7" w:rsidRDefault="37CF5FC5" w:rsidP="00034666">
      <w:r>
        <w:t xml:space="preserve">Reaching net zero and supporting </w:t>
      </w:r>
      <w:r w:rsidR="3394D7BA">
        <w:t>customer</w:t>
      </w:r>
      <w:r w:rsidR="0969E364">
        <w:t>s</w:t>
      </w:r>
      <w:r>
        <w:t xml:space="preserve"> experiencing hardship had such consistent feedback that further investigation through the deliberative stage was not necessary. </w:t>
      </w:r>
    </w:p>
    <w:p w14:paraId="720F08B9" w14:textId="5C18BA3A" w:rsidR="009536AC" w:rsidRDefault="092613DC" w:rsidP="00034666">
      <w:r>
        <w:t>B</w:t>
      </w:r>
      <w:r w:rsidR="75BBC8CD">
        <w:t>ased</w:t>
      </w:r>
      <w:r w:rsidR="0009532E">
        <w:t xml:space="preserve"> on </w:t>
      </w:r>
      <w:r w:rsidR="004516FF">
        <w:t xml:space="preserve">strong </w:t>
      </w:r>
      <w:r w:rsidR="00792FA6">
        <w:t>customer</w:t>
      </w:r>
      <w:r w:rsidR="0009532E">
        <w:t xml:space="preserve"> feedback,</w:t>
      </w:r>
      <w:r w:rsidR="0015239B">
        <w:t xml:space="preserve"> we </w:t>
      </w:r>
      <w:r w:rsidR="0E3E894D">
        <w:t>have</w:t>
      </w:r>
      <w:r w:rsidR="0015239B">
        <w:t xml:space="preserve"> </w:t>
      </w:r>
      <w:r w:rsidR="0009532E">
        <w:t>propose</w:t>
      </w:r>
      <w:r w:rsidR="001D53B4">
        <w:t>d</w:t>
      </w:r>
      <w:r w:rsidR="0009532E">
        <w:t xml:space="preserve"> </w:t>
      </w:r>
      <w:r w:rsidR="00560F3B" w:rsidRPr="00F9237D">
        <w:t>$</w:t>
      </w:r>
      <w:r w:rsidR="00F9237D">
        <w:t>5.2 million</w:t>
      </w:r>
      <w:r w:rsidR="0009532E">
        <w:t xml:space="preserve"> </w:t>
      </w:r>
      <w:r w:rsidR="4EE02AE3">
        <w:t>increased</w:t>
      </w:r>
      <w:r w:rsidR="00560F3B">
        <w:t xml:space="preserve"> operating expenditure</w:t>
      </w:r>
      <w:r w:rsidR="4EE02AE3">
        <w:t xml:space="preserve"> </w:t>
      </w:r>
      <w:r w:rsidR="00560F3B">
        <w:t>over the regulatory period</w:t>
      </w:r>
      <w:r w:rsidR="4EE02AE3">
        <w:t xml:space="preserve"> </w:t>
      </w:r>
      <w:r w:rsidR="0009532E">
        <w:t xml:space="preserve">to </w:t>
      </w:r>
      <w:r w:rsidR="5FFD4E14">
        <w:t xml:space="preserve">increase </w:t>
      </w:r>
      <w:r w:rsidR="3A09A094">
        <w:t>customer support programs and</w:t>
      </w:r>
      <w:r w:rsidR="0009532E">
        <w:t xml:space="preserve"> </w:t>
      </w:r>
      <w:r w:rsidR="007E5FEF">
        <w:t>individualised</w:t>
      </w:r>
      <w:r w:rsidR="0009532E">
        <w:t xml:space="preserve"> services </w:t>
      </w:r>
      <w:r w:rsidR="007E5FEF">
        <w:t xml:space="preserve">for </w:t>
      </w:r>
      <w:r w:rsidR="28841DE6">
        <w:t>residential</w:t>
      </w:r>
      <w:r w:rsidR="00B43631">
        <w:t xml:space="preserve"> </w:t>
      </w:r>
      <w:r w:rsidR="500A74D9">
        <w:t xml:space="preserve">and small </w:t>
      </w:r>
      <w:r w:rsidR="708E3E38">
        <w:t>business</w:t>
      </w:r>
      <w:r w:rsidR="3A0290C1">
        <w:t xml:space="preserve"> customers</w:t>
      </w:r>
      <w:r w:rsidR="007E5FEF">
        <w:t xml:space="preserve"> experiencing hardship</w:t>
      </w:r>
      <w:r w:rsidR="00792FA6">
        <w:t xml:space="preserve">. </w:t>
      </w:r>
      <w:r w:rsidR="555E44D9">
        <w:t>Our</w:t>
      </w:r>
      <w:r w:rsidR="09C9921B">
        <w:t xml:space="preserve"> programs include</w:t>
      </w:r>
      <w:r w:rsidR="0025772E">
        <w:t xml:space="preserve"> </w:t>
      </w:r>
      <w:r w:rsidR="00C506A7">
        <w:t xml:space="preserve">engaging directly with our customers </w:t>
      </w:r>
      <w:r w:rsidR="00C506A7" w:rsidRPr="00C506A7">
        <w:t xml:space="preserve">and training our people to ensure they have the skills to support </w:t>
      </w:r>
      <w:r w:rsidR="00C506A7">
        <w:t>our community.</w:t>
      </w:r>
      <w:r w:rsidR="1E153134">
        <w:t xml:space="preserve"> This includes all customer experience staff </w:t>
      </w:r>
      <w:r w:rsidR="5263C968">
        <w:t xml:space="preserve">completing </w:t>
      </w:r>
      <w:r w:rsidR="1E153134">
        <w:t>data protection process and privacy training.</w:t>
      </w:r>
    </w:p>
    <w:p w14:paraId="50FF942C" w14:textId="0ABE5ED6" w:rsidR="00DB6F97" w:rsidRDefault="00B11965" w:rsidP="00034666">
      <w:r>
        <w:t xml:space="preserve">Reaching net zero </w:t>
      </w:r>
      <w:r w:rsidR="0053758A">
        <w:t>emissions</w:t>
      </w:r>
      <w:r>
        <w:t xml:space="preserve"> by 2030 </w:t>
      </w:r>
      <w:r w:rsidR="360D5B64">
        <w:t>is</w:t>
      </w:r>
      <w:r>
        <w:t xml:space="preserve"> a business </w:t>
      </w:r>
      <w:r w:rsidR="00FE7123">
        <w:t>priority</w:t>
      </w:r>
      <w:r>
        <w:t>. Customer feedback influenced it to become a</w:t>
      </w:r>
      <w:r w:rsidR="00FE7123">
        <w:t xml:space="preserve">n outcome target (outlined in </w:t>
      </w:r>
      <w:r w:rsidR="00A00790">
        <w:t>S</w:t>
      </w:r>
      <w:r w:rsidR="00444258">
        <w:t xml:space="preserve">ection </w:t>
      </w:r>
      <w:r w:rsidR="000529A3">
        <w:t>3</w:t>
      </w:r>
      <w:r w:rsidR="004C557C">
        <w:fldChar w:fldCharType="begin"/>
      </w:r>
      <w:r w:rsidR="004C557C">
        <w:instrText xml:space="preserve"> REF _Ref145919542 \n \h </w:instrText>
      </w:r>
      <w:r w:rsidR="0069425C">
        <w:fldChar w:fldCharType="separate"/>
      </w:r>
      <w:r w:rsidR="004C557C">
        <w:fldChar w:fldCharType="end"/>
      </w:r>
      <w:r w:rsidR="004C557C">
        <w:t>).</w:t>
      </w:r>
      <w:r w:rsidR="00E01FF3">
        <w:t xml:space="preserve"> </w:t>
      </w:r>
      <w:r w:rsidR="00E32D10">
        <w:t>GWW continues to investigate how to best meet net zero by 2030</w:t>
      </w:r>
      <w:r w:rsidR="00124A5F">
        <w:t xml:space="preserve">, </w:t>
      </w:r>
      <w:r w:rsidR="00030A00">
        <w:t xml:space="preserve">including </w:t>
      </w:r>
      <w:r w:rsidR="00124A5F">
        <w:t>considering local</w:t>
      </w:r>
      <w:r w:rsidR="00FE7123">
        <w:t xml:space="preserve"> solutions. </w:t>
      </w:r>
    </w:p>
    <w:p w14:paraId="584D45FE" w14:textId="77777777" w:rsidR="00AB4772" w:rsidRDefault="00AB4772" w:rsidP="005B69CD">
      <w:pPr>
        <w:pStyle w:val="Heading3"/>
      </w:pPr>
      <w:r>
        <w:t xml:space="preserve">Deliberation </w:t>
      </w:r>
    </w:p>
    <w:p w14:paraId="2782F6FE" w14:textId="77777777" w:rsidR="00AB4772" w:rsidRPr="00434B3F" w:rsidRDefault="00AB4772" w:rsidP="00034666">
      <w:pPr>
        <w:pStyle w:val="Heading4"/>
      </w:pPr>
      <w:r>
        <w:t xml:space="preserve">Engagement focus </w:t>
      </w:r>
    </w:p>
    <w:p w14:paraId="49925FA8" w14:textId="11A32C9B" w:rsidR="00AB4772" w:rsidRPr="00837157" w:rsidRDefault="00AB4772" w:rsidP="00034666">
      <w:pPr>
        <w:keepNext/>
        <w:keepLines/>
        <w:rPr>
          <w:rFonts w:asciiTheme="majorHAnsi" w:hAnsiTheme="majorHAnsi"/>
        </w:rPr>
      </w:pPr>
      <w:r w:rsidRPr="00837157">
        <w:rPr>
          <w:rFonts w:asciiTheme="majorHAnsi" w:hAnsiTheme="majorHAnsi"/>
        </w:rPr>
        <w:t>We chose not to use quantitative feedback to justify bill changes in isolation. We brought the</w:t>
      </w:r>
      <w:r>
        <w:rPr>
          <w:rFonts w:asciiTheme="majorHAnsi" w:hAnsiTheme="majorHAnsi"/>
        </w:rPr>
        <w:t xml:space="preserve"> four most </w:t>
      </w:r>
      <w:r w:rsidR="005C73DD">
        <w:rPr>
          <w:rFonts w:asciiTheme="majorHAnsi" w:hAnsiTheme="majorHAnsi"/>
        </w:rPr>
        <w:t>divisive</w:t>
      </w:r>
      <w:r>
        <w:rPr>
          <w:rFonts w:asciiTheme="majorHAnsi" w:hAnsiTheme="majorHAnsi"/>
        </w:rPr>
        <w:t xml:space="preserve"> </w:t>
      </w:r>
      <w:r w:rsidRPr="58FA7924">
        <w:rPr>
          <w:rFonts w:asciiTheme="majorHAnsi" w:hAnsiTheme="majorHAnsi"/>
        </w:rPr>
        <w:t xml:space="preserve">or </w:t>
      </w:r>
      <w:r w:rsidRPr="76F9D4A4">
        <w:rPr>
          <w:rFonts w:asciiTheme="majorHAnsi" w:hAnsiTheme="majorHAnsi"/>
        </w:rPr>
        <w:t>highest</w:t>
      </w:r>
      <w:r w:rsidRPr="58FA7924">
        <w:rPr>
          <w:rFonts w:asciiTheme="majorHAnsi" w:hAnsiTheme="majorHAnsi"/>
        </w:rPr>
        <w:t xml:space="preserve"> spend </w:t>
      </w:r>
      <w:r w:rsidR="006E0163">
        <w:rPr>
          <w:rFonts w:asciiTheme="majorHAnsi" w:hAnsiTheme="majorHAnsi"/>
        </w:rPr>
        <w:t xml:space="preserve">priority areas </w:t>
      </w:r>
      <w:r>
        <w:rPr>
          <w:rFonts w:asciiTheme="majorHAnsi" w:hAnsiTheme="majorHAnsi"/>
        </w:rPr>
        <w:t>from the</w:t>
      </w:r>
      <w:r w:rsidRPr="00837157">
        <w:rPr>
          <w:rFonts w:asciiTheme="majorHAnsi" w:hAnsiTheme="majorHAnsi"/>
        </w:rPr>
        <w:t xml:space="preserve"> valuation </w:t>
      </w:r>
      <w:r w:rsidR="3D84EF73" w:rsidRPr="66CAD205">
        <w:rPr>
          <w:rFonts w:asciiTheme="majorHAnsi" w:hAnsiTheme="majorHAnsi"/>
        </w:rPr>
        <w:t xml:space="preserve">stage </w:t>
      </w:r>
      <w:r w:rsidRPr="00837157">
        <w:rPr>
          <w:rFonts w:asciiTheme="majorHAnsi" w:hAnsiTheme="majorHAnsi"/>
        </w:rPr>
        <w:t xml:space="preserve">into our </w:t>
      </w:r>
      <w:r>
        <w:rPr>
          <w:rFonts w:asciiTheme="majorHAnsi" w:hAnsiTheme="majorHAnsi"/>
          <w:b/>
          <w:bCs/>
        </w:rPr>
        <w:t>D</w:t>
      </w:r>
      <w:r w:rsidRPr="00837157">
        <w:rPr>
          <w:rFonts w:asciiTheme="majorHAnsi" w:hAnsiTheme="majorHAnsi"/>
          <w:b/>
          <w:bCs/>
        </w:rPr>
        <w:t>eliberation</w:t>
      </w:r>
      <w:r w:rsidRPr="536A6CC4">
        <w:rPr>
          <w:rFonts w:asciiTheme="majorHAnsi" w:hAnsiTheme="majorHAnsi"/>
          <w:b/>
        </w:rPr>
        <w:t xml:space="preserve"> </w:t>
      </w:r>
      <w:r w:rsidR="65AA849B" w:rsidRPr="536A6CC4">
        <w:rPr>
          <w:rFonts w:asciiTheme="majorHAnsi" w:hAnsiTheme="majorHAnsi"/>
          <w:b/>
          <w:bCs/>
        </w:rPr>
        <w:t>stage</w:t>
      </w:r>
      <w:r w:rsidRPr="536A6CC4">
        <w:rPr>
          <w:rFonts w:asciiTheme="majorHAnsi" w:hAnsiTheme="majorHAnsi"/>
        </w:rPr>
        <w:t xml:space="preserve"> </w:t>
      </w:r>
      <w:r w:rsidRPr="00837157">
        <w:rPr>
          <w:rFonts w:asciiTheme="majorHAnsi" w:hAnsiTheme="majorHAnsi"/>
        </w:rPr>
        <w:t>(March – June 2023)</w:t>
      </w:r>
      <w:r>
        <w:rPr>
          <w:rFonts w:asciiTheme="majorHAnsi" w:hAnsiTheme="majorHAnsi"/>
        </w:rPr>
        <w:t xml:space="preserve">. A </w:t>
      </w:r>
      <w:r w:rsidRPr="00837157">
        <w:rPr>
          <w:rFonts w:asciiTheme="majorHAnsi" w:hAnsiTheme="majorHAnsi"/>
        </w:rPr>
        <w:t xml:space="preserve">panel of </w:t>
      </w:r>
      <w:r>
        <w:rPr>
          <w:rFonts w:asciiTheme="majorHAnsi" w:hAnsiTheme="majorHAnsi"/>
        </w:rPr>
        <w:t>44</w:t>
      </w:r>
      <w:r w:rsidRPr="00837157">
        <w:rPr>
          <w:rFonts w:asciiTheme="majorHAnsi" w:hAnsiTheme="majorHAnsi"/>
        </w:rPr>
        <w:t xml:space="preserve"> customers dissected, </w:t>
      </w:r>
      <w:proofErr w:type="gramStart"/>
      <w:r w:rsidRPr="00837157">
        <w:rPr>
          <w:rFonts w:asciiTheme="majorHAnsi" w:hAnsiTheme="majorHAnsi"/>
        </w:rPr>
        <w:t>challenged</w:t>
      </w:r>
      <w:proofErr w:type="gramEnd"/>
      <w:r w:rsidRPr="00837157">
        <w:rPr>
          <w:rFonts w:asciiTheme="majorHAnsi" w:hAnsiTheme="majorHAnsi"/>
        </w:rPr>
        <w:t xml:space="preserve"> and </w:t>
      </w:r>
      <w:r w:rsidR="03AD10A9" w:rsidRPr="66CAD205">
        <w:rPr>
          <w:rFonts w:asciiTheme="majorHAnsi" w:hAnsiTheme="majorHAnsi"/>
        </w:rPr>
        <w:t>recommend</w:t>
      </w:r>
      <w:r w:rsidR="7BECF699" w:rsidRPr="66CAD205">
        <w:rPr>
          <w:rFonts w:asciiTheme="majorHAnsi" w:hAnsiTheme="majorHAnsi"/>
        </w:rPr>
        <w:t>ed</w:t>
      </w:r>
      <w:r w:rsidRPr="00837157">
        <w:rPr>
          <w:rFonts w:asciiTheme="majorHAnsi" w:hAnsiTheme="majorHAnsi"/>
        </w:rPr>
        <w:t xml:space="preserve"> a course of action </w:t>
      </w:r>
      <w:r w:rsidR="175543B2" w:rsidRPr="66CAD205">
        <w:rPr>
          <w:rFonts w:asciiTheme="majorHAnsi" w:hAnsiTheme="majorHAnsi"/>
        </w:rPr>
        <w:t xml:space="preserve">that </w:t>
      </w:r>
      <w:r w:rsidR="008A64D7">
        <w:rPr>
          <w:rFonts w:asciiTheme="majorHAnsi" w:hAnsiTheme="majorHAnsi"/>
        </w:rPr>
        <w:t>they considered</w:t>
      </w:r>
      <w:r w:rsidR="008A64D7" w:rsidRPr="00837157">
        <w:rPr>
          <w:rFonts w:asciiTheme="majorHAnsi" w:hAnsiTheme="majorHAnsi"/>
        </w:rPr>
        <w:t xml:space="preserve"> </w:t>
      </w:r>
      <w:r w:rsidRPr="00837157">
        <w:rPr>
          <w:rFonts w:asciiTheme="majorHAnsi" w:hAnsiTheme="majorHAnsi"/>
        </w:rPr>
        <w:t>best for our entire community.</w:t>
      </w:r>
      <w:r>
        <w:rPr>
          <w:rFonts w:asciiTheme="majorHAnsi" w:hAnsiTheme="majorHAnsi"/>
        </w:rPr>
        <w:t xml:space="preserve"> </w:t>
      </w:r>
      <w:r w:rsidRPr="2011C894">
        <w:rPr>
          <w:rFonts w:asciiTheme="majorHAnsi" w:hAnsiTheme="majorHAnsi"/>
        </w:rPr>
        <w:t xml:space="preserve"> </w:t>
      </w:r>
    </w:p>
    <w:p w14:paraId="0F6C9005" w14:textId="77777777" w:rsidR="00AB4772" w:rsidRDefault="00AB4772" w:rsidP="00AB4772">
      <w:pPr>
        <w:pStyle w:val="Heading4"/>
      </w:pPr>
      <w:r>
        <w:t xml:space="preserve">How we engaged </w:t>
      </w:r>
    </w:p>
    <w:p w14:paraId="52DDB714" w14:textId="61D5A6CC" w:rsidR="00AB4772" w:rsidRDefault="00AB4772" w:rsidP="00AB4772">
      <w:r w:rsidRPr="00837157">
        <w:rPr>
          <w:b/>
          <w:bCs/>
        </w:rPr>
        <w:t>Deliberative community panel</w:t>
      </w:r>
      <w:r w:rsidRPr="00837157">
        <w:t xml:space="preserve"> (44 panellists</w:t>
      </w:r>
      <w:r w:rsidR="00A54754">
        <w:t xml:space="preserve"> – see </w:t>
      </w:r>
      <w:r w:rsidR="00E06740">
        <w:t>engagement summary report</w:t>
      </w:r>
      <w:r w:rsidR="00A54754">
        <w:t xml:space="preserve"> for panel demographics</w:t>
      </w:r>
      <w:r w:rsidRPr="00837157">
        <w:t xml:space="preserve">) </w:t>
      </w:r>
    </w:p>
    <w:tbl>
      <w:tblPr>
        <w:tblStyle w:val="GWWDefaulttable"/>
        <w:tblW w:w="5000" w:type="pct"/>
        <w:tblBorders>
          <w:top w:val="single" w:sz="4" w:space="0" w:color="auto"/>
        </w:tblBorders>
        <w:tblLook w:val="0480" w:firstRow="0" w:lastRow="0" w:firstColumn="1" w:lastColumn="0" w:noHBand="0" w:noVBand="1"/>
      </w:tblPr>
      <w:tblGrid>
        <w:gridCol w:w="1985"/>
        <w:gridCol w:w="7653"/>
      </w:tblGrid>
      <w:tr w:rsidR="00DD5E49" w14:paraId="164E9304" w14:textId="77777777" w:rsidTr="008A5B95">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000000" w:themeColor="text1"/>
              <w:bottom w:val="single" w:sz="4" w:space="0" w:color="000000" w:themeColor="text1"/>
              <w:right w:val="nil"/>
            </w:tcBorders>
          </w:tcPr>
          <w:p w14:paraId="1EC55B00" w14:textId="77777777" w:rsidR="00AB4772" w:rsidRPr="00347389" w:rsidRDefault="00AB4772">
            <w:pPr>
              <w:rPr>
                <w:b w:val="0"/>
              </w:rPr>
            </w:pPr>
            <w:r w:rsidRPr="00347389">
              <w:rPr>
                <w:b w:val="0"/>
              </w:rPr>
              <w:t>Who we heard from</w:t>
            </w:r>
          </w:p>
        </w:tc>
        <w:tc>
          <w:tcPr>
            <w:tcW w:w="3970" w:type="pct"/>
            <w:tcBorders>
              <w:top w:val="single" w:sz="4" w:space="0" w:color="000000" w:themeColor="text1"/>
              <w:bottom w:val="single" w:sz="4" w:space="0" w:color="000000" w:themeColor="text1"/>
            </w:tcBorders>
          </w:tcPr>
          <w:p w14:paraId="1440D596" w14:textId="1612B804" w:rsidR="00AB4772" w:rsidRDefault="00AB4772">
            <w:pPr>
              <w:cnfStyle w:val="000000000000" w:firstRow="0" w:lastRow="0" w:firstColumn="0" w:lastColumn="0" w:oddVBand="0" w:evenVBand="0" w:oddHBand="0" w:evenHBand="0" w:firstRowFirstColumn="0" w:firstRowLastColumn="0" w:lastRowFirstColumn="0" w:lastRowLastColumn="0"/>
              <w:rPr>
                <w:rFonts w:eastAsia="Verdana" w:cs="Verdana"/>
                <w:lang w:val="en-US"/>
              </w:rPr>
            </w:pPr>
            <w:r>
              <w:t>44 panel members who were chosen</w:t>
            </w:r>
            <w:r w:rsidRPr="790C03D1">
              <w:rPr>
                <w:rFonts w:eastAsia="Verdana" w:cs="Verdana"/>
                <w:lang w:val="en-US"/>
              </w:rPr>
              <w:t xml:space="preserve"> based on the demographics that best represented the population of our </w:t>
            </w:r>
            <w:r w:rsidR="002F15E1">
              <w:rPr>
                <w:rFonts w:eastAsia="Verdana" w:cs="Verdana"/>
                <w:lang w:val="en-US"/>
              </w:rPr>
              <w:t xml:space="preserve">service </w:t>
            </w:r>
            <w:r w:rsidRPr="790C03D1">
              <w:rPr>
                <w:rFonts w:eastAsia="Verdana" w:cs="Verdana"/>
                <w:lang w:val="en-US"/>
              </w:rPr>
              <w:t>region</w:t>
            </w:r>
            <w:r>
              <w:rPr>
                <w:rFonts w:eastAsia="Verdana" w:cs="Verdana"/>
                <w:lang w:val="en-US"/>
              </w:rPr>
              <w:t xml:space="preserve">: </w:t>
            </w:r>
            <w:r w:rsidRPr="790C03D1">
              <w:rPr>
                <w:rFonts w:eastAsia="Verdana" w:cs="Verdana"/>
                <w:lang w:val="en-US"/>
              </w:rPr>
              <w:t>location, homeowner/renter, age, gender, level of education, residential or small business customer</w:t>
            </w:r>
            <w:r w:rsidR="2D31BE97" w:rsidRPr="66CAD205">
              <w:rPr>
                <w:rFonts w:eastAsia="Verdana" w:cs="Verdana"/>
                <w:lang w:val="en-US"/>
              </w:rPr>
              <w:t xml:space="preserve">. </w:t>
            </w:r>
            <w:r>
              <w:rPr>
                <w:rFonts w:eastAsia="Verdana" w:cs="Verdana"/>
                <w:lang w:val="en-US"/>
              </w:rPr>
              <w:t xml:space="preserve">First Nations </w:t>
            </w:r>
            <w:r w:rsidRPr="5E4E5708">
              <w:rPr>
                <w:rFonts w:eastAsia="Verdana" w:cs="Verdana"/>
                <w:lang w:val="en-US"/>
              </w:rPr>
              <w:t xml:space="preserve">recruitment was made a </w:t>
            </w:r>
            <w:r w:rsidRPr="23F80289">
              <w:rPr>
                <w:rFonts w:eastAsia="Verdana" w:cs="Verdana"/>
                <w:lang w:val="en-US"/>
              </w:rPr>
              <w:t xml:space="preserve">priority. </w:t>
            </w:r>
          </w:p>
        </w:tc>
      </w:tr>
      <w:tr w:rsidR="00FC7146" w14:paraId="4DE8B165" w14:textId="77777777" w:rsidTr="00960D70">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right w:val="nil"/>
            </w:tcBorders>
          </w:tcPr>
          <w:p w14:paraId="5F6ACAC8" w14:textId="77777777" w:rsidR="00AB4772" w:rsidRPr="00347389" w:rsidRDefault="00AB4772">
            <w:pPr>
              <w:rPr>
                <w:b w:val="0"/>
              </w:rPr>
            </w:pPr>
            <w:r w:rsidRPr="00347389">
              <w:rPr>
                <w:b w:val="0"/>
              </w:rPr>
              <w:t xml:space="preserve">Purpose </w:t>
            </w:r>
          </w:p>
        </w:tc>
        <w:tc>
          <w:tcPr>
            <w:tcW w:w="3970" w:type="pct"/>
            <w:tcBorders>
              <w:top w:val="single" w:sz="4" w:space="0" w:color="auto"/>
            </w:tcBorders>
          </w:tcPr>
          <w:p w14:paraId="1EF23BB1" w14:textId="77777777" w:rsidR="00AB4772" w:rsidRDefault="00AB4772">
            <w:pPr>
              <w:cnfStyle w:val="000000000000" w:firstRow="0" w:lastRow="0" w:firstColumn="0" w:lastColumn="0" w:oddVBand="0" w:evenVBand="0" w:oddHBand="0" w:evenHBand="0" w:firstRowFirstColumn="0" w:firstRowLastColumn="0" w:lastRowFirstColumn="0" w:lastRowLastColumn="0"/>
            </w:pPr>
            <w:r>
              <w:t xml:space="preserve">We did not make decisions on our price submission through quantitative analysis alone. The deliberative panel was intended to provide detailed, informed recommendations that directly led into the development of our outcomes and capital program. </w:t>
            </w:r>
          </w:p>
        </w:tc>
      </w:tr>
    </w:tbl>
    <w:p w14:paraId="377CC169" w14:textId="7F0DA800" w:rsidR="6271A268" w:rsidRDefault="6271A268" w:rsidP="6271A268">
      <w:pPr>
        <w:rPr>
          <w:rFonts w:asciiTheme="majorHAnsi" w:hAnsiTheme="majorHAnsi"/>
        </w:rPr>
      </w:pPr>
    </w:p>
    <w:p w14:paraId="2CFF77CD" w14:textId="5A48D161" w:rsidR="00B25BD0" w:rsidRDefault="00B25BD0" w:rsidP="00C45C69">
      <w:pPr>
        <w:rPr>
          <w:rFonts w:asciiTheme="majorHAnsi" w:hAnsiTheme="majorHAnsi"/>
        </w:rPr>
      </w:pPr>
      <w:r w:rsidRPr="00B25BD0">
        <w:rPr>
          <w:rFonts w:asciiTheme="majorHAnsi" w:hAnsiTheme="majorHAnsi"/>
        </w:rPr>
        <w:t>Our deliberative panel met over five full days</w:t>
      </w:r>
      <w:r w:rsidR="00E01FF3">
        <w:rPr>
          <w:rFonts w:asciiTheme="majorHAnsi" w:hAnsiTheme="majorHAnsi"/>
        </w:rPr>
        <w:t xml:space="preserve"> to</w:t>
      </w:r>
      <w:r w:rsidRPr="00B25BD0">
        <w:rPr>
          <w:rFonts w:asciiTheme="majorHAnsi" w:hAnsiTheme="majorHAnsi"/>
        </w:rPr>
        <w:t xml:space="preserve"> </w:t>
      </w:r>
      <w:r w:rsidR="004C557C" w:rsidRPr="00B25BD0">
        <w:rPr>
          <w:rFonts w:asciiTheme="majorHAnsi" w:hAnsiTheme="majorHAnsi"/>
        </w:rPr>
        <w:t>investigate</w:t>
      </w:r>
      <w:r w:rsidRPr="00B25BD0">
        <w:rPr>
          <w:rFonts w:asciiTheme="majorHAnsi" w:hAnsiTheme="majorHAnsi"/>
        </w:rPr>
        <w:t xml:space="preserve"> and deliberate over the four priority topics. The panel was provided with the cost to deliver different outcomes for each topic area, shown as the revenue requirement over the period. They were also provided with a ‘ready reckoner’</w:t>
      </w:r>
      <w:r w:rsidR="005C73DD">
        <w:rPr>
          <w:rFonts w:asciiTheme="majorHAnsi" w:hAnsiTheme="majorHAnsi"/>
        </w:rPr>
        <w:t xml:space="preserve"> (supporting document)</w:t>
      </w:r>
      <w:r w:rsidRPr="00B25BD0">
        <w:rPr>
          <w:rFonts w:asciiTheme="majorHAnsi" w:hAnsiTheme="majorHAnsi"/>
        </w:rPr>
        <w:t xml:space="preserve"> to convert th</w:t>
      </w:r>
      <w:r w:rsidR="005C73DD">
        <w:rPr>
          <w:rFonts w:asciiTheme="majorHAnsi" w:hAnsiTheme="majorHAnsi"/>
        </w:rPr>
        <w:t>e</w:t>
      </w:r>
      <w:r w:rsidRPr="00B25BD0">
        <w:rPr>
          <w:rFonts w:asciiTheme="majorHAnsi" w:hAnsiTheme="majorHAnsi"/>
        </w:rPr>
        <w:t xml:space="preserve"> revenue requirement into an estimated bill impact for different types of water users. Together these gave the panel a clear indication of the financial impact their decisions would </w:t>
      </w:r>
      <w:r w:rsidRPr="00B25BD0">
        <w:rPr>
          <w:rFonts w:asciiTheme="majorHAnsi" w:hAnsiTheme="majorHAnsi"/>
        </w:rPr>
        <w:lastRenderedPageBreak/>
        <w:t>have on bills. The panel was focused on affordability and actively prioritised spend</w:t>
      </w:r>
      <w:r w:rsidR="00E01FF3">
        <w:rPr>
          <w:rFonts w:asciiTheme="majorHAnsi" w:hAnsiTheme="majorHAnsi"/>
        </w:rPr>
        <w:t>ing</w:t>
      </w:r>
      <w:r w:rsidRPr="00B25BD0">
        <w:rPr>
          <w:rFonts w:asciiTheme="majorHAnsi" w:hAnsiTheme="majorHAnsi"/>
        </w:rPr>
        <w:t xml:space="preserve"> across their recommendations. </w:t>
      </w:r>
    </w:p>
    <w:p w14:paraId="071BB39B" w14:textId="24F7944C" w:rsidR="008F09B7" w:rsidRDefault="008F09B7" w:rsidP="00AB4772">
      <w:r w:rsidRPr="008F09B7">
        <w:t>The panel invited GWW and external subject matter experts to panel meetings on topics of their choice to better understand the areas and</w:t>
      </w:r>
      <w:r w:rsidR="00CD5D6D">
        <w:t xml:space="preserve"> help</w:t>
      </w:r>
      <w:r w:rsidRPr="008F09B7">
        <w:t xml:space="preserve"> make informed decisions.    </w:t>
      </w:r>
    </w:p>
    <w:p w14:paraId="1F368D8C" w14:textId="37DF2859" w:rsidR="00AB4772" w:rsidRDefault="00AB4772" w:rsidP="00AB4772">
      <w:r>
        <w:t xml:space="preserve">To ensure the accessibility of our panel, we provided: </w:t>
      </w:r>
    </w:p>
    <w:p w14:paraId="0AE106CF" w14:textId="65F8B17B" w:rsidR="00AB4772" w:rsidRPr="00837157" w:rsidRDefault="4B690D97">
      <w:pPr>
        <w:pStyle w:val="ListBullet"/>
        <w:numPr>
          <w:ilvl w:val="0"/>
          <w:numId w:val="79"/>
        </w:numPr>
      </w:pPr>
      <w:r w:rsidRPr="66CAD205">
        <w:t>i</w:t>
      </w:r>
      <w:r w:rsidR="00AB4772">
        <w:t xml:space="preserve">nterpreters and translated documents for panel members who did not speak </w:t>
      </w:r>
      <w:proofErr w:type="gramStart"/>
      <w:r w:rsidR="00AB4772">
        <w:t>English</w:t>
      </w:r>
      <w:proofErr w:type="gramEnd"/>
    </w:p>
    <w:p w14:paraId="75CEE998" w14:textId="4FDDB738" w:rsidR="00AB4772" w:rsidRPr="00837157" w:rsidRDefault="4F10D531">
      <w:pPr>
        <w:pStyle w:val="ListBullet"/>
        <w:numPr>
          <w:ilvl w:val="0"/>
          <w:numId w:val="79"/>
        </w:numPr>
      </w:pPr>
      <w:r w:rsidRPr="66CAD205">
        <w:t>a</w:t>
      </w:r>
      <w:r w:rsidR="00AB4772">
        <w:t>ll documents wr</w:t>
      </w:r>
      <w:r w:rsidR="00AB4772" w:rsidRPr="00837157">
        <w:t xml:space="preserve">itten in plain </w:t>
      </w:r>
      <w:proofErr w:type="gramStart"/>
      <w:r w:rsidR="00AB4772" w:rsidRPr="00837157">
        <w:t>English</w:t>
      </w:r>
      <w:proofErr w:type="gramEnd"/>
    </w:p>
    <w:p w14:paraId="1DE4677A" w14:textId="56E55EEC" w:rsidR="00AB4772" w:rsidRPr="00837157" w:rsidRDefault="6E15E2D3">
      <w:pPr>
        <w:pStyle w:val="ListBullet"/>
        <w:numPr>
          <w:ilvl w:val="0"/>
          <w:numId w:val="79"/>
        </w:numPr>
      </w:pPr>
      <w:r w:rsidRPr="66CAD205">
        <w:t>f</w:t>
      </w:r>
      <w:r w:rsidR="00AB4772">
        <w:t>a</w:t>
      </w:r>
      <w:r w:rsidR="00AB4772" w:rsidRPr="00837157">
        <w:t>ce</w:t>
      </w:r>
      <w:r w:rsidR="00E01FF3">
        <w:t>-</w:t>
      </w:r>
      <w:r w:rsidR="00AB4772" w:rsidRPr="00837157">
        <w:t>to</w:t>
      </w:r>
      <w:r w:rsidR="00E01FF3">
        <w:t>-</w:t>
      </w:r>
      <w:r w:rsidR="00AB4772" w:rsidRPr="00837157">
        <w:t xml:space="preserve">face engagement for participants not digitally literate and therefore </w:t>
      </w:r>
      <w:r w:rsidR="005F75D8">
        <w:t xml:space="preserve">unable to </w:t>
      </w:r>
      <w:r w:rsidR="00AB4772" w:rsidRPr="00837157">
        <w:t xml:space="preserve">participate in online </w:t>
      </w:r>
      <w:proofErr w:type="gramStart"/>
      <w:r w:rsidR="00AB4772" w:rsidRPr="00837157">
        <w:t>events</w:t>
      </w:r>
      <w:proofErr w:type="gramEnd"/>
    </w:p>
    <w:p w14:paraId="5E628584" w14:textId="7A075737" w:rsidR="00AB4772" w:rsidRPr="00837157" w:rsidRDefault="66E9BF27">
      <w:pPr>
        <w:pStyle w:val="ListBullet"/>
        <w:numPr>
          <w:ilvl w:val="0"/>
          <w:numId w:val="79"/>
        </w:numPr>
      </w:pPr>
      <w:r w:rsidRPr="66CAD205">
        <w:t>r</w:t>
      </w:r>
      <w:r w:rsidR="00AB4772" w:rsidRPr="00837157">
        <w:t xml:space="preserve">esources in physical form for those who could not access them </w:t>
      </w:r>
      <w:proofErr w:type="gramStart"/>
      <w:r w:rsidR="00AB4772" w:rsidRPr="00837157">
        <w:t>online</w:t>
      </w:r>
      <w:proofErr w:type="gramEnd"/>
    </w:p>
    <w:p w14:paraId="04A8FCC3" w14:textId="12E87300" w:rsidR="00AB4772" w:rsidRPr="00837157" w:rsidRDefault="28667CE3">
      <w:pPr>
        <w:pStyle w:val="ListBullet"/>
        <w:numPr>
          <w:ilvl w:val="0"/>
          <w:numId w:val="79"/>
        </w:numPr>
      </w:pPr>
      <w:r w:rsidRPr="66CAD205">
        <w:t>l</w:t>
      </w:r>
      <w:r w:rsidR="00AB4772" w:rsidRPr="00837157">
        <w:t xml:space="preserve">aptops and internet access </w:t>
      </w:r>
      <w:r w:rsidR="0089439C">
        <w:t xml:space="preserve">for </w:t>
      </w:r>
      <w:r w:rsidR="00AB4772" w:rsidRPr="00837157">
        <w:t xml:space="preserve">participants who did not have their </w:t>
      </w:r>
      <w:proofErr w:type="gramStart"/>
      <w:r w:rsidR="00AB4772" w:rsidRPr="00837157">
        <w:t>own</w:t>
      </w:r>
      <w:proofErr w:type="gramEnd"/>
    </w:p>
    <w:p w14:paraId="5DBFF8FD" w14:textId="5C69559D" w:rsidR="0067523A" w:rsidRDefault="00672F72">
      <w:pPr>
        <w:pStyle w:val="ListBullet"/>
        <w:numPr>
          <w:ilvl w:val="0"/>
          <w:numId w:val="79"/>
        </w:numPr>
      </w:pPr>
      <w:r>
        <w:t xml:space="preserve">extra </w:t>
      </w:r>
      <w:r w:rsidR="6D980909" w:rsidRPr="66CAD205">
        <w:t>c</w:t>
      </w:r>
      <w:r w:rsidR="00AB4772" w:rsidRPr="00837157">
        <w:t xml:space="preserve">ompensation </w:t>
      </w:r>
      <w:r>
        <w:t xml:space="preserve">to </w:t>
      </w:r>
      <w:r w:rsidR="00AB4772" w:rsidRPr="00837157">
        <w:t>participants with caring duties</w:t>
      </w:r>
      <w:r w:rsidR="00E01FF3">
        <w:t>.</w:t>
      </w:r>
      <w:r w:rsidR="004A5100">
        <w:t xml:space="preserve"> </w:t>
      </w:r>
    </w:p>
    <w:p w14:paraId="431F3C88" w14:textId="1854BF37" w:rsidR="00AB4772" w:rsidRPr="0067523A" w:rsidRDefault="00AB4772" w:rsidP="00034666">
      <w:pPr>
        <w:rPr>
          <w:rFonts w:asciiTheme="majorHAnsi" w:hAnsiTheme="majorHAnsi"/>
        </w:rPr>
      </w:pPr>
      <w:r>
        <w:t>We</w:t>
      </w:r>
      <w:r w:rsidR="0067523A">
        <w:t xml:space="preserve"> also</w:t>
      </w:r>
      <w:r>
        <w:t xml:space="preserve"> sought advice from </w:t>
      </w:r>
      <w:r w:rsidR="008F76B2">
        <w:t xml:space="preserve">the </w:t>
      </w:r>
      <w:r>
        <w:t xml:space="preserve">GWW Senior First Nations Advisor to ensure additional measures were put in place for cultural safety. </w:t>
      </w:r>
    </w:p>
    <w:p w14:paraId="20621782" w14:textId="667BC0E3" w:rsidR="00AB4772" w:rsidRDefault="00AB4772" w:rsidP="00AB4772">
      <w:pPr>
        <w:pStyle w:val="Heading4"/>
      </w:pPr>
      <w:r>
        <w:t>What our customers told us</w:t>
      </w:r>
    </w:p>
    <w:p w14:paraId="13CCDA57" w14:textId="77777777" w:rsidR="00CD5D6D" w:rsidRDefault="00CD5D6D" w:rsidP="00CD5D6D">
      <w:r>
        <w:t xml:space="preserve">The panel provided specific actions for each of the four priority topics and chose to include a fifth topic for timely and accessible communication. </w:t>
      </w:r>
    </w:p>
    <w:p w14:paraId="2B9BC241" w14:textId="419A1A83" w:rsidR="00AB4772" w:rsidRDefault="00AB4772" w:rsidP="00AB4772">
      <w:r>
        <w:t>Our panel</w:t>
      </w:r>
      <w:r w:rsidR="4FAD0BE4">
        <w:t xml:space="preserve"> put forward</w:t>
      </w:r>
      <w:r w:rsidR="008511B2">
        <w:t xml:space="preserve"> </w:t>
      </w:r>
      <w:r>
        <w:t xml:space="preserve">15 recommendations and </w:t>
      </w:r>
      <w:r w:rsidR="00F076A2">
        <w:t>four</w:t>
      </w:r>
      <w:r>
        <w:t xml:space="preserve"> recommended spend </w:t>
      </w:r>
      <w:r w:rsidR="736AE770">
        <w:t>ranges</w:t>
      </w:r>
      <w:r w:rsidR="4369FE16">
        <w:t xml:space="preserve"> </w:t>
      </w:r>
      <w:r w:rsidR="00DF2846">
        <w:t xml:space="preserve">in </w:t>
      </w:r>
      <w:r w:rsidR="737A36D2">
        <w:t>their final report</w:t>
      </w:r>
      <w:r w:rsidR="00DF2846">
        <w:t xml:space="preserve">, which they </w:t>
      </w:r>
      <w:r w:rsidR="00C600CA">
        <w:t xml:space="preserve">presented to </w:t>
      </w:r>
      <w:r w:rsidR="737A36D2">
        <w:t xml:space="preserve">the GWW Chair and Managing Director </w:t>
      </w:r>
      <w:r w:rsidR="70416961">
        <w:t xml:space="preserve">at the close of the panel </w:t>
      </w:r>
      <w:r w:rsidR="737A36D2" w:rsidRPr="0074406F">
        <w:t>(</w:t>
      </w:r>
      <w:r w:rsidR="00CE0EFE" w:rsidRPr="0074406F">
        <w:t>supporting documentation)</w:t>
      </w:r>
      <w:r w:rsidR="737A36D2" w:rsidRPr="0074406F">
        <w:t>.</w:t>
      </w:r>
      <w:r w:rsidR="736AE770">
        <w:t xml:space="preserve"> </w:t>
      </w:r>
    </w:p>
    <w:p w14:paraId="3A023546" w14:textId="7D5EAA35" w:rsidR="00B30177" w:rsidRDefault="00B30177" w:rsidP="00B30177">
      <w:r>
        <w:t>As with earlier engagement findings, affordability was front-of-mind for participants. This was evident in the panel’s chosen spend for each topic and in their discussions around service levels. However, the panel still recommended an increase in spend to deliver their priorities. The panel strongly agreed that everyone in our</w:t>
      </w:r>
      <w:r w:rsidR="002F15E1">
        <w:t xml:space="preserve"> service</w:t>
      </w:r>
      <w:r>
        <w:t xml:space="preserve"> region should have access to the same level of service but understood the high-cost implications and that it would take many regulatory periods to achieve</w:t>
      </w:r>
      <w:r w:rsidR="00510C6C">
        <w:t>.</w:t>
      </w:r>
      <w:r w:rsidR="00CD5D6D">
        <w:t xml:space="preserve"> </w:t>
      </w:r>
      <w:r w:rsidR="00510C6C">
        <w:t>They</w:t>
      </w:r>
      <w:r>
        <w:t xml:space="preserve"> recommend</w:t>
      </w:r>
      <w:r w:rsidR="00510C6C">
        <w:t>ed</w:t>
      </w:r>
      <w:r>
        <w:t xml:space="preserve"> addressing the highest risk areas first to keep costs down.</w:t>
      </w:r>
    </w:p>
    <w:p w14:paraId="5E3D3E82" w14:textId="2034FB46" w:rsidR="00B30177" w:rsidRDefault="00B30177" w:rsidP="00B30177">
      <w:r>
        <w:t>Some of our panel members agreed to take part in a short video answering questions on their role in the panel and feedback, which can be viewed on GWW</w:t>
      </w:r>
      <w:r w:rsidR="000D3665">
        <w:t>’s</w:t>
      </w:r>
      <w:r>
        <w:t xml:space="preserve"> website</w:t>
      </w:r>
      <w:r w:rsidR="000158C1">
        <w:t xml:space="preserve">: </w:t>
      </w:r>
      <w:hyperlink r:id="rId38" w:tgtFrame="_blank" w:tooltip="https://youtu.be/edwehqzhfp4" w:history="1">
        <w:r w:rsidR="000158C1">
          <w:rPr>
            <w:rStyle w:val="Hyperlink"/>
          </w:rPr>
          <w:t>https://youtu.be/edWeHqZhFP4</w:t>
        </w:r>
      </w:hyperlink>
      <w:r>
        <w:t>.</w:t>
      </w:r>
    </w:p>
    <w:p w14:paraId="3DD4A6F0" w14:textId="32640D73" w:rsidR="1F35E6BD" w:rsidRDefault="000B1ED5" w:rsidP="0A396FE9">
      <w:pPr>
        <w:pStyle w:val="Heading5"/>
      </w:pPr>
      <w:r>
        <w:t>Unplanned disruptions</w:t>
      </w:r>
    </w:p>
    <w:p w14:paraId="2F5E13A5" w14:textId="38B7E3F9" w:rsidR="001D6D0A" w:rsidRDefault="001D6D0A" w:rsidP="001D6D0A">
      <w:r w:rsidRPr="001D6D0A">
        <w:t>Ensuring prices remained affordable was a key factor for discussion. The panel agreed that unplanned disruptions should not happen but were comfortable with keeping the current level of disruptions to keep costs down and instead focus on proactive management and clear and accessible communication. To maintain the same level of service, the panel suggested an increased revenue requirement of up to $15 million over the regulatory period, with the spend to focus on improving communication.</w:t>
      </w:r>
    </w:p>
    <w:p w14:paraId="6186AC1E" w14:textId="21A418F4" w:rsidR="000B1ED5" w:rsidRDefault="000B1ED5" w:rsidP="000B1ED5">
      <w:pPr>
        <w:pStyle w:val="Heading5"/>
      </w:pPr>
      <w:r>
        <w:t>Timely and accessible communication</w:t>
      </w:r>
    </w:p>
    <w:p w14:paraId="5B6C36CB" w14:textId="7B41CF1B" w:rsidR="00A00A27" w:rsidRPr="00A00A27" w:rsidRDefault="00A00A27" w:rsidP="00A00A27">
      <w:r w:rsidRPr="00A00A27">
        <w:t>We heard that transparent and accessible communication is important and</w:t>
      </w:r>
      <w:r w:rsidR="00F90974">
        <w:t xml:space="preserve"> was</w:t>
      </w:r>
      <w:r w:rsidRPr="00A00A27">
        <w:t xml:space="preserve"> included as a </w:t>
      </w:r>
      <w:r w:rsidR="00F90974">
        <w:t xml:space="preserve">fifth </w:t>
      </w:r>
      <w:r w:rsidRPr="00A00A27">
        <w:t xml:space="preserve">topic as it </w:t>
      </w:r>
      <w:r w:rsidR="00F90974">
        <w:t xml:space="preserve">connects </w:t>
      </w:r>
      <w:r w:rsidRPr="00A00A27">
        <w:t>to all priority topics, particularly unplanned disruptions. The panel told us that providing proactive communication in the ways our customers want to receive it is a priority and recommended a revenue requirement of $15 million split between unplanned disruptions and communications.</w:t>
      </w:r>
    </w:p>
    <w:p w14:paraId="54F1B475" w14:textId="6B94F8A6" w:rsidR="000739CA" w:rsidRDefault="00AB4772" w:rsidP="00361E55">
      <w:pPr>
        <w:pStyle w:val="Heading5"/>
      </w:pPr>
      <w:r>
        <w:lastRenderedPageBreak/>
        <w:t>Harmonising service levels</w:t>
      </w:r>
    </w:p>
    <w:p w14:paraId="4E336F52" w14:textId="2DD81F67" w:rsidR="00AB4772" w:rsidRDefault="00302008" w:rsidP="00034666">
      <w:r w:rsidRPr="00302008">
        <w:t>The panel told us that drought resilience across our service region is important, and that everyone should have access to high-quality and reliable water sources. In particular, the panel wanted us to prioritise harmonising service levels between urban and regional customers</w:t>
      </w:r>
      <w:r w:rsidR="00AB4772">
        <w:t xml:space="preserve">. </w:t>
      </w:r>
      <w:r w:rsidRPr="00302008">
        <w:t xml:space="preserve">Considering the large cost impact this could have on bills, the panel suggested </w:t>
      </w:r>
      <w:r w:rsidR="556BDABC">
        <w:t>that we focus</w:t>
      </w:r>
      <w:r w:rsidRPr="00302008">
        <w:t xml:space="preserve"> on addressing the highest risk locations first</w:t>
      </w:r>
      <w:r w:rsidR="00AB4772">
        <w:t xml:space="preserve">. </w:t>
      </w:r>
      <w:r w:rsidRPr="00302008">
        <w:t>To deliver this, the panel suggested a revenue requirement of $10 million over the regulatory period.</w:t>
      </w:r>
      <w:r w:rsidR="00AB4772">
        <w:t xml:space="preserve"> </w:t>
      </w:r>
    </w:p>
    <w:p w14:paraId="76911BF6" w14:textId="7E4AE9BD" w:rsidR="000739CA" w:rsidRDefault="00AB4772" w:rsidP="000739CA">
      <w:pPr>
        <w:pStyle w:val="Heading5"/>
      </w:pPr>
      <w:r>
        <w:t>Getting water from other sources</w:t>
      </w:r>
    </w:p>
    <w:p w14:paraId="264279A1" w14:textId="42133D5E" w:rsidR="00AB4772" w:rsidRDefault="000739CA" w:rsidP="00034666">
      <w:r>
        <w:t>T</w:t>
      </w:r>
      <w:r w:rsidR="546DD51D">
        <w:t xml:space="preserve">he panel wanted GWW to increase funding for up to </w:t>
      </w:r>
      <w:r w:rsidR="00AB4772">
        <w:t xml:space="preserve">15 new </w:t>
      </w:r>
      <w:proofErr w:type="gramStart"/>
      <w:r w:rsidR="00AB4772">
        <w:t>stormwater</w:t>
      </w:r>
      <w:proofErr w:type="gramEnd"/>
      <w:r w:rsidR="00AB4772">
        <w:t xml:space="preserve"> harvesting </w:t>
      </w:r>
      <w:r w:rsidR="0FA1A0FD">
        <w:t>schemes</w:t>
      </w:r>
      <w:r w:rsidR="00833A96">
        <w:t>,</w:t>
      </w:r>
      <w:r w:rsidR="00AB4772">
        <w:t xml:space="preserve"> </w:t>
      </w:r>
      <w:r w:rsidR="4C57A49D">
        <w:t>and</w:t>
      </w:r>
      <w:r w:rsidR="00AB4772">
        <w:t xml:space="preserve"> increas</w:t>
      </w:r>
      <w:r w:rsidR="634295AF">
        <w:t>e</w:t>
      </w:r>
      <w:r w:rsidR="00AB4772">
        <w:t xml:space="preserve"> our advocacy role </w:t>
      </w:r>
      <w:r w:rsidR="766AEAC9">
        <w:t>in alternative water to support waterway health and green open spaces</w:t>
      </w:r>
      <w:r w:rsidR="00AB4772">
        <w:t xml:space="preserve"> </w:t>
      </w:r>
      <w:r w:rsidR="50254B68">
        <w:t xml:space="preserve">to save drinking water. </w:t>
      </w:r>
      <w:r w:rsidR="00DE5DED" w:rsidRPr="00833A96">
        <w:t xml:space="preserve">The panel’s reasoning for this </w:t>
      </w:r>
      <w:r w:rsidR="00B45CE6">
        <w:t>was the</w:t>
      </w:r>
      <w:r w:rsidR="00DE5DED">
        <w:t xml:space="preserve"> </w:t>
      </w:r>
      <w:r w:rsidR="000D3665">
        <w:t>‘</w:t>
      </w:r>
      <w:r w:rsidR="00DE5DED" w:rsidRPr="00833A96">
        <w:t>chan</w:t>
      </w:r>
      <w:r w:rsidR="005469B6" w:rsidRPr="002515A3">
        <w:t>ges</w:t>
      </w:r>
      <w:r w:rsidR="005469B6" w:rsidRPr="00833A96">
        <w:t xml:space="preserve"> in climate, population growth and decreased rainfall to help meet the </w:t>
      </w:r>
      <w:r w:rsidR="005469B6" w:rsidRPr="002515A3">
        <w:t>ever-growing</w:t>
      </w:r>
      <w:r w:rsidR="005469B6" w:rsidRPr="00833A96">
        <w:t xml:space="preserve"> demand</w:t>
      </w:r>
      <w:r w:rsidR="000D3665">
        <w:t>’</w:t>
      </w:r>
      <w:r w:rsidR="005469B6">
        <w:t>.</w:t>
      </w:r>
      <w:r w:rsidR="0084356A">
        <w:rPr>
          <w:rStyle w:val="EndnoteReference"/>
        </w:rPr>
        <w:endnoteReference w:id="5"/>
      </w:r>
      <w:r w:rsidR="0084356A">
        <w:t xml:space="preserve"> </w:t>
      </w:r>
      <w:r w:rsidR="326D3B13">
        <w:t xml:space="preserve">The panel </w:t>
      </w:r>
      <w:r w:rsidR="005F3454">
        <w:t>also</w:t>
      </w:r>
      <w:r w:rsidR="005469B6">
        <w:t xml:space="preserve"> stressed </w:t>
      </w:r>
      <w:r w:rsidR="003637B4">
        <w:t xml:space="preserve">that </w:t>
      </w:r>
      <w:r w:rsidR="005469B6">
        <w:t xml:space="preserve">engaging with local councils, businesses and other water corporations is critical. </w:t>
      </w:r>
      <w:r w:rsidR="005F3454">
        <w:t>A</w:t>
      </w:r>
      <w:r w:rsidR="326D3B13">
        <w:t xml:space="preserve"> revenue requirement of $10-$14 million</w:t>
      </w:r>
      <w:r w:rsidR="005F3454">
        <w:t xml:space="preserve"> was suggested</w:t>
      </w:r>
      <w:r w:rsidR="326D3B13">
        <w:t xml:space="preserve">. </w:t>
      </w:r>
      <w:r w:rsidR="00AB4772">
        <w:t xml:space="preserve"> </w:t>
      </w:r>
    </w:p>
    <w:p w14:paraId="14F9336A" w14:textId="494F5BF8" w:rsidR="000739CA" w:rsidRDefault="000739CA" w:rsidP="009646DD">
      <w:pPr>
        <w:pStyle w:val="Heading5"/>
      </w:pPr>
      <w:r>
        <w:t>Supporting waterway health</w:t>
      </w:r>
    </w:p>
    <w:p w14:paraId="2F8EA61F" w14:textId="43C23E1F" w:rsidR="00AB4772" w:rsidRDefault="000739CA" w:rsidP="00034666">
      <w:r>
        <w:t>T</w:t>
      </w:r>
      <w:r w:rsidR="00AB4772">
        <w:t>he panel acknowledged that GWW</w:t>
      </w:r>
      <w:r w:rsidR="7BE397E5">
        <w:t xml:space="preserve"> has</w:t>
      </w:r>
      <w:r w:rsidR="0030486A">
        <w:t xml:space="preserve"> </w:t>
      </w:r>
      <w:r w:rsidR="00AB4772">
        <w:t>limited responsibility in supporting waterway health. However</w:t>
      </w:r>
      <w:r w:rsidR="56694BD8">
        <w:t>,</w:t>
      </w:r>
      <w:r w:rsidR="00AB4772">
        <w:t xml:space="preserve"> following their investigation into the topic and hearing from experts in the field, the panel agreed with the wider community sentiment that supporting waterway health is a key priority. </w:t>
      </w:r>
      <w:r w:rsidR="3839DFC6">
        <w:t xml:space="preserve">The panel supported </w:t>
      </w:r>
      <w:r w:rsidR="004D363F">
        <w:t>spending</w:t>
      </w:r>
      <w:r w:rsidR="3839DFC6">
        <w:t xml:space="preserve"> </w:t>
      </w:r>
      <w:r w:rsidR="003B0BCE">
        <w:t>on</w:t>
      </w:r>
      <w:r w:rsidR="3839DFC6">
        <w:t xml:space="preserve"> improving the quality of water discharged to waterways</w:t>
      </w:r>
      <w:r w:rsidR="000D3665">
        <w:t>,</w:t>
      </w:r>
      <w:r w:rsidR="4DFACE62">
        <w:t xml:space="preserve"> </w:t>
      </w:r>
      <w:r w:rsidR="000D3665">
        <w:t xml:space="preserve">increasing </w:t>
      </w:r>
      <w:r w:rsidR="4DFACE62">
        <w:t>treatment plant capacity to minimise the risk of spills,</w:t>
      </w:r>
      <w:r w:rsidR="3839DFC6">
        <w:t xml:space="preserve"> collaboration with councils and </w:t>
      </w:r>
      <w:r w:rsidR="006B4B0E">
        <w:t xml:space="preserve">other </w:t>
      </w:r>
      <w:r w:rsidR="3839DFC6">
        <w:t>water corporations</w:t>
      </w:r>
      <w:r w:rsidR="589CB69A">
        <w:t>,</w:t>
      </w:r>
      <w:r w:rsidR="3839DFC6">
        <w:t xml:space="preserve"> </w:t>
      </w:r>
      <w:r w:rsidR="03968848">
        <w:t>a</w:t>
      </w:r>
      <w:r w:rsidR="3839DFC6">
        <w:t xml:space="preserve">nd improving community education. </w:t>
      </w:r>
      <w:r w:rsidR="6705DF35">
        <w:t>The p</w:t>
      </w:r>
      <w:r w:rsidR="1FE0BAE7">
        <w:t xml:space="preserve">anel recommended a revenue requirement of $11-$25 million. </w:t>
      </w:r>
    </w:p>
    <w:p w14:paraId="601395E6" w14:textId="262FEB82" w:rsidR="00AB4772" w:rsidRDefault="00AB4772" w:rsidP="00AB4772">
      <w:pPr>
        <w:pStyle w:val="Heading4"/>
      </w:pPr>
      <w:r w:rsidRPr="005F7134">
        <w:t>How customer feedback influenced our price submission</w:t>
      </w:r>
      <w:r>
        <w:t xml:space="preserve"> </w:t>
      </w:r>
    </w:p>
    <w:p w14:paraId="5BD4E0D9" w14:textId="77777777" w:rsidR="009432F6" w:rsidRDefault="009432F6" w:rsidP="00034666">
      <w:r w:rsidRPr="009432F6">
        <w:t xml:space="preserve">The panel’s recommendations directly influenced our investment and expenditure programs. </w:t>
      </w:r>
    </w:p>
    <w:p w14:paraId="7119A8B6" w14:textId="4AE5CE3E" w:rsidR="00661043" w:rsidRDefault="00661043" w:rsidP="00034666">
      <w:r w:rsidRPr="00661043">
        <w:t>For each priority area we have outlined the panel</w:t>
      </w:r>
      <w:r w:rsidR="000D3665">
        <w:t>’</w:t>
      </w:r>
      <w:r w:rsidRPr="00661043">
        <w:t>s suggested revenue requirement spend range</w:t>
      </w:r>
      <w:r w:rsidR="003D7DDB">
        <w:t xml:space="preserve"> and our plans to action</w:t>
      </w:r>
      <w:r>
        <w:t xml:space="preserve"> (</w:t>
      </w:r>
      <w:r w:rsidR="002873D3">
        <w:fldChar w:fldCharType="begin"/>
      </w:r>
      <w:r w:rsidR="002873D3">
        <w:instrText xml:space="preserve"> REF _Ref145334031 \h </w:instrText>
      </w:r>
      <w:r w:rsidR="002873D3">
        <w:fldChar w:fldCharType="separate"/>
      </w:r>
      <w:r w:rsidR="003B42C6" w:rsidRPr="000D4D66">
        <w:rPr>
          <w:b/>
          <w:bCs/>
        </w:rPr>
        <w:t xml:space="preserve">Table </w:t>
      </w:r>
      <w:r w:rsidR="003B42C6">
        <w:rPr>
          <w:b/>
          <w:bCs/>
          <w:noProof/>
        </w:rPr>
        <w:t>3</w:t>
      </w:r>
      <w:r w:rsidR="002873D3">
        <w:fldChar w:fldCharType="end"/>
      </w:r>
      <w:r>
        <w:t>)</w:t>
      </w:r>
      <w:r w:rsidRPr="00661043">
        <w:t>. The revenue requirement was developed based on early project cost estimates, some of which have since changed. We have used the panel’s suggested spend range as an indicator of their priorities.</w:t>
      </w:r>
    </w:p>
    <w:p w14:paraId="11967426" w14:textId="7D4AC50C" w:rsidR="00AB4772" w:rsidRPr="00E21363" w:rsidRDefault="008049CA" w:rsidP="00034666">
      <w:r w:rsidRPr="008049CA">
        <w:t>Our investment and expenditure planning processes ran in parallel</w:t>
      </w:r>
      <w:r w:rsidR="00A754FA">
        <w:t xml:space="preserve"> (outlined in </w:t>
      </w:r>
      <w:r w:rsidR="0044236B">
        <w:t>S</w:t>
      </w:r>
      <w:r w:rsidR="00A754FA">
        <w:t xml:space="preserve">ection </w:t>
      </w:r>
      <w:r w:rsidR="000529A3">
        <w:t>4</w:t>
      </w:r>
      <w:r w:rsidR="00750C04">
        <w:fldChar w:fldCharType="begin"/>
      </w:r>
      <w:r w:rsidR="00750C04">
        <w:instrText xml:space="preserve"> REF _Ref145919703 \n \h </w:instrText>
      </w:r>
      <w:r w:rsidR="0069425C">
        <w:fldChar w:fldCharType="separate"/>
      </w:r>
      <w:r w:rsidR="00750C04">
        <w:fldChar w:fldCharType="end"/>
      </w:r>
      <w:r w:rsidR="00A754FA">
        <w:t>).</w:t>
      </w:r>
      <w:r w:rsidRPr="008049CA">
        <w:t xml:space="preserve"> </w:t>
      </w:r>
      <w:r w:rsidR="001C6424">
        <w:t>Feedback from</w:t>
      </w:r>
      <w:r w:rsidR="003D7DDB" w:rsidRPr="003D7DDB">
        <w:t xml:space="preserve"> the panel and broader community actively influence</w:t>
      </w:r>
      <w:r w:rsidR="001C6424">
        <w:t>d</w:t>
      </w:r>
      <w:r w:rsidR="003D7DDB" w:rsidRPr="003D7DDB">
        <w:t xml:space="preserve"> our plans in real time, whil</w:t>
      </w:r>
      <w:r w:rsidR="00E72549">
        <w:t>e</w:t>
      </w:r>
      <w:r w:rsidR="00412172">
        <w:t xml:space="preserve"> </w:t>
      </w:r>
      <w:r w:rsidR="003D7DDB" w:rsidRPr="003D7DDB">
        <w:t>balancing affordability</w:t>
      </w:r>
      <w:r w:rsidR="003D7DDB">
        <w:t xml:space="preserve">. </w:t>
      </w:r>
      <w:r w:rsidR="00BD51A2">
        <w:t xml:space="preserve">The panel endorsed our plans on their </w:t>
      </w:r>
      <w:r w:rsidR="008A078E">
        <w:t xml:space="preserve">recall day, </w:t>
      </w:r>
      <w:r w:rsidR="00BD51A2">
        <w:t xml:space="preserve">with </w:t>
      </w:r>
      <w:r w:rsidR="000046ED">
        <w:t>88%</w:t>
      </w:r>
      <w:r w:rsidR="008A078E">
        <w:t xml:space="preserve"> of panel </w:t>
      </w:r>
      <w:r w:rsidR="33BBAD13">
        <w:t xml:space="preserve">members </w:t>
      </w:r>
      <w:r w:rsidR="00F9577E">
        <w:t xml:space="preserve">strongly </w:t>
      </w:r>
      <w:r w:rsidR="008A078E">
        <w:t>support</w:t>
      </w:r>
      <w:r w:rsidR="00E72549">
        <w:t>ing</w:t>
      </w:r>
      <w:r w:rsidR="0084356A">
        <w:rPr>
          <w:rStyle w:val="EndnoteReference"/>
        </w:rPr>
        <w:endnoteReference w:id="6"/>
      </w:r>
      <w:r w:rsidR="0084356A">
        <w:t xml:space="preserve"> </w:t>
      </w:r>
      <w:r w:rsidR="008A078E">
        <w:t>the way GWW planned to address their recommendations.</w:t>
      </w:r>
      <w:r w:rsidR="0084356A">
        <w:rPr>
          <w:rStyle w:val="EndnoteReference"/>
        </w:rPr>
        <w:endnoteReference w:id="7"/>
      </w:r>
      <w:r w:rsidR="0084356A">
        <w:t xml:space="preserve"> </w:t>
      </w:r>
    </w:p>
    <w:p w14:paraId="6B0AE9A7" w14:textId="7AB19517" w:rsidR="005F3454" w:rsidRPr="00E21363" w:rsidRDefault="005F2C9B" w:rsidP="00034666">
      <w:r>
        <w:t>The panel’s f</w:t>
      </w:r>
      <w:r w:rsidR="00516F0E">
        <w:t xml:space="preserve">eedback </w:t>
      </w:r>
      <w:r w:rsidR="00EA0668">
        <w:t>also</w:t>
      </w:r>
      <w:r w:rsidR="00516F0E">
        <w:t xml:space="preserve"> directly informed our customer outcomes and corresponding measures. </w:t>
      </w:r>
      <w:r w:rsidR="00306CF3">
        <w:t xml:space="preserve"> </w:t>
      </w:r>
    </w:p>
    <w:p w14:paraId="5EFEDE2B" w14:textId="054EB66D" w:rsidR="004A3AA8" w:rsidRDefault="004A3AA8" w:rsidP="004A3AA8">
      <w:pPr>
        <w:pStyle w:val="Caption"/>
      </w:pPr>
      <w:bookmarkStart w:id="77" w:name="_Ref145334031"/>
      <w:bookmarkStart w:id="78" w:name="_Ref145334035"/>
      <w:r w:rsidRPr="000D4D66">
        <w:rPr>
          <w:b/>
          <w:bCs/>
        </w:rPr>
        <w:lastRenderedPageBreak/>
        <w:t xml:space="preserve">Table </w:t>
      </w:r>
      <w:r w:rsidRPr="000D4D66">
        <w:rPr>
          <w:b/>
          <w:bCs/>
        </w:rPr>
        <w:fldChar w:fldCharType="begin"/>
      </w:r>
      <w:r w:rsidRPr="000D4D66">
        <w:rPr>
          <w:b/>
          <w:bCs/>
        </w:rPr>
        <w:instrText>SEQ Table \* ARABIC</w:instrText>
      </w:r>
      <w:r w:rsidRPr="000D4D66">
        <w:rPr>
          <w:b/>
          <w:bCs/>
        </w:rPr>
        <w:fldChar w:fldCharType="separate"/>
      </w:r>
      <w:r w:rsidR="003B42C6">
        <w:rPr>
          <w:b/>
          <w:bCs/>
          <w:noProof/>
        </w:rPr>
        <w:t>3</w:t>
      </w:r>
      <w:r w:rsidRPr="000D4D66">
        <w:rPr>
          <w:b/>
          <w:bCs/>
        </w:rPr>
        <w:fldChar w:fldCharType="end"/>
      </w:r>
      <w:bookmarkEnd w:id="77"/>
      <w:r w:rsidRPr="004A3AA8">
        <w:t xml:space="preserve"> Responding to </w:t>
      </w:r>
      <w:r w:rsidR="002B1423">
        <w:t xml:space="preserve">our </w:t>
      </w:r>
      <w:r w:rsidRPr="004A3AA8">
        <w:t>panel recommendations</w:t>
      </w:r>
      <w:bookmarkEnd w:id="78"/>
      <w:r w:rsidR="00826F95">
        <w:t xml:space="preserve"> </w:t>
      </w:r>
      <w:r w:rsidR="00826F95" w:rsidRPr="00826F95">
        <w:t>($, 2023-24)</w:t>
      </w:r>
    </w:p>
    <w:tbl>
      <w:tblPr>
        <w:tblStyle w:val="GWWDefaulttable"/>
        <w:tblW w:w="5044" w:type="pct"/>
        <w:tblInd w:w="-85" w:type="dxa"/>
        <w:tblLook w:val="04A0" w:firstRow="1" w:lastRow="0" w:firstColumn="1" w:lastColumn="0" w:noHBand="0" w:noVBand="1"/>
      </w:tblPr>
      <w:tblGrid>
        <w:gridCol w:w="2119"/>
        <w:gridCol w:w="3602"/>
        <w:gridCol w:w="4002"/>
      </w:tblGrid>
      <w:tr w:rsidR="00403A70" w14:paraId="03B5D0F1" w14:textId="77777777" w:rsidTr="00826F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4816B63" w14:textId="77777777" w:rsidR="001A4D12" w:rsidRDefault="001A4D12" w:rsidP="004A3AA8">
            <w:pPr>
              <w:pStyle w:val="NoSpacing"/>
            </w:pPr>
            <w:r>
              <w:t xml:space="preserve">Topic </w:t>
            </w:r>
          </w:p>
        </w:tc>
        <w:tc>
          <w:tcPr>
            <w:tcW w:w="3571" w:type="dxa"/>
            <w:vAlign w:val="center"/>
          </w:tcPr>
          <w:p w14:paraId="2401AB47" w14:textId="77777777" w:rsidR="001A4D12" w:rsidRDefault="001A4D12" w:rsidP="004A3AA8">
            <w:pPr>
              <w:pStyle w:val="NoSpacing"/>
              <w:cnfStyle w:val="100000000000" w:firstRow="1" w:lastRow="0" w:firstColumn="0" w:lastColumn="0" w:oddVBand="0" w:evenVBand="0" w:oddHBand="0" w:evenHBand="0" w:firstRowFirstColumn="0" w:firstRowLastColumn="0" w:lastRowFirstColumn="0" w:lastRowLastColumn="0"/>
              <w:rPr>
                <w:szCs w:val="20"/>
              </w:rPr>
            </w:pPr>
            <w:r w:rsidRPr="765F5B2A">
              <w:rPr>
                <w:szCs w:val="20"/>
              </w:rPr>
              <w:t>What we heard</w:t>
            </w:r>
          </w:p>
        </w:tc>
        <w:tc>
          <w:tcPr>
            <w:tcW w:w="3967" w:type="dxa"/>
            <w:vAlign w:val="center"/>
          </w:tcPr>
          <w:p w14:paraId="6F149570" w14:textId="776198FD" w:rsidR="001A4D12" w:rsidRDefault="00F0521F" w:rsidP="004A3AA8">
            <w:pPr>
              <w:pStyle w:val="NoSpacing"/>
              <w:cnfStyle w:val="100000000000" w:firstRow="1" w:lastRow="0" w:firstColumn="0" w:lastColumn="0" w:oddVBand="0" w:evenVBand="0" w:oddHBand="0" w:evenHBand="0" w:firstRowFirstColumn="0" w:firstRowLastColumn="0" w:lastRowFirstColumn="0" w:lastRowLastColumn="0"/>
            </w:pPr>
            <w:r>
              <w:t xml:space="preserve">What we are doing to respond </w:t>
            </w:r>
          </w:p>
        </w:tc>
      </w:tr>
      <w:tr w:rsidR="00403A70" w14:paraId="7E21E1E8"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711D6CB6" w14:textId="77777777" w:rsidR="001A4D12" w:rsidRPr="000D4D66" w:rsidRDefault="001A4D12">
            <w:r w:rsidRPr="000D4D66">
              <w:t>Unplanned disruptions</w:t>
            </w:r>
          </w:p>
          <w:p w14:paraId="10E0870B" w14:textId="77777777" w:rsidR="001A4D12" w:rsidRPr="000D4D66" w:rsidRDefault="001A4D12">
            <w:pPr>
              <w:rPr>
                <w:szCs w:val="20"/>
              </w:rPr>
            </w:pPr>
            <w:r w:rsidRPr="000D4D66">
              <w:rPr>
                <w:szCs w:val="20"/>
              </w:rPr>
              <w:t xml:space="preserve"> </w:t>
            </w:r>
          </w:p>
          <w:p w14:paraId="1DD8741F" w14:textId="77777777" w:rsidR="001A4D12" w:rsidRPr="000D4D66" w:rsidRDefault="001A4D12">
            <w:pPr>
              <w:rPr>
                <w:szCs w:val="20"/>
              </w:rPr>
            </w:pPr>
            <w:r w:rsidRPr="000D4D66">
              <w:rPr>
                <w:szCs w:val="20"/>
              </w:rPr>
              <w:t xml:space="preserve">Proposed revenue requirement $0-15 </w:t>
            </w:r>
            <w:proofErr w:type="gramStart"/>
            <w:r w:rsidRPr="000D4D66">
              <w:rPr>
                <w:szCs w:val="20"/>
              </w:rPr>
              <w:t>million</w:t>
            </w:r>
            <w:proofErr w:type="gramEnd"/>
          </w:p>
          <w:p w14:paraId="71559159" w14:textId="77777777" w:rsidR="00AC6DC7" w:rsidRDefault="00AC6DC7">
            <w:pPr>
              <w:rPr>
                <w:b w:val="0"/>
                <w:szCs w:val="20"/>
              </w:rPr>
            </w:pPr>
          </w:p>
          <w:p w14:paraId="10A96D77" w14:textId="647BD7B5" w:rsidR="001A4D12" w:rsidRPr="00C0416D" w:rsidRDefault="00AC6DC7">
            <w:pPr>
              <w:rPr>
                <w:b w:val="0"/>
                <w:szCs w:val="20"/>
              </w:rPr>
            </w:pPr>
            <w:r w:rsidRPr="001C4CEC">
              <w:rPr>
                <w:rFonts w:eastAsiaTheme="minorEastAsia"/>
                <w:b w:val="0"/>
                <w:bCs/>
                <w:szCs w:val="20"/>
              </w:rPr>
              <w:t>*Suggested spending focused on communications of unplanned disruptions.</w:t>
            </w:r>
          </w:p>
        </w:tc>
        <w:tc>
          <w:tcPr>
            <w:tcW w:w="3571" w:type="dxa"/>
          </w:tcPr>
          <w:p w14:paraId="28F85BF5" w14:textId="4199BB4D" w:rsidR="00096C0F" w:rsidRPr="00052B16" w:rsidRDefault="00096C0F">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00052B16">
              <w:t xml:space="preserve">The panel recommended </w:t>
            </w:r>
            <w:r w:rsidR="00E72549">
              <w:t xml:space="preserve">the </w:t>
            </w:r>
            <w:r w:rsidRPr="00052B16">
              <w:t xml:space="preserve">focus for unplanned disruptions </w:t>
            </w:r>
            <w:r w:rsidR="00AC6DC7" w:rsidRPr="00052B16">
              <w:t>be</w:t>
            </w:r>
            <w:r w:rsidRPr="00052B16">
              <w:t xml:space="preserve"> </w:t>
            </w:r>
            <w:r w:rsidR="00737C41" w:rsidRPr="00052B16">
              <w:t>maintaining current disruption levels and</w:t>
            </w:r>
            <w:r w:rsidRPr="00052B16">
              <w:t xml:space="preserve"> </w:t>
            </w:r>
            <w:r w:rsidR="00AC6DC7" w:rsidRPr="00052B16">
              <w:t>improving communication</w:t>
            </w:r>
            <w:r w:rsidR="00737C41" w:rsidRPr="00052B16">
              <w:t xml:space="preserve">. </w:t>
            </w:r>
            <w:r w:rsidR="00C00E31" w:rsidRPr="00052B16">
              <w:t xml:space="preserve"> </w:t>
            </w:r>
          </w:p>
          <w:p w14:paraId="4ED9381C" w14:textId="4FF14E1A" w:rsidR="001A4D12" w:rsidRPr="005F2258"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 xml:space="preserve">Continue programs to prevent unplanned disruptions at the same level and anticipate issues before the projected failure </w:t>
            </w:r>
            <w:proofErr w:type="gramStart"/>
            <w:r w:rsidRPr="765F5B2A">
              <w:t>time</w:t>
            </w:r>
            <w:r w:rsidRPr="765F5B2A">
              <w:rPr>
                <w:rFonts w:ascii="Arial" w:hAnsi="Arial" w:cs="Arial"/>
              </w:rPr>
              <w:t>​</w:t>
            </w:r>
            <w:proofErr w:type="gramEnd"/>
          </w:p>
          <w:p w14:paraId="7E4A67C1" w14:textId="06C34D7A" w:rsidR="001A4D12" w:rsidRPr="005F2258"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Update how we report against unplanned disruptions (include percentile)</w:t>
            </w:r>
            <w:r w:rsidRPr="765F5B2A">
              <w:rPr>
                <w:rFonts w:ascii="Arial" w:hAnsi="Arial" w:cs="Arial"/>
              </w:rPr>
              <w:t>​</w:t>
            </w:r>
            <w:r w:rsidR="000B253F">
              <w:t>.</w:t>
            </w:r>
          </w:p>
          <w:p w14:paraId="320E7B75" w14:textId="2D680BBE" w:rsidR="003C75DE" w:rsidRPr="00EE06DD" w:rsidRDefault="001A4D12">
            <w:pPr>
              <w:pStyle w:val="TableBullet2"/>
              <w:numPr>
                <w:ilvl w:val="0"/>
                <w:numId w:val="44"/>
              </w:numPr>
              <w:cnfStyle w:val="000000000000" w:firstRow="0" w:lastRow="0" w:firstColumn="0" w:lastColumn="0" w:oddVBand="0" w:evenVBand="0" w:oddHBand="0" w:evenHBand="0" w:firstRowFirstColumn="0" w:firstRowLastColumn="0" w:lastRowFirstColumn="0" w:lastRowLastColumn="0"/>
            </w:pPr>
            <w:r w:rsidRPr="765F5B2A">
              <w:t>Improve our communications about planned and unplanned disruptions</w:t>
            </w:r>
            <w:r w:rsidRPr="765F5B2A">
              <w:rPr>
                <w:rFonts w:ascii="Arial" w:hAnsi="Arial" w:cs="Arial"/>
              </w:rPr>
              <w:t>​</w:t>
            </w:r>
            <w:r w:rsidR="000B253F">
              <w:t>.</w:t>
            </w:r>
          </w:p>
          <w:p w14:paraId="2110F8C4"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p w14:paraId="232431CD" w14:textId="55D44B11"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3E973A99" w14:textId="7AA308D9"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4C0AD1E3">
              <w:t>Deliver</w:t>
            </w:r>
            <w:r w:rsidRPr="393D3393">
              <w:t xml:space="preserve"> </w:t>
            </w:r>
            <w:r w:rsidR="000B253F">
              <w:t>seven</w:t>
            </w:r>
            <w:r w:rsidRPr="393D3393">
              <w:t xml:space="preserve"> large renewals and reticulation programs </w:t>
            </w:r>
            <w:r w:rsidR="00F0521F">
              <w:t>(</w:t>
            </w:r>
            <w:r w:rsidRPr="393D3393">
              <w:t>$217m</w:t>
            </w:r>
            <w:r w:rsidR="00F0521F">
              <w:t>)</w:t>
            </w:r>
            <w:r w:rsidRPr="393D3393">
              <w:t xml:space="preserve"> to </w:t>
            </w:r>
            <w:r w:rsidRPr="64C9FD66">
              <w:t>address</w:t>
            </w:r>
            <w:r w:rsidRPr="6F52BBA1">
              <w:t xml:space="preserve"> assets </w:t>
            </w:r>
            <w:r w:rsidRPr="64C9FD66">
              <w:t>that</w:t>
            </w:r>
            <w:r w:rsidRPr="6F52BBA1">
              <w:t xml:space="preserve"> perform badly</w:t>
            </w:r>
            <w:r w:rsidR="000B253F">
              <w:t>.</w:t>
            </w:r>
          </w:p>
          <w:p w14:paraId="4AAFD11B"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6F52BBA1">
              <w:t xml:space="preserve">Focus </w:t>
            </w:r>
            <w:r w:rsidRPr="4C0AD1E3">
              <w:t>on</w:t>
            </w:r>
            <w:r w:rsidRPr="6F52BBA1">
              <w:t xml:space="preserve"> anticipating issues that may cause future disruptions</w:t>
            </w:r>
            <w:r>
              <w:t>.</w:t>
            </w:r>
          </w:p>
          <w:p w14:paraId="507714CE" w14:textId="7F78DDF2" w:rsidR="001A4D12" w:rsidRPr="004A3AA8" w:rsidRDefault="00FC4A66">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Investment in our Asset Monitoring Program of Works ($37m). Allowing for real time monitoring and control of physical infrastructure.</w:t>
            </w:r>
          </w:p>
          <w:p w14:paraId="6661ABC7" w14:textId="22CE1CF5" w:rsidR="00B96809" w:rsidRPr="00052B16" w:rsidRDefault="001A4D12">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These</w:t>
            </w:r>
            <w:r w:rsidR="008D434B" w:rsidRPr="00052B16">
              <w:rPr>
                <w:rFonts w:eastAsiaTheme="minorEastAsia"/>
                <w:szCs w:val="18"/>
              </w:rPr>
              <w:t xml:space="preserve"> programs </w:t>
            </w:r>
            <w:r w:rsidR="009F7CC4" w:rsidRPr="00052B16">
              <w:rPr>
                <w:rFonts w:eastAsiaTheme="minorEastAsia"/>
                <w:szCs w:val="18"/>
              </w:rPr>
              <w:t>will</w:t>
            </w:r>
            <w:r w:rsidR="00AE2B02" w:rsidRPr="00052B16">
              <w:rPr>
                <w:rFonts w:eastAsiaTheme="minorEastAsia"/>
                <w:szCs w:val="18"/>
              </w:rPr>
              <w:t xml:space="preserve"> ensure we </w:t>
            </w:r>
            <w:r w:rsidR="00BB6129" w:rsidRPr="00052B16">
              <w:rPr>
                <w:rFonts w:eastAsiaTheme="minorEastAsia"/>
                <w:szCs w:val="18"/>
              </w:rPr>
              <w:t xml:space="preserve">can maintain the same level of unplanned disruptions and </w:t>
            </w:r>
            <w:r w:rsidR="00FE10FF" w:rsidRPr="000D7898">
              <w:rPr>
                <w:rFonts w:eastAsiaTheme="minorEastAsia"/>
                <w:szCs w:val="18"/>
              </w:rPr>
              <w:t>uplift ou</w:t>
            </w:r>
            <w:r w:rsidR="0024719F" w:rsidRPr="000D7898">
              <w:rPr>
                <w:rFonts w:eastAsiaTheme="minorEastAsia"/>
                <w:szCs w:val="18"/>
              </w:rPr>
              <w:t>r</w:t>
            </w:r>
            <w:r w:rsidR="00FE10FF" w:rsidRPr="00052B16">
              <w:rPr>
                <w:rFonts w:eastAsiaTheme="minorEastAsia"/>
                <w:szCs w:val="18"/>
              </w:rPr>
              <w:t xml:space="preserve"> asset monitoring systems so we can better track and anticipate asset failures to inform customers</w:t>
            </w:r>
            <w:r w:rsidR="002D58F8" w:rsidRPr="00052B16">
              <w:rPr>
                <w:rFonts w:eastAsiaTheme="minorEastAsia"/>
                <w:szCs w:val="18"/>
              </w:rPr>
              <w:t xml:space="preserve"> and customers </w:t>
            </w:r>
            <w:r w:rsidR="001C4CEC" w:rsidRPr="00052B16">
              <w:rPr>
                <w:rFonts w:eastAsiaTheme="minorEastAsia"/>
                <w:szCs w:val="18"/>
              </w:rPr>
              <w:t>receive</w:t>
            </w:r>
            <w:r w:rsidR="002D58F8" w:rsidRPr="00052B16">
              <w:rPr>
                <w:rFonts w:eastAsiaTheme="minorEastAsia"/>
                <w:szCs w:val="18"/>
              </w:rPr>
              <w:t xml:space="preserve"> the same level of service</w:t>
            </w:r>
            <w:r w:rsidR="00FE10FF" w:rsidRPr="00052B16">
              <w:rPr>
                <w:rFonts w:eastAsiaTheme="minorEastAsia"/>
                <w:szCs w:val="18"/>
              </w:rPr>
              <w:t xml:space="preserve">. </w:t>
            </w:r>
          </w:p>
          <w:p w14:paraId="03661435" w14:textId="305B1C35" w:rsidR="001A4D12" w:rsidRPr="00052B16" w:rsidRDefault="00B96809">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is reflected in </w:t>
            </w:r>
            <w:r w:rsidR="00CC101D" w:rsidRPr="00052B16">
              <w:rPr>
                <w:rFonts w:eastAsiaTheme="minorEastAsia"/>
                <w:szCs w:val="18"/>
              </w:rPr>
              <w:t>O</w:t>
            </w:r>
            <w:r w:rsidRPr="00052B16">
              <w:rPr>
                <w:rFonts w:eastAsiaTheme="minorEastAsia"/>
                <w:szCs w:val="18"/>
              </w:rPr>
              <w:t>utcome</w:t>
            </w:r>
            <w:r w:rsidR="008C3938" w:rsidRPr="00052B16">
              <w:rPr>
                <w:rFonts w:eastAsiaTheme="minorEastAsia"/>
                <w:szCs w:val="18"/>
              </w:rPr>
              <w:t xml:space="preserve"> 1 </w:t>
            </w:r>
            <w:r w:rsidR="00CC101D" w:rsidRPr="00052B16">
              <w:rPr>
                <w:rFonts w:eastAsiaTheme="minorEastAsia"/>
                <w:szCs w:val="18"/>
              </w:rPr>
              <w:t xml:space="preserve">through the target level of </w:t>
            </w:r>
            <w:r w:rsidR="008C3938" w:rsidRPr="00052B16">
              <w:rPr>
                <w:rFonts w:eastAsiaTheme="minorEastAsia"/>
                <w:szCs w:val="18"/>
              </w:rPr>
              <w:t xml:space="preserve">unplanned disruptions </w:t>
            </w:r>
            <w:r w:rsidR="00CC101D" w:rsidRPr="00052B16">
              <w:rPr>
                <w:rFonts w:eastAsiaTheme="minorEastAsia"/>
                <w:szCs w:val="18"/>
              </w:rPr>
              <w:t xml:space="preserve">and in Outcome 2 through the speed that we respond to interruptions and our success in communicating with our customers. </w:t>
            </w:r>
          </w:p>
        </w:tc>
      </w:tr>
      <w:tr w:rsidR="00403A70" w14:paraId="3A2E8E35" w14:textId="77777777" w:rsidTr="000D7898">
        <w:trPr>
          <w:trHeight w:val="235"/>
        </w:trPr>
        <w:tc>
          <w:tcPr>
            <w:cnfStyle w:val="001000000000" w:firstRow="0" w:lastRow="0" w:firstColumn="1" w:lastColumn="0" w:oddVBand="0" w:evenVBand="0" w:oddHBand="0" w:evenHBand="0" w:firstRowFirstColumn="0" w:firstRowLastColumn="0" w:lastRowFirstColumn="0" w:lastRowLastColumn="0"/>
            <w:tcW w:w="2100" w:type="dxa"/>
          </w:tcPr>
          <w:p w14:paraId="74E48B5F" w14:textId="77777777" w:rsidR="001A4D12" w:rsidRDefault="001A4D12">
            <w:pPr>
              <w:rPr>
                <w:szCs w:val="20"/>
              </w:rPr>
            </w:pPr>
            <w:r w:rsidRPr="765F5B2A">
              <w:rPr>
                <w:szCs w:val="20"/>
              </w:rPr>
              <w:t xml:space="preserve">Improving communication with customers </w:t>
            </w:r>
          </w:p>
          <w:p w14:paraId="7EC3B2B8" w14:textId="77777777" w:rsidR="001A4D12" w:rsidRDefault="001A4D12">
            <w:pPr>
              <w:rPr>
                <w:szCs w:val="20"/>
              </w:rPr>
            </w:pPr>
          </w:p>
          <w:p w14:paraId="4B41C367" w14:textId="77777777" w:rsidR="001A4D12" w:rsidRDefault="001A4D12">
            <w:pPr>
              <w:rPr>
                <w:b w:val="0"/>
              </w:rPr>
            </w:pPr>
            <w:r>
              <w:t xml:space="preserve">Proposed revenue requirement $0-15 </w:t>
            </w:r>
            <w:proofErr w:type="gramStart"/>
            <w:r>
              <w:t>million</w:t>
            </w:r>
            <w:proofErr w:type="gramEnd"/>
          </w:p>
          <w:p w14:paraId="5350F1E5" w14:textId="77777777" w:rsidR="00AC6DC7" w:rsidRDefault="00AC6DC7">
            <w:pPr>
              <w:rPr>
                <w:b w:val="0"/>
              </w:rPr>
            </w:pPr>
          </w:p>
          <w:p w14:paraId="65C84092" w14:textId="77777777" w:rsidR="00AC6DC7" w:rsidRPr="00EE06DD" w:rsidRDefault="00AC6DC7" w:rsidP="00AC6DC7">
            <w:pPr>
              <w:rPr>
                <w:rFonts w:eastAsiaTheme="minorEastAsia"/>
                <w:b w:val="0"/>
                <w:szCs w:val="20"/>
              </w:rPr>
            </w:pPr>
            <w:r w:rsidRPr="001C4CEC">
              <w:rPr>
                <w:rFonts w:eastAsiaTheme="minorEastAsia"/>
                <w:b w:val="0"/>
                <w:bCs/>
                <w:szCs w:val="20"/>
              </w:rPr>
              <w:t>*Suggested spending focused on communications of disruptions and remaining to uplift unplanned disruptions.</w:t>
            </w:r>
          </w:p>
          <w:p w14:paraId="34AC3CBF" w14:textId="461CA0C8" w:rsidR="001A4D12" w:rsidRDefault="001A4D12"/>
        </w:tc>
        <w:tc>
          <w:tcPr>
            <w:tcW w:w="3571" w:type="dxa"/>
          </w:tcPr>
          <w:p w14:paraId="3DC77D06" w14:textId="14DFA77C" w:rsidR="00BE6A13" w:rsidRPr="00052B16" w:rsidRDefault="00BE6A13">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 panel asked that we ‘notify and communicate with customers in a more proactive and customised way</w:t>
            </w:r>
            <w:r w:rsidR="00C114D4" w:rsidRPr="00052B16">
              <w:rPr>
                <w:rFonts w:eastAsiaTheme="minorEastAsia"/>
                <w:szCs w:val="18"/>
              </w:rPr>
              <w:t>’</w:t>
            </w:r>
            <w:r w:rsidRPr="00052B16">
              <w:rPr>
                <w:rFonts w:eastAsiaTheme="minorEastAsia"/>
                <w:szCs w:val="18"/>
              </w:rPr>
              <w:t xml:space="preserve"> to ensure accessibility</w:t>
            </w:r>
            <w:r w:rsidR="00C114D4" w:rsidRPr="00052B16">
              <w:rPr>
                <w:rFonts w:eastAsiaTheme="minorEastAsia"/>
                <w:szCs w:val="18"/>
              </w:rPr>
              <w:t xml:space="preserve">. </w:t>
            </w:r>
          </w:p>
          <w:p w14:paraId="4EA3479F" w14:textId="6B7D378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Improve and increase communication with customers across all areas of our business (especially unplanned and planned disruptions)</w:t>
            </w:r>
            <w:r w:rsidR="000B253F">
              <w:t>.</w:t>
            </w:r>
          </w:p>
          <w:p w14:paraId="68FF8F9A" w14:textId="6452533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Appropriate and accessible communication methods</w:t>
            </w:r>
            <w:r w:rsidR="000B253F">
              <w:t>.</w:t>
            </w:r>
          </w:p>
          <w:p w14:paraId="2F34F5EA"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p w14:paraId="0CD514DC"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658E00B4" w14:textId="676D3F90" w:rsidR="001A4D12" w:rsidRDefault="00262584">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t>O</w:t>
            </w:r>
            <w:r w:rsidR="001A4D12" w:rsidRPr="4C0AD1E3">
              <w:t xml:space="preserve">ur new billing system </w:t>
            </w:r>
            <w:r>
              <w:t>will allow</w:t>
            </w:r>
            <w:r w:rsidR="001A4D12" w:rsidRPr="4C0AD1E3">
              <w:t xml:space="preserve"> customers </w:t>
            </w:r>
            <w:r>
              <w:t>to</w:t>
            </w:r>
            <w:r w:rsidR="001A4D12" w:rsidRPr="4C0AD1E3">
              <w:t xml:space="preserve"> choose communica</w:t>
            </w:r>
            <w:r w:rsidR="009E3CA8">
              <w:t>tion channels</w:t>
            </w:r>
            <w:r w:rsidR="001A4D12" w:rsidRPr="4C0AD1E3">
              <w:t xml:space="preserve"> and </w:t>
            </w:r>
            <w:r w:rsidR="001A4D12" w:rsidRPr="4BD6E3F5">
              <w:t xml:space="preserve">access </w:t>
            </w:r>
            <w:r w:rsidR="001A4D12" w:rsidRPr="4C0AD1E3">
              <w:t>a self-service online portal.</w:t>
            </w:r>
          </w:p>
          <w:p w14:paraId="13BDEFDB" w14:textId="13392DF2"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45A36936">
              <w:t>Implement systems that detect</w:t>
            </w:r>
            <w:r w:rsidR="002D2F31">
              <w:t xml:space="preserve">, </w:t>
            </w:r>
            <w:r w:rsidRPr="45A36936">
              <w:t xml:space="preserve">track </w:t>
            </w:r>
            <w:r w:rsidR="002D2F31">
              <w:t xml:space="preserve">and report on </w:t>
            </w:r>
            <w:r w:rsidRPr="45A36936">
              <w:t>disruptions</w:t>
            </w:r>
            <w:r w:rsidRPr="0A2F5337">
              <w:t>:</w:t>
            </w:r>
          </w:p>
          <w:p w14:paraId="78A75EB3" w14:textId="2ED3471A"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Enterprise asset and works capability uplift</w:t>
            </w:r>
            <w:r w:rsidR="00560E9D" w:rsidRPr="00497D7F">
              <w:t xml:space="preserve"> ($18m)</w:t>
            </w:r>
          </w:p>
          <w:p w14:paraId="47E8F76E" w14:textId="37A786E1"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Geospatial capability uplift</w:t>
            </w:r>
            <w:r w:rsidR="00560E9D" w:rsidRPr="00497D7F">
              <w:t xml:space="preserve"> ($16m)</w:t>
            </w:r>
          </w:p>
          <w:p w14:paraId="4F692149" w14:textId="148F1BF0"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SCADA technology consolidation</w:t>
            </w:r>
            <w:r w:rsidR="00560E9D" w:rsidRPr="00497D7F">
              <w:t xml:space="preserve"> ($9m)</w:t>
            </w:r>
          </w:p>
          <w:p w14:paraId="0F2EBDB2" w14:textId="23023571" w:rsidR="001A4D12" w:rsidRDefault="002D2F31">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rPr>
            </w:pPr>
            <w:r>
              <w:t>D</w:t>
            </w:r>
            <w:r w:rsidR="001A4D12" w:rsidRPr="45A36936">
              <w:t xml:space="preserve">igital communication </w:t>
            </w:r>
            <w:r w:rsidR="00914750">
              <w:t>with customers via our website and social media is being prioritised</w:t>
            </w:r>
            <w:r w:rsidR="001A4D12" w:rsidRPr="45A36936">
              <w:t>.</w:t>
            </w:r>
          </w:p>
          <w:p w14:paraId="76903B4A" w14:textId="77777777" w:rsidR="00C1772E" w:rsidRPr="00052B16" w:rsidRDefault="009615AF">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w:t>
            </w:r>
            <w:r w:rsidR="004D1B21" w:rsidRPr="00052B16">
              <w:rPr>
                <w:rFonts w:eastAsiaTheme="minorEastAsia"/>
                <w:szCs w:val="18"/>
              </w:rPr>
              <w:t>p</w:t>
            </w:r>
            <w:r w:rsidR="001A4D12" w:rsidRPr="00052B16">
              <w:rPr>
                <w:rFonts w:eastAsiaTheme="minorEastAsia"/>
                <w:szCs w:val="18"/>
              </w:rPr>
              <w:t xml:space="preserve">rograms will </w:t>
            </w:r>
            <w:r w:rsidR="00FE10FF" w:rsidRPr="00052B16">
              <w:rPr>
                <w:rFonts w:eastAsiaTheme="minorEastAsia"/>
                <w:szCs w:val="18"/>
              </w:rPr>
              <w:t>provide better customer experience</w:t>
            </w:r>
            <w:r w:rsidRPr="00052B16">
              <w:rPr>
                <w:rFonts w:eastAsiaTheme="minorEastAsia"/>
                <w:szCs w:val="18"/>
              </w:rPr>
              <w:t xml:space="preserve"> through communication</w:t>
            </w:r>
            <w:r w:rsidR="00FE10FF" w:rsidRPr="00052B16">
              <w:rPr>
                <w:rFonts w:eastAsiaTheme="minorEastAsia"/>
                <w:szCs w:val="18"/>
              </w:rPr>
              <w:t xml:space="preserve"> </w:t>
            </w:r>
            <w:r w:rsidR="006B57B7" w:rsidRPr="00052B16">
              <w:rPr>
                <w:rFonts w:eastAsiaTheme="minorEastAsia"/>
                <w:szCs w:val="18"/>
              </w:rPr>
              <w:t xml:space="preserve">and </w:t>
            </w:r>
            <w:r w:rsidRPr="00052B16">
              <w:rPr>
                <w:rFonts w:eastAsiaTheme="minorEastAsia"/>
                <w:szCs w:val="18"/>
              </w:rPr>
              <w:t xml:space="preserve">support </w:t>
            </w:r>
            <w:r w:rsidR="006B57B7" w:rsidRPr="00052B16">
              <w:rPr>
                <w:rFonts w:eastAsiaTheme="minorEastAsia"/>
                <w:szCs w:val="18"/>
              </w:rPr>
              <w:t xml:space="preserve">proactive </w:t>
            </w:r>
            <w:r w:rsidRPr="00052B16">
              <w:rPr>
                <w:rFonts w:eastAsiaTheme="minorEastAsia"/>
                <w:szCs w:val="18"/>
              </w:rPr>
              <w:t>and rapid communication with our customers when things go wrong.</w:t>
            </w:r>
          </w:p>
          <w:p w14:paraId="2536963E" w14:textId="25DCA61A" w:rsidR="001A4D12" w:rsidRPr="00052B16" w:rsidRDefault="00C1772E">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recommendations have </w:t>
            </w:r>
            <w:r w:rsidR="005B0986" w:rsidRPr="00052B16">
              <w:rPr>
                <w:rFonts w:eastAsiaTheme="minorEastAsia"/>
                <w:szCs w:val="18"/>
              </w:rPr>
              <w:t xml:space="preserve">informed the development of </w:t>
            </w:r>
            <w:r w:rsidR="00DD4385" w:rsidRPr="00052B16">
              <w:rPr>
                <w:rFonts w:eastAsiaTheme="minorEastAsia"/>
                <w:szCs w:val="18"/>
              </w:rPr>
              <w:t xml:space="preserve">outcome 2. </w:t>
            </w:r>
            <w:r w:rsidR="009615AF" w:rsidRPr="00052B16">
              <w:rPr>
                <w:rFonts w:eastAsiaTheme="minorEastAsia"/>
                <w:szCs w:val="18"/>
              </w:rPr>
              <w:t xml:space="preserve"> </w:t>
            </w:r>
          </w:p>
        </w:tc>
      </w:tr>
      <w:tr w:rsidR="00403A70" w14:paraId="13140DBD"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27125E3F" w14:textId="77777777" w:rsidR="001A4D12" w:rsidRDefault="001A4D12">
            <w:pPr>
              <w:rPr>
                <w:szCs w:val="20"/>
              </w:rPr>
            </w:pPr>
            <w:r w:rsidRPr="765F5B2A">
              <w:rPr>
                <w:szCs w:val="20"/>
              </w:rPr>
              <w:lastRenderedPageBreak/>
              <w:t xml:space="preserve">Harmonising service levels </w:t>
            </w:r>
          </w:p>
          <w:p w14:paraId="06B66C4F" w14:textId="77777777" w:rsidR="001A4D12" w:rsidRDefault="001A4D12">
            <w:pPr>
              <w:rPr>
                <w:szCs w:val="20"/>
              </w:rPr>
            </w:pPr>
          </w:p>
          <w:p w14:paraId="1F65C8E0" w14:textId="1097DDF9" w:rsidR="001A4D12" w:rsidRDefault="001A4D12">
            <w:pPr>
              <w:rPr>
                <w:szCs w:val="20"/>
              </w:rPr>
            </w:pPr>
            <w:r w:rsidRPr="765F5B2A">
              <w:rPr>
                <w:szCs w:val="20"/>
              </w:rPr>
              <w:t xml:space="preserve">Proposed revenue requirement </w:t>
            </w:r>
            <w:r w:rsidR="00004A92">
              <w:rPr>
                <w:szCs w:val="20"/>
              </w:rPr>
              <w:br/>
            </w:r>
            <w:r w:rsidRPr="765F5B2A">
              <w:rPr>
                <w:szCs w:val="20"/>
              </w:rPr>
              <w:t>$7-$10 million</w:t>
            </w:r>
          </w:p>
        </w:tc>
        <w:tc>
          <w:tcPr>
            <w:tcW w:w="3571" w:type="dxa"/>
          </w:tcPr>
          <w:p w14:paraId="555AB8AA" w14:textId="1C5BF330" w:rsidR="00675483" w:rsidRPr="00052B16" w:rsidRDefault="00675483">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Cs w:val="18"/>
              </w:rPr>
            </w:pPr>
            <w:r w:rsidRPr="00052B16">
              <w:rPr>
                <w:szCs w:val="18"/>
              </w:rPr>
              <w:t>The panel’s recommendations centred around an overall improvement in services</w:t>
            </w:r>
            <w:r w:rsidR="00681D5A" w:rsidRPr="00052B16">
              <w:rPr>
                <w:szCs w:val="18"/>
              </w:rPr>
              <w:t xml:space="preserve">, especially in the outer areas of our service region. </w:t>
            </w:r>
          </w:p>
          <w:p w14:paraId="1ED7F95E" w14:textId="1BC8171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Same level of drought resilience for everyone</w:t>
            </w:r>
            <w:r w:rsidR="000B253F">
              <w:t>.</w:t>
            </w:r>
          </w:p>
          <w:p w14:paraId="5E864345" w14:textId="7755909E"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Same access to water quality for everyone</w:t>
            </w:r>
            <w:r w:rsidR="00BB1E80">
              <w:t>.</w:t>
            </w:r>
          </w:p>
          <w:p w14:paraId="5FCF89C7" w14:textId="37037F30" w:rsidR="001A4D12" w:rsidRDefault="00BB1E80">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G</w:t>
            </w:r>
            <w:r w:rsidR="001A4D12" w:rsidRPr="765F5B2A">
              <w:t>ood long-term infrastructure plans in place</w:t>
            </w:r>
            <w:r w:rsidR="000B253F">
              <w:t>.</w:t>
            </w:r>
          </w:p>
          <w:p w14:paraId="37E57DB9" w14:textId="5B06CD9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Consider hiring apprentices and using GWW staff instead of contractors to deliver services</w:t>
            </w:r>
            <w:r w:rsidR="000B253F">
              <w:t>.</w:t>
            </w:r>
          </w:p>
          <w:p w14:paraId="7A14E14B" w14:textId="04418F93" w:rsidR="001A4D12" w:rsidRPr="00052B16" w:rsidRDefault="001A4D12">
            <w:pPr>
              <w:pStyle w:val="ListBullet"/>
              <w:numPr>
                <w:ilvl w:val="0"/>
                <w:numId w:val="44"/>
              </w:numPr>
              <w:cnfStyle w:val="000000000000" w:firstRow="0" w:lastRow="0" w:firstColumn="0" w:lastColumn="0" w:oddVBand="0" w:evenVBand="0" w:oddHBand="0" w:evenHBand="0" w:firstRowFirstColumn="0" w:firstRowLastColumn="0" w:lastRowFirstColumn="0" w:lastRowLastColumn="0"/>
              <w:rPr>
                <w:szCs w:val="18"/>
              </w:rPr>
            </w:pPr>
            <w:r w:rsidRPr="00052B16">
              <w:rPr>
                <w:szCs w:val="18"/>
              </w:rPr>
              <w:t xml:space="preserve">Increase investment to harmonise service levels across </w:t>
            </w:r>
            <w:r w:rsidR="008423F9">
              <w:rPr>
                <w:szCs w:val="18"/>
              </w:rPr>
              <w:t>the service</w:t>
            </w:r>
            <w:r w:rsidRPr="00052B16">
              <w:rPr>
                <w:szCs w:val="18"/>
              </w:rPr>
              <w:t xml:space="preserve"> region, addressing the highest risks first</w:t>
            </w:r>
            <w:r w:rsidR="000B253F" w:rsidRPr="00052B16">
              <w:rPr>
                <w:szCs w:val="18"/>
              </w:rPr>
              <w:t>.</w:t>
            </w:r>
          </w:p>
          <w:p w14:paraId="0E13F834"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2F25A368" w14:textId="681147F2"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384DDB6D">
              <w:t>Deliver</w:t>
            </w:r>
            <w:r w:rsidRPr="45A36936">
              <w:t xml:space="preserve"> three major projects with a combined </w:t>
            </w:r>
            <w:r>
              <w:t>c</w:t>
            </w:r>
            <w:r w:rsidRPr="45A36936">
              <w:t>apital expenditure of $1</w:t>
            </w:r>
            <w:r w:rsidR="00213CDB">
              <w:t>21</w:t>
            </w:r>
            <w:r w:rsidRPr="45A36936">
              <w:t xml:space="preserve">m to improve water security and capacity in high-risk areas: </w:t>
            </w:r>
          </w:p>
          <w:p w14:paraId="51FA8F51" w14:textId="569D4ACE"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Macedon Ranges Transfer Augmentation</w:t>
            </w:r>
            <w:r w:rsidR="00052B16" w:rsidRPr="00213CDB">
              <w:t xml:space="preserve"> ($56m)</w:t>
            </w:r>
          </w:p>
          <w:p w14:paraId="1458FBA8" w14:textId="6C7A593A"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Holden Tank WPS and Transfer Main</w:t>
            </w:r>
            <w:r w:rsidR="00052B16" w:rsidRPr="00213CDB">
              <w:t xml:space="preserve"> ($36m)</w:t>
            </w:r>
          </w:p>
          <w:p w14:paraId="34BB1EB8" w14:textId="412B9FD4"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Bald Hill Tank construction</w:t>
            </w:r>
            <w:r w:rsidR="00052B16" w:rsidRPr="00213CDB">
              <w:t xml:space="preserve"> ($29m)</w:t>
            </w:r>
          </w:p>
          <w:p w14:paraId="099645A6" w14:textId="7A7960D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384DDB6D">
              <w:t>Align o</w:t>
            </w:r>
            <w:r w:rsidRPr="45A36936">
              <w:t>ur capital plan and ongoing business planning for the next 10</w:t>
            </w:r>
            <w:r w:rsidR="00BB1E80">
              <w:t xml:space="preserve"> </w:t>
            </w:r>
            <w:r w:rsidRPr="45A36936">
              <w:t xml:space="preserve">years with </w:t>
            </w:r>
            <w:r w:rsidRPr="384DDB6D">
              <w:t xml:space="preserve">the </w:t>
            </w:r>
            <w:r w:rsidRPr="45A36936">
              <w:t xml:space="preserve">panel's recommendations to harmonise service levels across </w:t>
            </w:r>
            <w:r w:rsidR="002F15E1">
              <w:t>the service</w:t>
            </w:r>
            <w:r w:rsidRPr="45A36936">
              <w:t xml:space="preserve"> region</w:t>
            </w:r>
            <w:r w:rsidR="00DB493B">
              <w:t xml:space="preserve"> addressing the highest risk locations first</w:t>
            </w:r>
            <w:r>
              <w:t>.</w:t>
            </w:r>
          </w:p>
          <w:p w14:paraId="4D6168EC" w14:textId="77777777" w:rsidR="001A4D12" w:rsidRPr="00052B16" w:rsidRDefault="001A4D12">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programs </w:t>
            </w:r>
            <w:r w:rsidR="009615AF" w:rsidRPr="00052B16">
              <w:rPr>
                <w:rFonts w:eastAsiaTheme="minorEastAsia"/>
                <w:szCs w:val="18"/>
              </w:rPr>
              <w:t>progress toward</w:t>
            </w:r>
            <w:r w:rsidR="004B6024" w:rsidRPr="00052B16">
              <w:rPr>
                <w:rFonts w:eastAsiaTheme="minorEastAsia"/>
                <w:szCs w:val="18"/>
              </w:rPr>
              <w:t>s</w:t>
            </w:r>
            <w:r w:rsidRPr="00052B16" w:rsidDel="008F3C09">
              <w:rPr>
                <w:rFonts w:eastAsiaTheme="minorEastAsia"/>
                <w:szCs w:val="18"/>
              </w:rPr>
              <w:t xml:space="preserve"> </w:t>
            </w:r>
            <w:r w:rsidRPr="00052B16">
              <w:rPr>
                <w:rFonts w:eastAsiaTheme="minorEastAsia"/>
                <w:szCs w:val="18"/>
              </w:rPr>
              <w:t>equitable access to water and sewerage services across our service region</w:t>
            </w:r>
            <w:r w:rsidR="004B5F9D" w:rsidRPr="00052B16">
              <w:rPr>
                <w:rFonts w:eastAsiaTheme="minorEastAsia"/>
                <w:szCs w:val="18"/>
              </w:rPr>
              <w:t xml:space="preserve"> in the long-term</w:t>
            </w:r>
            <w:r w:rsidR="00142E1C" w:rsidRPr="00052B16">
              <w:rPr>
                <w:rFonts w:eastAsiaTheme="minorEastAsia"/>
                <w:szCs w:val="18"/>
              </w:rPr>
              <w:t>. They</w:t>
            </w:r>
            <w:r w:rsidR="004B5F9D" w:rsidRPr="00052B16">
              <w:rPr>
                <w:rFonts w:eastAsiaTheme="minorEastAsia"/>
                <w:szCs w:val="18"/>
              </w:rPr>
              <w:t xml:space="preserve"> improv</w:t>
            </w:r>
            <w:r w:rsidR="00142E1C" w:rsidRPr="00052B16">
              <w:rPr>
                <w:rFonts w:eastAsiaTheme="minorEastAsia"/>
                <w:szCs w:val="18"/>
              </w:rPr>
              <w:t>e</w:t>
            </w:r>
            <w:r w:rsidR="004B5F9D" w:rsidRPr="00052B16">
              <w:rPr>
                <w:rFonts w:eastAsiaTheme="minorEastAsia"/>
                <w:szCs w:val="18"/>
              </w:rPr>
              <w:t xml:space="preserve"> service levels </w:t>
            </w:r>
            <w:r w:rsidR="00142E1C" w:rsidRPr="00052B16">
              <w:rPr>
                <w:rFonts w:eastAsiaTheme="minorEastAsia"/>
                <w:szCs w:val="18"/>
              </w:rPr>
              <w:t>for key areas, reducing</w:t>
            </w:r>
            <w:r w:rsidRPr="00052B16">
              <w:rPr>
                <w:rFonts w:eastAsiaTheme="minorEastAsia"/>
                <w:szCs w:val="18"/>
              </w:rPr>
              <w:t xml:space="preserve"> the risk of </w:t>
            </w:r>
            <w:r w:rsidR="00A53B8D" w:rsidRPr="00052B16">
              <w:rPr>
                <w:rFonts w:eastAsiaTheme="minorEastAsia"/>
                <w:szCs w:val="18"/>
              </w:rPr>
              <w:t>water restrictions and water quality issues</w:t>
            </w:r>
            <w:r w:rsidR="004B5F9D" w:rsidRPr="00052B16">
              <w:rPr>
                <w:rFonts w:eastAsiaTheme="minorEastAsia"/>
                <w:szCs w:val="18"/>
              </w:rPr>
              <w:t xml:space="preserve">. </w:t>
            </w:r>
          </w:p>
          <w:p w14:paraId="7F9BB24C" w14:textId="323FE884" w:rsidR="001A4D12" w:rsidRPr="00052B16" w:rsidRDefault="00DD438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recommendations </w:t>
            </w:r>
            <w:r w:rsidR="005B0986" w:rsidRPr="00052B16">
              <w:rPr>
                <w:rFonts w:eastAsiaTheme="minorEastAsia"/>
                <w:szCs w:val="18"/>
              </w:rPr>
              <w:t xml:space="preserve">have informed the development of </w:t>
            </w:r>
            <w:r w:rsidRPr="00052B16">
              <w:rPr>
                <w:rFonts w:eastAsiaTheme="minorEastAsia"/>
                <w:szCs w:val="18"/>
              </w:rPr>
              <w:t xml:space="preserve">outcome 1. </w:t>
            </w:r>
          </w:p>
        </w:tc>
      </w:tr>
      <w:tr w:rsidR="00403A70" w14:paraId="3B89042D"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035FD684" w14:textId="77777777" w:rsidR="001A4D12" w:rsidRDefault="001A4D12">
            <w:r>
              <w:t>Getting water from other sources (alternative water)</w:t>
            </w:r>
          </w:p>
          <w:p w14:paraId="0EB54B0A" w14:textId="77777777" w:rsidR="001A4D12" w:rsidRDefault="001A4D12">
            <w:pPr>
              <w:rPr>
                <w:szCs w:val="20"/>
              </w:rPr>
            </w:pPr>
          </w:p>
          <w:p w14:paraId="5C0C843D" w14:textId="77777777" w:rsidR="001A4D12" w:rsidRDefault="001A4D12">
            <w:pPr>
              <w:rPr>
                <w:szCs w:val="20"/>
              </w:rPr>
            </w:pPr>
            <w:r w:rsidRPr="765F5B2A">
              <w:rPr>
                <w:szCs w:val="20"/>
              </w:rPr>
              <w:t xml:space="preserve">Proposed revenue requirement $10-$14 million </w:t>
            </w:r>
          </w:p>
        </w:tc>
        <w:tc>
          <w:tcPr>
            <w:tcW w:w="3571" w:type="dxa"/>
          </w:tcPr>
          <w:p w14:paraId="1E5090C2" w14:textId="0554AECE" w:rsidR="0079446D" w:rsidRPr="00052B16" w:rsidRDefault="00F87378">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We heard from the panel t</w:t>
            </w:r>
            <w:r w:rsidR="001B48E6" w:rsidRPr="00052B16">
              <w:rPr>
                <w:rFonts w:eastAsiaTheme="minorEastAsia"/>
                <w:szCs w:val="18"/>
              </w:rPr>
              <w:t xml:space="preserve">hat their focus on alternative water was on increasing the number of </w:t>
            </w:r>
            <w:r w:rsidR="002E14E6" w:rsidRPr="00052B16">
              <w:rPr>
                <w:rFonts w:eastAsiaTheme="minorEastAsia"/>
                <w:szCs w:val="18"/>
              </w:rPr>
              <w:t xml:space="preserve">schemes and collaborate with </w:t>
            </w:r>
            <w:r w:rsidR="00D97FC2" w:rsidRPr="00052B16">
              <w:rPr>
                <w:rFonts w:eastAsiaTheme="minorEastAsia"/>
                <w:szCs w:val="18"/>
              </w:rPr>
              <w:t xml:space="preserve">key groups in our community. </w:t>
            </w:r>
          </w:p>
          <w:p w14:paraId="673A0E8B" w14:textId="5DB25AC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Partner with local councils to deliver alternative water projects</w:t>
            </w:r>
            <w:r w:rsidR="000B253F">
              <w:t>.</w:t>
            </w:r>
          </w:p>
          <w:p w14:paraId="394CEA66" w14:textId="54AEA60A"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Increase investment and access to alternative water to reduce drinking water use</w:t>
            </w:r>
            <w:r w:rsidR="000B253F">
              <w:t>.</w:t>
            </w:r>
          </w:p>
          <w:p w14:paraId="56C92737" w14:textId="3943B196"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A combination of household level investments and bigger projects</w:t>
            </w:r>
            <w:r w:rsidR="00105225">
              <w:t>.</w:t>
            </w:r>
          </w:p>
          <w:p w14:paraId="7DF252DA" w14:textId="29BBF61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Invest in best practice and new technologies</w:t>
            </w:r>
            <w:r w:rsidR="000B253F">
              <w:t>.</w:t>
            </w:r>
          </w:p>
          <w:p w14:paraId="54616849"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4E4F7878" w14:textId="5E6A10BE" w:rsidR="00B248BB" w:rsidRPr="00EE06DD" w:rsidRDefault="00B248BB">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00EE06DD">
              <w:t xml:space="preserve">Through a partnership model, stormwater harvesting schemes </w:t>
            </w:r>
            <w:r w:rsidR="00052B16">
              <w:rPr>
                <w:szCs w:val="18"/>
              </w:rPr>
              <w:t xml:space="preserve">($13m) </w:t>
            </w:r>
            <w:r w:rsidRPr="00EE06DD">
              <w:t>will deliver non potable water for irrigation of public open space.</w:t>
            </w:r>
            <w:r w:rsidR="006D1220">
              <w:t xml:space="preserve"> </w:t>
            </w:r>
            <w:r w:rsidRPr="00EE06DD">
              <w:t xml:space="preserve">The program will include a competitive, </w:t>
            </w:r>
            <w:r w:rsidR="00177387" w:rsidRPr="00177387">
              <w:t>merit-based</w:t>
            </w:r>
            <w:r w:rsidRPr="00EE06DD">
              <w:t xml:space="preserve"> funding model which will ensure funded stormwater harvesting projects can provide the greatest liveability and environmental benefits at the lowest cost to the community. </w:t>
            </w:r>
          </w:p>
          <w:p w14:paraId="78DFA9E7" w14:textId="5FDCC56D" w:rsidR="00051E21" w:rsidRPr="00073CF8" w:rsidRDefault="00051E21">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001A4D12" w:rsidRPr="3E3120AA">
              <w:rPr>
                <w:lang w:val="en-US"/>
              </w:rPr>
              <w:t>ollaborat</w:t>
            </w:r>
            <w:r>
              <w:rPr>
                <w:lang w:val="en-US"/>
              </w:rPr>
              <w:t>ion</w:t>
            </w:r>
            <w:r w:rsidR="001A4D12" w:rsidRPr="00D97FC2">
              <w:rPr>
                <w:lang w:val="en-US"/>
              </w:rPr>
              <w:t xml:space="preserve"> with our Integrated Water Management (IWM) forums and work towards IWM action plans. </w:t>
            </w:r>
            <w:r w:rsidR="001A4D12" w:rsidRPr="00D97FC2">
              <w:rPr>
                <w:highlight w:val="yellow"/>
                <w:lang w:val="en-US"/>
              </w:rPr>
              <w:t xml:space="preserve"> </w:t>
            </w:r>
          </w:p>
          <w:p w14:paraId="7FB7BD0D" w14:textId="43407560" w:rsidR="005B0986" w:rsidRPr="00052B16" w:rsidRDefault="001A4D12">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lang w:val="en-US"/>
              </w:rPr>
              <w:t>Providing reimbursements for developers who connect residential customers to recycled water.</w:t>
            </w:r>
            <w:r w:rsidR="00FE2323" w:rsidRPr="00052B16">
              <w:rPr>
                <w:rFonts w:eastAsiaTheme="minorEastAsia"/>
                <w:szCs w:val="18"/>
                <w:lang w:val="en-US"/>
              </w:rPr>
              <w:t xml:space="preserve"> </w:t>
            </w:r>
            <w:r w:rsidRPr="00052B16">
              <w:rPr>
                <w:rFonts w:eastAsiaTheme="minorEastAsia"/>
                <w:szCs w:val="18"/>
              </w:rPr>
              <w:t xml:space="preserve">Programs listed above will improve liveability, social and environmental outcomes </w:t>
            </w:r>
            <w:r w:rsidR="00E91F40" w:rsidRPr="00052B16">
              <w:rPr>
                <w:rFonts w:eastAsiaTheme="minorEastAsia"/>
                <w:szCs w:val="18"/>
              </w:rPr>
              <w:t xml:space="preserve">for customers in local council areas </w:t>
            </w:r>
            <w:r w:rsidRPr="00052B16">
              <w:rPr>
                <w:rFonts w:eastAsiaTheme="minorEastAsia"/>
                <w:szCs w:val="18"/>
              </w:rPr>
              <w:t>by reducing our reliance on catchment water</w:t>
            </w:r>
            <w:r w:rsidR="00E91F40" w:rsidRPr="00052B16">
              <w:rPr>
                <w:rFonts w:eastAsiaTheme="minorEastAsia"/>
                <w:szCs w:val="18"/>
              </w:rPr>
              <w:t xml:space="preserve"> and using </w:t>
            </w:r>
            <w:r w:rsidR="00E91F40" w:rsidRPr="00052B16">
              <w:rPr>
                <w:rFonts w:eastAsiaTheme="minorEastAsia"/>
                <w:szCs w:val="18"/>
              </w:rPr>
              <w:lastRenderedPageBreak/>
              <w:t>stormwater to irrigate public open spaces</w:t>
            </w:r>
            <w:r w:rsidRPr="00052B16">
              <w:rPr>
                <w:rFonts w:eastAsiaTheme="minorEastAsia"/>
                <w:szCs w:val="18"/>
              </w:rPr>
              <w:t xml:space="preserve">. </w:t>
            </w:r>
          </w:p>
          <w:p w14:paraId="4138CFCF" w14:textId="76DE0222" w:rsidR="001A4D12" w:rsidRPr="00052B16" w:rsidRDefault="005B098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has informed the development of outcome 3. </w:t>
            </w:r>
          </w:p>
        </w:tc>
      </w:tr>
      <w:tr w:rsidR="00403A70" w14:paraId="7E88B734"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1272133C" w14:textId="77777777" w:rsidR="001A4D12" w:rsidRDefault="001A4D12">
            <w:pPr>
              <w:rPr>
                <w:szCs w:val="20"/>
              </w:rPr>
            </w:pPr>
            <w:r w:rsidRPr="765F5B2A">
              <w:rPr>
                <w:szCs w:val="20"/>
              </w:rPr>
              <w:lastRenderedPageBreak/>
              <w:t xml:space="preserve">Supporting waterway health </w:t>
            </w:r>
          </w:p>
          <w:p w14:paraId="3D5892F4" w14:textId="77777777" w:rsidR="001A4D12" w:rsidRDefault="001A4D12">
            <w:pPr>
              <w:rPr>
                <w:szCs w:val="20"/>
              </w:rPr>
            </w:pPr>
          </w:p>
          <w:p w14:paraId="0A0A704A" w14:textId="77777777" w:rsidR="001A4D12" w:rsidRDefault="001A4D12">
            <w:pPr>
              <w:rPr>
                <w:szCs w:val="20"/>
              </w:rPr>
            </w:pPr>
            <w:r w:rsidRPr="765F5B2A">
              <w:rPr>
                <w:szCs w:val="20"/>
              </w:rPr>
              <w:t xml:space="preserve">Proposed revenue requirement $11-$25 million </w:t>
            </w:r>
          </w:p>
        </w:tc>
        <w:tc>
          <w:tcPr>
            <w:tcW w:w="3571" w:type="dxa"/>
          </w:tcPr>
          <w:p w14:paraId="4C78244D" w14:textId="3A193447" w:rsidR="00D97FC2" w:rsidRPr="00052B16" w:rsidRDefault="00440407">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Waterway health was very important to our panel, and feedback indicated they wanted us to focus on education, </w:t>
            </w:r>
            <w:proofErr w:type="gramStart"/>
            <w:r w:rsidRPr="00052B16">
              <w:rPr>
                <w:rFonts w:eastAsiaTheme="minorEastAsia"/>
                <w:szCs w:val="18"/>
              </w:rPr>
              <w:t>collaboration</w:t>
            </w:r>
            <w:proofErr w:type="gramEnd"/>
            <w:r w:rsidRPr="00052B16">
              <w:rPr>
                <w:rFonts w:eastAsiaTheme="minorEastAsia"/>
                <w:szCs w:val="18"/>
              </w:rPr>
              <w:t xml:space="preserve"> an</w:t>
            </w:r>
            <w:r w:rsidR="00C436A1">
              <w:rPr>
                <w:rFonts w:eastAsiaTheme="minorEastAsia"/>
                <w:szCs w:val="18"/>
              </w:rPr>
              <w:t>d</w:t>
            </w:r>
            <w:r w:rsidRPr="00052B16">
              <w:rPr>
                <w:rFonts w:eastAsiaTheme="minorEastAsia"/>
                <w:szCs w:val="18"/>
              </w:rPr>
              <w:t xml:space="preserve"> upgrades to our assets. </w:t>
            </w:r>
          </w:p>
          <w:p w14:paraId="4D826B99" w14:textId="7EB07E5A" w:rsidR="001A4D12" w:rsidRDefault="00440407">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E</w:t>
            </w:r>
            <w:r w:rsidR="001A4D12" w:rsidRPr="765F5B2A">
              <w:t>nsure we comply with regulations around waterway health</w:t>
            </w:r>
            <w:r w:rsidR="000B253F">
              <w:t>.</w:t>
            </w:r>
          </w:p>
          <w:p w14:paraId="1F66A693" w14:textId="489497C5"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upgrading our sewage treatment plants to improve the quality of recycled water released to waterways</w:t>
            </w:r>
            <w:r w:rsidR="000B253F">
              <w:t>.</w:t>
            </w:r>
          </w:p>
          <w:p w14:paraId="40110EA6" w14:textId="3B3C1A20"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stormwater harvesting and prioritise local sources where it is cheaper</w:t>
            </w:r>
            <w:r w:rsidR="000B253F">
              <w:t>.</w:t>
            </w:r>
          </w:p>
          <w:p w14:paraId="696BC773" w14:textId="61C807A4"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the sewerage network to prevent spills to waterways</w:t>
            </w:r>
            <w:r w:rsidR="000B253F">
              <w:t>.</w:t>
            </w:r>
          </w:p>
          <w:p w14:paraId="66CF7C1D" w14:textId="2CBEA265"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Work with Government and community to reduce the use of drinking water for non-drinking purposes</w:t>
            </w:r>
            <w:r w:rsidR="000B253F">
              <w:t>.</w:t>
            </w:r>
          </w:p>
          <w:p w14:paraId="40D94F9C"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6BCFDCCD" w14:textId="5AE42208"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3E3120AA">
              <w:rPr>
                <w:lang w:val="en-US"/>
              </w:rPr>
              <w:t>Five</w:t>
            </w:r>
            <w:r w:rsidRPr="45A36936">
              <w:rPr>
                <w:lang w:val="en-US"/>
              </w:rPr>
              <w:t xml:space="preserve"> treatment plant upgrades to increase capacity and treatment levels to support waterway health</w:t>
            </w:r>
            <w:r w:rsidR="00073CF8">
              <w:rPr>
                <w:lang w:val="en-US"/>
              </w:rPr>
              <w:t xml:space="preserve"> ($140m)</w:t>
            </w:r>
            <w:r>
              <w:rPr>
                <w:lang w:val="en-US"/>
              </w:rPr>
              <w:t>.</w:t>
            </w:r>
          </w:p>
          <w:p w14:paraId="2056891B"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lang w:val="en-US"/>
              </w:rPr>
            </w:pPr>
            <w:r w:rsidRPr="45A36936">
              <w:rPr>
                <w:lang w:val="en-US"/>
              </w:rPr>
              <w:t>Treatment plant upgrades will significantly improve the quality of recycled water at Woodend and Gisborne and support waterway health downstream</w:t>
            </w:r>
            <w:r>
              <w:rPr>
                <w:lang w:val="en-US"/>
              </w:rPr>
              <w:t>.</w:t>
            </w:r>
          </w:p>
          <w:p w14:paraId="32D68230"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45A36936">
              <w:rPr>
                <w:lang w:val="en-US"/>
              </w:rPr>
              <w:t xml:space="preserve">Additional </w:t>
            </w:r>
            <w:r w:rsidRPr="08F29CC5">
              <w:rPr>
                <w:lang w:val="en-US"/>
              </w:rPr>
              <w:t>s</w:t>
            </w:r>
            <w:r w:rsidRPr="45A36936">
              <w:rPr>
                <w:lang w:val="en-US"/>
              </w:rPr>
              <w:t>torage at Romsey recycled water plant to prevent spills and allow reuse</w:t>
            </w:r>
            <w:r>
              <w:rPr>
                <w:lang w:val="en-US"/>
              </w:rPr>
              <w:t>.</w:t>
            </w:r>
          </w:p>
          <w:p w14:paraId="6A4D39CF"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lang w:val="en-US"/>
              </w:rPr>
            </w:pPr>
            <w:r w:rsidRPr="45A36936">
              <w:rPr>
                <w:lang w:val="en-US"/>
              </w:rPr>
              <w:t>An ultrafiltration package plant trial at Romsey to test new affordable, high-quality treatment technology that could be rolled out across the region</w:t>
            </w:r>
            <w:r>
              <w:rPr>
                <w:lang w:val="en-US"/>
              </w:rPr>
              <w:t>.</w:t>
            </w:r>
          </w:p>
          <w:p w14:paraId="761071DE" w14:textId="77777777" w:rsidR="001A4D12" w:rsidRPr="00052B16" w:rsidRDefault="0054111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 programs listed above will provide c</w:t>
            </w:r>
            <w:r w:rsidR="001A4D12" w:rsidRPr="00052B16">
              <w:rPr>
                <w:rFonts w:eastAsiaTheme="minorEastAsia"/>
                <w:szCs w:val="18"/>
              </w:rPr>
              <w:t>ustomer</w:t>
            </w:r>
            <w:r w:rsidRPr="00052B16">
              <w:rPr>
                <w:rFonts w:eastAsiaTheme="minorEastAsia"/>
                <w:szCs w:val="18"/>
              </w:rPr>
              <w:t xml:space="preserve"> benefits</w:t>
            </w:r>
            <w:r w:rsidR="00BD466D" w:rsidRPr="00052B16">
              <w:rPr>
                <w:rFonts w:eastAsiaTheme="minorEastAsia"/>
                <w:szCs w:val="18"/>
              </w:rPr>
              <w:t xml:space="preserve"> by improving the </w:t>
            </w:r>
            <w:r w:rsidR="00CA70DF" w:rsidRPr="00052B16">
              <w:rPr>
                <w:rFonts w:eastAsiaTheme="minorEastAsia"/>
                <w:szCs w:val="18"/>
              </w:rPr>
              <w:t>quality</w:t>
            </w:r>
            <w:r w:rsidR="00BD466D" w:rsidRPr="00052B16">
              <w:rPr>
                <w:rFonts w:eastAsiaTheme="minorEastAsia"/>
                <w:szCs w:val="18"/>
              </w:rPr>
              <w:t xml:space="preserve"> of water</w:t>
            </w:r>
            <w:r w:rsidR="00CA70DF" w:rsidRPr="00052B16">
              <w:rPr>
                <w:rFonts w:eastAsiaTheme="minorEastAsia"/>
                <w:szCs w:val="18"/>
              </w:rPr>
              <w:t xml:space="preserve"> discharge</w:t>
            </w:r>
            <w:r w:rsidR="00A209C0" w:rsidRPr="00052B16">
              <w:rPr>
                <w:rFonts w:eastAsiaTheme="minorEastAsia"/>
                <w:szCs w:val="18"/>
              </w:rPr>
              <w:t>d</w:t>
            </w:r>
            <w:r w:rsidR="00CA70DF" w:rsidRPr="00052B16">
              <w:rPr>
                <w:rFonts w:eastAsiaTheme="minorEastAsia"/>
                <w:szCs w:val="18"/>
              </w:rPr>
              <w:t xml:space="preserve"> to local waterways</w:t>
            </w:r>
            <w:r w:rsidR="00BD466D" w:rsidRPr="00052B16">
              <w:rPr>
                <w:rFonts w:eastAsiaTheme="minorEastAsia"/>
                <w:szCs w:val="18"/>
              </w:rPr>
              <w:t xml:space="preserve"> </w:t>
            </w:r>
            <w:r w:rsidR="00CA70DF" w:rsidRPr="00052B16">
              <w:rPr>
                <w:rFonts w:eastAsiaTheme="minorEastAsia"/>
                <w:szCs w:val="18"/>
              </w:rPr>
              <w:t>and reducing sewer spills supporting</w:t>
            </w:r>
            <w:r w:rsidRPr="00052B16">
              <w:rPr>
                <w:rFonts w:eastAsiaTheme="minorEastAsia"/>
                <w:szCs w:val="18"/>
              </w:rPr>
              <w:t xml:space="preserve"> </w:t>
            </w:r>
            <w:r w:rsidR="00CA70DF" w:rsidRPr="00052B16">
              <w:rPr>
                <w:rFonts w:eastAsiaTheme="minorEastAsia"/>
                <w:szCs w:val="18"/>
              </w:rPr>
              <w:t xml:space="preserve">waterway health, </w:t>
            </w:r>
            <w:r w:rsidR="001A4D12" w:rsidRPr="00052B16">
              <w:rPr>
                <w:rFonts w:eastAsiaTheme="minorEastAsia"/>
                <w:szCs w:val="18"/>
              </w:rPr>
              <w:t xml:space="preserve">improved </w:t>
            </w:r>
            <w:proofErr w:type="gramStart"/>
            <w:r w:rsidR="001A4D12" w:rsidRPr="00052B16">
              <w:rPr>
                <w:rFonts w:eastAsiaTheme="minorEastAsia"/>
                <w:szCs w:val="18"/>
              </w:rPr>
              <w:t>liveability</w:t>
            </w:r>
            <w:proofErr w:type="gramEnd"/>
            <w:r w:rsidR="001A4D12" w:rsidRPr="00052B16">
              <w:rPr>
                <w:rFonts w:eastAsiaTheme="minorEastAsia"/>
                <w:szCs w:val="18"/>
              </w:rPr>
              <w:t xml:space="preserve"> and environmental outcomes</w:t>
            </w:r>
            <w:r w:rsidR="00CA70DF" w:rsidRPr="00052B16">
              <w:rPr>
                <w:rFonts w:eastAsiaTheme="minorEastAsia"/>
                <w:szCs w:val="18"/>
              </w:rPr>
              <w:t>.</w:t>
            </w:r>
            <w:r w:rsidR="001A4D12" w:rsidRPr="00052B16">
              <w:rPr>
                <w:rFonts w:eastAsiaTheme="minorEastAsia"/>
                <w:szCs w:val="18"/>
              </w:rPr>
              <w:t xml:space="preserve"> </w:t>
            </w:r>
          </w:p>
          <w:p w14:paraId="3CB81EF7" w14:textId="717887D1" w:rsidR="001A4D12" w:rsidRPr="00052B16" w:rsidRDefault="005B098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has informed the development of outcome 5. </w:t>
            </w:r>
          </w:p>
        </w:tc>
      </w:tr>
    </w:tbl>
    <w:p w14:paraId="7A7B59C5" w14:textId="77777777" w:rsidR="001A4D12" w:rsidRDefault="001A4D12" w:rsidP="00AB4772"/>
    <w:p w14:paraId="7210DD04" w14:textId="77777777" w:rsidR="00964742" w:rsidRDefault="00964742" w:rsidP="005B69CD">
      <w:pPr>
        <w:pStyle w:val="Heading3"/>
      </w:pPr>
      <w:r>
        <w:t xml:space="preserve">Confirmation </w:t>
      </w:r>
    </w:p>
    <w:p w14:paraId="0BFBE595" w14:textId="77777777" w:rsidR="00964742" w:rsidRPr="00837157" w:rsidRDefault="00964742" w:rsidP="00964742">
      <w:pPr>
        <w:pStyle w:val="Heading4"/>
      </w:pPr>
      <w:r>
        <w:t xml:space="preserve">Engagement focus </w:t>
      </w:r>
    </w:p>
    <w:p w14:paraId="65076C41" w14:textId="1090D0B0" w:rsidR="00964742" w:rsidRDefault="00964742" w:rsidP="00004A92">
      <w:r w:rsidRPr="00837157">
        <w:t xml:space="preserve">Our final </w:t>
      </w:r>
      <w:r w:rsidR="2573ABD6" w:rsidRPr="66CAD205">
        <w:t>stage</w:t>
      </w:r>
      <w:r w:rsidRPr="00837157">
        <w:t xml:space="preserve">, </w:t>
      </w:r>
      <w:r w:rsidRPr="00837157">
        <w:rPr>
          <w:b/>
        </w:rPr>
        <w:t xml:space="preserve">Confirmation </w:t>
      </w:r>
      <w:r w:rsidRPr="00837157">
        <w:rPr>
          <w:bCs/>
        </w:rPr>
        <w:t>(May – September 2023),</w:t>
      </w:r>
      <w:r w:rsidRPr="00837157">
        <w:t xml:space="preserve"> focused on </w:t>
      </w:r>
      <w:r w:rsidR="00331BAE">
        <w:t>endorsing</w:t>
      </w:r>
      <w:r w:rsidR="5ADF558D" w:rsidRPr="0A396FE9">
        <w:t xml:space="preserve"> our customer outcomes and</w:t>
      </w:r>
      <w:r w:rsidR="6919509E" w:rsidRPr="0A396FE9">
        <w:t xml:space="preserve"> customers </w:t>
      </w:r>
      <w:r w:rsidR="29EDC45A" w:rsidRPr="0A396FE9">
        <w:t>becoming</w:t>
      </w:r>
      <w:r w:rsidR="6919509E" w:rsidRPr="0A396FE9">
        <w:t xml:space="preserve"> stewards of our performance</w:t>
      </w:r>
      <w:r w:rsidR="6D6AEFBC" w:rsidRPr="66CAD205">
        <w:t>. This was done</w:t>
      </w:r>
      <w:r w:rsidR="7DB27618" w:rsidRPr="0A396FE9">
        <w:t xml:space="preserve"> through a customer forum</w:t>
      </w:r>
      <w:r w:rsidR="6919509E" w:rsidRPr="0A396FE9">
        <w:t xml:space="preserve"> </w:t>
      </w:r>
      <w:r w:rsidR="282B8304" w:rsidRPr="0A396FE9">
        <w:t>and</w:t>
      </w:r>
      <w:r w:rsidR="63AC2C0E" w:rsidRPr="0A396FE9">
        <w:t xml:space="preserve"> community engagement to </w:t>
      </w:r>
      <w:r w:rsidRPr="0A396FE9">
        <w:t>clos</w:t>
      </w:r>
      <w:r w:rsidR="5686AF81" w:rsidRPr="0A396FE9">
        <w:t>e</w:t>
      </w:r>
      <w:r w:rsidRPr="00837157">
        <w:t xml:space="preserve"> the loop with our </w:t>
      </w:r>
      <w:r w:rsidR="133F2813" w:rsidRPr="0A396FE9">
        <w:t xml:space="preserve">customers and </w:t>
      </w:r>
      <w:r w:rsidRPr="00837157">
        <w:t>community.</w:t>
      </w:r>
      <w:r w:rsidR="00661962">
        <w:t xml:space="preserve"> </w:t>
      </w:r>
      <w:r w:rsidRPr="00837157">
        <w:t xml:space="preserve">Customers were given the opportunity to respond to the five customer outcomes and our responses to the </w:t>
      </w:r>
      <w:r w:rsidR="1580F1CE" w:rsidRPr="0A396FE9">
        <w:t xml:space="preserve">deliberative </w:t>
      </w:r>
      <w:r w:rsidRPr="00837157">
        <w:t xml:space="preserve">panel’s </w:t>
      </w:r>
      <w:r w:rsidR="7FEE1134" w:rsidRPr="199529D0">
        <w:t xml:space="preserve">15 </w:t>
      </w:r>
      <w:r w:rsidRPr="00837157">
        <w:t xml:space="preserve">recommendations. This </w:t>
      </w:r>
      <w:r w:rsidR="0578B2E7" w:rsidRPr="66CAD205">
        <w:t>stage</w:t>
      </w:r>
      <w:r w:rsidRPr="00837157">
        <w:t xml:space="preserve"> </w:t>
      </w:r>
      <w:r w:rsidRPr="0A396FE9">
        <w:t>provide</w:t>
      </w:r>
      <w:r w:rsidR="49FF7CD3" w:rsidRPr="0A396FE9">
        <w:t xml:space="preserve">d </w:t>
      </w:r>
      <w:r w:rsidRPr="00837157">
        <w:t>assurance that our customers</w:t>
      </w:r>
      <w:r w:rsidR="00B43BA6">
        <w:t>’</w:t>
      </w:r>
      <w:r w:rsidRPr="00837157">
        <w:t xml:space="preserve"> </w:t>
      </w:r>
      <w:r w:rsidR="60BC5234" w:rsidRPr="0A396FE9">
        <w:t xml:space="preserve">values and interests </w:t>
      </w:r>
      <w:r w:rsidR="60BC5234" w:rsidRPr="77F66AA2">
        <w:t>are</w:t>
      </w:r>
      <w:r w:rsidRPr="00837157">
        <w:t xml:space="preserve"> evident in our plans. </w:t>
      </w:r>
    </w:p>
    <w:p w14:paraId="68D0F492" w14:textId="77777777" w:rsidR="00964742" w:rsidRDefault="00964742" w:rsidP="00964742">
      <w:pPr>
        <w:pStyle w:val="Heading4"/>
      </w:pPr>
      <w:r>
        <w:t xml:space="preserve">How we engaged </w:t>
      </w:r>
    </w:p>
    <w:p w14:paraId="334361A7" w14:textId="77777777" w:rsidR="00964742" w:rsidRDefault="00964742" w:rsidP="00964742">
      <w:r w:rsidRPr="00837157">
        <w:rPr>
          <w:b/>
          <w:bCs/>
        </w:rPr>
        <w:t>Customer forum</w:t>
      </w:r>
      <w:r w:rsidRPr="00837157">
        <w:t xml:space="preserve"> (22 members)</w:t>
      </w:r>
    </w:p>
    <w:tbl>
      <w:tblPr>
        <w:tblStyle w:val="GWWDefaulttable"/>
        <w:tblW w:w="9444" w:type="dxa"/>
        <w:tblLook w:val="0480" w:firstRow="0" w:lastRow="0" w:firstColumn="1" w:lastColumn="0" w:noHBand="0" w:noVBand="1"/>
      </w:tblPr>
      <w:tblGrid>
        <w:gridCol w:w="1074"/>
        <w:gridCol w:w="8370"/>
      </w:tblGrid>
      <w:tr w:rsidR="00964742" w14:paraId="32187580" w14:textId="77777777" w:rsidTr="1BE01997">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3B060AA0" w14:textId="77777777" w:rsidR="00964742" w:rsidRPr="00BA6C4E" w:rsidRDefault="00964742">
            <w:pPr>
              <w:rPr>
                <w:b w:val="0"/>
              </w:rPr>
            </w:pPr>
            <w:r w:rsidRPr="00BA6C4E">
              <w:rPr>
                <w:b w:val="0"/>
              </w:rPr>
              <w:lastRenderedPageBreak/>
              <w:t>Who we heard from</w:t>
            </w:r>
          </w:p>
        </w:tc>
        <w:tc>
          <w:tcPr>
            <w:tcW w:w="8370" w:type="dxa"/>
            <w:tcBorders>
              <w:top w:val="single" w:sz="4" w:space="0" w:color="auto"/>
            </w:tcBorders>
          </w:tcPr>
          <w:p w14:paraId="71D2767C" w14:textId="1C73303F" w:rsidR="00964742" w:rsidRDefault="00964742">
            <w:pPr>
              <w:cnfStyle w:val="000000000000" w:firstRow="0" w:lastRow="0" w:firstColumn="0" w:lastColumn="0" w:oddVBand="0" w:evenVBand="0" w:oddHBand="0" w:evenHBand="0" w:firstRowFirstColumn="0" w:firstRowLastColumn="0" w:lastRowFirstColumn="0" w:lastRowLastColumn="0"/>
            </w:pPr>
            <w:r>
              <w:t>15 members of the deliberative panel to provide continuity and seven new members who registered their interest</w:t>
            </w:r>
            <w:r w:rsidR="00E21453">
              <w:t xml:space="preserve"> </w:t>
            </w:r>
          </w:p>
        </w:tc>
      </w:tr>
      <w:tr w:rsidR="00964742" w14:paraId="185B8DFE"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6F606C1D" w14:textId="77777777" w:rsidR="00964742" w:rsidRPr="00BA6C4E" w:rsidRDefault="00964742">
            <w:pPr>
              <w:rPr>
                <w:b w:val="0"/>
              </w:rPr>
            </w:pPr>
            <w:r w:rsidRPr="00BA6C4E">
              <w:rPr>
                <w:b w:val="0"/>
              </w:rPr>
              <w:t xml:space="preserve">Purpose </w:t>
            </w:r>
          </w:p>
        </w:tc>
        <w:tc>
          <w:tcPr>
            <w:tcW w:w="8370" w:type="dxa"/>
          </w:tcPr>
          <w:p w14:paraId="612092B6" w14:textId="1DE40C6A" w:rsidR="00964742" w:rsidRDefault="00964742">
            <w:pPr>
              <w:cnfStyle w:val="000000000000" w:firstRow="0" w:lastRow="0" w:firstColumn="0" w:lastColumn="0" w:oddVBand="0" w:evenVBand="0" w:oddHBand="0" w:evenHBand="0" w:firstRowFirstColumn="0" w:firstRowLastColumn="0" w:lastRowFirstColumn="0" w:lastRowLastColumn="0"/>
            </w:pPr>
            <w:r>
              <w:t>To provide GWW with an accountability process in which to present our performance against customer priorities and to whom we are accountable.</w:t>
            </w:r>
            <w:r w:rsidR="00E21453">
              <w:t xml:space="preserve"> </w:t>
            </w:r>
            <w:r w:rsidR="00E21453" w:rsidRPr="00837157">
              <w:rPr>
                <w:rFonts w:asciiTheme="majorHAnsi" w:hAnsiTheme="majorHAnsi"/>
              </w:rPr>
              <w:t>Meeting annually for the regulatory period, the forum will review our performance against our customer promises and measures</w:t>
            </w:r>
            <w:r w:rsidR="00E21453">
              <w:rPr>
                <w:rFonts w:asciiTheme="majorHAnsi" w:hAnsiTheme="majorHAnsi"/>
              </w:rPr>
              <w:t>.</w:t>
            </w:r>
          </w:p>
          <w:p w14:paraId="2ECEB339" w14:textId="62B07F28" w:rsidR="00964742" w:rsidRPr="00837157" w:rsidRDefault="0096474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37157">
              <w:rPr>
                <w:rFonts w:asciiTheme="majorHAnsi" w:hAnsiTheme="majorHAnsi"/>
              </w:rPr>
              <w:t>The forum was asked to:</w:t>
            </w:r>
          </w:p>
          <w:p w14:paraId="4ABE55D1" w14:textId="210ED15D" w:rsidR="00964742" w:rsidRPr="00D46554" w:rsidRDefault="004A1728"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t>c</w:t>
            </w:r>
            <w:r w:rsidR="00C436A1" w:rsidRPr="00D46554">
              <w:t xml:space="preserve">onfirm that </w:t>
            </w:r>
            <w:r w:rsidR="00964742" w:rsidRPr="00D46554">
              <w:t xml:space="preserve">the draft </w:t>
            </w:r>
            <w:r w:rsidR="00964742" w:rsidRPr="00D46554">
              <w:rPr>
                <w:rStyle w:val="tabchar"/>
              </w:rPr>
              <w:t xml:space="preserve">customer outcomes accurately reflect their values and </w:t>
            </w:r>
            <w:proofErr w:type="gramStart"/>
            <w:r w:rsidR="00964742" w:rsidRPr="00D46554">
              <w:rPr>
                <w:rStyle w:val="tabchar"/>
              </w:rPr>
              <w:t>expectations</w:t>
            </w:r>
            <w:proofErr w:type="gramEnd"/>
            <w:r w:rsidR="00964742" w:rsidRPr="00D46554">
              <w:rPr>
                <w:rStyle w:val="tabchar"/>
              </w:rPr>
              <w:t xml:space="preserve"> </w:t>
            </w:r>
          </w:p>
          <w:p w14:paraId="02EF110A" w14:textId="169A10B7" w:rsidR="00964742" w:rsidRPr="00D46554" w:rsidRDefault="00964742"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rsidRPr="00D46554">
              <w:rPr>
                <w:rStyle w:val="tabchar"/>
              </w:rPr>
              <w:t xml:space="preserve">choose what </w:t>
            </w:r>
            <w:r w:rsidR="0C2C01F5" w:rsidRPr="00D46554">
              <w:rPr>
                <w:rStyle w:val="tabchar"/>
              </w:rPr>
              <w:t>output</w:t>
            </w:r>
            <w:r w:rsidR="54692259" w:rsidRPr="00D46554">
              <w:rPr>
                <w:rStyle w:val="tabchar"/>
              </w:rPr>
              <w:t>s</w:t>
            </w:r>
            <w:r w:rsidRPr="00D46554">
              <w:rPr>
                <w:rStyle w:val="tabchar"/>
              </w:rPr>
              <w:t xml:space="preserve"> best represent each </w:t>
            </w:r>
            <w:proofErr w:type="gramStart"/>
            <w:r w:rsidRPr="00D46554">
              <w:rPr>
                <w:rStyle w:val="tabchar"/>
              </w:rPr>
              <w:t>outcome</w:t>
            </w:r>
            <w:proofErr w:type="gramEnd"/>
            <w:r w:rsidRPr="00D46554">
              <w:rPr>
                <w:rStyle w:val="tabchar"/>
              </w:rPr>
              <w:t xml:space="preserve"> </w:t>
            </w:r>
          </w:p>
          <w:p w14:paraId="286D6581" w14:textId="77777777" w:rsidR="00964742" w:rsidRPr="00D46554" w:rsidRDefault="00964742"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rsidRPr="00D46554">
              <w:rPr>
                <w:rStyle w:val="tabchar"/>
              </w:rPr>
              <w:t xml:space="preserve">advise how each output should be </w:t>
            </w:r>
            <w:proofErr w:type="gramStart"/>
            <w:r w:rsidRPr="00D46554">
              <w:rPr>
                <w:rStyle w:val="tabchar"/>
              </w:rPr>
              <w:t>measured</w:t>
            </w:r>
            <w:proofErr w:type="gramEnd"/>
          </w:p>
          <w:p w14:paraId="07DBDA8A" w14:textId="77777777" w:rsidR="00964742" w:rsidRPr="005C57FB" w:rsidRDefault="00964742" w:rsidP="00D46554">
            <w:pPr>
              <w:pStyle w:val="TableBulle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0"/>
                <w:lang w:val="en-GB"/>
              </w:rPr>
            </w:pPr>
            <w:r w:rsidRPr="00D46554">
              <w:rPr>
                <w:rStyle w:val="tabchar"/>
              </w:rPr>
              <w:t>consider which measures should have a GSL attached to them, and the GSL amount.</w:t>
            </w:r>
            <w:r w:rsidRPr="00837157">
              <w:rPr>
                <w:rFonts w:asciiTheme="majorHAnsi" w:hAnsiTheme="majorHAnsi"/>
              </w:rPr>
              <w:t xml:space="preserve"> </w:t>
            </w:r>
          </w:p>
        </w:tc>
      </w:tr>
    </w:tbl>
    <w:p w14:paraId="0B63030C" w14:textId="77777777" w:rsidR="00964742" w:rsidRDefault="00964742" w:rsidP="00964742"/>
    <w:p w14:paraId="7078988E" w14:textId="1E9E7AB6" w:rsidR="00964742" w:rsidRDefault="00964742" w:rsidP="00964742">
      <w:r w:rsidRPr="00837157">
        <w:rPr>
          <w:b/>
          <w:bCs/>
        </w:rPr>
        <w:t>Confirmation survey and face-to-face engagement</w:t>
      </w:r>
      <w:r w:rsidRPr="00837157">
        <w:t xml:space="preserve"> (</w:t>
      </w:r>
      <w:r w:rsidR="00241BD7">
        <w:t>1,0</w:t>
      </w:r>
      <w:r w:rsidR="00BC57FB">
        <w:t>46</w:t>
      </w:r>
      <w:r w:rsidR="00241BD7" w:rsidRPr="00837157">
        <w:t xml:space="preserve"> </w:t>
      </w:r>
      <w:r>
        <w:t xml:space="preserve">survey </w:t>
      </w:r>
      <w:r w:rsidRPr="00837157">
        <w:t xml:space="preserve">responses and </w:t>
      </w:r>
      <w:r w:rsidR="00152812">
        <w:t>262</w:t>
      </w:r>
      <w:r w:rsidR="00152812" w:rsidRPr="00837157">
        <w:t xml:space="preserve"> </w:t>
      </w:r>
      <w:r w:rsidRPr="00837157">
        <w:t xml:space="preserve">attendees) </w:t>
      </w:r>
    </w:p>
    <w:tbl>
      <w:tblPr>
        <w:tblStyle w:val="GWWDefaulttable"/>
        <w:tblW w:w="9399" w:type="dxa"/>
        <w:tblLook w:val="0480" w:firstRow="0" w:lastRow="0" w:firstColumn="1" w:lastColumn="0" w:noHBand="0" w:noVBand="1"/>
      </w:tblPr>
      <w:tblGrid>
        <w:gridCol w:w="1074"/>
        <w:gridCol w:w="8325"/>
      </w:tblGrid>
      <w:tr w:rsidR="00964742" w14:paraId="6BB5142C"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5D817E70" w14:textId="77777777" w:rsidR="00964742" w:rsidRPr="004D6EBE" w:rsidRDefault="00964742">
            <w:pPr>
              <w:rPr>
                <w:b w:val="0"/>
              </w:rPr>
            </w:pPr>
            <w:r w:rsidRPr="004D6EBE">
              <w:rPr>
                <w:b w:val="0"/>
              </w:rPr>
              <w:t>Who we heard from</w:t>
            </w:r>
          </w:p>
        </w:tc>
        <w:tc>
          <w:tcPr>
            <w:tcW w:w="8325" w:type="dxa"/>
            <w:tcBorders>
              <w:top w:val="single" w:sz="4" w:space="0" w:color="auto"/>
            </w:tcBorders>
          </w:tcPr>
          <w:p w14:paraId="6B85BE69" w14:textId="5DFE61F0" w:rsidR="00A24390" w:rsidRDefault="00957E9D">
            <w:pPr>
              <w:cnfStyle w:val="000000000000" w:firstRow="0" w:lastRow="0" w:firstColumn="0" w:lastColumn="0" w:oddVBand="0" w:evenVBand="0" w:oddHBand="0" w:evenHBand="0" w:firstRowFirstColumn="0" w:firstRowLastColumn="0" w:lastRowFirstColumn="0" w:lastRowLastColumn="0"/>
            </w:pPr>
            <w:r>
              <w:t>Our survey heard from r</w:t>
            </w:r>
            <w:r w:rsidR="00BA7A60">
              <w:t>enters, homeowners, business customers</w:t>
            </w:r>
            <w:r>
              <w:t xml:space="preserve"> and</w:t>
            </w:r>
            <w:r w:rsidR="00BA7A60">
              <w:t xml:space="preserve"> </w:t>
            </w:r>
            <w:r w:rsidR="00741004">
              <w:t xml:space="preserve">customers who identified as experiencing hardship. </w:t>
            </w:r>
          </w:p>
          <w:p w14:paraId="53F150C9" w14:textId="21540542" w:rsidR="00964742" w:rsidRDefault="00A24390">
            <w:pPr>
              <w:cnfStyle w:val="000000000000" w:firstRow="0" w:lastRow="0" w:firstColumn="0" w:lastColumn="0" w:oddVBand="0" w:evenVBand="0" w:oddHBand="0" w:evenHBand="0" w:firstRowFirstColumn="0" w:firstRowLastColumn="0" w:lastRowFirstColumn="0" w:lastRowLastColumn="0"/>
            </w:pPr>
            <w:r>
              <w:t>Face-to-face events focused on communities</w:t>
            </w:r>
            <w:r w:rsidR="00964742">
              <w:t xml:space="preserve"> in five local government areas chosen based on proportionally lower engagement responses.</w:t>
            </w:r>
          </w:p>
        </w:tc>
      </w:tr>
      <w:tr w:rsidR="00964742" w14:paraId="6EFC7662"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1CD3BE11" w14:textId="77777777" w:rsidR="00964742" w:rsidRPr="004D6EBE" w:rsidRDefault="00964742">
            <w:pPr>
              <w:rPr>
                <w:b w:val="0"/>
              </w:rPr>
            </w:pPr>
            <w:r w:rsidRPr="004D6EBE">
              <w:rPr>
                <w:b w:val="0"/>
              </w:rPr>
              <w:t xml:space="preserve">Purpose </w:t>
            </w:r>
          </w:p>
        </w:tc>
        <w:tc>
          <w:tcPr>
            <w:tcW w:w="8325" w:type="dxa"/>
          </w:tcPr>
          <w:p w14:paraId="205FFD4B" w14:textId="5121B16B" w:rsidR="00994FD8" w:rsidRDefault="00964742">
            <w:pPr>
              <w:cnfStyle w:val="000000000000" w:firstRow="0" w:lastRow="0" w:firstColumn="0" w:lastColumn="0" w:oddVBand="0" w:evenVBand="0" w:oddHBand="0" w:evenHBand="0" w:firstRowFirstColumn="0" w:firstRowLastColumn="0" w:lastRowFirstColumn="0" w:lastRowLastColumn="0"/>
            </w:pPr>
            <w:r>
              <w:t>To close the loop with our communities</w:t>
            </w:r>
            <w:r w:rsidR="00B61AF4">
              <w:t>,</w:t>
            </w:r>
            <w:r w:rsidR="00E41E0E">
              <w:t xml:space="preserve"> </w:t>
            </w:r>
            <w:proofErr w:type="gramStart"/>
            <w:r w:rsidR="008B54A8">
              <w:t>reflect</w:t>
            </w:r>
            <w:r w:rsidR="00E41E0E">
              <w:t>ing</w:t>
            </w:r>
            <w:r w:rsidR="008B54A8">
              <w:t xml:space="preserve"> back</w:t>
            </w:r>
            <w:proofErr w:type="gramEnd"/>
            <w:r>
              <w:t xml:space="preserve"> what we heard </w:t>
            </w:r>
            <w:r w:rsidR="008B54A8">
              <w:t xml:space="preserve">through </w:t>
            </w:r>
            <w:r w:rsidR="00F96D77">
              <w:t>broad engagement and the deliberative panel</w:t>
            </w:r>
            <w:r>
              <w:t xml:space="preserve"> to ensure we are accurately representing their priorities in our submission. </w:t>
            </w:r>
          </w:p>
          <w:p w14:paraId="022F632D" w14:textId="431C092E" w:rsidR="00964742" w:rsidRDefault="00957E9D">
            <w:pPr>
              <w:cnfStyle w:val="000000000000" w:firstRow="0" w:lastRow="0" w:firstColumn="0" w:lastColumn="0" w:oddVBand="0" w:evenVBand="0" w:oddHBand="0" w:evenHBand="0" w:firstRowFirstColumn="0" w:firstRowLastColumn="0" w:lastRowFirstColumn="0" w:lastRowLastColumn="0"/>
            </w:pPr>
            <w:r>
              <w:t xml:space="preserve">Our survey </w:t>
            </w:r>
            <w:r w:rsidR="009429E9">
              <w:t xml:space="preserve">gave customers the opportunity to </w:t>
            </w:r>
            <w:r w:rsidR="00994FD8">
              <w:t xml:space="preserve">comment on the panel’s recommendations and GWW’s response. Face-to-face engagement </w:t>
            </w:r>
            <w:r w:rsidR="00E41E0E">
              <w:t xml:space="preserve">focused on our customer outcomes. </w:t>
            </w:r>
          </w:p>
        </w:tc>
      </w:tr>
    </w:tbl>
    <w:p w14:paraId="665680EB" w14:textId="77777777" w:rsidR="00964742" w:rsidRDefault="00964742" w:rsidP="00964742"/>
    <w:p w14:paraId="66705982" w14:textId="4E9EABC1" w:rsidR="001F2FBC" w:rsidRDefault="001F2FBC" w:rsidP="001F2FBC">
      <w:r>
        <w:rPr>
          <w:b/>
          <w:bCs/>
        </w:rPr>
        <w:t xml:space="preserve">Stakeholder interviews </w:t>
      </w:r>
      <w:r w:rsidRPr="00837157">
        <w:t>(</w:t>
      </w:r>
      <w:r w:rsidR="00771F12">
        <w:t>three</w:t>
      </w:r>
      <w:r>
        <w:t xml:space="preserve"> interviewees</w:t>
      </w:r>
      <w:r w:rsidRPr="00837157">
        <w:t xml:space="preserve">) </w:t>
      </w:r>
    </w:p>
    <w:tbl>
      <w:tblPr>
        <w:tblStyle w:val="GWWDefaulttable"/>
        <w:tblW w:w="9399" w:type="dxa"/>
        <w:tblLook w:val="0480" w:firstRow="0" w:lastRow="0" w:firstColumn="1" w:lastColumn="0" w:noHBand="0" w:noVBand="1"/>
      </w:tblPr>
      <w:tblGrid>
        <w:gridCol w:w="1074"/>
        <w:gridCol w:w="8325"/>
      </w:tblGrid>
      <w:tr w:rsidR="001F2FBC" w14:paraId="3215D168" w14:textId="77777777">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7F26AF88" w14:textId="77777777" w:rsidR="001F2FBC" w:rsidRPr="004D6EBE" w:rsidRDefault="001F2FBC">
            <w:pPr>
              <w:rPr>
                <w:b w:val="0"/>
              </w:rPr>
            </w:pPr>
            <w:r w:rsidRPr="004D6EBE">
              <w:rPr>
                <w:b w:val="0"/>
              </w:rPr>
              <w:t>Who we heard from</w:t>
            </w:r>
          </w:p>
        </w:tc>
        <w:tc>
          <w:tcPr>
            <w:tcW w:w="8325" w:type="dxa"/>
            <w:tcBorders>
              <w:top w:val="single" w:sz="4" w:space="0" w:color="auto"/>
            </w:tcBorders>
          </w:tcPr>
          <w:p w14:paraId="6F94949A" w14:textId="2801078F" w:rsidR="001F2FBC" w:rsidRDefault="00921C06">
            <w:pPr>
              <w:cnfStyle w:val="000000000000" w:firstRow="0" w:lastRow="0" w:firstColumn="0" w:lastColumn="0" w:oddVBand="0" w:evenVBand="0" w:oddHBand="0" w:evenHBand="0" w:firstRowFirstColumn="0" w:firstRowLastColumn="0" w:lastRowFirstColumn="0" w:lastRowLastColumn="0"/>
            </w:pPr>
            <w:r>
              <w:t>Representatives from: t</w:t>
            </w:r>
            <w:r w:rsidR="003F1A3F">
              <w:t>rade waste custome</w:t>
            </w:r>
            <w:r>
              <w:t>r</w:t>
            </w:r>
            <w:r w:rsidR="003F1A3F">
              <w:t>,</w:t>
            </w:r>
            <w:r w:rsidR="00FF58E5">
              <w:t xml:space="preserve"> </w:t>
            </w:r>
            <w:r w:rsidR="00F01099">
              <w:t xml:space="preserve">regional small </w:t>
            </w:r>
            <w:proofErr w:type="gramStart"/>
            <w:r w:rsidR="00F01099">
              <w:t>business</w:t>
            </w:r>
            <w:proofErr w:type="gramEnd"/>
            <w:r w:rsidR="00CF17B1">
              <w:t xml:space="preserve"> and</w:t>
            </w:r>
            <w:r w:rsidR="00F01099">
              <w:t xml:space="preserve"> </w:t>
            </w:r>
            <w:r>
              <w:t>disability support organisation</w:t>
            </w:r>
          </w:p>
        </w:tc>
      </w:tr>
      <w:tr w:rsidR="001F2FBC" w14:paraId="163C5BFD" w14:textId="77777777">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0A0F4732" w14:textId="77777777" w:rsidR="001F2FBC" w:rsidRPr="004D6EBE" w:rsidRDefault="001F2FBC">
            <w:pPr>
              <w:rPr>
                <w:b w:val="0"/>
              </w:rPr>
            </w:pPr>
            <w:r w:rsidRPr="004D6EBE">
              <w:rPr>
                <w:b w:val="0"/>
              </w:rPr>
              <w:t xml:space="preserve">Purpose </w:t>
            </w:r>
          </w:p>
        </w:tc>
        <w:tc>
          <w:tcPr>
            <w:tcW w:w="8325" w:type="dxa"/>
          </w:tcPr>
          <w:p w14:paraId="072AF66D" w14:textId="5498F0D4" w:rsidR="001F2FBC" w:rsidRDefault="001F2FBC">
            <w:pPr>
              <w:cnfStyle w:val="000000000000" w:firstRow="0" w:lastRow="0" w:firstColumn="0" w:lastColumn="0" w:oddVBand="0" w:evenVBand="0" w:oddHBand="0" w:evenHBand="0" w:firstRowFirstColumn="0" w:firstRowLastColumn="0" w:lastRowFirstColumn="0" w:lastRowLastColumn="0"/>
            </w:pPr>
            <w:r>
              <w:t xml:space="preserve">To close the loop with the stakeholders </w:t>
            </w:r>
            <w:r w:rsidR="007A7070">
              <w:t xml:space="preserve">we </w:t>
            </w:r>
            <w:r>
              <w:t xml:space="preserve">spoke with in </w:t>
            </w:r>
            <w:r w:rsidR="008E269C">
              <w:t xml:space="preserve">exploration to ensure we are accurately reflecting their priorities in our submission. </w:t>
            </w:r>
            <w:r>
              <w:t xml:space="preserve"> </w:t>
            </w:r>
          </w:p>
        </w:tc>
      </w:tr>
    </w:tbl>
    <w:p w14:paraId="603AA302" w14:textId="77777777" w:rsidR="001F2FBC" w:rsidRDefault="001F2FBC" w:rsidP="00964742"/>
    <w:p w14:paraId="1F9C96C2" w14:textId="77777777" w:rsidR="00964742" w:rsidRDefault="00964742" w:rsidP="00964742">
      <w:pPr>
        <w:pStyle w:val="Heading4"/>
      </w:pPr>
      <w:r>
        <w:t>What our customers told us</w:t>
      </w:r>
    </w:p>
    <w:p w14:paraId="598D694E" w14:textId="70E98BA7" w:rsidR="00DC2A36" w:rsidRDefault="00DC2A36" w:rsidP="00964742">
      <w:r w:rsidRPr="00DC2A36">
        <w:t xml:space="preserve">Our deliberative panel members showed strong support for our five customer outcomes and our plans to deliver on their recommendations. </w:t>
      </w:r>
    </w:p>
    <w:p w14:paraId="29D1D717" w14:textId="3C1162CA" w:rsidR="00964742" w:rsidRDefault="00964742" w:rsidP="00964742">
      <w:r>
        <w:t xml:space="preserve">Our </w:t>
      </w:r>
      <w:r w:rsidR="00CC3535">
        <w:t xml:space="preserve">customer </w:t>
      </w:r>
      <w:r>
        <w:t xml:space="preserve">forum strongly supported the outcomes </w:t>
      </w:r>
      <w:r w:rsidR="009375C6">
        <w:t xml:space="preserve">we proposed for </w:t>
      </w:r>
      <w:r>
        <w:t xml:space="preserve">our 2024 price submission. We heard </w:t>
      </w:r>
      <w:r w:rsidR="13C585DB">
        <w:t xml:space="preserve">that customers </w:t>
      </w:r>
      <w:r w:rsidR="35924D5D">
        <w:t>could</w:t>
      </w:r>
      <w:r w:rsidR="6C79EFD5">
        <w:t xml:space="preserve"> see how our engagement phases have </w:t>
      </w:r>
      <w:r w:rsidR="1EA5C094">
        <w:t>influenced</w:t>
      </w:r>
      <w:r w:rsidR="6C79EFD5">
        <w:t xml:space="preserve"> the </w:t>
      </w:r>
      <w:r>
        <w:t xml:space="preserve">customer outcomes </w:t>
      </w:r>
      <w:r w:rsidR="15734FE3">
        <w:t xml:space="preserve">and that </w:t>
      </w:r>
      <w:r>
        <w:t>they reflect customer priorities</w:t>
      </w:r>
      <w:r w:rsidR="4DF5E480">
        <w:t>.</w:t>
      </w:r>
      <w:r>
        <w:t xml:space="preserve"> The forum </w:t>
      </w:r>
      <w:r>
        <w:lastRenderedPageBreak/>
        <w:t xml:space="preserve">chose the key measures for each of our customer outcomes, and a connected GSL (if appropriate). </w:t>
      </w:r>
    </w:p>
    <w:p w14:paraId="52A80A1D" w14:textId="398B0EAE" w:rsidR="00475F4F" w:rsidRDefault="00475F4F" w:rsidP="00964742">
      <w:r w:rsidRPr="00475F4F">
        <w:t>Survey feedback indicated strong support for our plans to action the panel’s recommendations, receiving at least 90% support from customers completing the survey. Comments indicated that customers wanted the focus to be first and foremost on affordability.</w:t>
      </w:r>
    </w:p>
    <w:p w14:paraId="1E7A93E5" w14:textId="2DA29E84" w:rsidR="00C5581E" w:rsidRDefault="00C5581E" w:rsidP="00964742">
      <w:r>
        <w:t xml:space="preserve">Community attending face-to-face events </w:t>
      </w:r>
      <w:r w:rsidR="00E41E0E">
        <w:t xml:space="preserve">broadly supported our customer outcomes, with no customer </w:t>
      </w:r>
      <w:r w:rsidR="00363A00">
        <w:t xml:space="preserve">saying they did not </w:t>
      </w:r>
      <w:r w:rsidR="00D96D59">
        <w:t xml:space="preserve">agree with them. </w:t>
      </w:r>
      <w:r w:rsidR="00E41E0E">
        <w:t xml:space="preserve">However, some customers raised </w:t>
      </w:r>
      <w:r w:rsidR="002B6FD7">
        <w:t xml:space="preserve">concerns that affordability was not expressly stated in any outcome. </w:t>
      </w:r>
      <w:r w:rsidR="00580867">
        <w:t xml:space="preserve">All customers in these events supported the idea of ‘stable </w:t>
      </w:r>
      <w:proofErr w:type="gramStart"/>
      <w:r w:rsidR="00580867">
        <w:t>bills’</w:t>
      </w:r>
      <w:proofErr w:type="gramEnd"/>
      <w:r w:rsidR="005E4162">
        <w:t xml:space="preserve">. </w:t>
      </w:r>
      <w:r>
        <w:t xml:space="preserve"> </w:t>
      </w:r>
    </w:p>
    <w:p w14:paraId="2466270A" w14:textId="77777777" w:rsidR="00964742" w:rsidRDefault="00964742" w:rsidP="00964742">
      <w:pPr>
        <w:pStyle w:val="Heading4"/>
      </w:pPr>
      <w:r>
        <w:t xml:space="preserve">How customer feedback influenced our price submission </w:t>
      </w:r>
    </w:p>
    <w:p w14:paraId="260849AC" w14:textId="70B36FC5" w:rsidR="003B599A" w:rsidRDefault="003B599A" w:rsidP="003B599A">
      <w:r>
        <w:t>The feedback from our customer forum helped us develop our ‘customer scorecard’ (</w:t>
      </w:r>
      <w:r w:rsidR="002E446F">
        <w:fldChar w:fldCharType="begin"/>
      </w:r>
      <w:r w:rsidR="002E446F">
        <w:instrText xml:space="preserve"> REF _Ref145919815 \n \h </w:instrText>
      </w:r>
      <w:r w:rsidR="0069425C">
        <w:fldChar w:fldCharType="separate"/>
      </w:r>
      <w:r w:rsidR="002E446F">
        <w:fldChar w:fldCharType="end"/>
      </w:r>
      <w:r>
        <w:t>). Our customer forum will meet annually to review our performance against the scorecard</w:t>
      </w:r>
      <w:r w:rsidR="00593FA3">
        <w:t xml:space="preserve">. </w:t>
      </w:r>
      <w:r>
        <w:t>The scorecard will be made publicly available to hold us accountable.</w:t>
      </w:r>
    </w:p>
    <w:p w14:paraId="55ECA2A5" w14:textId="0C51B8E4" w:rsidR="003B599A" w:rsidRDefault="003B599A" w:rsidP="003B599A">
      <w:r>
        <w:t>Feedback from our confirmation phase provided us with confidence that our plans aligned with what customers expect of us and value. The focus customers had on affordability further supported our decision to have it as an overarching theme of our submission and</w:t>
      </w:r>
      <w:r w:rsidR="00C53876">
        <w:t xml:space="preserve"> a</w:t>
      </w:r>
      <w:r>
        <w:t xml:space="preserve"> principle of maintaining stable bills.</w:t>
      </w:r>
    </w:p>
    <w:p w14:paraId="7A081F96" w14:textId="74F26E80" w:rsidR="00450156" w:rsidRPr="00837157" w:rsidRDefault="00450156" w:rsidP="000853C0">
      <w:pPr>
        <w:pStyle w:val="Heading2"/>
      </w:pPr>
      <w:bookmarkStart w:id="79" w:name="_Toc146004859"/>
      <w:bookmarkStart w:id="80" w:name="_Toc146004747"/>
      <w:bookmarkStart w:id="81" w:name="_Toc146746693"/>
      <w:r w:rsidRPr="00837157">
        <w:t xml:space="preserve">Parallel stakeholder </w:t>
      </w:r>
      <w:r w:rsidR="754FC6C8">
        <w:t xml:space="preserve">and partner </w:t>
      </w:r>
      <w:r w:rsidRPr="00837157">
        <w:t>engagement</w:t>
      </w:r>
      <w:bookmarkEnd w:id="79"/>
      <w:bookmarkEnd w:id="80"/>
      <w:bookmarkEnd w:id="81"/>
      <w:r w:rsidRPr="00837157">
        <w:t xml:space="preserve"> </w:t>
      </w:r>
    </w:p>
    <w:p w14:paraId="289B9348" w14:textId="54809566" w:rsidR="00450156" w:rsidRPr="00837157" w:rsidRDefault="00450156" w:rsidP="00450156">
      <w:r>
        <w:t>Running alongside our engagement with our customers and communities, we engaged directly with our stakeholders and partners</w:t>
      </w:r>
      <w:r w:rsidR="7A55B89C">
        <w:t>. We</w:t>
      </w:r>
      <w:r>
        <w:t xml:space="preserve"> understand that delivering value</w:t>
      </w:r>
      <w:r w:rsidR="0CBE583F">
        <w:t>d</w:t>
      </w:r>
      <w:r>
        <w:t xml:space="preserve"> services needs to be in collaboration</w:t>
      </w:r>
      <w:r w:rsidR="3234F587">
        <w:t xml:space="preserve"> and</w:t>
      </w:r>
      <w:r w:rsidR="0030486A">
        <w:t xml:space="preserve"> </w:t>
      </w:r>
      <w:r w:rsidR="4982FA96">
        <w:t>we wanted</w:t>
      </w:r>
      <w:r>
        <w:t xml:space="preserve"> to ensure </w:t>
      </w:r>
      <w:r w:rsidR="48CE0FE4">
        <w:t xml:space="preserve">that </w:t>
      </w:r>
      <w:r>
        <w:t xml:space="preserve">broader industry and community interests were reflected in our submission. </w:t>
      </w:r>
    </w:p>
    <w:p w14:paraId="754A0127" w14:textId="77777777" w:rsidR="00495DF7" w:rsidRPr="00837157" w:rsidRDefault="00495DF7" w:rsidP="005B69CD">
      <w:pPr>
        <w:pStyle w:val="Heading3"/>
      </w:pPr>
      <w:bookmarkStart w:id="82" w:name="_Ref145920964"/>
      <w:r w:rsidRPr="000853C0">
        <w:t>Engaging</w:t>
      </w:r>
      <w:r w:rsidRPr="00837157">
        <w:t xml:space="preserve"> with our Traditional Owner partners</w:t>
      </w:r>
      <w:bookmarkEnd w:id="82"/>
    </w:p>
    <w:p w14:paraId="331B1E71" w14:textId="77777777" w:rsidR="00495DF7" w:rsidRPr="00004A92" w:rsidRDefault="00495DF7" w:rsidP="005D75C8">
      <w:pPr>
        <w:pStyle w:val="BoxedQuote"/>
        <w:rPr>
          <w:rStyle w:val="Italic"/>
        </w:rPr>
      </w:pPr>
      <w:r w:rsidRPr="00004A92">
        <w:rPr>
          <w:rStyle w:val="Italic"/>
        </w:rPr>
        <w:t xml:space="preserve">‘I am particularly gladdened to see healing and caring for </w:t>
      </w:r>
      <w:proofErr w:type="gramStart"/>
      <w:r w:rsidRPr="00004A92">
        <w:rPr>
          <w:rStyle w:val="Italic"/>
        </w:rPr>
        <w:t>Country</w:t>
      </w:r>
      <w:proofErr w:type="gramEnd"/>
      <w:r w:rsidRPr="00004A92">
        <w:rPr>
          <w:rStyle w:val="Italic"/>
        </w:rPr>
        <w:t xml:space="preserve"> and I hope that this will be done in collaboration with First Nations communities.’ – feedback from focus group participant</w:t>
      </w:r>
    </w:p>
    <w:p w14:paraId="326BB6D5" w14:textId="77777777" w:rsidR="00495DF7" w:rsidRPr="00837157" w:rsidRDefault="00495DF7" w:rsidP="00495DF7">
      <w:pPr>
        <w:spacing w:line="257" w:lineRule="auto"/>
        <w:rPr>
          <w:rFonts w:asciiTheme="majorHAnsi" w:eastAsiaTheme="minorEastAsia" w:hAnsiTheme="majorHAnsi"/>
        </w:rPr>
      </w:pPr>
      <w:r w:rsidRPr="7DA8FF07">
        <w:rPr>
          <w:rFonts w:asciiTheme="majorHAnsi" w:eastAsiaTheme="minorEastAsia" w:hAnsiTheme="majorHAnsi"/>
        </w:rPr>
        <w:t xml:space="preserve">GWW is committed to working with Traditional Owners and First Nations peoples. This extends beyond our price submission and 2024-28 regulatory period. </w:t>
      </w:r>
    </w:p>
    <w:p w14:paraId="321FC695" w14:textId="77777777" w:rsidR="000E1C8B" w:rsidRDefault="00495DF7" w:rsidP="00004A92">
      <w:r w:rsidRPr="7DA8FF07">
        <w:t>In March 2023, GWW sent a letter to each of the five formally recognised Traditional Owner groups within the GWW service region advising them of the price submission process. The letter offered briefings on the process and anything of interest to Traditional Owners and included areas that Traditional Owners may wish to influence the price submission and beyond. A follow-up email was sent in April</w:t>
      </w:r>
      <w:r w:rsidR="000E1C8B">
        <w:t>.</w:t>
      </w:r>
    </w:p>
    <w:p w14:paraId="05C30A4E" w14:textId="42F7A91E" w:rsidR="00495DF7" w:rsidRPr="00837157" w:rsidRDefault="00495DF7" w:rsidP="00004A92">
      <w:r w:rsidRPr="7DA8FF07">
        <w:t>Ongoing quarterly meetings with each Traditional Owner group were initiated in early 2023. These forums provided an opportunity to discuss the development of the price submission if of interest to Traditional Owners. We were able to meet with some Traditional Owners, some directed us to other key documentation that articulates priorities and interests, and some chose not to participate. This feedback will support any future engagement with Traditional Owners. GWW thanks all Traditional Owners for their consideration of this work.</w:t>
      </w:r>
    </w:p>
    <w:p w14:paraId="266EFB8C" w14:textId="6B199F6D" w:rsidR="00495DF7" w:rsidRPr="00837157" w:rsidRDefault="00495DF7" w:rsidP="00495DF7">
      <w:pPr>
        <w:spacing w:before="0" w:after="0"/>
        <w:textAlignment w:val="baseline"/>
        <w:rPr>
          <w:rFonts w:asciiTheme="majorHAnsi" w:eastAsiaTheme="majorEastAsia" w:hAnsiTheme="majorHAnsi" w:cs="Calibri"/>
        </w:rPr>
      </w:pPr>
      <w:r w:rsidRPr="00837157">
        <w:rPr>
          <w:rFonts w:asciiTheme="majorHAnsi" w:eastAsiaTheme="majorEastAsia" w:hAnsiTheme="majorHAnsi" w:cs="Calibri"/>
        </w:rPr>
        <w:lastRenderedPageBreak/>
        <w:t xml:space="preserve">We re-affirmed our commitments to Traditional Owners through a ‘what we have heard’ </w:t>
      </w:r>
      <w:r>
        <w:rPr>
          <w:rFonts w:asciiTheme="majorHAnsi" w:eastAsiaTheme="majorEastAsia" w:hAnsiTheme="majorHAnsi" w:cs="Calibri"/>
        </w:rPr>
        <w:t>briefing</w:t>
      </w:r>
      <w:r w:rsidRPr="634342B5">
        <w:rPr>
          <w:rFonts w:asciiTheme="majorHAnsi" w:eastAsiaTheme="majorEastAsia" w:hAnsiTheme="majorHAnsi" w:cs="Calibri"/>
        </w:rPr>
        <w:t xml:space="preserve"> note</w:t>
      </w:r>
      <w:r w:rsidR="003B599A">
        <w:rPr>
          <w:rFonts w:asciiTheme="majorHAnsi" w:eastAsiaTheme="majorEastAsia" w:hAnsiTheme="majorHAnsi" w:cs="Calibri"/>
        </w:rPr>
        <w:t xml:space="preserve"> (supporting document)</w:t>
      </w:r>
      <w:r w:rsidR="006A67EB">
        <w:rPr>
          <w:rFonts w:asciiTheme="majorHAnsi" w:eastAsiaTheme="majorEastAsia" w:hAnsiTheme="majorHAnsi" w:cs="Calibri"/>
        </w:rPr>
        <w:t>.</w:t>
      </w:r>
      <w:r w:rsidRPr="634342B5">
        <w:rPr>
          <w:rFonts w:asciiTheme="majorHAnsi" w:eastAsiaTheme="majorEastAsia" w:hAnsiTheme="majorHAnsi" w:cs="Calibri"/>
        </w:rPr>
        <w:t xml:space="preserve"> </w:t>
      </w:r>
      <w:r w:rsidRPr="00837157">
        <w:rPr>
          <w:rFonts w:asciiTheme="majorHAnsi" w:eastAsiaTheme="majorEastAsia" w:hAnsiTheme="majorHAnsi" w:cs="Calibri"/>
        </w:rPr>
        <w:t>The document was shared with all five formally recognised Traditional Owner groups and demonstrated:</w:t>
      </w:r>
    </w:p>
    <w:p w14:paraId="0AB4FFF5" w14:textId="77777777" w:rsidR="00495DF7" w:rsidRPr="00837157" w:rsidRDefault="00495DF7">
      <w:pPr>
        <w:pStyle w:val="ListBullet"/>
        <w:numPr>
          <w:ilvl w:val="0"/>
          <w:numId w:val="80"/>
        </w:numPr>
      </w:pPr>
      <w:r w:rsidRPr="00837157">
        <w:t xml:space="preserve">how we are embedding our existing commitments to Traditional Owners in our 2024 </w:t>
      </w:r>
      <w:r>
        <w:t>p</w:t>
      </w:r>
      <w:r w:rsidRPr="00837157">
        <w:t xml:space="preserve">rice </w:t>
      </w:r>
      <w:r>
        <w:t>s</w:t>
      </w:r>
      <w:r w:rsidRPr="00837157">
        <w:t xml:space="preserve">ubmission </w:t>
      </w:r>
    </w:p>
    <w:p w14:paraId="5CCC022A" w14:textId="77777777" w:rsidR="00495DF7" w:rsidRPr="00837157" w:rsidRDefault="00495DF7">
      <w:pPr>
        <w:pStyle w:val="ListBullet"/>
        <w:numPr>
          <w:ilvl w:val="0"/>
          <w:numId w:val="80"/>
        </w:numPr>
      </w:pPr>
      <w:r w:rsidRPr="00837157">
        <w:t xml:space="preserve">our intent to grow our partnerships with them through delivering our price submission commitments and developing future price </w:t>
      </w:r>
      <w:proofErr w:type="gramStart"/>
      <w:r w:rsidRPr="00837157">
        <w:t>submissions</w:t>
      </w:r>
      <w:proofErr w:type="gramEnd"/>
    </w:p>
    <w:p w14:paraId="197BECE3" w14:textId="77777777" w:rsidR="00495DF7" w:rsidRPr="000E1C8B" w:rsidRDefault="00495DF7">
      <w:pPr>
        <w:pStyle w:val="ListBullet"/>
        <w:numPr>
          <w:ilvl w:val="0"/>
          <w:numId w:val="80"/>
        </w:numPr>
      </w:pPr>
      <w:r w:rsidRPr="00837157">
        <w:t xml:space="preserve">how we will use existing documents where Traditional Owners have articulated their priorities and interests to inform how we partner </w:t>
      </w:r>
      <w:r w:rsidRPr="66CAD205">
        <w:t xml:space="preserve">with </w:t>
      </w:r>
      <w:r w:rsidRPr="00837157">
        <w:t>and support them.</w:t>
      </w:r>
    </w:p>
    <w:p w14:paraId="423B7BF5" w14:textId="3BF40E84" w:rsidR="00495DF7" w:rsidRDefault="00495DF7" w:rsidP="00004A92">
      <w:r w:rsidRPr="7DA8FF07">
        <w:t xml:space="preserve">We recognise that developing relationships, enabling self-determination, and supporting water access and management takes time and investment. We </w:t>
      </w:r>
      <w:r w:rsidR="00C81388">
        <w:t>propose</w:t>
      </w:r>
      <w:r w:rsidRPr="7DA8FF07">
        <w:t xml:space="preserve"> </w:t>
      </w:r>
      <w:r>
        <w:t xml:space="preserve">a </w:t>
      </w:r>
      <w:r w:rsidRPr="001A6DFA">
        <w:t>$4 million</w:t>
      </w:r>
      <w:r w:rsidRPr="7DA8FF07">
        <w:t xml:space="preserve"> </w:t>
      </w:r>
      <w:r w:rsidR="0010046C">
        <w:t>operational</w:t>
      </w:r>
      <w:r>
        <w:t xml:space="preserve"> expenditure</w:t>
      </w:r>
      <w:r w:rsidR="0010046C">
        <w:t xml:space="preserve"> increase</w:t>
      </w:r>
      <w:r w:rsidRPr="7DA8FF07">
        <w:t xml:space="preserve"> </w:t>
      </w:r>
      <w:r w:rsidR="00C81388">
        <w:t>over</w:t>
      </w:r>
      <w:r w:rsidRPr="7DA8FF07">
        <w:t xml:space="preserve"> the 2024-28 regulatory period for Traditional Owners to lead projects and activities to support knowledge building and deliver on policy and partnership objectives.</w:t>
      </w:r>
    </w:p>
    <w:p w14:paraId="7F0F4862" w14:textId="77777777" w:rsidR="00495DF7" w:rsidRPr="005C57FB" w:rsidRDefault="00495DF7" w:rsidP="00004A92">
      <w:pPr>
        <w:rPr>
          <w:color w:val="000000"/>
        </w:rPr>
      </w:pPr>
      <w:r w:rsidRPr="005C57FB">
        <w:rPr>
          <w:color w:val="000000"/>
        </w:rPr>
        <w:t xml:space="preserve">Outside of the dedicated Traditional Owner </w:t>
      </w:r>
      <w:r>
        <w:rPr>
          <w:color w:val="000000"/>
        </w:rPr>
        <w:t>expenditure</w:t>
      </w:r>
      <w:r w:rsidRPr="005C57FB">
        <w:rPr>
          <w:color w:val="000000"/>
        </w:rPr>
        <w:t>, as we plan to deliver our customer outcomes, we seek to work with Traditional Owners where there is interest to influence</w:t>
      </w:r>
      <w:r>
        <w:rPr>
          <w:color w:val="000000"/>
        </w:rPr>
        <w:t>.</w:t>
      </w:r>
      <w:r w:rsidRPr="005C57FB">
        <w:rPr>
          <w:color w:val="000000"/>
        </w:rPr>
        <w:t xml:space="preserve"> This could include, but is not limited to:  </w:t>
      </w:r>
    </w:p>
    <w:p w14:paraId="0858C467" w14:textId="77777777" w:rsidR="00495DF7" w:rsidRPr="005C57FB" w:rsidRDefault="00495DF7">
      <w:pPr>
        <w:pStyle w:val="ListBullet"/>
        <w:numPr>
          <w:ilvl w:val="0"/>
          <w:numId w:val="81"/>
        </w:numPr>
        <w:rPr>
          <w:color w:val="000000"/>
          <w:lang w:val="en-GB"/>
        </w:rPr>
      </w:pPr>
      <w:r w:rsidRPr="66CAD205">
        <w:rPr>
          <w:lang w:val="en-GB"/>
        </w:rPr>
        <w:t xml:space="preserve">how we use alternative water to manage climate change impacts and population growth to preserve drinking water </w:t>
      </w:r>
    </w:p>
    <w:p w14:paraId="50734D01" w14:textId="77777777" w:rsidR="00495DF7" w:rsidRPr="005C57FB" w:rsidRDefault="00495DF7">
      <w:pPr>
        <w:pStyle w:val="ListBullet"/>
        <w:numPr>
          <w:ilvl w:val="0"/>
          <w:numId w:val="81"/>
        </w:numPr>
        <w:rPr>
          <w:color w:val="000000"/>
          <w:szCs w:val="20"/>
          <w:lang w:val="en-GB"/>
        </w:rPr>
      </w:pPr>
      <w:r w:rsidRPr="005C57FB">
        <w:rPr>
          <w:color w:val="000000"/>
          <w:lang w:val="en-GB"/>
        </w:rPr>
        <w:t xml:space="preserve">how we can improve waterway health and preferences on what we should be focusing on (stressed waterways, specific locations, native </w:t>
      </w:r>
      <w:proofErr w:type="gramStart"/>
      <w:r w:rsidRPr="005C57FB">
        <w:rPr>
          <w:color w:val="000000"/>
          <w:lang w:val="en-GB"/>
        </w:rPr>
        <w:t>flora</w:t>
      </w:r>
      <w:proofErr w:type="gramEnd"/>
      <w:r w:rsidRPr="005C57FB">
        <w:rPr>
          <w:color w:val="000000"/>
          <w:lang w:val="en-GB"/>
        </w:rPr>
        <w:t xml:space="preserve"> and fauna) </w:t>
      </w:r>
    </w:p>
    <w:p w14:paraId="725DF1EE" w14:textId="77777777" w:rsidR="00495DF7" w:rsidRPr="005C57FB" w:rsidRDefault="00495DF7">
      <w:pPr>
        <w:pStyle w:val="ListBullet"/>
        <w:numPr>
          <w:ilvl w:val="0"/>
          <w:numId w:val="81"/>
        </w:numPr>
        <w:rPr>
          <w:color w:val="000000"/>
          <w:lang w:val="en-GB"/>
        </w:rPr>
      </w:pPr>
      <w:r w:rsidRPr="66CAD205">
        <w:rPr>
          <w:lang w:val="en-GB"/>
        </w:rPr>
        <w:t xml:space="preserve">how we achieve net zero carbon emissions (planting trees, local renewable energy solutions for the region). </w:t>
      </w:r>
    </w:p>
    <w:p w14:paraId="19173E1C" w14:textId="77777777" w:rsidR="00495DF7" w:rsidRPr="00004A92" w:rsidRDefault="00495DF7" w:rsidP="00004A92">
      <w:r w:rsidRPr="00004A92">
        <w:t>It could also include adapting our annual business planning priorities to better align with Traditional Owner interests and collaborating with the water industry to jointly support outcomes.</w:t>
      </w:r>
    </w:p>
    <w:p w14:paraId="2BB67B62" w14:textId="7F34EA22" w:rsidR="00495DF7" w:rsidRPr="00004A92" w:rsidRDefault="00495DF7" w:rsidP="00004A92">
      <w:r w:rsidRPr="00004A92">
        <w:t>GWW acknowledges that our price submission timelines may not align with Traditional Owners or simply may not be of interest or a priority. We are committed to working in partnership with Traditional Owners, and we will continue to engage in conversations in a way that best suits individual Traditional Owners’ needs and interests. This includes GWW advocating for greater collaboration across the sector to streamline the many commitments put onto Traditional Owners and support</w:t>
      </w:r>
      <w:r w:rsidR="00246587">
        <w:t>ing</w:t>
      </w:r>
      <w:r w:rsidRPr="00004A92">
        <w:t xml:space="preserve"> a more holistic approach to delivering Traditional Owner aspirations for Count</w:t>
      </w:r>
      <w:r w:rsidR="003B599A">
        <w:t>r</w:t>
      </w:r>
      <w:r w:rsidRPr="00004A92">
        <w:t>y.</w:t>
      </w:r>
    </w:p>
    <w:p w14:paraId="3C334F5E" w14:textId="243FF0B7" w:rsidR="007F17B6" w:rsidRDefault="007F17B6" w:rsidP="005B69CD">
      <w:pPr>
        <w:pStyle w:val="Heading3"/>
      </w:pPr>
      <w:r w:rsidRPr="000853C0">
        <w:t>Advice</w:t>
      </w:r>
      <w:r>
        <w:t xml:space="preserve"> from trusted partners</w:t>
      </w:r>
    </w:p>
    <w:p w14:paraId="3F2B220C" w14:textId="6EA6CCD3" w:rsidR="00CB7A95" w:rsidRDefault="00F10F2C" w:rsidP="00CB7A95">
      <w:pPr>
        <w:rPr>
          <w:rFonts w:asciiTheme="majorHAnsi" w:hAnsiTheme="majorHAnsi"/>
        </w:rPr>
      </w:pPr>
      <w:r>
        <w:rPr>
          <w:rFonts w:asciiTheme="majorHAnsi" w:hAnsiTheme="majorHAnsi"/>
          <w:b/>
          <w:bCs/>
        </w:rPr>
        <w:t xml:space="preserve">Customer </w:t>
      </w:r>
      <w:r w:rsidR="00CB7A95" w:rsidRPr="000A3560">
        <w:rPr>
          <w:rFonts w:asciiTheme="majorHAnsi" w:hAnsiTheme="majorHAnsi"/>
          <w:b/>
          <w:bCs/>
        </w:rPr>
        <w:t>advisory group</w:t>
      </w:r>
      <w:r w:rsidR="00CB7A95">
        <w:rPr>
          <w:rFonts w:asciiTheme="majorHAnsi" w:hAnsiTheme="majorHAnsi"/>
        </w:rPr>
        <w:t xml:space="preserve"> (three industry experts)</w:t>
      </w:r>
    </w:p>
    <w:p w14:paraId="01567443" w14:textId="103508AE" w:rsidR="002D3AA4" w:rsidRDefault="00F10F2C" w:rsidP="00CB7A95">
      <w:pPr>
        <w:rPr>
          <w:rFonts w:asciiTheme="majorHAnsi" w:hAnsiTheme="majorHAnsi"/>
        </w:rPr>
      </w:pPr>
      <w:r>
        <w:rPr>
          <w:rFonts w:asciiTheme="majorHAnsi" w:hAnsiTheme="majorHAnsi"/>
        </w:rPr>
        <w:t>Our Customer Advisory Group met four times through the latter half of our engagement program to provide insight and advice</w:t>
      </w:r>
      <w:r w:rsidR="00B13597">
        <w:rPr>
          <w:rFonts w:asciiTheme="majorHAnsi" w:hAnsiTheme="majorHAnsi"/>
        </w:rPr>
        <w:t xml:space="preserve"> </w:t>
      </w:r>
      <w:r w:rsidR="004B336A">
        <w:rPr>
          <w:rFonts w:asciiTheme="majorHAnsi" w:hAnsiTheme="majorHAnsi"/>
        </w:rPr>
        <w:t xml:space="preserve">to improve our program. </w:t>
      </w:r>
    </w:p>
    <w:p w14:paraId="18865E42" w14:textId="0C663BB9" w:rsidR="004B336A" w:rsidRDefault="004B336A" w:rsidP="00004A92">
      <w:pPr>
        <w:rPr>
          <w:rFonts w:asciiTheme="majorHAnsi" w:hAnsiTheme="majorHAnsi"/>
        </w:rPr>
      </w:pPr>
      <w:r>
        <w:t>The</w:t>
      </w:r>
      <w:r w:rsidR="00471F74">
        <w:t>ir</w:t>
      </w:r>
      <w:r>
        <w:t xml:space="preserve"> advice influenced our deliberative panel</w:t>
      </w:r>
      <w:r w:rsidR="008058F8">
        <w:t xml:space="preserve"> and our customer forum, particularly in </w:t>
      </w:r>
      <w:r w:rsidR="008964DC">
        <w:t>the</w:t>
      </w:r>
      <w:r w:rsidR="00B731D6">
        <w:t xml:space="preserve"> outcome</w:t>
      </w:r>
      <w:r w:rsidR="008058F8">
        <w:t xml:space="preserve"> </w:t>
      </w:r>
      <w:r w:rsidR="006B5FB6">
        <w:t>measures and guaranteed service levels</w:t>
      </w:r>
      <w:r>
        <w:t xml:space="preserve">. </w:t>
      </w:r>
    </w:p>
    <w:tbl>
      <w:tblPr>
        <w:tblStyle w:val="GWWDefaulttable"/>
        <w:tblW w:w="5000" w:type="pct"/>
        <w:tblBorders>
          <w:top w:val="single" w:sz="4" w:space="0" w:color="auto"/>
        </w:tblBorders>
        <w:tblLook w:val="0480" w:firstRow="0" w:lastRow="0" w:firstColumn="1" w:lastColumn="0" w:noHBand="0" w:noVBand="1"/>
      </w:tblPr>
      <w:tblGrid>
        <w:gridCol w:w="993"/>
        <w:gridCol w:w="8645"/>
      </w:tblGrid>
      <w:tr w:rsidR="00CB7A95" w14:paraId="18DFE8A7" w14:textId="77777777" w:rsidTr="00737C3C">
        <w:tc>
          <w:tcPr>
            <w:cnfStyle w:val="001000000000" w:firstRow="0" w:lastRow="0" w:firstColumn="1" w:lastColumn="0" w:oddVBand="0" w:evenVBand="0" w:oddHBand="0" w:evenHBand="0" w:firstRowFirstColumn="0" w:firstRowLastColumn="0" w:lastRowFirstColumn="0" w:lastRowLastColumn="0"/>
            <w:tcW w:w="515" w:type="pct"/>
          </w:tcPr>
          <w:p w14:paraId="74C5F927" w14:textId="77777777" w:rsidR="00CB7A95" w:rsidRPr="00A431D7" w:rsidRDefault="00CB7A95">
            <w:pPr>
              <w:rPr>
                <w:b w:val="0"/>
              </w:rPr>
            </w:pPr>
            <w:r w:rsidRPr="00A431D7">
              <w:rPr>
                <w:b w:val="0"/>
              </w:rPr>
              <w:t>Who we heard from</w:t>
            </w:r>
          </w:p>
        </w:tc>
        <w:tc>
          <w:tcPr>
            <w:tcW w:w="4485" w:type="pct"/>
          </w:tcPr>
          <w:p w14:paraId="2636A18A" w14:textId="020E7062" w:rsidR="00CB7A95" w:rsidRDefault="00E02F08">
            <w:pPr>
              <w:cnfStyle w:val="000000000000" w:firstRow="0" w:lastRow="0" w:firstColumn="0" w:lastColumn="0" w:oddVBand="0" w:evenVBand="0" w:oddHBand="0" w:evenHBand="0" w:firstRowFirstColumn="0" w:firstRowLastColumn="0" w:lastRowFirstColumn="0" w:lastRowLastColumn="0"/>
            </w:pPr>
            <w:r>
              <w:t>Three</w:t>
            </w:r>
            <w:r w:rsidR="002269D9">
              <w:t xml:space="preserve"> community experts with knowledge of the utilities industry, </w:t>
            </w:r>
            <w:r w:rsidR="00704B20">
              <w:t xml:space="preserve">our service </w:t>
            </w:r>
            <w:r w:rsidR="002269D9">
              <w:t xml:space="preserve">region and </w:t>
            </w:r>
            <w:r w:rsidR="006E3673">
              <w:t xml:space="preserve">consumer hardship. </w:t>
            </w:r>
            <w:r w:rsidR="006E3673" w:rsidRPr="006E3673">
              <w:t>Representatives</w:t>
            </w:r>
            <w:r w:rsidR="006E3673">
              <w:t xml:space="preserve"> were</w:t>
            </w:r>
            <w:r w:rsidR="006E3673" w:rsidRPr="006E3673">
              <w:t xml:space="preserve"> from</w:t>
            </w:r>
            <w:r w:rsidR="00CB7A95">
              <w:t xml:space="preserve"> Consumer Action Law Centre</w:t>
            </w:r>
            <w:r w:rsidR="006E3673" w:rsidRPr="006E3673">
              <w:t xml:space="preserve">, Melton City Council, and </w:t>
            </w:r>
            <w:r w:rsidR="00CB7A95">
              <w:t>Carbon and Energy Markets</w:t>
            </w:r>
            <w:r w:rsidR="006E3673" w:rsidRPr="006E3673">
              <w:t>.</w:t>
            </w:r>
          </w:p>
        </w:tc>
      </w:tr>
      <w:tr w:rsidR="00CB7A95" w14:paraId="3CFC6FD1" w14:textId="77777777" w:rsidTr="00737C3C">
        <w:tc>
          <w:tcPr>
            <w:cnfStyle w:val="001000000000" w:firstRow="0" w:lastRow="0" w:firstColumn="1" w:lastColumn="0" w:oddVBand="0" w:evenVBand="0" w:oddHBand="0" w:evenHBand="0" w:firstRowFirstColumn="0" w:firstRowLastColumn="0" w:lastRowFirstColumn="0" w:lastRowLastColumn="0"/>
            <w:tcW w:w="515" w:type="pct"/>
          </w:tcPr>
          <w:p w14:paraId="60ED0703" w14:textId="77777777" w:rsidR="00CB7A95" w:rsidRPr="00A431D7" w:rsidRDefault="00CB7A95">
            <w:pPr>
              <w:rPr>
                <w:b w:val="0"/>
              </w:rPr>
            </w:pPr>
            <w:r w:rsidRPr="00A431D7">
              <w:rPr>
                <w:b w:val="0"/>
              </w:rPr>
              <w:lastRenderedPageBreak/>
              <w:t xml:space="preserve">Purpose </w:t>
            </w:r>
          </w:p>
        </w:tc>
        <w:tc>
          <w:tcPr>
            <w:tcW w:w="4485" w:type="pct"/>
          </w:tcPr>
          <w:p w14:paraId="0032EEB6" w14:textId="77777777" w:rsidR="00CB7A95" w:rsidRDefault="00CB7A95">
            <w:pPr>
              <w:cnfStyle w:val="000000000000" w:firstRow="0" w:lastRow="0" w:firstColumn="0" w:lastColumn="0" w:oddVBand="0" w:evenVBand="0" w:oddHBand="0" w:evenHBand="0" w:firstRowFirstColumn="0" w:firstRowLastColumn="0" w:lastRowFirstColumn="0" w:lastRowLastColumn="0"/>
            </w:pPr>
            <w:r>
              <w:t xml:space="preserve">Three industry and region experts to act as ‘critical friends’ for our price submission engagement to provide with feedback and challenge the engagement process. </w:t>
            </w:r>
          </w:p>
        </w:tc>
      </w:tr>
    </w:tbl>
    <w:p w14:paraId="6DB04F28" w14:textId="64BB5AF5" w:rsidR="00CB7A95" w:rsidRDefault="00CB7A95" w:rsidP="0012796D"/>
    <w:p w14:paraId="2F5E972F" w14:textId="2ED3B9C0" w:rsidR="00CF17B1" w:rsidRDefault="00CF17B1" w:rsidP="0012796D">
      <w:r>
        <w:t xml:space="preserve">The advisory group provided our board with a letter of support for the engagement program </w:t>
      </w:r>
      <w:r w:rsidR="0057647F">
        <w:t xml:space="preserve">following their final meeting </w:t>
      </w:r>
      <w:r w:rsidR="005057DF">
        <w:t>(</w:t>
      </w:r>
      <w:r w:rsidR="000F65AA">
        <w:fldChar w:fldCharType="begin"/>
      </w:r>
      <w:r w:rsidR="000F65AA">
        <w:instrText xml:space="preserve"> REF _Ref145919874 \n \h </w:instrText>
      </w:r>
      <w:r w:rsidR="0069425C">
        <w:fldChar w:fldCharType="separate"/>
      </w:r>
      <w:r w:rsidR="000F65AA">
        <w:fldChar w:fldCharType="end"/>
      </w:r>
      <w:r w:rsidR="005057DF">
        <w:t>)</w:t>
      </w:r>
      <w:r w:rsidR="00D33142">
        <w:t>.</w:t>
      </w:r>
    </w:p>
    <w:p w14:paraId="6BAE470B" w14:textId="195A2F0F" w:rsidR="00450156" w:rsidRPr="00837157" w:rsidRDefault="00450156" w:rsidP="005B69CD">
      <w:pPr>
        <w:pStyle w:val="Heading3"/>
      </w:pPr>
      <w:bookmarkStart w:id="83" w:name="_Ref145924683"/>
      <w:r w:rsidRPr="00837157">
        <w:t>Hearing from the development industry</w:t>
      </w:r>
      <w:bookmarkEnd w:id="83"/>
      <w:r w:rsidRPr="00837157">
        <w:t xml:space="preserve"> </w:t>
      </w:r>
    </w:p>
    <w:p w14:paraId="3DE2CA98" w14:textId="1FE5D5D0" w:rsidR="00EB324F" w:rsidRDefault="00450156" w:rsidP="00450156">
      <w:r>
        <w:t xml:space="preserve">The west is </w:t>
      </w:r>
      <w:r w:rsidR="008C233B">
        <w:t>growing rapidly</w:t>
      </w:r>
      <w:r>
        <w:t xml:space="preserve">. To meet the needs of our </w:t>
      </w:r>
      <w:r w:rsidR="00603E8A">
        <w:t xml:space="preserve">current and future </w:t>
      </w:r>
      <w:r>
        <w:t xml:space="preserve">customers, we engaged with </w:t>
      </w:r>
      <w:r w:rsidR="00997358">
        <w:t>the</w:t>
      </w:r>
      <w:r>
        <w:t xml:space="preserve"> develop</w:t>
      </w:r>
      <w:r w:rsidR="00997358">
        <w:t>ment industry</w:t>
      </w:r>
      <w:r>
        <w:t xml:space="preserve"> to understand </w:t>
      </w:r>
      <w:r w:rsidR="00997358">
        <w:t>their</w:t>
      </w:r>
      <w:r>
        <w:t xml:space="preserve"> expect</w:t>
      </w:r>
      <w:r w:rsidR="00997358">
        <w:t>ations</w:t>
      </w:r>
      <w:r w:rsidR="00112102">
        <w:t xml:space="preserve"> and </w:t>
      </w:r>
      <w:r w:rsidR="00EB324F">
        <w:t xml:space="preserve">to </w:t>
      </w:r>
      <w:r w:rsidR="00112102">
        <w:t>provide a</w:t>
      </w:r>
      <w:r w:rsidR="00EB324F">
        <w:t>n avenue for direct feedback on price submission related inputs</w:t>
      </w:r>
      <w:r>
        <w:t xml:space="preserve">. </w:t>
      </w:r>
    </w:p>
    <w:p w14:paraId="1F510801" w14:textId="1D383C2F" w:rsidR="00FD2E39" w:rsidRDefault="0017176B" w:rsidP="00FD2E39">
      <w:r>
        <w:t>Our</w:t>
      </w:r>
      <w:r w:rsidR="00FD2E39">
        <w:t xml:space="preserve"> development industry forum met three times, </w:t>
      </w:r>
      <w:r>
        <w:t xml:space="preserve">to </w:t>
      </w:r>
      <w:r w:rsidR="00693BA1">
        <w:t xml:space="preserve">discuss ongoing engagement preferences, interests and concerns relating to </w:t>
      </w:r>
      <w:r w:rsidR="00B67BFC">
        <w:t xml:space="preserve">existing </w:t>
      </w:r>
      <w:r w:rsidR="00693BA1">
        <w:t>New Customer Contribution (NCC) charges</w:t>
      </w:r>
      <w:r w:rsidR="00473B60">
        <w:t xml:space="preserve"> and</w:t>
      </w:r>
      <w:r w:rsidR="00554FB2">
        <w:t xml:space="preserve"> proposed NCC charges for the </w:t>
      </w:r>
      <w:r w:rsidR="00B67BFC">
        <w:t xml:space="preserve">2024-28 </w:t>
      </w:r>
      <w:r w:rsidR="00554FB2">
        <w:t>regulatory period</w:t>
      </w:r>
      <w:r w:rsidR="00A3352C">
        <w:t>. We also discussed</w:t>
      </w:r>
      <w:r w:rsidR="00554FB2">
        <w:t xml:space="preserve"> transition pathways</w:t>
      </w:r>
      <w:r w:rsidR="00693BA1">
        <w:t xml:space="preserve">, </w:t>
      </w:r>
      <w:r w:rsidR="005F2C6B">
        <w:t>o</w:t>
      </w:r>
      <w:r w:rsidR="005F2C6B" w:rsidRPr="00042F55">
        <w:t>pportunit</w:t>
      </w:r>
      <w:r w:rsidR="0013104D">
        <w:t>ies</w:t>
      </w:r>
      <w:r w:rsidR="005F2C6B" w:rsidRPr="00042F55">
        <w:t xml:space="preserve"> to review Network Service Plans</w:t>
      </w:r>
      <w:r w:rsidR="00554FB2">
        <w:t xml:space="preserve"> and </w:t>
      </w:r>
      <w:r w:rsidR="00554FB2" w:rsidRPr="00554FB2">
        <w:t xml:space="preserve">how we can represent </w:t>
      </w:r>
      <w:r w:rsidR="00554FB2">
        <w:t xml:space="preserve">the development industry </w:t>
      </w:r>
      <w:r w:rsidR="00554FB2" w:rsidRPr="00554FB2">
        <w:t xml:space="preserve">in our customer outcomes, </w:t>
      </w:r>
      <w:r w:rsidR="00725797" w:rsidRPr="00554FB2">
        <w:t>measures,</w:t>
      </w:r>
      <w:r w:rsidR="00554FB2" w:rsidRPr="00554FB2">
        <w:t xml:space="preserve"> and targets</w:t>
      </w:r>
      <w:r w:rsidR="00554FB2">
        <w:t>.</w:t>
      </w:r>
    </w:p>
    <w:p w14:paraId="1687B4FF" w14:textId="634B4304" w:rsidR="00EB324F" w:rsidRDefault="00112102" w:rsidP="00450156">
      <w:r>
        <w:t>Representatives from the Urban Development Institute of Australia (UDIA), the Association of Land Development Engineers and Property Council Australia attended and were asked to share all materials</w:t>
      </w:r>
      <w:r w:rsidR="00EB324F">
        <w:t xml:space="preserve"> and seek members</w:t>
      </w:r>
      <w:r w:rsidR="00811596">
        <w:t>’</w:t>
      </w:r>
      <w:r w:rsidR="00EB324F">
        <w:t xml:space="preserve"> feedback</w:t>
      </w:r>
      <w:r>
        <w:t xml:space="preserve"> to make sure our findings </w:t>
      </w:r>
      <w:r w:rsidR="00EB324F">
        <w:t xml:space="preserve">fairly </w:t>
      </w:r>
      <w:r>
        <w:t>represented the industry</w:t>
      </w:r>
      <w:r w:rsidR="00EB324F">
        <w:t>.</w:t>
      </w:r>
    </w:p>
    <w:p w14:paraId="053C370A" w14:textId="0485E307" w:rsidR="00E57B9E" w:rsidRDefault="00E57B9E" w:rsidP="00450156">
      <w:r w:rsidRPr="004F3959">
        <w:t xml:space="preserve">Feedback received during the forums was supportive of our proposed NCC structure and approach to transition standard and greenfield charge levels over time to be more cost reflective, appropriately balancing price shocks. The forum was also supportive of the simplified GWW standard change and proposed return of our standard NCC charge to a level consistent with the standard charges (non-growth area) of </w:t>
      </w:r>
      <w:r w:rsidR="00DD3D3D">
        <w:t xml:space="preserve">Yarra Valley Water and </w:t>
      </w:r>
      <w:proofErr w:type="gramStart"/>
      <w:r w:rsidR="00DD3D3D">
        <w:t>South East</w:t>
      </w:r>
      <w:proofErr w:type="gramEnd"/>
      <w:r w:rsidR="00DD3D3D">
        <w:t xml:space="preserve"> Water</w:t>
      </w:r>
      <w:r w:rsidRPr="004F3959">
        <w:t xml:space="preserve">. </w:t>
      </w:r>
    </w:p>
    <w:p w14:paraId="4CC9F6F9" w14:textId="17976F7B" w:rsidR="00192869" w:rsidRDefault="00064A7C" w:rsidP="00450156">
      <w:r>
        <w:t xml:space="preserve">The </w:t>
      </w:r>
      <w:r w:rsidR="00C01C86">
        <w:t>d</w:t>
      </w:r>
      <w:r w:rsidR="00815177">
        <w:t>evelopment</w:t>
      </w:r>
      <w:r>
        <w:t xml:space="preserve"> </w:t>
      </w:r>
      <w:r w:rsidR="00815177">
        <w:t>industry’s</w:t>
      </w:r>
      <w:r>
        <w:t xml:space="preserve"> support for our NCC charges and transition pathways has </w:t>
      </w:r>
      <w:r w:rsidR="00815177">
        <w:t>informed our final NCC position</w:t>
      </w:r>
      <w:r w:rsidR="0022268F">
        <w:t xml:space="preserve"> (outlined in </w:t>
      </w:r>
      <w:r w:rsidR="002F527D">
        <w:t>S</w:t>
      </w:r>
      <w:r w:rsidR="0022268F">
        <w:t>ection</w:t>
      </w:r>
      <w:r w:rsidR="000529A3">
        <w:t xml:space="preserve"> 2.4.3</w:t>
      </w:r>
      <w:r w:rsidR="00FB40BA">
        <w:fldChar w:fldCharType="begin"/>
      </w:r>
      <w:r w:rsidR="00FB40BA">
        <w:instrText xml:space="preserve"> REF _Ref145919928 \n \h </w:instrText>
      </w:r>
      <w:r w:rsidR="0069425C">
        <w:fldChar w:fldCharType="separate"/>
      </w:r>
      <w:r w:rsidR="00FB40BA">
        <w:fldChar w:fldCharType="end"/>
      </w:r>
      <w:r w:rsidR="002545A5">
        <w:t>).</w:t>
      </w:r>
      <w:r w:rsidR="00D075CC">
        <w:t xml:space="preserve"> A formal letter of support was provided by UDIA (supporting document). </w:t>
      </w:r>
    </w:p>
    <w:p w14:paraId="642A4BD6" w14:textId="5B612AFF" w:rsidR="00064A7C" w:rsidRPr="00837157" w:rsidRDefault="00192869" w:rsidP="00450156">
      <w:r>
        <w:t xml:space="preserve">Development industry feedback was directly incorporated into our fourth customer outcome ‘we enable growth and help businesses thrive’, defining one of the experiences and three measures. </w:t>
      </w:r>
      <w:r w:rsidR="00D075CC">
        <w:t xml:space="preserve"> </w:t>
      </w:r>
    </w:p>
    <w:p w14:paraId="57A43C20" w14:textId="0F0B0B15" w:rsidR="00DA390D" w:rsidRDefault="003A6CDD" w:rsidP="00450156">
      <w:r>
        <w:t xml:space="preserve">We are committed to </w:t>
      </w:r>
      <w:r w:rsidR="00727271">
        <w:t xml:space="preserve">ongoing engagement with the development industry. This will involve </w:t>
      </w:r>
      <w:r w:rsidR="002120E8">
        <w:t xml:space="preserve">further consultation with industry representatives following the ESC review of the </w:t>
      </w:r>
      <w:r w:rsidR="00264384">
        <w:t xml:space="preserve">NCC framework. </w:t>
      </w:r>
    </w:p>
    <w:p w14:paraId="5340A0FF" w14:textId="01E8C3BB" w:rsidR="00450156" w:rsidRDefault="00450156" w:rsidP="005B69CD">
      <w:pPr>
        <w:pStyle w:val="Heading3"/>
      </w:pPr>
      <w:r w:rsidRPr="00837157">
        <w:t xml:space="preserve">Hearing from local councils </w:t>
      </w:r>
    </w:p>
    <w:p w14:paraId="375B2577" w14:textId="12ED2242" w:rsidR="006A5133" w:rsidRDefault="00913289" w:rsidP="00806CFA">
      <w:r>
        <w:t>Our</w:t>
      </w:r>
      <w:r w:rsidR="00BC2C74">
        <w:t xml:space="preserve"> service area includes 11 </w:t>
      </w:r>
      <w:r w:rsidR="00B07B42">
        <w:t xml:space="preserve">local council areas. </w:t>
      </w:r>
      <w:r w:rsidR="00F300DF">
        <w:t xml:space="preserve">We are committed to ongoing relationships with our councils, </w:t>
      </w:r>
      <w:r w:rsidR="006A5133">
        <w:t xml:space="preserve">having partnered with them </w:t>
      </w:r>
      <w:r w:rsidR="00F300DF">
        <w:t xml:space="preserve">to deliver </w:t>
      </w:r>
      <w:r w:rsidR="00B508B6">
        <w:t>several</w:t>
      </w:r>
      <w:r w:rsidR="00F300DF">
        <w:t xml:space="preserve"> </w:t>
      </w:r>
      <w:r w:rsidR="006A5133">
        <w:t>projects</w:t>
      </w:r>
      <w:r w:rsidR="00F03CDB">
        <w:t xml:space="preserve"> in the previous regulatory period. </w:t>
      </w:r>
    </w:p>
    <w:p w14:paraId="343CE949" w14:textId="5541F713" w:rsidR="005329EA" w:rsidRDefault="00926A52" w:rsidP="00806CFA">
      <w:r>
        <w:t>To ensure councils could engage with us in the way that suited them, we provided opportunities for feedback through</w:t>
      </w:r>
      <w:r w:rsidR="008950E3">
        <w:t>out out price submission development</w:t>
      </w:r>
      <w:r w:rsidR="005329EA">
        <w:t>:</w:t>
      </w:r>
    </w:p>
    <w:p w14:paraId="729EFFD3" w14:textId="053EADEC" w:rsidR="005329EA" w:rsidRDefault="00926A52">
      <w:pPr>
        <w:pStyle w:val="ListBullet"/>
        <w:numPr>
          <w:ilvl w:val="0"/>
          <w:numId w:val="82"/>
        </w:numPr>
      </w:pPr>
      <w:r>
        <w:t xml:space="preserve">stakeholder survey </w:t>
      </w:r>
      <w:r w:rsidR="003315A8">
        <w:t xml:space="preserve">and interviews </w:t>
      </w:r>
      <w:r>
        <w:t>(November 2022)</w:t>
      </w:r>
    </w:p>
    <w:p w14:paraId="248FD4F9" w14:textId="4B33F72F" w:rsidR="00926A52" w:rsidRDefault="005329EA">
      <w:pPr>
        <w:pStyle w:val="ListBullet"/>
        <w:numPr>
          <w:ilvl w:val="0"/>
          <w:numId w:val="82"/>
        </w:numPr>
      </w:pPr>
      <w:r>
        <w:lastRenderedPageBreak/>
        <w:t xml:space="preserve">ongoing conversations with our </w:t>
      </w:r>
      <w:r w:rsidR="008950E3">
        <w:t xml:space="preserve">Integrated Water Management </w:t>
      </w:r>
      <w:r w:rsidR="003315A8">
        <w:t xml:space="preserve">(IWM) </w:t>
      </w:r>
      <w:r w:rsidR="008950E3">
        <w:t xml:space="preserve">team </w:t>
      </w:r>
    </w:p>
    <w:p w14:paraId="1BAE1F15" w14:textId="4AE93F28" w:rsidR="008950E3" w:rsidRDefault="008950E3">
      <w:pPr>
        <w:pStyle w:val="ListBullet"/>
        <w:numPr>
          <w:ilvl w:val="0"/>
          <w:numId w:val="82"/>
        </w:numPr>
      </w:pPr>
      <w:r>
        <w:t>direct engagement between our Managing Director and council CEOs (letters and follow up communication in July-August 2023).</w:t>
      </w:r>
    </w:p>
    <w:p w14:paraId="54A8C6E2" w14:textId="477C1277" w:rsidR="0048104C" w:rsidRDefault="0048104C" w:rsidP="00450156">
      <w:r w:rsidRPr="0048104C">
        <w:t>We received feedback from eight local councils (</w:t>
      </w:r>
      <w:proofErr w:type="spellStart"/>
      <w:r w:rsidRPr="0048104C">
        <w:t>Brimbank</w:t>
      </w:r>
      <w:proofErr w:type="spellEnd"/>
      <w:r w:rsidRPr="0048104C">
        <w:t xml:space="preserve"> City Council, City of Hobsons Bay, Hume City Council, Macedon Ranges Shire Council, Maribyrnong City Council, Melbourne City Council, Wyndham City Council and Yarra City Council). </w:t>
      </w:r>
      <w:proofErr w:type="spellStart"/>
      <w:r w:rsidRPr="0048104C">
        <w:t>Brimbank</w:t>
      </w:r>
      <w:proofErr w:type="spellEnd"/>
      <w:r w:rsidRPr="0048104C">
        <w:t xml:space="preserve"> and Maribyrnong Councils provided letters of support (see supporting documentation), other councils provided written support via email. </w:t>
      </w:r>
    </w:p>
    <w:p w14:paraId="09235CDD" w14:textId="124FD0C2" w:rsidR="009335A5" w:rsidRPr="00837157" w:rsidRDefault="00BE2D75" w:rsidP="00450156">
      <w:r>
        <w:t>We</w:t>
      </w:r>
      <w:r w:rsidR="00A112E0">
        <w:t xml:space="preserve"> heard that councils were supportive of </w:t>
      </w:r>
      <w:r w:rsidR="00F14FB3">
        <w:t>our customer outcomes, with some noting that they aligned with the council’s plans and strategies</w:t>
      </w:r>
      <w:r w:rsidR="00A37CC0">
        <w:t>. They were</w:t>
      </w:r>
      <w:r w:rsidR="00EF00D3">
        <w:t xml:space="preserve"> strongly</w:t>
      </w:r>
      <w:r w:rsidR="002D154E">
        <w:t xml:space="preserve"> supportive of our</w:t>
      </w:r>
      <w:r w:rsidR="00110FC5">
        <w:t xml:space="preserve"> plans </w:t>
      </w:r>
      <w:r w:rsidR="00EF00D3">
        <w:t>to deliver the</w:t>
      </w:r>
      <w:r w:rsidR="00110FC5">
        <w:t xml:space="preserve"> deliberative panel’s </w:t>
      </w:r>
      <w:r w:rsidR="00EF00D3">
        <w:t xml:space="preserve">15 </w:t>
      </w:r>
      <w:r w:rsidR="00110FC5">
        <w:t>recommendations</w:t>
      </w:r>
      <w:r w:rsidR="00210D3E">
        <w:t>.</w:t>
      </w:r>
      <w:r w:rsidR="00117D2D">
        <w:t xml:space="preserve"> Councils were</w:t>
      </w:r>
      <w:r w:rsidR="00EF00D3">
        <w:t xml:space="preserve"> </w:t>
      </w:r>
      <w:r w:rsidR="00117D2D">
        <w:t>particularly supportive</w:t>
      </w:r>
      <w:r w:rsidR="00EF00D3">
        <w:t xml:space="preserve"> </w:t>
      </w:r>
      <w:r w:rsidR="00117D2D">
        <w:t>of the</w:t>
      </w:r>
      <w:r w:rsidR="00110FC5" w:rsidDel="00EF00D3">
        <w:t xml:space="preserve"> </w:t>
      </w:r>
      <w:r w:rsidR="00110FC5">
        <w:t xml:space="preserve">10 additional stormwater </w:t>
      </w:r>
      <w:r w:rsidR="00D85BF6">
        <w:t>harvesting</w:t>
      </w:r>
      <w:r w:rsidR="00110FC5">
        <w:t xml:space="preserve"> schemes</w:t>
      </w:r>
      <w:r w:rsidR="00117D2D">
        <w:t xml:space="preserve"> and </w:t>
      </w:r>
      <w:r w:rsidR="00EC1A5B">
        <w:t xml:space="preserve">the </w:t>
      </w:r>
      <w:r w:rsidR="00117D2D">
        <w:t>strong alignment to our</w:t>
      </w:r>
      <w:r w:rsidR="00FE4918">
        <w:t xml:space="preserve"> third</w:t>
      </w:r>
      <w:r w:rsidR="00117D2D">
        <w:t xml:space="preserve"> customer </w:t>
      </w:r>
      <w:r w:rsidR="00FE4918">
        <w:t>outcome ‘we support our diverse communities and customers’, by improving the liveability of our</w:t>
      </w:r>
      <w:r w:rsidR="008423F9">
        <w:t xml:space="preserve"> service</w:t>
      </w:r>
      <w:r w:rsidR="00FE4918">
        <w:t xml:space="preserve"> region. </w:t>
      </w:r>
    </w:p>
    <w:p w14:paraId="083D31DD" w14:textId="77777777" w:rsidR="00450156" w:rsidRDefault="00450156" w:rsidP="000853C0">
      <w:pPr>
        <w:pStyle w:val="Heading2"/>
      </w:pPr>
      <w:bookmarkStart w:id="84" w:name="_Toc146004860"/>
      <w:bookmarkStart w:id="85" w:name="_Toc146004748"/>
      <w:bookmarkStart w:id="86" w:name="_Toc146746694"/>
      <w:r w:rsidRPr="00837157">
        <w:t>Ongoing accountability and customer stewardship</w:t>
      </w:r>
      <w:bookmarkEnd w:id="84"/>
      <w:bookmarkEnd w:id="85"/>
      <w:bookmarkEnd w:id="86"/>
      <w:r w:rsidRPr="00837157">
        <w:t xml:space="preserve"> </w:t>
      </w:r>
    </w:p>
    <w:p w14:paraId="02E80720" w14:textId="63891E43" w:rsidR="009E3F0B" w:rsidRDefault="009E3F0B" w:rsidP="009E3F0B">
      <w:r>
        <w:t>Our engagement program will continue post</w:t>
      </w:r>
      <w:r w:rsidR="00EC1A5B">
        <w:t>-</w:t>
      </w:r>
      <w:r>
        <w:t xml:space="preserve">submission providing ongoing accountability and communication with our customers. Consistent and meaningful engagement on performance will be delivered through our customer forum. </w:t>
      </w:r>
    </w:p>
    <w:p w14:paraId="1A660036" w14:textId="0B56B6D6" w:rsidR="009E3F0B" w:rsidRDefault="009E3F0B" w:rsidP="009E3F0B">
      <w:r>
        <w:t xml:space="preserve">Our customer forum will meet annually to review our performance measures against our targets and assign the ESC’s ‘red, amber or green’ rating against each of our customer outcomes. Through this process we will regularly check in with our customers to understand whether our outcomes, experiences and measures are still fit for purpose or if they require updating to better reflect their original intention </w:t>
      </w:r>
      <w:proofErr w:type="spellStart"/>
      <w:r>
        <w:t>or</w:t>
      </w:r>
      <w:proofErr w:type="spellEnd"/>
      <w:r>
        <w:t xml:space="preserve"> changing community priorities.</w:t>
      </w:r>
    </w:p>
    <w:p w14:paraId="5622EA31" w14:textId="77777777" w:rsidR="009E3F0B" w:rsidRDefault="009E3F0B" w:rsidP="009E3F0B">
      <w:r>
        <w:t xml:space="preserve">The findings of our engagement are embedded into the everyday work of GWW. We will update our </w:t>
      </w:r>
      <w:r w:rsidRPr="007F4F12">
        <w:rPr>
          <w:i/>
        </w:rPr>
        <w:t>2030 Strategy</w:t>
      </w:r>
      <w:r>
        <w:t xml:space="preserve"> to reflect the priorities we’ve heard from our customers and communities. </w:t>
      </w:r>
    </w:p>
    <w:p w14:paraId="71D28AB6" w14:textId="147F2ABA" w:rsidR="009E3F0B" w:rsidRDefault="009E3F0B" w:rsidP="009E3F0B">
      <w:r>
        <w:t>The engagement for our 2024 price submission has established ongoing partnerships with our community. These partnerships will provide opportunities for more in-depth engagement for our future submissions and will ensure we are delivering the services that matter to our customers.</w:t>
      </w:r>
    </w:p>
    <w:p w14:paraId="7A8986B9" w14:textId="77777777" w:rsidR="00026C13" w:rsidRDefault="00026C13" w:rsidP="009E3F0B"/>
    <w:p w14:paraId="7496F82B" w14:textId="34C4C5E6" w:rsidR="009E3F0B" w:rsidRPr="00FB40BA" w:rsidRDefault="00FB40BA" w:rsidP="0050713B">
      <w:pPr>
        <w:pStyle w:val="BoxedQuote"/>
        <w:rPr>
          <w:b/>
          <w:bCs/>
        </w:rPr>
      </w:pPr>
      <w:r w:rsidRPr="00FB40BA">
        <w:rPr>
          <w:b/>
          <w:bCs/>
        </w:rPr>
        <w:t>Supporting documents for engagement:</w:t>
      </w:r>
      <w:r w:rsidR="0017345B" w:rsidRPr="00FB40BA">
        <w:rPr>
          <w:b/>
          <w:bCs/>
        </w:rPr>
        <w:t xml:space="preserve"> </w:t>
      </w:r>
    </w:p>
    <w:p w14:paraId="3940DAC7" w14:textId="745D9B31" w:rsidR="00887226" w:rsidRDefault="00887226" w:rsidP="00D2092B">
      <w:pPr>
        <w:pStyle w:val="BoxedBullet"/>
      </w:pPr>
      <w:r>
        <w:t xml:space="preserve">Traditional Owner ‘what we heard’ briefing </w:t>
      </w:r>
      <w:proofErr w:type="gramStart"/>
      <w:r>
        <w:t>note</w:t>
      </w:r>
      <w:proofErr w:type="gramEnd"/>
      <w:r>
        <w:t xml:space="preserve"> </w:t>
      </w:r>
    </w:p>
    <w:p w14:paraId="712AF407" w14:textId="66ED50C7" w:rsidR="00D2092B" w:rsidRDefault="00D2092B" w:rsidP="00D2092B">
      <w:pPr>
        <w:pStyle w:val="BoxedBullet"/>
      </w:pPr>
      <w:r>
        <w:t xml:space="preserve">Public engagement summary report </w:t>
      </w:r>
    </w:p>
    <w:p w14:paraId="17E0B46B" w14:textId="05D2C537" w:rsidR="00D2092B" w:rsidRDefault="00D2092B" w:rsidP="00D2092B">
      <w:pPr>
        <w:pStyle w:val="BoxedBullet"/>
      </w:pPr>
      <w:r>
        <w:t xml:space="preserve">Focus group feedback </w:t>
      </w:r>
      <w:proofErr w:type="gramStart"/>
      <w:r>
        <w:t>report</w:t>
      </w:r>
      <w:proofErr w:type="gramEnd"/>
      <w:r>
        <w:t xml:space="preserve"> </w:t>
      </w:r>
    </w:p>
    <w:p w14:paraId="22763AB9" w14:textId="7393BD51" w:rsidR="00D2092B" w:rsidRDefault="0068419B" w:rsidP="00D2092B">
      <w:pPr>
        <w:pStyle w:val="BoxedBullet"/>
      </w:pPr>
      <w:r>
        <w:t xml:space="preserve">GWW </w:t>
      </w:r>
      <w:r w:rsidR="00D2092B">
        <w:t>Strategic Engagement Plan</w:t>
      </w:r>
    </w:p>
    <w:p w14:paraId="2CB79A7C" w14:textId="3F7BE65D" w:rsidR="00D2092B" w:rsidRDefault="00D2092B" w:rsidP="00D2092B">
      <w:pPr>
        <w:pStyle w:val="BoxedBullet"/>
      </w:pPr>
      <w:r>
        <w:t xml:space="preserve">Universal and inclusive engagement checklist </w:t>
      </w:r>
    </w:p>
    <w:p w14:paraId="1AAE4145" w14:textId="03A38452" w:rsidR="00D2092B" w:rsidRDefault="00D2092B" w:rsidP="00D2092B">
      <w:pPr>
        <w:pStyle w:val="BoxedBullet"/>
      </w:pPr>
      <w:r>
        <w:t xml:space="preserve">Exploration </w:t>
      </w:r>
      <w:r w:rsidR="0068419B">
        <w:t xml:space="preserve">stage </w:t>
      </w:r>
      <w:r>
        <w:t xml:space="preserve">report </w:t>
      </w:r>
    </w:p>
    <w:p w14:paraId="2A0AACB7" w14:textId="64AE49C4" w:rsidR="00D2092B" w:rsidRDefault="00D2092B" w:rsidP="00D2092B">
      <w:pPr>
        <w:pStyle w:val="BoxedBullet"/>
      </w:pPr>
      <w:r>
        <w:t xml:space="preserve">Valuation stage report </w:t>
      </w:r>
    </w:p>
    <w:p w14:paraId="7690A83E" w14:textId="354E211C" w:rsidR="00D2092B" w:rsidRDefault="00D2092B" w:rsidP="00D2092B">
      <w:pPr>
        <w:pStyle w:val="BoxedBullet"/>
      </w:pPr>
      <w:r>
        <w:t>Deliberative panel ‘Ready Reckoner’ document</w:t>
      </w:r>
    </w:p>
    <w:p w14:paraId="26934278" w14:textId="1158FEAD" w:rsidR="00D2092B" w:rsidRDefault="00D2092B" w:rsidP="00D2092B">
      <w:pPr>
        <w:pStyle w:val="BoxedBullet"/>
      </w:pPr>
      <w:r>
        <w:lastRenderedPageBreak/>
        <w:t>Deliberative panel report</w:t>
      </w:r>
    </w:p>
    <w:p w14:paraId="7A69B774" w14:textId="1E2EF29D" w:rsidR="00D2092B" w:rsidRDefault="00D2092B" w:rsidP="00D2092B">
      <w:pPr>
        <w:pStyle w:val="BoxedBullet"/>
      </w:pPr>
      <w:r>
        <w:t>Deliberative panel process report</w:t>
      </w:r>
    </w:p>
    <w:p w14:paraId="44AFD061" w14:textId="404DAE04" w:rsidR="00D2092B" w:rsidRDefault="0068419B" w:rsidP="00D2092B">
      <w:pPr>
        <w:pStyle w:val="BoxedBullet"/>
      </w:pPr>
      <w:r>
        <w:t>Deliberative panel r</w:t>
      </w:r>
      <w:r w:rsidR="00D2092B">
        <w:t xml:space="preserve">ecall day </w:t>
      </w:r>
      <w:proofErr w:type="gramStart"/>
      <w:r w:rsidR="00D2092B">
        <w:t>report</w:t>
      </w:r>
      <w:proofErr w:type="gramEnd"/>
    </w:p>
    <w:p w14:paraId="27DA012A" w14:textId="7F19B8E0" w:rsidR="00D2092B" w:rsidRDefault="00D2092B" w:rsidP="00D2092B">
      <w:pPr>
        <w:pStyle w:val="BoxedBullet"/>
      </w:pPr>
      <w:r>
        <w:t xml:space="preserve">Customer forum summary report </w:t>
      </w:r>
    </w:p>
    <w:p w14:paraId="716B7F9F" w14:textId="7C0268A6" w:rsidR="00D2092B" w:rsidRDefault="00D2092B" w:rsidP="00D2092B">
      <w:pPr>
        <w:pStyle w:val="BoxedBullet"/>
      </w:pPr>
      <w:r>
        <w:t xml:space="preserve">Confirmation </w:t>
      </w:r>
      <w:r w:rsidR="0068419B">
        <w:t xml:space="preserve">stage </w:t>
      </w:r>
      <w:r>
        <w:t xml:space="preserve">report </w:t>
      </w:r>
    </w:p>
    <w:p w14:paraId="440BEF06" w14:textId="03759AE0" w:rsidR="00D2092B" w:rsidRDefault="00D2092B" w:rsidP="00D2092B">
      <w:pPr>
        <w:pStyle w:val="BoxedBullet"/>
      </w:pPr>
      <w:r>
        <w:t xml:space="preserve">Letters of support from </w:t>
      </w:r>
      <w:proofErr w:type="spellStart"/>
      <w:r>
        <w:t>Brimbank</w:t>
      </w:r>
      <w:proofErr w:type="spellEnd"/>
      <w:r>
        <w:t xml:space="preserve"> City Council and Maribyrnong City Council </w:t>
      </w:r>
    </w:p>
    <w:p w14:paraId="18DD8130" w14:textId="51C32C83" w:rsidR="00D2092B" w:rsidRDefault="00D2092B" w:rsidP="00D2092B">
      <w:pPr>
        <w:pStyle w:val="BoxedBullet"/>
      </w:pPr>
      <w:r>
        <w:t xml:space="preserve">Letter of support from UDIA </w:t>
      </w:r>
    </w:p>
    <w:p w14:paraId="57DA810E" w14:textId="77777777" w:rsidR="009E3F0B" w:rsidRPr="009E3F0B" w:rsidRDefault="009E3F0B" w:rsidP="009E3F0B"/>
    <w:p w14:paraId="6AAE20C1" w14:textId="5DFCEB18" w:rsidR="009F50DD" w:rsidRPr="008A41A1" w:rsidRDefault="00BB1BB1" w:rsidP="008A41A1">
      <w:pPr>
        <w:pStyle w:val="Heading1"/>
      </w:pPr>
      <w:bookmarkStart w:id="87" w:name="_Toc146004861"/>
      <w:bookmarkStart w:id="88" w:name="_Toc146004749"/>
      <w:bookmarkStart w:id="89" w:name="_Ref146611397"/>
      <w:bookmarkStart w:id="90" w:name="_Toc146746695"/>
      <w:r w:rsidRPr="008A41A1">
        <w:lastRenderedPageBreak/>
        <w:t>Our c</w:t>
      </w:r>
      <w:r w:rsidR="00F9162C" w:rsidRPr="008A41A1">
        <w:t>ommitments</w:t>
      </w:r>
      <w:r w:rsidR="001F44E7" w:rsidRPr="008A41A1">
        <w:t xml:space="preserve"> to our customers and communit</w:t>
      </w:r>
      <w:r w:rsidR="000E1C8B" w:rsidRPr="008A41A1">
        <w:t>y</w:t>
      </w:r>
      <w:bookmarkEnd w:id="87"/>
      <w:bookmarkEnd w:id="88"/>
      <w:bookmarkEnd w:id="89"/>
      <w:bookmarkEnd w:id="90"/>
    </w:p>
    <w:p w14:paraId="363984D0" w14:textId="31D5B707" w:rsidR="00E422FE" w:rsidRDefault="0058580A" w:rsidP="007B1ECA">
      <w:r>
        <w:t>Our customer commitments for the next f</w:t>
      </w:r>
      <w:r w:rsidR="00F803F6">
        <w:t xml:space="preserve">our years </w:t>
      </w:r>
      <w:r w:rsidR="000729BA">
        <w:t xml:space="preserve">reflect </w:t>
      </w:r>
      <w:r w:rsidR="00C12BCC">
        <w:t xml:space="preserve">what customers told us through </w:t>
      </w:r>
      <w:r w:rsidR="16D2B52D">
        <w:t>our engagement program</w:t>
      </w:r>
      <w:r w:rsidR="004C7436">
        <w:t xml:space="preserve">. This </w:t>
      </w:r>
      <w:r w:rsidR="003F7672">
        <w:t>section</w:t>
      </w:r>
      <w:r w:rsidR="003F7672" w:rsidRPr="00E422FE">
        <w:t xml:space="preserve"> </w:t>
      </w:r>
      <w:r w:rsidR="00E422FE" w:rsidRPr="00E422FE">
        <w:t xml:space="preserve">outlines how </w:t>
      </w:r>
      <w:r w:rsidR="009400F7">
        <w:t xml:space="preserve">we gathered and used customer feedback </w:t>
      </w:r>
      <w:r w:rsidR="00576135">
        <w:t xml:space="preserve">to develop our </w:t>
      </w:r>
      <w:r w:rsidR="00115A98">
        <w:t>five new customer outcomes</w:t>
      </w:r>
      <w:r w:rsidR="00E422FE" w:rsidRPr="00E422FE">
        <w:t>.</w:t>
      </w:r>
    </w:p>
    <w:p w14:paraId="59CA875E" w14:textId="2794AF8B" w:rsidR="003E069E" w:rsidRDefault="003E069E" w:rsidP="007B1ECA">
      <w:r w:rsidRPr="007E7A59">
        <w:t xml:space="preserve">This section provides information supporting our </w:t>
      </w:r>
      <w:r>
        <w:t xml:space="preserve">Outcome </w:t>
      </w:r>
      <w:r w:rsidRPr="007E7A59">
        <w:t xml:space="preserve">PREMO self-assessment. </w:t>
      </w:r>
    </w:p>
    <w:p w14:paraId="07D79102" w14:textId="585FEA4D" w:rsidR="00004A92" w:rsidRDefault="00DC2F11" w:rsidP="00E415E0">
      <w:pPr>
        <w:pStyle w:val="BoxedQuoteHeading"/>
      </w:pPr>
      <w:r>
        <w:t>Summary</w:t>
      </w:r>
      <w:r w:rsidR="00004A92">
        <w:t xml:space="preserve"> </w:t>
      </w:r>
    </w:p>
    <w:p w14:paraId="7186A11C" w14:textId="2198B224" w:rsidR="00D93B63" w:rsidRDefault="00004A92" w:rsidP="00004A92">
      <w:pPr>
        <w:pStyle w:val="BoxedBullet"/>
      </w:pPr>
      <w:r>
        <w:t xml:space="preserve">Leveraging our GWW </w:t>
      </w:r>
      <w:r w:rsidRPr="007D0F69">
        <w:rPr>
          <w:i/>
        </w:rPr>
        <w:t>2030 Strategy</w:t>
      </w:r>
      <w:r>
        <w:t xml:space="preserve">, we listened, </w:t>
      </w:r>
      <w:proofErr w:type="gramStart"/>
      <w:r>
        <w:t>learned</w:t>
      </w:r>
      <w:proofErr w:type="gramEnd"/>
      <w:r>
        <w:t xml:space="preserve"> and tested our new customer base values to understand what matters most and what they expect of their water provider</w:t>
      </w:r>
      <w:r w:rsidR="00D93B63">
        <w:t>.</w:t>
      </w:r>
    </w:p>
    <w:p w14:paraId="73E2BF68" w14:textId="18C100E0" w:rsidR="00004A92" w:rsidRDefault="00D93B63" w:rsidP="00004A92">
      <w:pPr>
        <w:pStyle w:val="BoxedBullet"/>
      </w:pPr>
      <w:r>
        <w:t>Five new customer</w:t>
      </w:r>
      <w:r w:rsidR="003A457D">
        <w:t>-</w:t>
      </w:r>
      <w:r>
        <w:t>endorsed outcomes.</w:t>
      </w:r>
    </w:p>
    <w:p w14:paraId="5CD5F623" w14:textId="14B17987" w:rsidR="00004A92" w:rsidRDefault="00004A92" w:rsidP="00004A92">
      <w:pPr>
        <w:pStyle w:val="BoxedBullet"/>
      </w:pPr>
      <w:r>
        <w:t xml:space="preserve">Our customer forum chose measures </w:t>
      </w:r>
      <w:r w:rsidR="00FE2B8E">
        <w:t>that</w:t>
      </w:r>
      <w:r>
        <w:t xml:space="preserve"> were most meaningful to them</w:t>
      </w:r>
      <w:r w:rsidR="00012543">
        <w:t>.</w:t>
      </w:r>
      <w:r w:rsidR="00FE2B8E">
        <w:t xml:space="preserve"> We</w:t>
      </w:r>
      <w:r>
        <w:t xml:space="preserve"> will report against </w:t>
      </w:r>
      <w:r w:rsidR="00FE2B8E">
        <w:t xml:space="preserve">these </w:t>
      </w:r>
      <w:r>
        <w:t xml:space="preserve">annually to keep us accountable to customers.  </w:t>
      </w:r>
    </w:p>
    <w:p w14:paraId="17507236" w14:textId="3D13DF8F" w:rsidR="00004A92" w:rsidRDefault="00004A92" w:rsidP="00004A92">
      <w:pPr>
        <w:pStyle w:val="BoxedBullet"/>
      </w:pPr>
      <w:r>
        <w:t>We analysed and combined legacy business targets to develop suitable targets for GWW and to maximise the benefits to customers.</w:t>
      </w:r>
    </w:p>
    <w:p w14:paraId="70B66EE6" w14:textId="73E83CCE" w:rsidR="00C511B8" w:rsidRPr="00862634" w:rsidRDefault="00004A92" w:rsidP="00BC3728">
      <w:pPr>
        <w:pStyle w:val="BoxedBullet"/>
        <w:rPr>
          <w:rFonts w:eastAsiaTheme="minorEastAsia"/>
        </w:rPr>
      </w:pPr>
      <w:r>
        <w:t>Our PREMO self-assessed rating for Outcomes is ‘Standard’.</w:t>
      </w:r>
      <w:bookmarkStart w:id="91" w:name="_Toc146004862"/>
      <w:bookmarkStart w:id="92" w:name="_Toc146004750"/>
    </w:p>
    <w:p w14:paraId="1A6A9322" w14:textId="1A56AE08" w:rsidR="00862634" w:rsidRDefault="00862634">
      <w:pPr>
        <w:spacing w:before="0" w:after="160" w:line="259" w:lineRule="auto"/>
      </w:pPr>
      <w:r>
        <w:br w:type="page"/>
      </w:r>
    </w:p>
    <w:p w14:paraId="24404319" w14:textId="10BC701B" w:rsidR="00DC7117" w:rsidRDefault="00DC7117" w:rsidP="00862634">
      <w:pPr>
        <w:pStyle w:val="Heading2"/>
      </w:pPr>
      <w:bookmarkStart w:id="93" w:name="_Toc146746696"/>
      <w:r w:rsidRPr="003A1AD6">
        <w:lastRenderedPageBreak/>
        <w:t>Our customer outcomes</w:t>
      </w:r>
      <w:bookmarkEnd w:id="91"/>
      <w:bookmarkEnd w:id="92"/>
      <w:bookmarkEnd w:id="93"/>
    </w:p>
    <w:p w14:paraId="269A50B8" w14:textId="522601DD" w:rsidR="005228C7" w:rsidRDefault="005228C7" w:rsidP="001B1F39">
      <w:pPr>
        <w:rPr>
          <w:rFonts w:eastAsiaTheme="minorEastAsia"/>
        </w:rPr>
      </w:pPr>
    </w:p>
    <w:p w14:paraId="4FC036F1" w14:textId="72705A4E" w:rsidR="00B00476" w:rsidRDefault="00B00476" w:rsidP="00D11691">
      <w:r>
        <w:rPr>
          <w:noProof/>
        </w:rPr>
        <w:drawing>
          <wp:inline distT="0" distB="0" distL="0" distR="0" wp14:anchorId="2AAC6981" wp14:editId="499AFB84">
            <wp:extent cx="6261100" cy="6096635"/>
            <wp:effectExtent l="0" t="0" r="0" b="0"/>
            <wp:docPr id="730749640" name="Picture 730749640" descr="This is an infographic with the title &quot;Our customer outcomes&quot;. It contains the following titles with subpoints.  The first title is Your water is safe, consistent and resilient. Subpoints: Water that tastes great, is high quality and always safe to drink; Water that is there when you turn on the tap; Your sewerage service works without interruptions or blockages. The second title is: When things go wrong, we fix them. Subpoints: Our water and sewerage maintenance crews are responsive and efficient if disruptions happen; We provide excellent customer services when you contact us. The third title is: We support our diverse communities and customers. Subpoints: With our partners, we improve the wellbeing of our communities by providing alternative water to irrigate public green spaces; We support the financial resilience of our communities and help you if you are having payment difficulties. The fourth title is: We enable growth and help businesses thrive. Subpoints: We provide excellent customer service when you contact us; We support agriculture with the right recycled water products for your needs; Developers and applicants find us easy, timely and consistent to do business with to get new customers connected. Fifth title: We heal and care for Country. Subpoints: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40" name="Picture 730749640" descr="This is an infographic with the title &quot;Our customer outcomes&quot;. It contains the following titles with subpoints.  The first title is Your water is safe, consistent and resilient. Subpoints: Water that tastes great, is high quality and always safe to drink; Water that is there when you turn on the tap; Your sewerage service works without interruptions or blockages. The second title is: When things go wrong, we fix them. Subpoints: Our water and sewerage maintenance crews are responsive and efficient if disruptions happen; We provide excellent customer services when you contact us. The third title is: We support our diverse communities and customers. Subpoints: With our partners, we improve the wellbeing of our communities by providing alternative water to irrigate public green spaces; We support the financial resilience of our communities and help you if you are having payment difficulties. The fourth title is: We enable growth and help businesses thrive. Subpoints: We provide excellent customer service when you contact us; We support agriculture with the right recycled water products for your needs; Developers and applicants find us easy, timely and consistent to do business with to get new customers connected. Fifth title: We heal and care for Country. Subpoints: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1100" cy="6096635"/>
                    </a:xfrm>
                    <a:prstGeom prst="rect">
                      <a:avLst/>
                    </a:prstGeom>
                    <a:noFill/>
                  </pic:spPr>
                </pic:pic>
              </a:graphicData>
            </a:graphic>
          </wp:inline>
        </w:drawing>
      </w:r>
    </w:p>
    <w:p w14:paraId="0EE6440F" w14:textId="1103898A" w:rsidR="00D11691" w:rsidRPr="001B1F39" w:rsidRDefault="00D11691" w:rsidP="00D11691">
      <w:r w:rsidRPr="00C77F85">
        <w:t xml:space="preserve">Our customer outcomes </w:t>
      </w:r>
      <w:r>
        <w:t xml:space="preserve">are described </w:t>
      </w:r>
      <w:r w:rsidR="00115A98">
        <w:t>with</w:t>
      </w:r>
      <w:r w:rsidR="00E349D4">
        <w:t xml:space="preserve"> </w:t>
      </w:r>
      <w:r>
        <w:t>customer experience</w:t>
      </w:r>
      <w:r w:rsidR="00E349D4">
        <w:t>s</w:t>
      </w:r>
      <w:r w:rsidR="00115A98">
        <w:t>.</w:t>
      </w:r>
      <w:r>
        <w:t xml:space="preserve"> For example,</w:t>
      </w:r>
      <w:r w:rsidDel="00455967">
        <w:t xml:space="preserve"> </w:t>
      </w:r>
      <w:r w:rsidR="00A65ADC">
        <w:t xml:space="preserve">our first </w:t>
      </w:r>
      <w:r w:rsidR="00FE2B8E">
        <w:t>c</w:t>
      </w:r>
      <w:r>
        <w:t xml:space="preserve">ustomer </w:t>
      </w:r>
      <w:r w:rsidR="00FE2B8E">
        <w:t>o</w:t>
      </w:r>
      <w:r>
        <w:t xml:space="preserve">utcome ‘Your water is safe, consistent and resilient’ </w:t>
      </w:r>
      <w:r w:rsidR="00A65ADC">
        <w:t xml:space="preserve">will be </w:t>
      </w:r>
      <w:r>
        <w:t>experienced as high quality and safe drinking water, uninterrupted supply of water and uninterrupted sewerage services.</w:t>
      </w:r>
    </w:p>
    <w:p w14:paraId="280BFBAD" w14:textId="58F69A36" w:rsidR="00E422FE" w:rsidRPr="00E17E22" w:rsidRDefault="00D11691" w:rsidP="00E17E22">
      <w:r>
        <w:t xml:space="preserve">For each experience, </w:t>
      </w:r>
      <w:r w:rsidR="00871022">
        <w:t xml:space="preserve">there are </w:t>
      </w:r>
      <w:r>
        <w:t xml:space="preserve">one or more quantitative measures that we will report on to our customers, the </w:t>
      </w:r>
      <w:proofErr w:type="gramStart"/>
      <w:r>
        <w:t>ESC</w:t>
      </w:r>
      <w:proofErr w:type="gramEnd"/>
      <w:r>
        <w:t xml:space="preserve"> and our </w:t>
      </w:r>
      <w:r w:rsidR="00FE2B8E">
        <w:t xml:space="preserve">customer forum </w:t>
      </w:r>
      <w:r>
        <w:t>each year.</w:t>
      </w:r>
      <w:r w:rsidRPr="001B1F39">
        <w:t xml:space="preserve"> </w:t>
      </w:r>
      <w:r w:rsidR="006977F9">
        <w:t>The c</w:t>
      </w:r>
      <w:r w:rsidR="00EF00FE">
        <w:t>ustomer</w:t>
      </w:r>
      <w:r w:rsidR="006977F9">
        <w:t xml:space="preserve"> forum </w:t>
      </w:r>
      <w:r w:rsidR="00B5389A">
        <w:t>voted these</w:t>
      </w:r>
      <w:r w:rsidRPr="001B1F39">
        <w:t xml:space="preserve"> as the most meaningful measure</w:t>
      </w:r>
      <w:r w:rsidR="00B5389A">
        <w:t>s</w:t>
      </w:r>
      <w:r w:rsidRPr="001B1F39">
        <w:t xml:space="preserve"> to keep us accountable</w:t>
      </w:r>
      <w:r w:rsidR="004303EC">
        <w:t>.</w:t>
      </w:r>
      <w:r w:rsidRPr="001B1F39">
        <w:t xml:space="preserve"> </w:t>
      </w:r>
      <w:r w:rsidR="004303EC">
        <w:t xml:space="preserve">Where </w:t>
      </w:r>
      <w:r>
        <w:t>there are many aspects of an experience, we have add</w:t>
      </w:r>
      <w:r w:rsidR="004303EC">
        <w:t>ed</w:t>
      </w:r>
      <w:r>
        <w:t xml:space="preserve"> additional measures to support accountability to our customers.</w:t>
      </w:r>
    </w:p>
    <w:p w14:paraId="61870EDE" w14:textId="4FE938D0" w:rsidR="00353C21" w:rsidRDefault="00922DE4" w:rsidP="00021A71">
      <w:r>
        <w:t>We developed o</w:t>
      </w:r>
      <w:r w:rsidR="00CA667E">
        <w:t xml:space="preserve">ur </w:t>
      </w:r>
      <w:r>
        <w:t>customer</w:t>
      </w:r>
      <w:r w:rsidR="00CA667E">
        <w:t xml:space="preserve"> outcomes </w:t>
      </w:r>
      <w:r w:rsidR="0006799A">
        <w:t xml:space="preserve">through </w:t>
      </w:r>
      <w:r w:rsidR="00D11691">
        <w:t xml:space="preserve">the </w:t>
      </w:r>
      <w:r w:rsidR="00C90564">
        <w:t>price submission engagement program</w:t>
      </w:r>
      <w:r w:rsidR="00A00768">
        <w:t>, outline</w:t>
      </w:r>
      <w:r w:rsidR="006F0696">
        <w:t xml:space="preserve">d in </w:t>
      </w:r>
      <w:r w:rsidR="002F527D">
        <w:t>S</w:t>
      </w:r>
      <w:r w:rsidR="00FE2B8E">
        <w:t xml:space="preserve">ection </w:t>
      </w:r>
      <w:r w:rsidR="005E15F2">
        <w:t>2</w:t>
      </w:r>
      <w:r w:rsidR="00264E66">
        <w:fldChar w:fldCharType="begin"/>
      </w:r>
      <w:r w:rsidR="00264E66">
        <w:instrText xml:space="preserve"> REF _Ref146622191 \r \h </w:instrText>
      </w:r>
      <w:r w:rsidR="0069425C">
        <w:fldChar w:fldCharType="separate"/>
      </w:r>
      <w:r w:rsidR="00264E66">
        <w:fldChar w:fldCharType="end"/>
      </w:r>
      <w:r w:rsidR="009528FA">
        <w:t>.</w:t>
      </w:r>
      <w:r w:rsidR="0010545F">
        <w:t xml:space="preserve"> </w:t>
      </w:r>
      <w:r w:rsidR="009528FA">
        <w:t>We</w:t>
      </w:r>
      <w:r w:rsidR="000175FB">
        <w:t xml:space="preserve"> began with the </w:t>
      </w:r>
      <w:r w:rsidR="0010545F">
        <w:t xml:space="preserve">outcomes from previous </w:t>
      </w:r>
      <w:r w:rsidR="008A395A">
        <w:t xml:space="preserve">price </w:t>
      </w:r>
      <w:r w:rsidR="0010545F">
        <w:t xml:space="preserve">determinations and </w:t>
      </w:r>
      <w:r w:rsidR="001C21EF">
        <w:t xml:space="preserve">our </w:t>
      </w:r>
      <w:r w:rsidR="00BA55AE" w:rsidRPr="000175FB">
        <w:rPr>
          <w:i/>
        </w:rPr>
        <w:t xml:space="preserve">2030 </w:t>
      </w:r>
      <w:r w:rsidR="005213D5" w:rsidRPr="000175FB">
        <w:rPr>
          <w:i/>
        </w:rPr>
        <w:t>Strategy</w:t>
      </w:r>
      <w:r w:rsidR="001C21EF">
        <w:t xml:space="preserve"> and used </w:t>
      </w:r>
      <w:r w:rsidR="00EE0608">
        <w:t xml:space="preserve">data from </w:t>
      </w:r>
      <w:r w:rsidR="00C66DF5">
        <w:t xml:space="preserve">Water Services Association </w:t>
      </w:r>
      <w:r w:rsidR="00C66DF5">
        <w:lastRenderedPageBreak/>
        <w:t>of Australia (</w:t>
      </w:r>
      <w:r w:rsidR="000A5413">
        <w:t>WSAA</w:t>
      </w:r>
      <w:r w:rsidR="00C66DF5">
        <w:t>)</w:t>
      </w:r>
      <w:r w:rsidR="000A5413">
        <w:t xml:space="preserve">’s </w:t>
      </w:r>
      <w:r w:rsidR="00EA66A6">
        <w:t xml:space="preserve">2021 customer perceptions benchmarking study </w:t>
      </w:r>
      <w:r w:rsidR="00B724D7">
        <w:t>relevant to our</w:t>
      </w:r>
      <w:r w:rsidR="00EA66A6">
        <w:t xml:space="preserve"> service region.</w:t>
      </w:r>
    </w:p>
    <w:p w14:paraId="62391EE4" w14:textId="0C4D31B9" w:rsidR="00565B5C" w:rsidRDefault="15030FF4" w:rsidP="00ED2BE3">
      <w:r>
        <w:t>E</w:t>
      </w:r>
      <w:r w:rsidR="36C411FA">
        <w:t>ach</w:t>
      </w:r>
      <w:r w:rsidR="00021A71">
        <w:t xml:space="preserve"> stage of our engagement program</w:t>
      </w:r>
      <w:r w:rsidR="00920FB9">
        <w:t xml:space="preserve"> provided </w:t>
      </w:r>
      <w:r w:rsidR="00430DCB">
        <w:t xml:space="preserve">different types of </w:t>
      </w:r>
      <w:r w:rsidR="00922DE4">
        <w:t>information</w:t>
      </w:r>
      <w:r w:rsidR="0097581D">
        <w:t>, which</w:t>
      </w:r>
      <w:r w:rsidR="00922DE4">
        <w:t xml:space="preserve"> </w:t>
      </w:r>
      <w:r w:rsidR="0097581D">
        <w:t>we</w:t>
      </w:r>
      <w:r w:rsidR="00430DCB">
        <w:t xml:space="preserve"> used to build the outcomes, the </w:t>
      </w:r>
      <w:r w:rsidR="008619BC">
        <w:t>experiences,</w:t>
      </w:r>
      <w:r w:rsidR="00430DCB">
        <w:t xml:space="preserve"> and the measures we will use to track our performance</w:t>
      </w:r>
      <w:r w:rsidR="00B23A75">
        <w:t>.</w:t>
      </w:r>
      <w:r w:rsidR="00167686">
        <w:t xml:space="preserve"> </w:t>
      </w:r>
    </w:p>
    <w:p w14:paraId="412EE25C" w14:textId="1D8DD4DC" w:rsidR="00021A71" w:rsidRDefault="00CD27D3" w:rsidP="00ED2BE3">
      <w:r>
        <w:t>T</w:t>
      </w:r>
      <w:r w:rsidR="00167686">
        <w:t xml:space="preserve">he exploration phase </w:t>
      </w:r>
      <w:r w:rsidR="15030FF4">
        <w:t>established</w:t>
      </w:r>
      <w:r w:rsidR="00167686">
        <w:t xml:space="preserve"> values</w:t>
      </w:r>
      <w:r w:rsidR="00AC6029">
        <w:t xml:space="preserve"> </w:t>
      </w:r>
      <w:r w:rsidR="00C95526">
        <w:t>and initial priorities, the v</w:t>
      </w:r>
      <w:r w:rsidR="00AE4835">
        <w:t xml:space="preserve">aluation and deliberation phases </w:t>
      </w:r>
      <w:r w:rsidR="00405CAB">
        <w:t xml:space="preserve">helped </w:t>
      </w:r>
      <w:r w:rsidR="00565B5C">
        <w:t>sharpen</w:t>
      </w:r>
      <w:r w:rsidR="008E4B22">
        <w:t xml:space="preserve"> our experiences and </w:t>
      </w:r>
      <w:r w:rsidR="00A549E5">
        <w:t>develop measures and targets</w:t>
      </w:r>
      <w:r w:rsidR="00565B5C">
        <w:t>, and the</w:t>
      </w:r>
      <w:r w:rsidR="00A549E5">
        <w:t xml:space="preserve"> confirmation </w:t>
      </w:r>
      <w:r w:rsidR="00F77553">
        <w:t xml:space="preserve">stage </w:t>
      </w:r>
      <w:r w:rsidR="00DE1B98">
        <w:t>endorsed</w:t>
      </w:r>
      <w:r w:rsidR="00565B5C">
        <w:t xml:space="preserve"> </w:t>
      </w:r>
      <w:r w:rsidR="00A549E5">
        <w:t>outcomes and select</w:t>
      </w:r>
      <w:r w:rsidR="00565B5C">
        <w:t>ed</w:t>
      </w:r>
      <w:r w:rsidR="00A549E5">
        <w:t xml:space="preserve"> the best measures. </w:t>
      </w:r>
      <w:r w:rsidR="00565B5C">
        <w:t xml:space="preserve">Where the information differed at different </w:t>
      </w:r>
      <w:r w:rsidR="00F224B0">
        <w:t xml:space="preserve">stages, we </w:t>
      </w:r>
      <w:r w:rsidR="00A66CD2">
        <w:t>relied on majority findings.</w:t>
      </w:r>
      <w:r w:rsidR="00430DCB">
        <w:t xml:space="preserve"> </w:t>
      </w:r>
    </w:p>
    <w:p w14:paraId="11188981" w14:textId="40E61565" w:rsidR="00DF1DF1" w:rsidRPr="0038366E" w:rsidRDefault="00DF1DF1" w:rsidP="00ED2BE3">
      <w:r>
        <w:t xml:space="preserve">A comparison of our new customer outcomes against our existing outcomes </w:t>
      </w:r>
      <w:r w:rsidR="005C5538">
        <w:t>for WW and CWW</w:t>
      </w:r>
      <w:r>
        <w:t xml:space="preserve"> are listed in </w:t>
      </w:r>
      <w:r w:rsidR="0068419B">
        <w:fldChar w:fldCharType="begin"/>
      </w:r>
      <w:r w:rsidR="0068419B">
        <w:instrText xml:space="preserve"> REF _Ref145920181 \n \h </w:instrText>
      </w:r>
      <w:r w:rsidR="0069425C">
        <w:fldChar w:fldCharType="separate"/>
      </w:r>
      <w:r w:rsidR="0068419B">
        <w:fldChar w:fldCharType="end"/>
      </w:r>
      <w:r w:rsidRPr="00F9237D">
        <w:t>.</w:t>
      </w:r>
    </w:p>
    <w:p w14:paraId="7FC51404" w14:textId="2BDF094F" w:rsidR="00A72C57" w:rsidRPr="00B23A79" w:rsidRDefault="00ED2BE3" w:rsidP="00ED2BE3">
      <w:pPr>
        <w:rPr>
          <w:b/>
        </w:rPr>
      </w:pPr>
      <w:r w:rsidRPr="00B23A79">
        <w:rPr>
          <w:b/>
        </w:rPr>
        <w:t xml:space="preserve">Overwhelming support for our customer outcomes </w:t>
      </w:r>
    </w:p>
    <w:p w14:paraId="2678EB94" w14:textId="7A29D334" w:rsidR="00673A1D" w:rsidRDefault="00ED2BE3">
      <w:r w:rsidRPr="00ED2BE3">
        <w:t>When we tested these customer outcomes</w:t>
      </w:r>
      <w:r w:rsidR="006943D8">
        <w:t xml:space="preserve"> </w:t>
      </w:r>
      <w:r w:rsidR="00F1280F">
        <w:t>with our customer</w:t>
      </w:r>
      <w:r w:rsidR="00C70372">
        <w:t xml:space="preserve"> forum</w:t>
      </w:r>
      <w:r w:rsidR="00F1280F">
        <w:t xml:space="preserve"> </w:t>
      </w:r>
      <w:r w:rsidR="00A72C57">
        <w:t xml:space="preserve">and </w:t>
      </w:r>
      <w:r w:rsidR="0094256D">
        <w:t xml:space="preserve">told them </w:t>
      </w:r>
      <w:r w:rsidR="00F1280F">
        <w:t>how we arrived at them, 95% were confident that they represented customer priorities.</w:t>
      </w:r>
      <w:r w:rsidR="00AA27A5">
        <w:rPr>
          <w:rStyle w:val="EndnoteReference"/>
        </w:rPr>
        <w:endnoteReference w:id="8"/>
      </w:r>
      <w:r w:rsidR="00AA27A5">
        <w:t xml:space="preserve"> </w:t>
      </w:r>
      <w:r w:rsidR="00DE1B98">
        <w:t>During</w:t>
      </w:r>
      <w:r w:rsidR="0085044D">
        <w:t xml:space="preserve"> face-to-face engagement with customers,</w:t>
      </w:r>
      <w:r w:rsidR="000F47CB">
        <w:t xml:space="preserve"> 100% of respondents supported the outcomes, feeling they were both what they expected from GWW and represented what they valued</w:t>
      </w:r>
      <w:r w:rsidR="00CB519E">
        <w:t>.</w:t>
      </w:r>
    </w:p>
    <w:p w14:paraId="475BB73F" w14:textId="77777777" w:rsidR="00673A1D" w:rsidRDefault="00673A1D">
      <w:pPr>
        <w:rPr>
          <w:b/>
          <w:bCs/>
        </w:rPr>
      </w:pPr>
      <w:r w:rsidRPr="00673A1D">
        <w:rPr>
          <w:b/>
          <w:bCs/>
        </w:rPr>
        <w:t>How we will be accountable</w:t>
      </w:r>
    </w:p>
    <w:p w14:paraId="06765E1C" w14:textId="343CB091" w:rsidR="00F07C9D" w:rsidRPr="00F07C9D" w:rsidRDefault="00F07C9D" w:rsidP="00F07C9D">
      <w:r w:rsidRPr="00F07C9D">
        <w:t xml:space="preserve">We </w:t>
      </w:r>
      <w:r w:rsidR="00E415D8">
        <w:t>will be</w:t>
      </w:r>
      <w:r w:rsidRPr="00F07C9D">
        <w:t xml:space="preserve"> transparent and accountable when reporting our performance over the regulatory period. We will continue to outline our performance in our annual outcomes report to the ESC and our update report (released in February each year). Assessment of our performance will be against the ‘red, amber, green’ criteria outlined by the ESC. </w:t>
      </w:r>
    </w:p>
    <w:p w14:paraId="0CAAA9DB" w14:textId="0C3C822B" w:rsidR="330BAEB9" w:rsidRDefault="00F07C9D">
      <w:r w:rsidRPr="00F07C9D">
        <w:t>We will also report directly to our customers through our ongoing customer forum</w:t>
      </w:r>
      <w:r w:rsidR="0068419B">
        <w:t xml:space="preserve">. </w:t>
      </w:r>
      <w:r w:rsidRPr="00F07C9D">
        <w:t>This forum is designed to keep us accountable to the evolving needs and priorities of our customers.</w:t>
      </w:r>
    </w:p>
    <w:p w14:paraId="09693A78" w14:textId="02D933DD" w:rsidR="00F50393" w:rsidRDefault="00F50393">
      <w:r>
        <w:br w:type="page"/>
      </w:r>
    </w:p>
    <w:p w14:paraId="3AC2DA7A" w14:textId="066CEB8E" w:rsidR="00FC6FE3" w:rsidRDefault="00FC6FE3" w:rsidP="005B69CD">
      <w:pPr>
        <w:pStyle w:val="Heading3"/>
      </w:pPr>
      <w:r>
        <w:lastRenderedPageBreak/>
        <w:t xml:space="preserve">Customer outcome 1 - Your water is safe, consistent and </w:t>
      </w:r>
      <w:proofErr w:type="gramStart"/>
      <w:r>
        <w:t>resilient</w:t>
      </w:r>
      <w:proofErr w:type="gramEnd"/>
    </w:p>
    <w:p w14:paraId="6044598D" w14:textId="25F4E620" w:rsidR="00FC6FE3" w:rsidRDefault="00551DD1" w:rsidP="00FC6FE3">
      <w:r>
        <w:t>O</w:t>
      </w:r>
      <w:r w:rsidR="00FC6FE3">
        <w:t>ur customers</w:t>
      </w:r>
      <w:r>
        <w:t xml:space="preserve"> told us</w:t>
      </w:r>
      <w:r w:rsidR="00FC6FE3">
        <w:t xml:space="preserve"> that providing safe and high-quality drinking water </w:t>
      </w:r>
      <w:proofErr w:type="gramStart"/>
      <w:r w:rsidR="00FC6FE3">
        <w:t>at all times</w:t>
      </w:r>
      <w:proofErr w:type="gramEnd"/>
      <w:r w:rsidR="00FC6FE3">
        <w:t xml:space="preserve"> was a top priority. Our customers will experience</w:t>
      </w:r>
      <w:r w:rsidR="00465032">
        <w:t xml:space="preserve"> this outcome as</w:t>
      </w:r>
      <w:r w:rsidR="00FC6FE3">
        <w:t>:</w:t>
      </w:r>
    </w:p>
    <w:p w14:paraId="392C7141" w14:textId="72B19664" w:rsidR="00FC6FE3" w:rsidRDefault="00FC6FE3" w:rsidP="00004A92">
      <w:pPr>
        <w:pStyle w:val="ListBullet"/>
      </w:pPr>
      <w:r>
        <w:t>Water that tastes great, is high quality and always safe to drink</w:t>
      </w:r>
      <w:r w:rsidR="008E4B22">
        <w:t>.</w:t>
      </w:r>
    </w:p>
    <w:p w14:paraId="7901AE31" w14:textId="3FEF16D0" w:rsidR="00FC6FE3" w:rsidRDefault="00FC6FE3" w:rsidP="00004A92">
      <w:pPr>
        <w:pStyle w:val="ListBullet"/>
      </w:pPr>
      <w:r>
        <w:t xml:space="preserve">Water that is there when </w:t>
      </w:r>
      <w:r w:rsidR="008F74F6">
        <w:t xml:space="preserve">they </w:t>
      </w:r>
      <w:r>
        <w:t>turn on the tap</w:t>
      </w:r>
      <w:r w:rsidR="008E4B22">
        <w:t>.</w:t>
      </w:r>
    </w:p>
    <w:p w14:paraId="50847700" w14:textId="4FDF0FA6" w:rsidR="00FC6FE3" w:rsidRDefault="008F74F6" w:rsidP="00004A92">
      <w:pPr>
        <w:pStyle w:val="ListBullet"/>
      </w:pPr>
      <w:r>
        <w:t>Their</w:t>
      </w:r>
      <w:r w:rsidR="00FC6FE3">
        <w:t xml:space="preserve"> sewerage service work</w:t>
      </w:r>
      <w:r w:rsidR="00F60336">
        <w:t>s</w:t>
      </w:r>
      <w:r w:rsidR="00FC6FE3">
        <w:t xml:space="preserve"> without interruptions or blockages</w:t>
      </w:r>
      <w:r w:rsidR="008E4B22">
        <w:t>.</w:t>
      </w:r>
    </w:p>
    <w:p w14:paraId="11F93540" w14:textId="1C24816D" w:rsidR="008E4B22" w:rsidRDefault="00FC6FE3" w:rsidP="00A14C50">
      <w:pPr>
        <w:pStyle w:val="Heading4"/>
      </w:pPr>
      <w:r>
        <w:t>What we heard from our customers</w:t>
      </w:r>
    </w:p>
    <w:p w14:paraId="322CEC4D" w14:textId="45BFBCCF" w:rsidR="009D3592" w:rsidRDefault="00371C1D" w:rsidP="00FC6FE3">
      <w:r>
        <w:t>We</w:t>
      </w:r>
      <w:r w:rsidR="0016091A">
        <w:t xml:space="preserve"> heard that customers valued </w:t>
      </w:r>
      <w:r w:rsidR="001509D8">
        <w:t>safe and high-quality drinking water</w:t>
      </w:r>
      <w:r w:rsidR="00C564C7">
        <w:t>, and consistency of supply</w:t>
      </w:r>
      <w:r w:rsidR="00D14345" w:rsidDel="00B23A75">
        <w:t>,</w:t>
      </w:r>
      <w:r w:rsidR="00A2615E">
        <w:t xml:space="preserve"> </w:t>
      </w:r>
      <w:r w:rsidR="00E56969">
        <w:t xml:space="preserve">and </w:t>
      </w:r>
      <w:r w:rsidR="0097147B">
        <w:t>are</w:t>
      </w:r>
      <w:r w:rsidR="00E56969">
        <w:t xml:space="preserve"> prepared to pay more to support</w:t>
      </w:r>
      <w:r w:rsidR="00F91A1B">
        <w:t xml:space="preserve"> improvements. </w:t>
      </w:r>
      <w:r w:rsidR="0097147B">
        <w:t>O</w:t>
      </w:r>
      <w:r w:rsidR="002443E7">
        <w:t>ur deliberative panel wrote recommendations supporting this outcome</w:t>
      </w:r>
      <w:r w:rsidR="0097147B">
        <w:t>. They</w:t>
      </w:r>
      <w:r w:rsidR="004C7D9B">
        <w:t xml:space="preserve"> were happy with the current level of service</w:t>
      </w:r>
      <w:r w:rsidR="00DC466C">
        <w:t xml:space="preserve"> for unplanned outages</w:t>
      </w:r>
      <w:r w:rsidR="00C564C7">
        <w:t xml:space="preserve"> and</w:t>
      </w:r>
      <w:r w:rsidR="00AB2E24">
        <w:t xml:space="preserve"> did not recommend spend</w:t>
      </w:r>
      <w:r w:rsidR="0097147B">
        <w:t>ing</w:t>
      </w:r>
      <w:r w:rsidR="00AB2E24">
        <w:t xml:space="preserve"> more to reduce the</w:t>
      </w:r>
      <w:r w:rsidR="0097147B">
        <w:t>ir</w:t>
      </w:r>
      <w:r w:rsidR="00AB2E24">
        <w:t xml:space="preserve"> frequency.</w:t>
      </w:r>
      <w:r w:rsidR="00DC466C">
        <w:t xml:space="preserve"> </w:t>
      </w:r>
      <w:r w:rsidR="00A549E5">
        <w:t xml:space="preserve"> </w:t>
      </w:r>
    </w:p>
    <w:p w14:paraId="6FBEF41F" w14:textId="523260FF" w:rsidR="0097147B" w:rsidRDefault="0097147B" w:rsidP="00A14C50">
      <w:pPr>
        <w:pStyle w:val="Heading5"/>
      </w:pPr>
      <w:r>
        <w:t>Exploration stage</w:t>
      </w:r>
    </w:p>
    <w:p w14:paraId="240CCC3A" w14:textId="432AACFB" w:rsidR="00FC6FE3" w:rsidRDefault="00FC6FE3" w:rsidP="00FC6FE3">
      <w:r>
        <w:t>In the exploration stage customer survey, customers</w:t>
      </w:r>
      <w:r w:rsidR="00355139">
        <w:t xml:space="preserve"> told us that they</w:t>
      </w:r>
      <w:r w:rsidR="00095A0A">
        <w:t xml:space="preserve"> value</w:t>
      </w:r>
      <w:r>
        <w:t xml:space="preserve">: </w:t>
      </w:r>
    </w:p>
    <w:p w14:paraId="1A039B5F" w14:textId="39637155" w:rsidR="00FC6FE3" w:rsidRDefault="00FC6FE3">
      <w:pPr>
        <w:pStyle w:val="ListBullet"/>
        <w:numPr>
          <w:ilvl w:val="0"/>
          <w:numId w:val="83"/>
        </w:numPr>
      </w:pPr>
      <w:r>
        <w:t xml:space="preserve">everyone in </w:t>
      </w:r>
      <w:r w:rsidR="008423F9">
        <w:t>the</w:t>
      </w:r>
      <w:r>
        <w:t xml:space="preserve"> </w:t>
      </w:r>
      <w:r w:rsidR="008423F9">
        <w:t xml:space="preserve">service </w:t>
      </w:r>
      <w:r>
        <w:t>region having the same great tasting water</w:t>
      </w:r>
      <w:r w:rsidR="00355139">
        <w:t xml:space="preserve"> (55% or respondents)</w:t>
      </w:r>
    </w:p>
    <w:p w14:paraId="176C5E3C" w14:textId="2B6DFDC7" w:rsidR="00FC6FE3" w:rsidRDefault="00FC6FE3">
      <w:pPr>
        <w:pStyle w:val="ListBullet"/>
        <w:numPr>
          <w:ilvl w:val="0"/>
          <w:numId w:val="83"/>
        </w:numPr>
      </w:pPr>
      <w:r>
        <w:t xml:space="preserve">everyone in </w:t>
      </w:r>
      <w:r w:rsidR="008423F9">
        <w:t>the</w:t>
      </w:r>
      <w:r>
        <w:t xml:space="preserve"> </w:t>
      </w:r>
      <w:r w:rsidR="008423F9">
        <w:t xml:space="preserve">service </w:t>
      </w:r>
      <w:r>
        <w:t>region having the same level of water security, where no one is more at risk of water restrictions</w:t>
      </w:r>
      <w:r w:rsidR="00095A0A">
        <w:t xml:space="preserve"> (47% of respondents)</w:t>
      </w:r>
    </w:p>
    <w:p w14:paraId="3367EBA7" w14:textId="38B9F0EE" w:rsidR="00FC6FE3" w:rsidRDefault="00FC6FE3">
      <w:pPr>
        <w:pStyle w:val="ListBullet"/>
        <w:numPr>
          <w:ilvl w:val="0"/>
          <w:numId w:val="83"/>
        </w:numPr>
      </w:pPr>
      <w:r>
        <w:t xml:space="preserve">everyone </w:t>
      </w:r>
      <w:r w:rsidR="00095A0A">
        <w:t>paying</w:t>
      </w:r>
      <w:r>
        <w:t xml:space="preserve"> the same amount for water, regardless of where they live</w:t>
      </w:r>
      <w:r w:rsidR="00095A0A">
        <w:t xml:space="preserve"> (54% of respondents)</w:t>
      </w:r>
      <w:r>
        <w:t xml:space="preserve"> </w:t>
      </w:r>
    </w:p>
    <w:p w14:paraId="34C846ED" w14:textId="5A5D5602" w:rsidR="00FC6FE3" w:rsidRDefault="0097147B" w:rsidP="00FC6FE3">
      <w:r>
        <w:t>C</w:t>
      </w:r>
      <w:r w:rsidR="00FC6FE3">
        <w:t xml:space="preserve">ustomers strongly supported our </w:t>
      </w:r>
      <w:r w:rsidR="00CD67F9" w:rsidRPr="0000574F">
        <w:rPr>
          <w:i/>
        </w:rPr>
        <w:t>2030 Strategy</w:t>
      </w:r>
      <w:r w:rsidR="00CD67F9">
        <w:t xml:space="preserve"> outcomes </w:t>
      </w:r>
      <w:r w:rsidR="00FC6FE3">
        <w:t xml:space="preserve">‘delivering value to customers’ </w:t>
      </w:r>
      <w:r w:rsidR="00095A0A">
        <w:t xml:space="preserve">and </w:t>
      </w:r>
      <w:r w:rsidR="00FC6FE3">
        <w:t>72</w:t>
      </w:r>
      <w:r w:rsidR="00880C6F">
        <w:t>%</w:t>
      </w:r>
      <w:r w:rsidR="00FC6FE3">
        <w:t xml:space="preserve"> of respondents and </w:t>
      </w:r>
      <w:r w:rsidR="006F623C">
        <w:t>most</w:t>
      </w:r>
      <w:r w:rsidR="00C20472">
        <w:t xml:space="preserve"> of</w:t>
      </w:r>
      <w:r w:rsidR="00FC6FE3">
        <w:t xml:space="preserve"> our stakeholder respondents identified delivering reliable services, even in the face of climate change and a rapidly growing population</w:t>
      </w:r>
      <w:r w:rsidR="006F623C">
        <w:t>,</w:t>
      </w:r>
      <w:r w:rsidR="00FC6FE3">
        <w:t xml:space="preserve"> as important. </w:t>
      </w:r>
      <w:r w:rsidR="00EE5536">
        <w:t>F</w:t>
      </w:r>
      <w:r w:rsidR="00FC6FE3">
        <w:t>indings were consistently reflected in the exploration stage focus groups</w:t>
      </w:r>
      <w:r w:rsidR="000164AB">
        <w:t>,</w:t>
      </w:r>
      <w:r w:rsidR="00FC6FE3">
        <w:t xml:space="preserve"> with 29</w:t>
      </w:r>
      <w:r w:rsidR="00880C6F">
        <w:t>%</w:t>
      </w:r>
      <w:r w:rsidR="00FC6FE3">
        <w:t xml:space="preserve"> of comments relating to high-quality water and system reliability – the highest priority after affordability. </w:t>
      </w:r>
    </w:p>
    <w:p w14:paraId="03252D2D" w14:textId="38265AA1" w:rsidR="00D81E5F" w:rsidRDefault="00D81E5F" w:rsidP="009D1C1D">
      <w:pPr>
        <w:pStyle w:val="Heading5"/>
      </w:pPr>
      <w:r>
        <w:t>Valuation stage</w:t>
      </w:r>
    </w:p>
    <w:p w14:paraId="6448EECC" w14:textId="20591CD8" w:rsidR="0097147B" w:rsidRDefault="000164AB" w:rsidP="00FC6FE3">
      <w:r>
        <w:t>Through the</w:t>
      </w:r>
      <w:r w:rsidR="00FC6FE3">
        <w:t xml:space="preserve"> bill simulator survey and focus groups, we tested three investment options to deliver various </w:t>
      </w:r>
      <w:r w:rsidR="001D0BE4">
        <w:t xml:space="preserve">levels of </w:t>
      </w:r>
      <w:r w:rsidR="00FC6FE3">
        <w:t>quality and reliability of water supply to all customers. We</w:t>
      </w:r>
      <w:r w:rsidR="00FC6FE3" w:rsidDel="000164AB">
        <w:t xml:space="preserve"> </w:t>
      </w:r>
      <w:r>
        <w:t>found</w:t>
      </w:r>
      <w:r w:rsidR="00FC6FE3">
        <w:t xml:space="preserve"> that </w:t>
      </w:r>
      <w:r w:rsidR="00CE3DC5">
        <w:t xml:space="preserve">survey </w:t>
      </w:r>
      <w:r w:rsidR="00ED1C58">
        <w:t>respondents’</w:t>
      </w:r>
      <w:r w:rsidR="00CE3DC5">
        <w:t xml:space="preserve"> </w:t>
      </w:r>
      <w:r w:rsidR="00FC6FE3">
        <w:t xml:space="preserve">willingness to pay </w:t>
      </w:r>
      <w:r w:rsidR="00CE3DC5">
        <w:t xml:space="preserve">was a mix of the most expensive option to fix issues as soon as </w:t>
      </w:r>
      <w:proofErr w:type="gramStart"/>
      <w:r w:rsidR="00CE3DC5">
        <w:t>feasible</w:t>
      </w:r>
      <w:r w:rsidR="001351E3">
        <w:t>,</w:t>
      </w:r>
      <w:r w:rsidR="00A95A9B">
        <w:t xml:space="preserve"> </w:t>
      </w:r>
      <w:r w:rsidR="0032693A">
        <w:t>and</w:t>
      </w:r>
      <w:proofErr w:type="gramEnd"/>
      <w:r w:rsidR="00A95A9B">
        <w:t xml:space="preserve"> spend</w:t>
      </w:r>
      <w:r w:rsidR="0032693A">
        <w:t>ing</w:t>
      </w:r>
      <w:r w:rsidR="00A95A9B">
        <w:t xml:space="preserve"> more than current levels to address the highest risk areas.</w:t>
      </w:r>
      <w:r w:rsidR="00FC6FE3">
        <w:t xml:space="preserve"> This was also evident across focus group participants, including financially vulnerable customers, who were also willing to pay more to prioritise fixing the problems as soon as feasible. Focus group participants chose t</w:t>
      </w:r>
      <w:r w:rsidR="0051127E">
        <w:t>he</w:t>
      </w:r>
      <w:r w:rsidR="00FC6FE3">
        <w:t xml:space="preserve"> highest option driven by equity concerns and were willing to pay a bit more to ensure all customers regardless of where they live received a similar level of service. </w:t>
      </w:r>
    </w:p>
    <w:p w14:paraId="2F2A571F" w14:textId="5BACC658" w:rsidR="00FC6FE3" w:rsidRDefault="0097147B">
      <w:pPr>
        <w:pStyle w:val="Heading5"/>
      </w:pPr>
      <w:r>
        <w:t>Deliberation stage</w:t>
      </w:r>
      <w:r w:rsidR="00FC6FE3">
        <w:t xml:space="preserve"> </w:t>
      </w:r>
    </w:p>
    <w:p w14:paraId="065D0D38" w14:textId="31B1F102" w:rsidR="00FC6FE3" w:rsidRDefault="000374F5" w:rsidP="00FC6FE3">
      <w:r>
        <w:t>W</w:t>
      </w:r>
      <w:r w:rsidR="00FC6FE3">
        <w:t xml:space="preserve">e took this </w:t>
      </w:r>
      <w:r w:rsidR="00863D2C">
        <w:t xml:space="preserve">priority </w:t>
      </w:r>
      <w:r w:rsidR="006D662D">
        <w:t xml:space="preserve">topic </w:t>
      </w:r>
      <w:r w:rsidR="00FC6FE3">
        <w:t>to our deliberative panel</w:t>
      </w:r>
      <w:r w:rsidR="00D9268A">
        <w:t xml:space="preserve">, which made </w:t>
      </w:r>
      <w:r w:rsidR="005B486F">
        <w:t>several</w:t>
      </w:r>
      <w:r w:rsidR="00FC6FE3">
        <w:t xml:space="preserve"> recommendations</w:t>
      </w:r>
      <w:r w:rsidR="00D9268A">
        <w:t>,</w:t>
      </w:r>
      <w:r w:rsidR="00FC6FE3">
        <w:t xml:space="preserve"> including:</w:t>
      </w:r>
    </w:p>
    <w:p w14:paraId="409F550F" w14:textId="77777777" w:rsidR="00A95437" w:rsidRDefault="00FC6FE3">
      <w:pPr>
        <w:pStyle w:val="ListBullet"/>
        <w:numPr>
          <w:ilvl w:val="0"/>
          <w:numId w:val="84"/>
        </w:numPr>
      </w:pPr>
      <w:r>
        <w:t xml:space="preserve">Improve infrastructure to support drought resilience across our network by investing in improving network interconnectivity to move water through GWW’s network to </w:t>
      </w:r>
      <w:r>
        <w:lastRenderedPageBreak/>
        <w:t>areas that require the water in times of drought and more substantial local storage facilities. (Recommendation 2.1)</w:t>
      </w:r>
    </w:p>
    <w:p w14:paraId="78BC9063" w14:textId="11F0093E" w:rsidR="00FC6FE3" w:rsidRDefault="00FC6FE3">
      <w:pPr>
        <w:pStyle w:val="ListBullet"/>
        <w:numPr>
          <w:ilvl w:val="0"/>
          <w:numId w:val="84"/>
        </w:numPr>
      </w:pPr>
      <w:r>
        <w:t xml:space="preserve">Ensuring the highest standard of water quality, </w:t>
      </w:r>
      <w:proofErr w:type="gramStart"/>
      <w:r>
        <w:t>taste</w:t>
      </w:r>
      <w:proofErr w:type="gramEnd"/>
      <w:r>
        <w:t xml:space="preserve"> and smell for everyone regardless of geographic location. (Recommendation 2.2)</w:t>
      </w:r>
    </w:p>
    <w:p w14:paraId="35A53C3D" w14:textId="32C551E8" w:rsidR="00A95437" w:rsidRDefault="00FC6FE3">
      <w:pPr>
        <w:pStyle w:val="ListBullet"/>
        <w:numPr>
          <w:ilvl w:val="0"/>
          <w:numId w:val="84"/>
        </w:numPr>
      </w:pPr>
      <w:r>
        <w:t>Developing a short-term and long-term plan for upgrading infrastructure and by first addressing the highest risk areas whilst keeping the current level of service with some improvements</w:t>
      </w:r>
      <w:r w:rsidR="006A396C">
        <w:t>.</w:t>
      </w:r>
      <w:r>
        <w:t xml:space="preserve"> (Recommendation 2.3)</w:t>
      </w:r>
    </w:p>
    <w:p w14:paraId="088A8EC9" w14:textId="7F649FFD" w:rsidR="00FC6FE3" w:rsidRDefault="00FC6FE3">
      <w:pPr>
        <w:pStyle w:val="ListBullet"/>
        <w:numPr>
          <w:ilvl w:val="0"/>
          <w:numId w:val="84"/>
        </w:numPr>
      </w:pPr>
      <w:r>
        <w:t xml:space="preserve">Prioritising the delivery </w:t>
      </w:r>
      <w:r w:rsidR="006833F1">
        <w:t xml:space="preserve">and </w:t>
      </w:r>
      <w:r>
        <w:t xml:space="preserve">maintenance of harmonised pricing </w:t>
      </w:r>
      <w:r w:rsidR="006833F1">
        <w:t xml:space="preserve">and </w:t>
      </w:r>
      <w:r>
        <w:t xml:space="preserve">service levels between regional-urban and urban </w:t>
      </w:r>
      <w:r w:rsidR="00BA5142">
        <w:t>areas. (</w:t>
      </w:r>
      <w:r>
        <w:t>Recommendation 2.5)</w:t>
      </w:r>
    </w:p>
    <w:p w14:paraId="46946965" w14:textId="7AF7B60E" w:rsidR="00FC6FE3" w:rsidRDefault="00FC6FE3" w:rsidP="00FC6FE3">
      <w:r>
        <w:t xml:space="preserve">We </w:t>
      </w:r>
      <w:r w:rsidR="0087551A">
        <w:t xml:space="preserve">incorporated </w:t>
      </w:r>
      <w:r>
        <w:t xml:space="preserve">these recommendations in our customer outcomes and experiences. </w:t>
      </w:r>
    </w:p>
    <w:p w14:paraId="469C2042" w14:textId="3F545D83" w:rsidR="00FC6FE3" w:rsidRDefault="00FC6FE3" w:rsidP="003A1AD6">
      <w:pPr>
        <w:pStyle w:val="Heading4"/>
      </w:pPr>
      <w:r>
        <w:t xml:space="preserve">How we will </w:t>
      </w:r>
      <w:r w:rsidR="00CE7C47">
        <w:t>be accountable to our customers</w:t>
      </w:r>
    </w:p>
    <w:p w14:paraId="6E8E5246" w14:textId="16421013" w:rsidR="00FC6FE3" w:rsidRDefault="00306FEC" w:rsidP="00FC6FE3">
      <w:r w:rsidRPr="00306FEC">
        <w:t>We will report against four measures that underpin our three customer experiences. These measures were voted for by our customer forum</w:t>
      </w:r>
      <w:r w:rsidR="0000590A">
        <w:t>.</w:t>
      </w:r>
    </w:p>
    <w:p w14:paraId="02726268" w14:textId="6D4BDAD2" w:rsidR="00E20268" w:rsidRDefault="00445478" w:rsidP="00FC6FE3">
      <w:r>
        <w:t xml:space="preserve">We will report </w:t>
      </w:r>
      <w:r w:rsidR="00921086">
        <w:t>on</w:t>
      </w:r>
      <w:r w:rsidR="00E20268">
        <w:t>:</w:t>
      </w:r>
    </w:p>
    <w:p w14:paraId="1C49D3E5" w14:textId="7E81E896" w:rsidR="00E20268" w:rsidRDefault="00FC6FE3">
      <w:pPr>
        <w:pStyle w:val="ListBullet"/>
        <w:numPr>
          <w:ilvl w:val="0"/>
          <w:numId w:val="85"/>
        </w:numPr>
        <w:ind w:left="360"/>
      </w:pPr>
      <w:r>
        <w:t xml:space="preserve">compliance </w:t>
      </w:r>
      <w:r w:rsidR="002906F9">
        <w:t xml:space="preserve">with </w:t>
      </w:r>
      <w:r>
        <w:t>Australian Drinking Water Guidelines</w:t>
      </w:r>
      <w:r w:rsidR="00671726">
        <w:t xml:space="preserve"> and </w:t>
      </w:r>
      <w:r>
        <w:t>Safe Drinking Water</w:t>
      </w:r>
      <w:r w:rsidR="00921086">
        <w:t xml:space="preserve"> standards</w:t>
      </w:r>
      <w:r>
        <w:t xml:space="preserve"> to demonstrate that our water tastes great, is high quality and always safe to drink</w:t>
      </w:r>
      <w:r w:rsidR="00585E43">
        <w:t>.</w:t>
      </w:r>
    </w:p>
    <w:p w14:paraId="64F74083" w14:textId="58C4C564" w:rsidR="00FC6FE3" w:rsidRDefault="00FC6FE3">
      <w:pPr>
        <w:pStyle w:val="ListBullet"/>
        <w:numPr>
          <w:ilvl w:val="0"/>
          <w:numId w:val="85"/>
        </w:numPr>
        <w:ind w:left="360"/>
      </w:pPr>
      <w:r>
        <w:t xml:space="preserve">customer satisfaction </w:t>
      </w:r>
      <w:r w:rsidR="002906F9">
        <w:t>with the</w:t>
      </w:r>
      <w:r>
        <w:t xml:space="preserve"> quality of water they receive</w:t>
      </w:r>
      <w:r w:rsidR="00585E43">
        <w:t>.</w:t>
      </w:r>
    </w:p>
    <w:p w14:paraId="7C72CFCE" w14:textId="516B793D" w:rsidR="00DA5B0B" w:rsidRDefault="00FC6FE3">
      <w:pPr>
        <w:pStyle w:val="ListBullet"/>
        <w:numPr>
          <w:ilvl w:val="0"/>
          <w:numId w:val="85"/>
        </w:numPr>
        <w:ind w:left="360"/>
      </w:pPr>
      <w:r>
        <w:t xml:space="preserve">the number of customers receiving a high-level of unplanned interruptions </w:t>
      </w:r>
      <w:r w:rsidR="002906F9">
        <w:t xml:space="preserve">to water supply and sewerage </w:t>
      </w:r>
      <w:r>
        <w:t xml:space="preserve">services. </w:t>
      </w:r>
    </w:p>
    <w:p w14:paraId="0063473A" w14:textId="77777777" w:rsidR="00DA5B0B" w:rsidRDefault="001D01F5">
      <w:pPr>
        <w:pStyle w:val="ListParagraph"/>
        <w:numPr>
          <w:ilvl w:val="0"/>
          <w:numId w:val="85"/>
        </w:numPr>
        <w:ind w:left="360"/>
      </w:pPr>
      <w:r>
        <w:t xml:space="preserve">Our targets are based on average performance over 2020-23 </w:t>
      </w:r>
      <w:r w:rsidR="00740E03">
        <w:t>and</w:t>
      </w:r>
      <w:r w:rsidR="00477936">
        <w:t xml:space="preserve"> across regional and urban areas.</w:t>
      </w:r>
    </w:p>
    <w:p w14:paraId="30312A24" w14:textId="77777777" w:rsidR="00004A92" w:rsidRDefault="00004A92" w:rsidP="00264635"/>
    <w:p w14:paraId="4D284B0A" w14:textId="08620FC3" w:rsidR="00004A92" w:rsidRDefault="00004A92" w:rsidP="00115C49">
      <w:pPr>
        <w:sectPr w:rsidR="00004A92" w:rsidSect="00583DBC">
          <w:pgSz w:w="11906" w:h="16838" w:code="9"/>
          <w:pgMar w:top="1134" w:right="1134" w:bottom="1134" w:left="1134" w:header="709" w:footer="652" w:gutter="0"/>
          <w:cols w:space="708"/>
          <w:docGrid w:linePitch="360"/>
        </w:sectPr>
      </w:pPr>
    </w:p>
    <w:p w14:paraId="26022F1A" w14:textId="143DCCFE" w:rsidR="00EC61BD" w:rsidRDefault="00EC61BD" w:rsidP="00EC61BD">
      <w:pPr>
        <w:pStyle w:val="Caption"/>
      </w:pPr>
      <w:r w:rsidRPr="00FD6DD9">
        <w:rPr>
          <w:b/>
          <w:bCs/>
        </w:rPr>
        <w:lastRenderedPageBreak/>
        <w:t xml:space="preserve">Table </w:t>
      </w:r>
      <w:r w:rsidRPr="00FD6DD9">
        <w:rPr>
          <w:b/>
          <w:bCs/>
        </w:rPr>
        <w:fldChar w:fldCharType="begin"/>
      </w:r>
      <w:r w:rsidRPr="00FD6DD9">
        <w:rPr>
          <w:b/>
          <w:bCs/>
        </w:rPr>
        <w:instrText>SEQ Table \* ARABIC</w:instrText>
      </w:r>
      <w:r w:rsidRPr="00FD6DD9">
        <w:rPr>
          <w:b/>
          <w:bCs/>
        </w:rPr>
        <w:fldChar w:fldCharType="separate"/>
      </w:r>
      <w:r w:rsidR="003B42C6">
        <w:rPr>
          <w:b/>
          <w:bCs/>
          <w:noProof/>
        </w:rPr>
        <w:t>4</w:t>
      </w:r>
      <w:r w:rsidRPr="00FD6DD9">
        <w:rPr>
          <w:b/>
          <w:bCs/>
        </w:rPr>
        <w:fldChar w:fldCharType="end"/>
      </w:r>
      <w:r>
        <w:t xml:space="preserve"> Customer outcome</w:t>
      </w:r>
      <w:r w:rsidR="009374C5">
        <w:t xml:space="preserve"> </w:t>
      </w:r>
      <w:r w:rsidR="00DA5B0B">
        <w:t xml:space="preserve">1 </w:t>
      </w:r>
      <w:r w:rsidR="009374C5">
        <w:t xml:space="preserve">– Your water is safe, consistent and </w:t>
      </w:r>
      <w:proofErr w:type="gramStart"/>
      <w:r w:rsidR="009374C5">
        <w:t>resilient</w:t>
      </w:r>
      <w:proofErr w:type="gramEnd"/>
      <w:r w:rsidR="009374C5">
        <w:t xml:space="preserve"> </w:t>
      </w:r>
    </w:p>
    <w:tbl>
      <w:tblPr>
        <w:tblStyle w:val="GWWDefaulttable"/>
        <w:tblW w:w="0" w:type="auto"/>
        <w:tblLayout w:type="fixed"/>
        <w:tblLook w:val="04A0" w:firstRow="1" w:lastRow="0" w:firstColumn="1" w:lastColumn="0" w:noHBand="0" w:noVBand="1"/>
      </w:tblPr>
      <w:tblGrid>
        <w:gridCol w:w="2671"/>
        <w:gridCol w:w="2999"/>
        <w:gridCol w:w="2144"/>
        <w:gridCol w:w="6746"/>
      </w:tblGrid>
      <w:tr w:rsidR="00961D2A" w:rsidRPr="00DA5B0B" w14:paraId="00A2F204" w14:textId="77777777" w:rsidTr="00537D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60" w:type="dxa"/>
            <w:gridSpan w:val="4"/>
          </w:tcPr>
          <w:p w14:paraId="740F0E42" w14:textId="77777777" w:rsidR="00961D2A" w:rsidRPr="00710C5F" w:rsidRDefault="00961D2A" w:rsidP="00961D2A">
            <w:pPr>
              <w:rPr>
                <w:rFonts w:ascii="Verdana" w:eastAsia="Verdana" w:hAnsi="Verdana"/>
                <w:spacing w:val="0"/>
                <w:szCs w:val="18"/>
              </w:rPr>
            </w:pPr>
            <w:r w:rsidRPr="00710C5F">
              <w:rPr>
                <w:rFonts w:ascii="Verdana" w:eastAsia="Verdana" w:hAnsi="Verdana"/>
                <w:spacing w:val="0"/>
                <w:szCs w:val="18"/>
              </w:rPr>
              <w:t xml:space="preserve">Your water is safe, </w:t>
            </w:r>
            <w:proofErr w:type="gramStart"/>
            <w:r w:rsidRPr="00710C5F">
              <w:rPr>
                <w:rFonts w:ascii="Verdana" w:eastAsia="Verdana" w:hAnsi="Verdana"/>
                <w:spacing w:val="0"/>
                <w:szCs w:val="18"/>
              </w:rPr>
              <w:t>consistent</w:t>
            </w:r>
            <w:proofErr w:type="gramEnd"/>
            <w:r w:rsidRPr="00710C5F">
              <w:rPr>
                <w:rFonts w:ascii="Verdana" w:eastAsia="Verdana" w:hAnsi="Verdana"/>
                <w:spacing w:val="0"/>
                <w:szCs w:val="18"/>
              </w:rPr>
              <w:t xml:space="preserve"> and resilient</w:t>
            </w:r>
          </w:p>
        </w:tc>
      </w:tr>
      <w:tr w:rsidR="00961D2A" w:rsidRPr="00DA5B0B" w14:paraId="42DB9AA7"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tcPr>
          <w:p w14:paraId="062B36A2" w14:textId="5D845FF6" w:rsidR="00961D2A" w:rsidRPr="00E22F26" w:rsidRDefault="00961D2A" w:rsidP="00961D2A">
            <w:pPr>
              <w:rPr>
                <w:rFonts w:ascii="Verdana" w:eastAsia="Verdana" w:hAnsi="Verdana"/>
                <w:b w:val="0"/>
                <w:bCs/>
                <w:spacing w:val="0"/>
                <w:szCs w:val="18"/>
              </w:rPr>
            </w:pPr>
            <w:r w:rsidRPr="00E22F26">
              <w:rPr>
                <w:rFonts w:ascii="Verdana" w:eastAsia="Verdana" w:hAnsi="Verdana"/>
                <w:b w:val="0"/>
                <w:spacing w:val="0"/>
              </w:rPr>
              <w:t>We want to ensure that everyone in the region has the same level of water security</w:t>
            </w:r>
            <w:r w:rsidR="004B061C">
              <w:rPr>
                <w:rFonts w:ascii="Verdana" w:eastAsia="Verdana" w:hAnsi="Verdana"/>
                <w:b w:val="0"/>
                <w:spacing w:val="0"/>
              </w:rPr>
              <w:t>.</w:t>
            </w:r>
            <w:r w:rsidRPr="00E22F26">
              <w:rPr>
                <w:rFonts w:ascii="Verdana" w:eastAsia="Verdana" w:hAnsi="Verdana"/>
                <w:b w:val="0"/>
                <w:spacing w:val="0"/>
              </w:rPr>
              <w:t xml:space="preserve"> </w:t>
            </w:r>
            <w:r w:rsidR="004B061C">
              <w:rPr>
                <w:rFonts w:ascii="Verdana" w:eastAsia="Verdana" w:hAnsi="Verdana"/>
                <w:b w:val="0"/>
                <w:spacing w:val="0"/>
              </w:rPr>
              <w:t>T</w:t>
            </w:r>
            <w:r w:rsidRPr="00E22F26">
              <w:rPr>
                <w:rFonts w:ascii="Verdana" w:eastAsia="Verdana" w:hAnsi="Verdana"/>
                <w:b w:val="0"/>
                <w:spacing w:val="0"/>
              </w:rPr>
              <w:t>hat</w:t>
            </w:r>
            <w:r w:rsidRPr="00E22F26" w:rsidDel="004B061C">
              <w:rPr>
                <w:rFonts w:ascii="Verdana" w:eastAsia="Verdana" w:hAnsi="Verdana"/>
                <w:b w:val="0"/>
                <w:spacing w:val="0"/>
              </w:rPr>
              <w:t xml:space="preserve"> </w:t>
            </w:r>
            <w:r w:rsidR="004B061C">
              <w:rPr>
                <w:rFonts w:ascii="Verdana" w:eastAsia="Verdana" w:hAnsi="Verdana"/>
                <w:b w:val="0"/>
                <w:spacing w:val="0"/>
              </w:rPr>
              <w:t xml:space="preserve">means services </w:t>
            </w:r>
            <w:r w:rsidRPr="00E22F26">
              <w:rPr>
                <w:rFonts w:ascii="Verdana" w:eastAsia="Verdana" w:hAnsi="Verdana"/>
                <w:b w:val="0"/>
                <w:spacing w:val="0"/>
              </w:rPr>
              <w:t xml:space="preserve">that </w:t>
            </w:r>
            <w:r w:rsidR="004B061C">
              <w:rPr>
                <w:rFonts w:ascii="Verdana" w:eastAsia="Verdana" w:hAnsi="Verdana"/>
                <w:b w:val="0"/>
                <w:spacing w:val="0"/>
              </w:rPr>
              <w:t>work</w:t>
            </w:r>
            <w:r w:rsidRPr="00E22F26">
              <w:rPr>
                <w:rFonts w:ascii="Verdana" w:eastAsia="Verdana" w:hAnsi="Verdana"/>
                <w:b w:val="0"/>
                <w:spacing w:val="0"/>
              </w:rPr>
              <w:t xml:space="preserve"> without interruption, and that the water is great-tasting, safe and of high quality. We want to ensure that our services are consistent and resilient to population and climate change.</w:t>
            </w:r>
          </w:p>
        </w:tc>
      </w:tr>
      <w:tr w:rsidR="00DA5B0B" w:rsidRPr="00702AE9" w14:paraId="569B8765"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2671" w:type="dxa"/>
            <w:shd w:val="clear" w:color="auto" w:fill="1A206C" w:themeFill="text2"/>
            <w:vAlign w:val="center"/>
          </w:tcPr>
          <w:p w14:paraId="7DC8C7AC" w14:textId="77777777" w:rsidR="00961D2A" w:rsidRPr="00702AE9" w:rsidRDefault="00961D2A" w:rsidP="001B744E">
            <w:pPr>
              <w:pStyle w:val="NoSpacing"/>
              <w:rPr>
                <w:color w:val="FFFFFF" w:themeColor="background1"/>
              </w:rPr>
            </w:pPr>
            <w:r w:rsidRPr="00702AE9">
              <w:rPr>
                <w:color w:val="FFFFFF" w:themeColor="background1"/>
              </w:rPr>
              <w:t>Experiences</w:t>
            </w:r>
          </w:p>
        </w:tc>
        <w:tc>
          <w:tcPr>
            <w:tcW w:w="2999" w:type="dxa"/>
            <w:shd w:val="clear" w:color="auto" w:fill="1A206C" w:themeFill="text2"/>
            <w:vAlign w:val="center"/>
          </w:tcPr>
          <w:p w14:paraId="1AA10B9F" w14:textId="370E047E" w:rsidR="00961D2A" w:rsidRPr="00702AE9" w:rsidRDefault="000E32AF"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Report card m</w:t>
            </w:r>
            <w:r w:rsidR="00961D2A" w:rsidRPr="00702AE9">
              <w:rPr>
                <w:rFonts w:asciiTheme="majorHAnsi" w:hAnsiTheme="majorHAnsi"/>
                <w:b/>
                <w:color w:val="FFFFFF" w:themeColor="background1"/>
              </w:rPr>
              <w:t>easures</w:t>
            </w:r>
          </w:p>
        </w:tc>
        <w:tc>
          <w:tcPr>
            <w:tcW w:w="2144" w:type="dxa"/>
            <w:shd w:val="clear" w:color="auto" w:fill="1A206C" w:themeFill="text2"/>
            <w:vAlign w:val="center"/>
          </w:tcPr>
          <w:p w14:paraId="2F47893C" w14:textId="77777777" w:rsidR="00961D2A" w:rsidRPr="00702AE9" w:rsidRDefault="00961D2A"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Our 2024-28 target</w:t>
            </w:r>
          </w:p>
        </w:tc>
        <w:tc>
          <w:tcPr>
            <w:tcW w:w="6746" w:type="dxa"/>
            <w:shd w:val="clear" w:color="auto" w:fill="1A206C" w:themeFill="text2"/>
            <w:vAlign w:val="center"/>
          </w:tcPr>
          <w:p w14:paraId="66689EA8" w14:textId="3290C24B" w:rsidR="00961D2A" w:rsidRPr="00702AE9" w:rsidRDefault="00F20EA4"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Commitments</w:t>
            </w:r>
            <w:r w:rsidR="00905E59" w:rsidRPr="00702AE9">
              <w:rPr>
                <w:rFonts w:asciiTheme="majorHAnsi" w:hAnsiTheme="majorHAnsi"/>
                <w:b/>
                <w:color w:val="FFFFFF" w:themeColor="background1"/>
              </w:rPr>
              <w:t xml:space="preserve"> </w:t>
            </w:r>
            <w:r w:rsidRPr="00702AE9">
              <w:rPr>
                <w:rFonts w:asciiTheme="majorHAnsi" w:hAnsiTheme="majorHAnsi"/>
                <w:b/>
                <w:color w:val="FFFFFF" w:themeColor="background1"/>
              </w:rPr>
              <w:t>delivering</w:t>
            </w:r>
            <w:r w:rsidR="00905E59" w:rsidRPr="00702AE9">
              <w:rPr>
                <w:rFonts w:asciiTheme="majorHAnsi" w:hAnsiTheme="majorHAnsi"/>
                <w:b/>
                <w:color w:val="FFFFFF" w:themeColor="background1"/>
              </w:rPr>
              <w:t xml:space="preserve"> benefits to customers </w:t>
            </w:r>
            <w:r w:rsidR="00961D2A" w:rsidRPr="00702AE9">
              <w:rPr>
                <w:rFonts w:asciiTheme="majorHAnsi" w:hAnsiTheme="majorHAnsi"/>
                <w:b/>
                <w:color w:val="FFFFFF" w:themeColor="background1"/>
              </w:rPr>
              <w:t xml:space="preserve"> </w:t>
            </w:r>
          </w:p>
        </w:tc>
      </w:tr>
      <w:tr w:rsidR="00DA5B0B" w:rsidRPr="00DA5B0B" w14:paraId="34E80C6B" w14:textId="77777777" w:rsidTr="007B13A7">
        <w:trPr>
          <w:trHeight w:val="2070"/>
        </w:trPr>
        <w:tc>
          <w:tcPr>
            <w:cnfStyle w:val="001000000000" w:firstRow="0" w:lastRow="0" w:firstColumn="1" w:lastColumn="0" w:oddVBand="0" w:evenVBand="0" w:oddHBand="0" w:evenHBand="0" w:firstRowFirstColumn="0" w:firstRowLastColumn="0" w:lastRowFirstColumn="0" w:lastRowLastColumn="0"/>
            <w:tcW w:w="2671" w:type="dxa"/>
            <w:vMerge w:val="restart"/>
          </w:tcPr>
          <w:p w14:paraId="27A60AE7" w14:textId="77777777" w:rsidR="00961D2A" w:rsidRPr="00441D2C" w:rsidRDefault="00961D2A" w:rsidP="00A14C50">
            <w:pPr>
              <w:rPr>
                <w:b w:val="0"/>
              </w:rPr>
            </w:pPr>
            <w:r w:rsidRPr="00441D2C">
              <w:rPr>
                <w:b w:val="0"/>
              </w:rPr>
              <w:t>Your water tastes great, is high quality and always safe to drink</w:t>
            </w:r>
          </w:p>
        </w:tc>
        <w:tc>
          <w:tcPr>
            <w:tcW w:w="2999" w:type="dxa"/>
          </w:tcPr>
          <w:p w14:paraId="27FD1843" w14:textId="6681C866"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Compliance with</w:t>
            </w:r>
            <w:r w:rsidR="00867366" w:rsidRPr="00151F07">
              <w:t xml:space="preserve"> water quality standards</w:t>
            </w:r>
            <w:r w:rsidR="00D461CC" w:rsidRPr="00151F07">
              <w:t xml:space="preserve"> and regulations</w:t>
            </w:r>
            <w:r w:rsidRPr="00151F07">
              <w:t xml:space="preserve"> (</w:t>
            </w:r>
            <w:r w:rsidR="00867366" w:rsidRPr="00151F07">
              <w:t xml:space="preserve">Safe Drinking Water Regulations </w:t>
            </w:r>
            <w:r w:rsidR="00F92DF8">
              <w:t>and</w:t>
            </w:r>
            <w:r w:rsidR="00867366" w:rsidRPr="00151F07">
              <w:t xml:space="preserve"> </w:t>
            </w:r>
            <w:r w:rsidRPr="00151F07">
              <w:t xml:space="preserve">Australian Drinking Water </w:t>
            </w:r>
            <w:proofErr w:type="gramStart"/>
            <w:r w:rsidRPr="00151F07">
              <w:t>Guidelines)</w:t>
            </w:r>
            <w:r w:rsidR="007E27D8">
              <w:t>*</w:t>
            </w:r>
            <w:proofErr w:type="gramEnd"/>
          </w:p>
        </w:tc>
        <w:tc>
          <w:tcPr>
            <w:tcW w:w="2144" w:type="dxa"/>
          </w:tcPr>
          <w:p w14:paraId="6B2E0855" w14:textId="61F81197" w:rsidR="00961D2A" w:rsidRPr="00151F07"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151F07">
              <w:t>100%</w:t>
            </w:r>
          </w:p>
        </w:tc>
        <w:tc>
          <w:tcPr>
            <w:tcW w:w="6746" w:type="dxa"/>
            <w:vMerge w:val="restart"/>
          </w:tcPr>
          <w:p w14:paraId="54571606" w14:textId="07E17DA9" w:rsidR="00CA3532" w:rsidRPr="00151F07" w:rsidRDefault="00CA3532">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151F07">
              <w:t xml:space="preserve">Continue to provide safe, clean drinking water </w:t>
            </w:r>
            <w:r w:rsidR="007E51D1">
              <w:t>supported by</w:t>
            </w:r>
            <w:r w:rsidR="009B5025" w:rsidRPr="00151F07">
              <w:t xml:space="preserve"> water quality monitoring</w:t>
            </w:r>
            <w:r w:rsidRPr="00151F07">
              <w:t xml:space="preserve"> and </w:t>
            </w:r>
            <w:r w:rsidR="009B5025" w:rsidRPr="00151F07">
              <w:t>alerts with our bulk water providers</w:t>
            </w:r>
            <w:r w:rsidR="00925164">
              <w:t>.</w:t>
            </w:r>
          </w:p>
          <w:p w14:paraId="70A82BD8" w14:textId="29FFD923" w:rsidR="001E0BB4" w:rsidRPr="00AB7E5E" w:rsidRDefault="001E0BB4">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AB7E5E">
              <w:t xml:space="preserve">Deliver </w:t>
            </w:r>
            <w:r w:rsidR="000E32AF" w:rsidRPr="00AB7E5E">
              <w:t xml:space="preserve">and implement our </w:t>
            </w:r>
            <w:r w:rsidRPr="00AB7E5E">
              <w:t xml:space="preserve">drinking water quality roadmap </w:t>
            </w:r>
            <w:r w:rsidR="000E32AF" w:rsidRPr="00AB7E5E">
              <w:t>to improve water quality</w:t>
            </w:r>
            <w:r w:rsidR="008630C5" w:rsidRPr="00AB7E5E">
              <w:t>,</w:t>
            </w:r>
            <w:r w:rsidRPr="00AB7E5E">
              <w:t xml:space="preserve"> </w:t>
            </w:r>
            <w:r w:rsidR="000E32AF" w:rsidRPr="00AB7E5E">
              <w:t xml:space="preserve">which considers the </w:t>
            </w:r>
            <w:r w:rsidRPr="00AB7E5E">
              <w:t xml:space="preserve">different operating models </w:t>
            </w:r>
            <w:r w:rsidR="000E32AF" w:rsidRPr="00AB7E5E">
              <w:t>across our</w:t>
            </w:r>
            <w:r w:rsidRPr="00AB7E5E">
              <w:t xml:space="preserve"> service region</w:t>
            </w:r>
            <w:r w:rsidR="00925164" w:rsidRPr="00AB7E5E">
              <w:t>.</w:t>
            </w:r>
            <w:r w:rsidRPr="00AB7E5E" w:rsidDel="001E0BB4">
              <w:t xml:space="preserve"> </w:t>
            </w:r>
          </w:p>
          <w:p w14:paraId="2F54C4DA" w14:textId="6A26B349" w:rsidR="005428BD" w:rsidRPr="00482F83" w:rsidRDefault="009B5025">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7A48422E">
              <w:t xml:space="preserve">Continue to </w:t>
            </w:r>
            <w:r w:rsidR="009F0250">
              <w:t>c</w:t>
            </w:r>
            <w:r w:rsidR="00A25C67">
              <w:t>omplete</w:t>
            </w:r>
            <w:r w:rsidR="009F0250">
              <w:t xml:space="preserve"> audits (</w:t>
            </w:r>
            <w:r w:rsidRPr="7A48422E">
              <w:t xml:space="preserve">HAACCP system </w:t>
            </w:r>
            <w:r w:rsidR="00AF46C4" w:rsidRPr="7A48422E">
              <w:t>and compliance and regulatory audits</w:t>
            </w:r>
            <w:r w:rsidR="009F0250">
              <w:t>)</w:t>
            </w:r>
            <w:r w:rsidR="00AF46C4" w:rsidRPr="7A48422E">
              <w:t xml:space="preserve"> in accordance with the Safe Drinking Water Act</w:t>
            </w:r>
            <w:r w:rsidR="00925164">
              <w:t>.</w:t>
            </w:r>
          </w:p>
          <w:p w14:paraId="70487B6E" w14:textId="4E8F434D" w:rsidR="009B5025" w:rsidRPr="00151F07" w:rsidRDefault="00AD412B">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B04525">
              <w:rPr>
                <w:rFonts w:ascii="Verdana" w:hAnsi="Verdana" w:cs="Segoe UI"/>
              </w:rPr>
              <w:t>Upgrade and consolidate d</w:t>
            </w:r>
            <w:proofErr w:type="spellStart"/>
            <w:r w:rsidRPr="00B04525">
              <w:rPr>
                <w:rFonts w:ascii="Verdana" w:hAnsi="Verdana" w:cs="Segoe UI"/>
                <w:lang w:val="en-US"/>
              </w:rPr>
              <w:t>igital</w:t>
            </w:r>
            <w:proofErr w:type="spellEnd"/>
            <w:r w:rsidRPr="00B04525">
              <w:rPr>
                <w:rFonts w:ascii="Verdana" w:hAnsi="Verdana" w:cs="Segoe UI"/>
                <w:lang w:val="en-US"/>
              </w:rPr>
              <w:t xml:space="preserve"> systems that monitor, record and report on the condition of our assets and enable interaction with our billing and communications system to enable better customer experience. </w:t>
            </w:r>
          </w:p>
          <w:p w14:paraId="4CB9061B" w14:textId="00CE55AD" w:rsidR="005315CA" w:rsidRPr="00151F07" w:rsidRDefault="00AF46C4">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7A48422E">
              <w:t>Continue our water testing and disinfection program and report on drinking water quality to our customers</w:t>
            </w:r>
            <w:r w:rsidR="00925164">
              <w:t>.</w:t>
            </w:r>
          </w:p>
          <w:p w14:paraId="1206D873" w14:textId="592160FB" w:rsidR="00961D2A" w:rsidRPr="00172D84" w:rsidRDefault="00F42D6A">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B54613">
              <w:t xml:space="preserve">Continue </w:t>
            </w:r>
            <w:r w:rsidR="008630C5">
              <w:t>to</w:t>
            </w:r>
            <w:r w:rsidR="00A029A1">
              <w:t xml:space="preserve"> </w:t>
            </w:r>
            <w:r w:rsidRPr="00B54613">
              <w:t xml:space="preserve">plan to optimise drought resilience </w:t>
            </w:r>
            <w:r w:rsidR="00A029A1">
              <w:t xml:space="preserve">across our </w:t>
            </w:r>
            <w:r w:rsidR="008423F9">
              <w:t xml:space="preserve">service </w:t>
            </w:r>
            <w:r w:rsidR="00A029A1">
              <w:t>region</w:t>
            </w:r>
            <w:r w:rsidR="00AD412B">
              <w:t xml:space="preserve"> to improve </w:t>
            </w:r>
            <w:proofErr w:type="gramStart"/>
            <w:r w:rsidR="00AD412B">
              <w:t>resilience</w:t>
            </w:r>
            <w:proofErr w:type="gramEnd"/>
          </w:p>
          <w:p w14:paraId="62A6D28B" w14:textId="7D20FFD6" w:rsidR="00961D2A" w:rsidRPr="00172D84" w:rsidRDefault="00C73730">
            <w:pPr>
              <w:pStyle w:val="ListBullet"/>
              <w:numPr>
                <w:ilvl w:val="0"/>
                <w:numId w:val="86"/>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72D84">
              <w:rPr>
                <w:rFonts w:asciiTheme="majorHAnsi" w:hAnsiTheme="majorHAnsi"/>
              </w:rPr>
              <w:t>Implement SWS/GWMUSS actions to ensure</w:t>
            </w:r>
            <w:r w:rsidRPr="7A48422E">
              <w:rPr>
                <w:rFonts w:asciiTheme="majorHAnsi" w:hAnsiTheme="majorHAnsi"/>
              </w:rPr>
              <w:t xml:space="preserve"> we have consistent supply of water into the future</w:t>
            </w:r>
            <w:r w:rsidR="00AD412B">
              <w:rPr>
                <w:rFonts w:asciiTheme="majorHAnsi" w:hAnsiTheme="majorHAnsi"/>
              </w:rPr>
              <w:t xml:space="preserve"> for all customers</w:t>
            </w:r>
            <w:r w:rsidR="00925164">
              <w:rPr>
                <w:rFonts w:asciiTheme="majorHAnsi" w:hAnsiTheme="majorHAnsi"/>
              </w:rPr>
              <w:t>.</w:t>
            </w:r>
          </w:p>
        </w:tc>
      </w:tr>
      <w:tr w:rsidR="00DA5B0B" w:rsidRPr="00DA5B0B" w14:paraId="2E0CC41A" w14:textId="77777777" w:rsidTr="007B13A7">
        <w:trPr>
          <w:trHeight w:val="2071"/>
        </w:trPr>
        <w:tc>
          <w:tcPr>
            <w:cnfStyle w:val="001000000000" w:firstRow="0" w:lastRow="0" w:firstColumn="1" w:lastColumn="0" w:oddVBand="0" w:evenVBand="0" w:oddHBand="0" w:evenHBand="0" w:firstRowFirstColumn="0" w:firstRowLastColumn="0" w:lastRowFirstColumn="0" w:lastRowLastColumn="0"/>
            <w:tcW w:w="2671" w:type="dxa"/>
            <w:vMerge/>
          </w:tcPr>
          <w:p w14:paraId="2E9D1454" w14:textId="77777777" w:rsidR="00961D2A" w:rsidRPr="00441D2C" w:rsidRDefault="00961D2A" w:rsidP="00A14C50">
            <w:pPr>
              <w:rPr>
                <w:b w:val="0"/>
              </w:rPr>
            </w:pPr>
          </w:p>
        </w:tc>
        <w:tc>
          <w:tcPr>
            <w:tcW w:w="2999" w:type="dxa"/>
          </w:tcPr>
          <w:p w14:paraId="5B21B614" w14:textId="3B23A2B4"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Customer satisfaction on our water quality on those who contacted GWW in past 12 months</w:t>
            </w:r>
            <w:r w:rsidR="007E27D8">
              <w:t>*</w:t>
            </w:r>
          </w:p>
        </w:tc>
        <w:tc>
          <w:tcPr>
            <w:tcW w:w="2144" w:type="dxa"/>
          </w:tcPr>
          <w:p w14:paraId="29990E0B" w14:textId="02F79735" w:rsidR="00961D2A" w:rsidRPr="00151F07" w:rsidRDefault="00801B20" w:rsidP="00926B27">
            <w:pPr>
              <w:jc w:val="center"/>
              <w:cnfStyle w:val="000000000000" w:firstRow="0" w:lastRow="0" w:firstColumn="0" w:lastColumn="0" w:oddVBand="0" w:evenVBand="0" w:oddHBand="0" w:evenHBand="0" w:firstRowFirstColumn="0" w:firstRowLastColumn="0" w:lastRowFirstColumn="0" w:lastRowLastColumn="0"/>
            </w:pPr>
            <w:r w:rsidRPr="00151F07">
              <w:t>&gt;</w:t>
            </w:r>
            <w:r w:rsidR="005E3777" w:rsidRPr="00151F07">
              <w:t>85</w:t>
            </w:r>
            <w:r w:rsidRPr="00151F07">
              <w:t>%</w:t>
            </w:r>
          </w:p>
        </w:tc>
        <w:tc>
          <w:tcPr>
            <w:tcW w:w="6746" w:type="dxa"/>
            <w:vMerge/>
          </w:tcPr>
          <w:p w14:paraId="6FBC837A" w14:textId="77777777" w:rsidR="00961D2A" w:rsidRPr="00151F07" w:rsidRDefault="00961D2A" w:rsidP="00825E89">
            <w:pPr>
              <w:pStyle w:val="TableBullet"/>
              <w:cnfStyle w:val="000000000000" w:firstRow="0" w:lastRow="0" w:firstColumn="0" w:lastColumn="0" w:oddVBand="0" w:evenVBand="0" w:oddHBand="0" w:evenHBand="0" w:firstRowFirstColumn="0" w:firstRowLastColumn="0" w:lastRowFirstColumn="0" w:lastRowLastColumn="0"/>
              <w:rPr>
                <w:rFonts w:ascii="Verdana" w:eastAsia="Verdana" w:hAnsi="Verdana"/>
                <w:spacing w:val="0"/>
              </w:rPr>
            </w:pPr>
          </w:p>
        </w:tc>
      </w:tr>
      <w:tr w:rsidR="00DA5B0B" w:rsidRPr="00DA5B0B" w14:paraId="18FAFDD8" w14:textId="77777777" w:rsidTr="007B13A7">
        <w:trPr>
          <w:trHeight w:val="20"/>
        </w:trPr>
        <w:tc>
          <w:tcPr>
            <w:cnfStyle w:val="001000000000" w:firstRow="0" w:lastRow="0" w:firstColumn="1" w:lastColumn="0" w:oddVBand="0" w:evenVBand="0" w:oddHBand="0" w:evenHBand="0" w:firstRowFirstColumn="0" w:firstRowLastColumn="0" w:lastRowFirstColumn="0" w:lastRowLastColumn="0"/>
            <w:tcW w:w="2671" w:type="dxa"/>
          </w:tcPr>
          <w:p w14:paraId="3ACBD8C3" w14:textId="77777777" w:rsidR="00961D2A" w:rsidRPr="00441D2C" w:rsidRDefault="00961D2A" w:rsidP="00A14C50">
            <w:pPr>
              <w:rPr>
                <w:b w:val="0"/>
              </w:rPr>
            </w:pPr>
            <w:r w:rsidRPr="00441D2C">
              <w:rPr>
                <w:b w:val="0"/>
              </w:rPr>
              <w:t>Water is there when you turn on the tap</w:t>
            </w:r>
          </w:p>
        </w:tc>
        <w:tc>
          <w:tcPr>
            <w:tcW w:w="2999" w:type="dxa"/>
          </w:tcPr>
          <w:p w14:paraId="394776F9" w14:textId="0C0508DD"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Number of customers receiving more than 4 unplanned water supply interruptions in a year</w:t>
            </w:r>
            <w:r w:rsidR="007E27D8">
              <w:t>*</w:t>
            </w:r>
          </w:p>
        </w:tc>
        <w:tc>
          <w:tcPr>
            <w:tcW w:w="2144" w:type="dxa"/>
          </w:tcPr>
          <w:p w14:paraId="6AEE7BAB" w14:textId="54AB5A9F" w:rsidR="00961D2A" w:rsidRPr="00151F07"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151F07">
              <w:t>&lt;</w:t>
            </w:r>
            <w:r w:rsidR="009E1F0E" w:rsidRPr="005315CA">
              <w:t>270</w:t>
            </w:r>
            <w:r w:rsidR="009E1F0E" w:rsidRPr="00151F07">
              <w:t xml:space="preserve"> </w:t>
            </w:r>
            <w:r w:rsidR="005E3777" w:rsidRPr="00151F07">
              <w:t>customers</w:t>
            </w:r>
          </w:p>
        </w:tc>
        <w:tc>
          <w:tcPr>
            <w:tcW w:w="6746" w:type="dxa"/>
            <w:vMerge w:val="restart"/>
          </w:tcPr>
          <w:p w14:paraId="4FA2B28A" w14:textId="217042EF" w:rsidR="005315CA" w:rsidRDefault="005315C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315CA">
              <w:t xml:space="preserve">Continue </w:t>
            </w:r>
            <w:r w:rsidR="00296659">
              <w:t>proactive</w:t>
            </w:r>
            <w:r w:rsidRPr="005315CA">
              <w:t xml:space="preserve"> maintenance and network renewal programs to </w:t>
            </w:r>
            <w:r w:rsidR="004412A7">
              <w:t xml:space="preserve">ensure that water supply is consistent and resilient and interruptions to services </w:t>
            </w:r>
            <w:r w:rsidR="00AD412B">
              <w:t xml:space="preserve">remain the </w:t>
            </w:r>
            <w:proofErr w:type="gramStart"/>
            <w:r w:rsidR="00AD412B">
              <w:t>same</w:t>
            </w:r>
            <w:proofErr w:type="gramEnd"/>
            <w:r w:rsidR="004412A7">
              <w:t xml:space="preserve"> </w:t>
            </w:r>
          </w:p>
          <w:p w14:paraId="6A76EC3A" w14:textId="0B11E548" w:rsidR="005315CA" w:rsidRPr="00B54613" w:rsidRDefault="005315C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315CA">
              <w:t xml:space="preserve">Continue to prioritise planned and responsive works for </w:t>
            </w:r>
            <w:r w:rsidR="00296659">
              <w:t>high</w:t>
            </w:r>
            <w:r w:rsidR="00925164">
              <w:t>-</w:t>
            </w:r>
            <w:r w:rsidR="00296659">
              <w:t>risk</w:t>
            </w:r>
            <w:r w:rsidRPr="005315CA">
              <w:t xml:space="preserve"> sites</w:t>
            </w:r>
            <w:r w:rsidR="004412A7">
              <w:t>,</w:t>
            </w:r>
            <w:r w:rsidRPr="005315CA">
              <w:t xml:space="preserve"> </w:t>
            </w:r>
            <w:r w:rsidR="00296659">
              <w:t xml:space="preserve">such as </w:t>
            </w:r>
            <w:r w:rsidRPr="005315CA">
              <w:t xml:space="preserve">hospitals and </w:t>
            </w:r>
            <w:r w:rsidR="00296659">
              <w:t>high</w:t>
            </w:r>
            <w:r w:rsidR="00B62543">
              <w:t>-</w:t>
            </w:r>
            <w:r w:rsidR="00851403">
              <w:t>density areas</w:t>
            </w:r>
            <w:r w:rsidR="00FE0BC3">
              <w:t xml:space="preserve">, such as Melbourne’s </w:t>
            </w:r>
            <w:r w:rsidRPr="005315CA">
              <w:t>CBD</w:t>
            </w:r>
            <w:r w:rsidR="00B62543">
              <w:t xml:space="preserve"> to minimise customer impacts</w:t>
            </w:r>
            <w:r w:rsidR="00925164">
              <w:t>.</w:t>
            </w:r>
          </w:p>
          <w:p w14:paraId="6DC1DC19" w14:textId="6E0B3595" w:rsidR="00C13E42" w:rsidRPr="00D13F32" w:rsidRDefault="00296659">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7A48422E">
              <w:t>Invest</w:t>
            </w:r>
            <w:r w:rsidR="00AF46C4" w:rsidRPr="7A48422E">
              <w:t xml:space="preserve"> in </w:t>
            </w:r>
            <w:r w:rsidR="00EC12DD">
              <w:t>network</w:t>
            </w:r>
            <w:r w:rsidR="00EC12DD" w:rsidRPr="7A48422E">
              <w:rPr>
                <w:lang w:val="en-GB"/>
              </w:rPr>
              <w:t xml:space="preserve"> </w:t>
            </w:r>
            <w:r w:rsidR="00C84047">
              <w:rPr>
                <w:lang w:val="en-GB"/>
              </w:rPr>
              <w:t>improvement</w:t>
            </w:r>
            <w:r w:rsidR="00C84047" w:rsidRPr="7A48422E">
              <w:rPr>
                <w:lang w:val="en-GB"/>
              </w:rPr>
              <w:t xml:space="preserve">s </w:t>
            </w:r>
            <w:r w:rsidR="00AF46C4" w:rsidRPr="7A48422E">
              <w:rPr>
                <w:lang w:val="en-GB"/>
              </w:rPr>
              <w:t xml:space="preserve">to </w:t>
            </w:r>
            <w:r w:rsidR="00C84047">
              <w:rPr>
                <w:lang w:val="en-GB"/>
              </w:rPr>
              <w:t>ensure supply is</w:t>
            </w:r>
            <w:r w:rsidR="00C84047" w:rsidRPr="7A48422E">
              <w:rPr>
                <w:lang w:val="en-GB"/>
              </w:rPr>
              <w:t xml:space="preserve"> </w:t>
            </w:r>
            <w:r w:rsidR="00AF46C4" w:rsidRPr="7A48422E">
              <w:rPr>
                <w:lang w:val="en-GB"/>
              </w:rPr>
              <w:t xml:space="preserve">more resilient and consistent at the highest-risk locations and </w:t>
            </w:r>
            <w:r w:rsidR="002D00E8">
              <w:rPr>
                <w:lang w:val="en-GB"/>
              </w:rPr>
              <w:t xml:space="preserve">to </w:t>
            </w:r>
            <w:r w:rsidR="002509DB">
              <w:rPr>
                <w:lang w:val="en-GB"/>
              </w:rPr>
              <w:t xml:space="preserve">increase </w:t>
            </w:r>
            <w:r w:rsidR="00AF46C4" w:rsidRPr="7A48422E">
              <w:rPr>
                <w:lang w:val="en-GB"/>
              </w:rPr>
              <w:t xml:space="preserve">treatment </w:t>
            </w:r>
            <w:r w:rsidR="00AF46C4" w:rsidRPr="7A48422E">
              <w:rPr>
                <w:lang w:val="en-GB"/>
              </w:rPr>
              <w:lastRenderedPageBreak/>
              <w:t>plant capacity</w:t>
            </w:r>
            <w:r w:rsidR="00EC12DD">
              <w:rPr>
                <w:lang w:val="en-GB"/>
              </w:rPr>
              <w:t xml:space="preserve"> to reduce the risk of spills and improve quality of outflows</w:t>
            </w:r>
            <w:r w:rsidR="00925164">
              <w:rPr>
                <w:lang w:val="en-GB"/>
              </w:rPr>
              <w:t>.</w:t>
            </w:r>
            <w:r w:rsidR="00EC12DD" w:rsidRPr="7A48422E" w:rsidDel="00EC12DD">
              <w:t xml:space="preserve"> </w:t>
            </w:r>
          </w:p>
          <w:p w14:paraId="5C37E87D" w14:textId="3C8588FE" w:rsidR="00961D2A" w:rsidRDefault="00C956E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B9630A">
              <w:t>Implement and review our asset management plans to ensure they are targeting areas at greatest risk of interruption</w:t>
            </w:r>
            <w:r w:rsidR="00102BDF" w:rsidRPr="00B9630A">
              <w:t>s</w:t>
            </w:r>
            <w:r w:rsidR="00925164">
              <w:t>.</w:t>
            </w:r>
          </w:p>
          <w:p w14:paraId="5A01FAAF" w14:textId="45B34113" w:rsidR="00961D2A" w:rsidRPr="005E2AFC" w:rsidRDefault="005E2AFC">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E2AFC">
              <w:t>Asset Delivery Organisation Review (ADOR) to support delivery of infrastructure to meet customer outcomes, minimise community impacts, and ensure resilience to growth and climate change challenges.</w:t>
            </w:r>
          </w:p>
        </w:tc>
      </w:tr>
      <w:tr w:rsidR="00DA5B0B" w:rsidRPr="00DA5B0B" w14:paraId="1EE7C167" w14:textId="77777777" w:rsidTr="007B13A7">
        <w:trPr>
          <w:trHeight w:val="20"/>
        </w:trPr>
        <w:tc>
          <w:tcPr>
            <w:cnfStyle w:val="001000000000" w:firstRow="0" w:lastRow="0" w:firstColumn="1" w:lastColumn="0" w:oddVBand="0" w:evenVBand="0" w:oddHBand="0" w:evenHBand="0" w:firstRowFirstColumn="0" w:firstRowLastColumn="0" w:lastRowFirstColumn="0" w:lastRowLastColumn="0"/>
            <w:tcW w:w="2671" w:type="dxa"/>
          </w:tcPr>
          <w:p w14:paraId="6FE8FB04" w14:textId="77777777" w:rsidR="00961D2A" w:rsidRPr="00441D2C" w:rsidRDefault="00961D2A" w:rsidP="00A14C50">
            <w:pPr>
              <w:rPr>
                <w:b w:val="0"/>
              </w:rPr>
            </w:pPr>
            <w:r w:rsidRPr="00441D2C">
              <w:rPr>
                <w:b w:val="0"/>
              </w:rPr>
              <w:t>Your sewerage service works without interruptions or blockages</w:t>
            </w:r>
          </w:p>
        </w:tc>
        <w:tc>
          <w:tcPr>
            <w:tcW w:w="2999" w:type="dxa"/>
          </w:tcPr>
          <w:p w14:paraId="57F2C775" w14:textId="4D8C8D82" w:rsidR="00961D2A" w:rsidRPr="005315CA" w:rsidRDefault="00961D2A" w:rsidP="00A14C50">
            <w:pPr>
              <w:cnfStyle w:val="000000000000" w:firstRow="0" w:lastRow="0" w:firstColumn="0" w:lastColumn="0" w:oddVBand="0" w:evenVBand="0" w:oddHBand="0" w:evenHBand="0" w:firstRowFirstColumn="0" w:firstRowLastColumn="0" w:lastRowFirstColumn="0" w:lastRowLastColumn="0"/>
            </w:pPr>
            <w:r w:rsidRPr="005315CA">
              <w:t xml:space="preserve">Number of residential sewer supply customer interruptions </w:t>
            </w:r>
            <w:r w:rsidRPr="005315CA">
              <w:lastRenderedPageBreak/>
              <w:t xml:space="preserve">(excludes interruptions due to faults in customers’ </w:t>
            </w:r>
            <w:proofErr w:type="gramStart"/>
            <w:r w:rsidRPr="005315CA">
              <w:t>pipes)</w:t>
            </w:r>
            <w:r w:rsidR="007E27D8">
              <w:t>*</w:t>
            </w:r>
            <w:proofErr w:type="gramEnd"/>
          </w:p>
        </w:tc>
        <w:tc>
          <w:tcPr>
            <w:tcW w:w="2144" w:type="dxa"/>
          </w:tcPr>
          <w:p w14:paraId="36A7CD87" w14:textId="5BBFC451" w:rsidR="00961D2A" w:rsidRPr="00172D84"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5315CA">
              <w:lastRenderedPageBreak/>
              <w:t>&lt;</w:t>
            </w:r>
            <w:r w:rsidR="005E3777" w:rsidRPr="005315CA">
              <w:t>3,</w:t>
            </w:r>
            <w:r w:rsidR="009E1F0E" w:rsidRPr="005315CA">
              <w:t>100</w:t>
            </w:r>
            <w:r w:rsidR="005E3777" w:rsidRPr="00172D84">
              <w:t xml:space="preserve"> customers</w:t>
            </w:r>
          </w:p>
        </w:tc>
        <w:tc>
          <w:tcPr>
            <w:tcW w:w="6746" w:type="dxa"/>
            <w:vMerge/>
          </w:tcPr>
          <w:p w14:paraId="5E849227" w14:textId="77777777" w:rsidR="00961D2A" w:rsidRPr="00172D84" w:rsidRDefault="00961D2A" w:rsidP="00961D2A">
            <w:pPr>
              <w:cnfStyle w:val="000000000000" w:firstRow="0" w:lastRow="0" w:firstColumn="0" w:lastColumn="0" w:oddVBand="0" w:evenVBand="0" w:oddHBand="0" w:evenHBand="0" w:firstRowFirstColumn="0" w:firstRowLastColumn="0" w:lastRowFirstColumn="0" w:lastRowLastColumn="0"/>
              <w:rPr>
                <w:rFonts w:ascii="Verdana" w:eastAsia="Verdana" w:hAnsi="Verdana"/>
                <w:spacing w:val="0"/>
                <w:szCs w:val="18"/>
              </w:rPr>
            </w:pPr>
          </w:p>
        </w:tc>
      </w:tr>
      <w:tr w:rsidR="00702AE9" w:rsidRPr="00702AE9" w14:paraId="02E06C93"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shd w:val="clear" w:color="auto" w:fill="1A206C" w:themeFill="text2"/>
          </w:tcPr>
          <w:p w14:paraId="3BF36116" w14:textId="281C6497" w:rsidR="00961D2A" w:rsidRPr="00702AE9" w:rsidRDefault="003C479E" w:rsidP="00DA003B">
            <w:pPr>
              <w:jc w:val="center"/>
              <w:rPr>
                <w:rFonts w:ascii="Verdana" w:eastAsia="Verdana" w:hAnsi="Verdana"/>
                <w:color w:val="FFFFFF" w:themeColor="background1"/>
                <w:spacing w:val="0"/>
                <w:szCs w:val="18"/>
              </w:rPr>
            </w:pPr>
            <w:r w:rsidRPr="00702AE9">
              <w:rPr>
                <w:rFonts w:ascii="Verdana" w:eastAsia="Verdana" w:hAnsi="Verdana"/>
                <w:color w:val="FFFFFF" w:themeColor="background1"/>
                <w:spacing w:val="0"/>
                <w:szCs w:val="18"/>
              </w:rPr>
              <w:t xml:space="preserve">Major </w:t>
            </w:r>
            <w:r w:rsidR="004D4B98">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w:t>
            </w:r>
            <w:r w:rsidR="00F045A5" w:rsidRPr="00702AE9">
              <w:rPr>
                <w:rFonts w:ascii="Verdana" w:eastAsia="Verdana" w:hAnsi="Verdana"/>
                <w:color w:val="FFFFFF" w:themeColor="background1"/>
                <w:spacing w:val="0"/>
                <w:szCs w:val="18"/>
              </w:rPr>
              <w:t xml:space="preserve">contributing </w:t>
            </w:r>
            <w:r w:rsidRPr="00702AE9">
              <w:rPr>
                <w:rFonts w:ascii="Verdana" w:eastAsia="Verdana" w:hAnsi="Verdana"/>
                <w:color w:val="FFFFFF" w:themeColor="background1"/>
                <w:spacing w:val="0"/>
                <w:szCs w:val="18"/>
              </w:rPr>
              <w:t>towards this outcome</w:t>
            </w:r>
          </w:p>
        </w:tc>
      </w:tr>
      <w:tr w:rsidR="00961D2A" w:rsidRPr="00DA5B0B" w14:paraId="4DC08160"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tcPr>
          <w:p w14:paraId="15C40EE6" w14:textId="2B26BE98" w:rsidR="00961D2A" w:rsidRPr="00172D84" w:rsidRDefault="00004EA0" w:rsidP="008C2C37">
            <w:pPr>
              <w:rPr>
                <w:rFonts w:ascii="Verdana" w:eastAsia="Verdana" w:hAnsi="Verdana"/>
                <w:spacing w:val="0"/>
                <w:szCs w:val="18"/>
              </w:rPr>
            </w:pPr>
            <w:r w:rsidRPr="00172D84">
              <w:rPr>
                <w:rFonts w:ascii="Verdana" w:eastAsia="Verdana" w:hAnsi="Verdana"/>
                <w:spacing w:val="0"/>
                <w:szCs w:val="18"/>
              </w:rPr>
              <w:t xml:space="preserve">Improving </w:t>
            </w:r>
            <w:r w:rsidR="002509DB">
              <w:rPr>
                <w:rFonts w:ascii="Verdana" w:eastAsia="Verdana" w:hAnsi="Verdana"/>
                <w:spacing w:val="0"/>
                <w:szCs w:val="18"/>
              </w:rPr>
              <w:t>w</w:t>
            </w:r>
            <w:r w:rsidRPr="00172D84">
              <w:rPr>
                <w:rFonts w:ascii="Verdana" w:eastAsia="Verdana" w:hAnsi="Verdana"/>
                <w:spacing w:val="0"/>
                <w:szCs w:val="18"/>
              </w:rPr>
              <w:t xml:space="preserve">ater </w:t>
            </w:r>
            <w:r w:rsidR="002509DB">
              <w:rPr>
                <w:rFonts w:ascii="Verdana" w:eastAsia="Verdana" w:hAnsi="Verdana"/>
                <w:spacing w:val="0"/>
                <w:szCs w:val="18"/>
              </w:rPr>
              <w:t>s</w:t>
            </w:r>
            <w:r w:rsidRPr="00172D84">
              <w:rPr>
                <w:rFonts w:ascii="Verdana" w:eastAsia="Verdana" w:hAnsi="Verdana"/>
                <w:spacing w:val="0"/>
                <w:szCs w:val="18"/>
              </w:rPr>
              <w:t>upply reliability in the Macedon Ranges</w:t>
            </w:r>
            <w:r w:rsidR="008C5F82">
              <w:rPr>
                <w:rFonts w:ascii="Verdana" w:eastAsia="Verdana" w:hAnsi="Verdana"/>
                <w:spacing w:val="0"/>
                <w:szCs w:val="18"/>
              </w:rPr>
              <w:t xml:space="preserve"> </w:t>
            </w:r>
            <w:r w:rsidR="008C5F82" w:rsidRPr="005108B0">
              <w:rPr>
                <w:rFonts w:ascii="Verdana" w:eastAsia="Verdana" w:hAnsi="Verdana"/>
                <w:b w:val="0"/>
                <w:spacing w:val="0"/>
                <w:szCs w:val="18"/>
              </w:rPr>
              <w:t>(</w:t>
            </w:r>
            <w:r w:rsidR="000F6720" w:rsidRPr="005108B0">
              <w:rPr>
                <w:rFonts w:ascii="Verdana" w:eastAsia="Verdana" w:hAnsi="Verdana"/>
                <w:b w:val="0"/>
                <w:spacing w:val="0"/>
                <w:szCs w:val="18"/>
              </w:rPr>
              <w:t>$55.87m</w:t>
            </w:r>
            <w:r w:rsidR="00A0666C">
              <w:rPr>
                <w:rFonts w:ascii="Verdana" w:eastAsia="Verdana" w:hAnsi="Verdana"/>
                <w:b w:val="0"/>
                <w:spacing w:val="0"/>
                <w:szCs w:val="18"/>
              </w:rPr>
              <w:t xml:space="preserve"> CAPEX</w:t>
            </w:r>
            <w:r w:rsidR="000F6720" w:rsidRPr="005108B0">
              <w:rPr>
                <w:rFonts w:ascii="Verdana" w:eastAsia="Verdana" w:hAnsi="Verdana"/>
                <w:b w:val="0"/>
                <w:spacing w:val="0"/>
                <w:szCs w:val="18"/>
              </w:rPr>
              <w:t>)</w:t>
            </w:r>
          </w:p>
          <w:p w14:paraId="0087FAE8" w14:textId="6BD3030F" w:rsidR="00016F02" w:rsidRPr="00172D84" w:rsidRDefault="00714BBA" w:rsidP="008C2C37">
            <w:pPr>
              <w:rPr>
                <w:rFonts w:ascii="Verdana" w:eastAsia="Verdana" w:hAnsi="Verdana"/>
                <w:spacing w:val="0"/>
                <w:szCs w:val="18"/>
              </w:rPr>
            </w:pPr>
            <w:r w:rsidRPr="00172D84">
              <w:rPr>
                <w:rFonts w:ascii="Verdana" w:eastAsia="Verdana" w:hAnsi="Verdana"/>
                <w:spacing w:val="0"/>
                <w:szCs w:val="18"/>
              </w:rPr>
              <w:t xml:space="preserve">Water </w:t>
            </w:r>
            <w:r w:rsidR="002509DB">
              <w:rPr>
                <w:rFonts w:ascii="Verdana" w:eastAsia="Verdana" w:hAnsi="Verdana"/>
                <w:spacing w:val="0"/>
                <w:szCs w:val="18"/>
              </w:rPr>
              <w:t>s</w:t>
            </w:r>
            <w:r w:rsidRPr="00172D84">
              <w:rPr>
                <w:rFonts w:ascii="Verdana" w:eastAsia="Verdana" w:hAnsi="Verdana"/>
                <w:spacing w:val="0"/>
                <w:szCs w:val="18"/>
              </w:rPr>
              <w:t xml:space="preserve">ecurity for Sunbury and the </w:t>
            </w:r>
            <w:r w:rsidR="002509DB">
              <w:rPr>
                <w:rFonts w:ascii="Verdana" w:eastAsia="Verdana" w:hAnsi="Verdana"/>
                <w:spacing w:val="0"/>
                <w:szCs w:val="18"/>
              </w:rPr>
              <w:t>w</w:t>
            </w:r>
            <w:r w:rsidRPr="00172D84">
              <w:rPr>
                <w:rFonts w:ascii="Verdana" w:eastAsia="Verdana" w:hAnsi="Verdana"/>
                <w:spacing w:val="0"/>
                <w:szCs w:val="18"/>
              </w:rPr>
              <w:t xml:space="preserve">estern </w:t>
            </w:r>
            <w:r w:rsidR="002509DB">
              <w:rPr>
                <w:rFonts w:ascii="Verdana" w:eastAsia="Verdana" w:hAnsi="Verdana"/>
                <w:spacing w:val="0"/>
                <w:szCs w:val="18"/>
              </w:rPr>
              <w:t>r</w:t>
            </w:r>
            <w:r w:rsidRPr="00172D84">
              <w:rPr>
                <w:rFonts w:ascii="Verdana" w:eastAsia="Verdana" w:hAnsi="Verdana"/>
                <w:spacing w:val="0"/>
                <w:szCs w:val="18"/>
              </w:rPr>
              <w:t>egion</w:t>
            </w:r>
            <w:r w:rsidR="000F6720">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70243B" w:rsidRPr="005108B0">
              <w:rPr>
                <w:rFonts w:ascii="Verdana" w:eastAsia="Verdana" w:hAnsi="Verdana"/>
                <w:b w:val="0"/>
                <w:spacing w:val="0"/>
                <w:szCs w:val="18"/>
              </w:rPr>
              <w:t>36.31</w:t>
            </w:r>
            <w:r w:rsidR="000C14AF" w:rsidRPr="005108B0">
              <w:rPr>
                <w:rFonts w:ascii="Verdana" w:eastAsia="Verdana" w:hAnsi="Verdana"/>
                <w:b w:val="0"/>
                <w:spacing w:val="0"/>
                <w:szCs w:val="18"/>
              </w:rPr>
              <w:t>m</w:t>
            </w:r>
            <w:r w:rsidR="00A0666C">
              <w:rPr>
                <w:rFonts w:ascii="Verdana" w:eastAsia="Verdana" w:hAnsi="Verdana"/>
                <w:b w:val="0"/>
                <w:spacing w:val="0"/>
                <w:szCs w:val="18"/>
              </w:rPr>
              <w:t xml:space="preserve"> CAPEX</w:t>
            </w:r>
            <w:r w:rsidR="0070243B" w:rsidRPr="005108B0">
              <w:rPr>
                <w:rFonts w:ascii="Verdana" w:eastAsia="Verdana" w:hAnsi="Verdana"/>
                <w:b w:val="0"/>
                <w:spacing w:val="0"/>
                <w:szCs w:val="18"/>
              </w:rPr>
              <w:t>)</w:t>
            </w:r>
          </w:p>
          <w:p w14:paraId="5203395B" w14:textId="5DFD23BB" w:rsidR="005E63F0" w:rsidRPr="00172D84" w:rsidRDefault="00D0210D" w:rsidP="008C2C37">
            <w:pPr>
              <w:rPr>
                <w:rFonts w:ascii="Verdana" w:eastAsia="Verdana" w:hAnsi="Verdana"/>
                <w:spacing w:val="0"/>
                <w:szCs w:val="18"/>
              </w:rPr>
            </w:pPr>
            <w:r w:rsidRPr="00172D84">
              <w:rPr>
                <w:rFonts w:ascii="Verdana" w:eastAsia="Verdana" w:hAnsi="Verdana"/>
                <w:spacing w:val="0"/>
                <w:szCs w:val="18"/>
              </w:rPr>
              <w:t>Safe drinking water in Romsey</w:t>
            </w:r>
            <w:r w:rsidR="0070243B">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70243B" w:rsidRPr="005108B0">
              <w:rPr>
                <w:rFonts w:ascii="Verdana" w:eastAsia="Verdana" w:hAnsi="Verdana"/>
                <w:b w:val="0"/>
                <w:spacing w:val="0"/>
                <w:szCs w:val="18"/>
              </w:rPr>
              <w:t>27.83</w:t>
            </w:r>
            <w:r w:rsidR="000C14AF" w:rsidRPr="005108B0">
              <w:rPr>
                <w:rFonts w:ascii="Verdana" w:eastAsia="Verdana" w:hAnsi="Verdana"/>
                <w:b w:val="0"/>
                <w:spacing w:val="0"/>
                <w:szCs w:val="18"/>
              </w:rPr>
              <w:t>m</w:t>
            </w:r>
            <w:r w:rsidR="00A0666C">
              <w:rPr>
                <w:rFonts w:ascii="Verdana" w:eastAsia="Verdana" w:hAnsi="Verdana"/>
                <w:b w:val="0"/>
                <w:spacing w:val="0"/>
                <w:szCs w:val="18"/>
              </w:rPr>
              <w:t xml:space="preserve"> CAPEX</w:t>
            </w:r>
            <w:r w:rsidR="0070243B" w:rsidRPr="005108B0">
              <w:rPr>
                <w:rFonts w:ascii="Verdana" w:eastAsia="Verdana" w:hAnsi="Verdana"/>
                <w:b w:val="0"/>
                <w:spacing w:val="0"/>
                <w:szCs w:val="18"/>
              </w:rPr>
              <w:t>)</w:t>
            </w:r>
          </w:p>
          <w:p w14:paraId="0D1B5470" w14:textId="59B16DB1" w:rsidR="00961D2A" w:rsidRDefault="00893588" w:rsidP="008C2C37">
            <w:pPr>
              <w:rPr>
                <w:rFonts w:ascii="Verdana" w:eastAsia="Verdana" w:hAnsi="Verdana"/>
                <w:spacing w:val="0"/>
                <w:szCs w:val="18"/>
              </w:rPr>
            </w:pPr>
            <w:r w:rsidRPr="00172D84">
              <w:rPr>
                <w:rFonts w:ascii="Verdana" w:eastAsia="Verdana" w:hAnsi="Verdana"/>
                <w:spacing w:val="0"/>
                <w:szCs w:val="18"/>
              </w:rPr>
              <w:t>Water supply reliability for Sunbury</w:t>
            </w:r>
            <w:r w:rsidR="0070243B">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0C14AF" w:rsidRPr="005108B0">
              <w:rPr>
                <w:rFonts w:ascii="Verdana" w:eastAsia="Verdana" w:hAnsi="Verdana"/>
                <w:b w:val="0"/>
                <w:spacing w:val="0"/>
                <w:szCs w:val="18"/>
              </w:rPr>
              <w:t>29.04m</w:t>
            </w:r>
            <w:r w:rsidR="00A0666C">
              <w:rPr>
                <w:rFonts w:ascii="Verdana" w:eastAsia="Verdana" w:hAnsi="Verdana"/>
                <w:b w:val="0"/>
                <w:spacing w:val="0"/>
                <w:szCs w:val="18"/>
              </w:rPr>
              <w:t xml:space="preserve"> CAPEX</w:t>
            </w:r>
            <w:r w:rsidR="000C14AF" w:rsidRPr="005108B0">
              <w:rPr>
                <w:rFonts w:ascii="Verdana" w:eastAsia="Verdana" w:hAnsi="Verdana"/>
                <w:b w:val="0"/>
                <w:spacing w:val="0"/>
                <w:szCs w:val="18"/>
              </w:rPr>
              <w:t>)</w:t>
            </w:r>
          </w:p>
          <w:p w14:paraId="767B5B23" w14:textId="0C901574" w:rsidR="00FA2EAF" w:rsidRDefault="00FA2EAF" w:rsidP="008C2C37">
            <w:pPr>
              <w:rPr>
                <w:rFonts w:ascii="Verdana" w:eastAsia="Verdana" w:hAnsi="Verdana"/>
                <w:spacing w:val="0"/>
                <w:szCs w:val="18"/>
              </w:rPr>
            </w:pPr>
            <w:r>
              <w:rPr>
                <w:rFonts w:ascii="Verdana" w:eastAsia="Verdana" w:hAnsi="Verdana"/>
                <w:spacing w:val="0"/>
                <w:szCs w:val="18"/>
              </w:rPr>
              <w:t xml:space="preserve">Water Main Performance Renewals Program </w:t>
            </w:r>
            <w:r>
              <w:rPr>
                <w:rFonts w:ascii="Verdana" w:eastAsia="Verdana" w:hAnsi="Verdana"/>
                <w:b w:val="0"/>
                <w:spacing w:val="0"/>
                <w:szCs w:val="18"/>
              </w:rPr>
              <w:t>(</w:t>
            </w:r>
            <w:r w:rsidR="006C19A4">
              <w:rPr>
                <w:rFonts w:ascii="Verdana" w:eastAsia="Verdana" w:hAnsi="Verdana"/>
                <w:b w:val="0"/>
                <w:spacing w:val="0"/>
                <w:szCs w:val="18"/>
              </w:rPr>
              <w:t>$</w:t>
            </w:r>
            <w:r w:rsidR="00B570E5">
              <w:rPr>
                <w:rFonts w:ascii="Verdana" w:eastAsia="Verdana" w:hAnsi="Verdana"/>
                <w:b w:val="0"/>
                <w:spacing w:val="0"/>
                <w:szCs w:val="18"/>
              </w:rPr>
              <w:t>197.66m</w:t>
            </w:r>
            <w:r w:rsidR="00A0666C">
              <w:rPr>
                <w:rFonts w:ascii="Verdana" w:eastAsia="Verdana" w:hAnsi="Verdana"/>
                <w:b w:val="0"/>
                <w:spacing w:val="0"/>
                <w:szCs w:val="18"/>
              </w:rPr>
              <w:t xml:space="preserve"> CAPEX</w:t>
            </w:r>
            <w:r w:rsidR="00B570E5">
              <w:rPr>
                <w:rFonts w:ascii="Verdana" w:eastAsia="Verdana" w:hAnsi="Verdana"/>
                <w:b w:val="0"/>
                <w:spacing w:val="0"/>
                <w:szCs w:val="18"/>
              </w:rPr>
              <w:t>)</w:t>
            </w:r>
          </w:p>
          <w:p w14:paraId="13D0D678" w14:textId="5413BA18" w:rsidR="00961D2A" w:rsidRPr="005108B0" w:rsidRDefault="00A73A72" w:rsidP="008C2C37">
            <w:pPr>
              <w:rPr>
                <w:rFonts w:ascii="Verdana" w:eastAsia="Verdana" w:hAnsi="Verdana"/>
                <w:b w:val="0"/>
                <w:spacing w:val="0"/>
                <w:szCs w:val="18"/>
              </w:rPr>
            </w:pPr>
            <w:r w:rsidRPr="00A45162">
              <w:rPr>
                <w:rFonts w:ascii="Verdana" w:eastAsia="Verdana" w:hAnsi="Verdana"/>
                <w:spacing w:val="0"/>
                <w:szCs w:val="18"/>
              </w:rPr>
              <w:t>Water Treatment Growth and Renewals</w:t>
            </w:r>
            <w:r>
              <w:rPr>
                <w:rFonts w:ascii="Verdana" w:eastAsia="Verdana" w:hAnsi="Verdana"/>
                <w:spacing w:val="0"/>
                <w:szCs w:val="18"/>
              </w:rPr>
              <w:t xml:space="preserve"> </w:t>
            </w:r>
            <w:r>
              <w:rPr>
                <w:rFonts w:ascii="Verdana" w:eastAsia="Verdana" w:hAnsi="Verdana"/>
                <w:b w:val="0"/>
                <w:spacing w:val="0"/>
                <w:szCs w:val="18"/>
              </w:rPr>
              <w:t>(</w:t>
            </w:r>
            <w:r w:rsidR="006C19A4">
              <w:rPr>
                <w:rFonts w:ascii="Verdana" w:eastAsia="Verdana" w:hAnsi="Verdana"/>
                <w:b w:val="0"/>
                <w:spacing w:val="0"/>
                <w:szCs w:val="18"/>
              </w:rPr>
              <w:t>$</w:t>
            </w:r>
            <w:r w:rsidR="00A90F1F">
              <w:rPr>
                <w:rFonts w:ascii="Verdana" w:eastAsia="Verdana" w:hAnsi="Verdana"/>
                <w:b w:val="0"/>
                <w:spacing w:val="0"/>
                <w:szCs w:val="18"/>
              </w:rPr>
              <w:t>54.56</w:t>
            </w:r>
            <w:r w:rsidR="00A0666C">
              <w:rPr>
                <w:rFonts w:ascii="Verdana" w:eastAsia="Verdana" w:hAnsi="Verdana"/>
                <w:b w:val="0"/>
                <w:spacing w:val="0"/>
                <w:szCs w:val="18"/>
              </w:rPr>
              <w:t xml:space="preserve"> CAPEX</w:t>
            </w:r>
            <w:r w:rsidR="00A90F1F">
              <w:rPr>
                <w:rFonts w:ascii="Verdana" w:eastAsia="Verdana" w:hAnsi="Verdana"/>
                <w:b w:val="0"/>
                <w:spacing w:val="0"/>
                <w:szCs w:val="18"/>
              </w:rPr>
              <w:t>)</w:t>
            </w:r>
          </w:p>
        </w:tc>
      </w:tr>
    </w:tbl>
    <w:p w14:paraId="16F3C3BA" w14:textId="065DE5F7" w:rsidR="00410364" w:rsidRDefault="00480948" w:rsidP="00DA5B0B">
      <w:pPr>
        <w:sectPr w:rsidR="00410364" w:rsidSect="008C1A38">
          <w:pgSz w:w="16838" w:h="11906" w:orient="landscape" w:code="9"/>
          <w:pgMar w:top="1134" w:right="1134" w:bottom="1134" w:left="1134" w:header="709" w:footer="652" w:gutter="0"/>
          <w:cols w:space="708"/>
          <w:docGrid w:linePitch="360"/>
        </w:sectPr>
      </w:pPr>
      <w:r>
        <w:rPr>
          <w:sz w:val="20"/>
          <w:szCs w:val="20"/>
        </w:rPr>
        <w:t>*</w:t>
      </w:r>
      <w:r w:rsidRPr="00480948">
        <w:t>These report card measures were chosen and agreed by our Customer Forum. Our investment and expenditure forecasts consider our customer outcomes and are aligned to ensure measures are achievable.</w:t>
      </w:r>
    </w:p>
    <w:p w14:paraId="0342F0CA" w14:textId="6035C2D0" w:rsidR="00477DDA" w:rsidRDefault="00BC5E7B" w:rsidP="005B69CD">
      <w:pPr>
        <w:pStyle w:val="Heading3"/>
      </w:pPr>
      <w:r w:rsidRPr="00BC5E7B">
        <w:lastRenderedPageBreak/>
        <w:t xml:space="preserve">Customer outcome 2 </w:t>
      </w:r>
      <w:r w:rsidR="00012AF6">
        <w:t>–</w:t>
      </w:r>
      <w:r w:rsidRPr="00BC5E7B">
        <w:t xml:space="preserve"> When things go wrong, we fix </w:t>
      </w:r>
      <w:proofErr w:type="gramStart"/>
      <w:r w:rsidRPr="00BC5E7B">
        <w:t>them</w:t>
      </w:r>
      <w:proofErr w:type="gramEnd"/>
    </w:p>
    <w:p w14:paraId="697D0FB5" w14:textId="5FB02BCA" w:rsidR="00F12BE6" w:rsidRDefault="002509DB" w:rsidP="00331A75">
      <w:r>
        <w:t>As</w:t>
      </w:r>
      <w:r w:rsidR="00C809A4">
        <w:t xml:space="preserve"> </w:t>
      </w:r>
      <w:r w:rsidR="0028251D">
        <w:t xml:space="preserve">outlined </w:t>
      </w:r>
      <w:r w:rsidR="00F12BE6">
        <w:t>in customer outcome 1</w:t>
      </w:r>
      <w:r w:rsidR="002C13CA">
        <w:t xml:space="preserve">, customers expect everyone in the region paying the same amount for water </w:t>
      </w:r>
      <w:r w:rsidR="006C1462">
        <w:t xml:space="preserve">services </w:t>
      </w:r>
      <w:r w:rsidR="00B2024F">
        <w:t xml:space="preserve">to </w:t>
      </w:r>
      <w:r w:rsidR="002C13CA">
        <w:t>hav</w:t>
      </w:r>
      <w:r w:rsidR="00B2024F">
        <w:t>e</w:t>
      </w:r>
      <w:r w:rsidR="002C13CA">
        <w:t xml:space="preserve"> </w:t>
      </w:r>
      <w:r w:rsidR="006C1462">
        <w:t xml:space="preserve">equal </w:t>
      </w:r>
      <w:r w:rsidR="002C13CA">
        <w:t>level</w:t>
      </w:r>
      <w:r w:rsidR="006C1462">
        <w:t>s</w:t>
      </w:r>
      <w:r w:rsidR="002C13CA">
        <w:t xml:space="preserve"> of service.  </w:t>
      </w:r>
    </w:p>
    <w:p w14:paraId="10E35515" w14:textId="61D9F7EF" w:rsidR="001C3EC4" w:rsidRDefault="004D60A1" w:rsidP="00331A75">
      <w:r>
        <w:t>W</w:t>
      </w:r>
      <w:r w:rsidR="002C13CA">
        <w:t xml:space="preserve">e acknowledge that total system reliability </w:t>
      </w:r>
      <w:r w:rsidR="006552D2">
        <w:t xml:space="preserve">comes at a very high cost </w:t>
      </w:r>
      <w:r w:rsidR="00CA10E6">
        <w:t>to customers,</w:t>
      </w:r>
      <w:r w:rsidR="008E4B22">
        <w:t xml:space="preserve"> </w:t>
      </w:r>
      <w:r w:rsidR="002C13CA">
        <w:t>that disruptions to our services can happen</w:t>
      </w:r>
      <w:r w:rsidR="00CA10E6">
        <w:t xml:space="preserve"> and that customers are prepared to have some disruptions to </w:t>
      </w:r>
      <w:r w:rsidR="001C3EC4">
        <w:t xml:space="preserve">keep services </w:t>
      </w:r>
      <w:r w:rsidR="00CA10E6">
        <w:t>affordable</w:t>
      </w:r>
      <w:r w:rsidR="002C13CA">
        <w:t xml:space="preserve">. </w:t>
      </w:r>
    </w:p>
    <w:p w14:paraId="46479C3A" w14:textId="071BCF0A" w:rsidR="002C13CA" w:rsidRDefault="001C3EC4" w:rsidP="00331A75">
      <w:r>
        <w:t>Customer o</w:t>
      </w:r>
      <w:r w:rsidR="002C13CA">
        <w:t xml:space="preserve">utcomes </w:t>
      </w:r>
      <w:r>
        <w:t xml:space="preserve">1 </w:t>
      </w:r>
      <w:r w:rsidR="002C13CA">
        <w:t xml:space="preserve">and </w:t>
      </w:r>
      <w:r>
        <w:t>2</w:t>
      </w:r>
      <w:r w:rsidR="002C13CA">
        <w:t xml:space="preserve"> balance the </w:t>
      </w:r>
      <w:r w:rsidR="00901F10">
        <w:t xml:space="preserve">spending </w:t>
      </w:r>
      <w:r w:rsidR="00AB31E3">
        <w:t>on</w:t>
      </w:r>
      <w:r w:rsidR="00FF0D37">
        <w:t xml:space="preserve"> </w:t>
      </w:r>
      <w:r w:rsidR="002C13CA">
        <w:t>system reliability and the level of responsiveness when things go wrong.</w:t>
      </w:r>
    </w:p>
    <w:p w14:paraId="4441472B" w14:textId="6A088166" w:rsidR="002C13CA" w:rsidRDefault="002C13CA" w:rsidP="00331A75">
      <w:r>
        <w:t xml:space="preserve">Our customers </w:t>
      </w:r>
      <w:r w:rsidR="00F43E0A">
        <w:t>will experience this outcome as</w:t>
      </w:r>
      <w:r>
        <w:t>:</w:t>
      </w:r>
    </w:p>
    <w:p w14:paraId="17541E41" w14:textId="50E26766" w:rsidR="002C13CA" w:rsidRDefault="00811FEE">
      <w:pPr>
        <w:pStyle w:val="ListBullet"/>
        <w:numPr>
          <w:ilvl w:val="0"/>
          <w:numId w:val="88"/>
        </w:numPr>
      </w:pPr>
      <w:r>
        <w:t>W</w:t>
      </w:r>
      <w:r w:rsidR="002C13CA">
        <w:t>hen things go wrong, we are responsive and efficient</w:t>
      </w:r>
      <w:r>
        <w:t>.</w:t>
      </w:r>
    </w:p>
    <w:p w14:paraId="11197118" w14:textId="0FA16A43" w:rsidR="002C13CA" w:rsidRDefault="00811FEE">
      <w:pPr>
        <w:pStyle w:val="ListBullet"/>
        <w:numPr>
          <w:ilvl w:val="0"/>
          <w:numId w:val="88"/>
        </w:numPr>
      </w:pPr>
      <w:r>
        <w:t>W</w:t>
      </w:r>
      <w:r w:rsidR="002C13CA">
        <w:t>hen you contact us, we provide excellent customer services.</w:t>
      </w:r>
    </w:p>
    <w:p w14:paraId="18145227" w14:textId="1AB89D1C" w:rsidR="002C13CA" w:rsidRDefault="002C13CA" w:rsidP="003A1AD6">
      <w:pPr>
        <w:pStyle w:val="Heading4"/>
      </w:pPr>
      <w:r>
        <w:t>What we heard from our customers</w:t>
      </w:r>
    </w:p>
    <w:p w14:paraId="12F5F689" w14:textId="3E5E744B" w:rsidR="00C564C7" w:rsidRDefault="00033C4C" w:rsidP="00331A75">
      <w:r>
        <w:t>D</w:t>
      </w:r>
      <w:r w:rsidR="00A667E4">
        <w:t>uring the exploration</w:t>
      </w:r>
      <w:r w:rsidR="0041352F">
        <w:t xml:space="preserve">, </w:t>
      </w:r>
      <w:r w:rsidR="00A667E4">
        <w:t xml:space="preserve">valuation </w:t>
      </w:r>
      <w:r w:rsidR="0041352F">
        <w:t xml:space="preserve">and deliberation </w:t>
      </w:r>
      <w:r w:rsidR="00A667E4">
        <w:t>stages</w:t>
      </w:r>
      <w:r w:rsidR="0055130B">
        <w:t>, customers told us</w:t>
      </w:r>
      <w:r w:rsidR="00A667E4">
        <w:t xml:space="preserve"> that they </w:t>
      </w:r>
      <w:r w:rsidR="00C564C7">
        <w:t>value resolving faults and issues in a timely manner</w:t>
      </w:r>
      <w:r w:rsidR="00E65DEE">
        <w:t xml:space="preserve">. </w:t>
      </w:r>
      <w:r w:rsidR="00CB3D4E">
        <w:t>In the valuation stage we heard that</w:t>
      </w:r>
      <w:r w:rsidR="00E65DEE">
        <w:t xml:space="preserve"> </w:t>
      </w:r>
      <w:r w:rsidR="00EB4063">
        <w:t>customers</w:t>
      </w:r>
      <w:r w:rsidR="00C564C7">
        <w:t xml:space="preserve"> were </w:t>
      </w:r>
      <w:r w:rsidR="00EB4063">
        <w:t>willing</w:t>
      </w:r>
      <w:r w:rsidR="00C564C7">
        <w:t xml:space="preserve"> to pay </w:t>
      </w:r>
      <w:r w:rsidR="00EB4063">
        <w:t xml:space="preserve">a mix of the current level and </w:t>
      </w:r>
      <w:r w:rsidR="00C564C7">
        <w:t xml:space="preserve">more to support improvements </w:t>
      </w:r>
      <w:r w:rsidR="00EB4063">
        <w:t>in high</w:t>
      </w:r>
      <w:r w:rsidR="00925164">
        <w:t>-</w:t>
      </w:r>
      <w:r w:rsidR="00EB4063">
        <w:t xml:space="preserve">risk areas. </w:t>
      </w:r>
      <w:r w:rsidR="00CB3D4E">
        <w:t>Our deliberative</w:t>
      </w:r>
      <w:r w:rsidR="00D30D61">
        <w:t xml:space="preserve"> panel</w:t>
      </w:r>
      <w:r w:rsidR="00CB3D4E">
        <w:t xml:space="preserve"> </w:t>
      </w:r>
      <w:r w:rsidR="00C564C7">
        <w:t xml:space="preserve">wrote a range of recommendations </w:t>
      </w:r>
      <w:r w:rsidR="00EB4063">
        <w:t>support</w:t>
      </w:r>
      <w:r w:rsidR="00CB3D4E">
        <w:t>ing</w:t>
      </w:r>
      <w:r w:rsidR="00EB4063">
        <w:t xml:space="preserve"> </w:t>
      </w:r>
      <w:r w:rsidR="00C564C7">
        <w:t xml:space="preserve">this outcome, </w:t>
      </w:r>
      <w:r w:rsidR="00AD3F79">
        <w:t xml:space="preserve">but also </w:t>
      </w:r>
      <w:r w:rsidR="00EB4063">
        <w:t>indicat</w:t>
      </w:r>
      <w:r w:rsidR="00712FCB">
        <w:t>ed</w:t>
      </w:r>
      <w:r w:rsidR="00C564C7">
        <w:t xml:space="preserve"> they were </w:t>
      </w:r>
      <w:r w:rsidR="00EB4063">
        <w:t>satisfied</w:t>
      </w:r>
      <w:r w:rsidR="00C564C7">
        <w:t xml:space="preserve"> with the current level of </w:t>
      </w:r>
      <w:r w:rsidR="00712FCB">
        <w:t>interruptions and did not wish to spend additional money on significant improvements</w:t>
      </w:r>
      <w:r w:rsidR="00EC3599">
        <w:t>.</w:t>
      </w:r>
      <w:r w:rsidR="00A667E4">
        <w:t xml:space="preserve"> </w:t>
      </w:r>
      <w:r w:rsidR="00EC3599">
        <w:t>H</w:t>
      </w:r>
      <w:r w:rsidR="00A667E4">
        <w:t>owever</w:t>
      </w:r>
      <w:r w:rsidR="00EC3599">
        <w:t>,</w:t>
      </w:r>
      <w:r w:rsidR="00A667E4">
        <w:t xml:space="preserve"> </w:t>
      </w:r>
      <w:r w:rsidR="00925164">
        <w:t xml:space="preserve">they </w:t>
      </w:r>
      <w:r w:rsidR="00A667E4">
        <w:t>were willing to pay for better communication around outages.</w:t>
      </w:r>
    </w:p>
    <w:p w14:paraId="1711C9D6" w14:textId="750F4BD3" w:rsidR="00C564C7" w:rsidRPr="003C34A3" w:rsidRDefault="00D81E5F" w:rsidP="00CB64F6">
      <w:pPr>
        <w:pStyle w:val="Heading5"/>
      </w:pPr>
      <w:r>
        <w:t>Exploration stage</w:t>
      </w:r>
    </w:p>
    <w:p w14:paraId="5EA070FE" w14:textId="4B448A01" w:rsidR="002C13CA" w:rsidRDefault="002C13CA" w:rsidP="002C13CA">
      <w:r>
        <w:t xml:space="preserve">In the exploration stage customer survey, customers and stakeholders strongly supported our ‘delivering value to customers’ </w:t>
      </w:r>
      <w:r w:rsidR="00480BDB">
        <w:t>strategic outcome</w:t>
      </w:r>
      <w:r>
        <w:t xml:space="preserve"> and its focus areas from our </w:t>
      </w:r>
      <w:r w:rsidRPr="00CB64F6">
        <w:rPr>
          <w:i/>
        </w:rPr>
        <w:t>2030 Strategy</w:t>
      </w:r>
      <w:r w:rsidR="00AC0920">
        <w:t xml:space="preserve"> and rated the fo</w:t>
      </w:r>
      <w:r w:rsidR="00AE5D4F">
        <w:t>llowing as important</w:t>
      </w:r>
      <w:r>
        <w:t>:</w:t>
      </w:r>
    </w:p>
    <w:p w14:paraId="4C1B9D69" w14:textId="5BAC93ED" w:rsidR="002C13CA" w:rsidRDefault="00AE5D4F">
      <w:pPr>
        <w:pStyle w:val="ListBullet"/>
        <w:numPr>
          <w:ilvl w:val="0"/>
          <w:numId w:val="89"/>
        </w:numPr>
      </w:pPr>
      <w:r>
        <w:t>improving water services to reduce the impact of faults and issues (</w:t>
      </w:r>
      <w:r w:rsidR="002C13CA">
        <w:t>56</w:t>
      </w:r>
      <w:r w:rsidR="00AC0920">
        <w:t>%</w:t>
      </w:r>
      <w:r w:rsidR="002C13CA">
        <w:t xml:space="preserve"> of survey respondents and stakeholders</w:t>
      </w:r>
      <w:r>
        <w:t>)</w:t>
      </w:r>
      <w:r w:rsidR="002C13CA">
        <w:t xml:space="preserve"> </w:t>
      </w:r>
    </w:p>
    <w:p w14:paraId="2466ABBB" w14:textId="28234D0C" w:rsidR="00AE5D4F" w:rsidRDefault="00AE5D4F">
      <w:pPr>
        <w:pStyle w:val="ListBullet"/>
        <w:numPr>
          <w:ilvl w:val="0"/>
          <w:numId w:val="89"/>
        </w:numPr>
      </w:pPr>
      <w:r>
        <w:t>having excellent customer service with fast response times (</w:t>
      </w:r>
      <w:r w:rsidR="002C13CA">
        <w:t>44</w:t>
      </w:r>
      <w:r>
        <w:t>%</w:t>
      </w:r>
      <w:r w:rsidR="002C13CA">
        <w:t xml:space="preserve"> of survey respondents and 33</w:t>
      </w:r>
      <w:r>
        <w:t>%</w:t>
      </w:r>
      <w:r w:rsidR="002C13CA">
        <w:t xml:space="preserve"> of stakeholders</w:t>
      </w:r>
      <w:r>
        <w:t>)</w:t>
      </w:r>
      <w:r w:rsidR="00012AF6">
        <w:t xml:space="preserve"> </w:t>
      </w:r>
      <w:r w:rsidR="002C13CA">
        <w:t xml:space="preserve">rating. </w:t>
      </w:r>
    </w:p>
    <w:p w14:paraId="5A729684" w14:textId="597A9935" w:rsidR="002C13CA" w:rsidRDefault="002C13CA">
      <w:pPr>
        <w:pStyle w:val="ListParagraph"/>
        <w:numPr>
          <w:ilvl w:val="0"/>
          <w:numId w:val="89"/>
        </w:numPr>
      </w:pPr>
      <w:r>
        <w:t xml:space="preserve">We also heard from our stakeholder interviews that accessibility was important to them. </w:t>
      </w:r>
    </w:p>
    <w:p w14:paraId="790529D4" w14:textId="0B3220A4" w:rsidR="002C13CA" w:rsidRDefault="002C13CA" w:rsidP="002C13CA">
      <w:r>
        <w:t xml:space="preserve">These findings were consistent </w:t>
      </w:r>
      <w:r w:rsidR="00FF3075">
        <w:t xml:space="preserve">with </w:t>
      </w:r>
      <w:r>
        <w:t>the exploration stage focus groups</w:t>
      </w:r>
      <w:r w:rsidR="00F265A2">
        <w:t>, where</w:t>
      </w:r>
      <w:r>
        <w:t xml:space="preserve"> 21</w:t>
      </w:r>
      <w:r w:rsidR="00F265A2">
        <w:t>%</w:t>
      </w:r>
      <w:r>
        <w:t xml:space="preserve"> of responses related to reliability and responsiveness. </w:t>
      </w:r>
    </w:p>
    <w:p w14:paraId="37AC8792" w14:textId="77777777" w:rsidR="00820215" w:rsidRDefault="00820215" w:rsidP="008A21EE">
      <w:pPr>
        <w:pStyle w:val="Heading5"/>
      </w:pPr>
      <w:r>
        <w:t>Valuation stage</w:t>
      </w:r>
    </w:p>
    <w:p w14:paraId="5622AF16" w14:textId="272A5F46" w:rsidR="002C13CA" w:rsidRDefault="00DB1876" w:rsidP="002C13CA">
      <w:r>
        <w:t>In the valuation stage, w</w:t>
      </w:r>
      <w:r w:rsidR="002C13CA">
        <w:t>e explore</w:t>
      </w:r>
      <w:r w:rsidR="000E3CBD">
        <w:t>d</w:t>
      </w:r>
      <w:r w:rsidR="002C13CA">
        <w:t xml:space="preserve"> the balance between reliability and responsiveness</w:t>
      </w:r>
      <w:r w:rsidR="0034765D">
        <w:t xml:space="preserve"> but</w:t>
      </w:r>
      <w:r w:rsidR="002C13CA">
        <w:t xml:space="preserve"> </w:t>
      </w:r>
      <w:r w:rsidR="00341C42">
        <w:t>did not</w:t>
      </w:r>
      <w:r w:rsidR="002C13CA">
        <w:t xml:space="preserve"> </w:t>
      </w:r>
      <w:r w:rsidR="0041352F">
        <w:t xml:space="preserve">specifically </w:t>
      </w:r>
      <w:r w:rsidR="00877F5E">
        <w:t xml:space="preserve">discuss </w:t>
      </w:r>
      <w:r w:rsidR="002C13CA">
        <w:t>providing excellent customer service</w:t>
      </w:r>
      <w:r w:rsidR="009601E1">
        <w:t>, as there was only</w:t>
      </w:r>
      <w:r w:rsidR="002C13CA">
        <w:t xml:space="preserve"> limited </w:t>
      </w:r>
      <w:r w:rsidR="004E3E23">
        <w:t>interest shown in the exploration phase</w:t>
      </w:r>
      <w:r w:rsidR="009601E1">
        <w:t xml:space="preserve">. </w:t>
      </w:r>
      <w:r w:rsidR="00454D72">
        <w:t xml:space="preserve">However, the deliberative panel showed </w:t>
      </w:r>
      <w:r w:rsidR="000200D6">
        <w:t>considerable interest in</w:t>
      </w:r>
      <w:r w:rsidR="002C13CA">
        <w:t xml:space="preserve"> customer service</w:t>
      </w:r>
      <w:r w:rsidR="000200D6">
        <w:t xml:space="preserve"> through their conversations and recommendations, </w:t>
      </w:r>
      <w:r w:rsidR="00374F0B">
        <w:t xml:space="preserve">and recommended improvement in </w:t>
      </w:r>
      <w:r w:rsidR="000200D6">
        <w:t>communication with customer</w:t>
      </w:r>
      <w:r w:rsidR="00664888">
        <w:t>s</w:t>
      </w:r>
      <w:r w:rsidR="000200D6">
        <w:t>.</w:t>
      </w:r>
    </w:p>
    <w:p w14:paraId="26606DBD" w14:textId="67829B3C" w:rsidR="002C13CA" w:rsidRDefault="002C13CA" w:rsidP="002C13CA">
      <w:r>
        <w:t>In a comprehensive bill simulator survey and focus groups, we tested four options relating to lower and higher levels of reliability and responsiveness</w:t>
      </w:r>
      <w:r w:rsidR="006718F9">
        <w:t xml:space="preserve">, </w:t>
      </w:r>
      <w:r w:rsidR="0063187C">
        <w:t>with different associated costs</w:t>
      </w:r>
      <w:r>
        <w:t xml:space="preserve">. We </w:t>
      </w:r>
      <w:r w:rsidR="00761C4D">
        <w:t>found</w:t>
      </w:r>
      <w:r>
        <w:t xml:space="preserve"> a strong willingness to pay</w:t>
      </w:r>
      <w:r w:rsidR="00EB2189">
        <w:t>, with more than 60% o</w:t>
      </w:r>
      <w:r w:rsidR="00E21501">
        <w:t>f</w:t>
      </w:r>
      <w:r w:rsidR="00EB2189">
        <w:t xml:space="preserve"> respondents willing to</w:t>
      </w:r>
      <w:r>
        <w:t xml:space="preserve"> spend much more to improve reliability and responsiveness</w:t>
      </w:r>
      <w:r w:rsidR="00B649CA">
        <w:t>. Less</w:t>
      </w:r>
      <w:r>
        <w:t xml:space="preserve"> </w:t>
      </w:r>
      <w:r>
        <w:lastRenderedPageBreak/>
        <w:t>than 5</w:t>
      </w:r>
      <w:r w:rsidR="00B649CA">
        <w:t>%</w:t>
      </w:r>
      <w:r>
        <w:t xml:space="preserve"> of </w:t>
      </w:r>
      <w:r w:rsidR="00B649CA">
        <w:t>respondents</w:t>
      </w:r>
      <w:r>
        <w:t xml:space="preserve"> </w:t>
      </w:r>
      <w:r w:rsidR="00CC2B13">
        <w:t>select</w:t>
      </w:r>
      <w:r w:rsidR="00B649CA">
        <w:t>ed</w:t>
      </w:r>
      <w:r w:rsidR="00CC2B13">
        <w:t xml:space="preserve"> </w:t>
      </w:r>
      <w:r w:rsidR="00B649CA">
        <w:t>the option</w:t>
      </w:r>
      <w:r w:rsidR="00CC2B13">
        <w:t xml:space="preserve"> </w:t>
      </w:r>
      <w:r>
        <w:t xml:space="preserve">to reduce bills by having more interruptions.   </w:t>
      </w:r>
    </w:p>
    <w:p w14:paraId="5C5EABDF" w14:textId="66EBFF78" w:rsidR="002C13CA" w:rsidRDefault="002C13CA" w:rsidP="002C13CA">
      <w:r>
        <w:t xml:space="preserve">These findings were </w:t>
      </w:r>
      <w:r w:rsidR="001011D3">
        <w:t xml:space="preserve">repeated in </w:t>
      </w:r>
      <w:r>
        <w:t>focus group</w:t>
      </w:r>
      <w:r w:rsidR="001011D3">
        <w:t>s</w:t>
      </w:r>
      <w:r>
        <w:t>, including financially vulnerable customers</w:t>
      </w:r>
      <w:r w:rsidR="00D34FE5">
        <w:t>. F</w:t>
      </w:r>
      <w:r w:rsidR="00F26697">
        <w:t xml:space="preserve">ive focus groups chose the option to keep </w:t>
      </w:r>
      <w:r>
        <w:t>the current level of investment</w:t>
      </w:r>
      <w:r w:rsidR="0033151B">
        <w:t xml:space="preserve">, </w:t>
      </w:r>
      <w:proofErr w:type="gramStart"/>
      <w:r w:rsidR="0033151B">
        <w:t>expenditure</w:t>
      </w:r>
      <w:proofErr w:type="gramEnd"/>
      <w:r>
        <w:t xml:space="preserve"> and level of service</w:t>
      </w:r>
      <w:r w:rsidR="002D429E">
        <w:t xml:space="preserve">, and three focus </w:t>
      </w:r>
      <w:r>
        <w:t xml:space="preserve">groups </w:t>
      </w:r>
      <w:r w:rsidR="002D429E">
        <w:t>chose</w:t>
      </w:r>
      <w:r>
        <w:t xml:space="preserve"> the highest cost option to lift our </w:t>
      </w:r>
      <w:r w:rsidR="002D429E">
        <w:t xml:space="preserve">current service </w:t>
      </w:r>
      <w:r>
        <w:t>level</w:t>
      </w:r>
      <w:r w:rsidR="00C12CEE">
        <w:t>s</w:t>
      </w:r>
      <w:r>
        <w:t xml:space="preserve">. Those </w:t>
      </w:r>
      <w:r w:rsidR="00E20FBE">
        <w:t xml:space="preserve">who chose </w:t>
      </w:r>
      <w:r>
        <w:t xml:space="preserve">a high level of service were driven by equity concerns and were willing to pay more to ensure all customers received similar levels of service.  </w:t>
      </w:r>
    </w:p>
    <w:p w14:paraId="38A18CAB" w14:textId="54BE83C9" w:rsidR="00820215" w:rsidRDefault="00820215" w:rsidP="00664888">
      <w:pPr>
        <w:pStyle w:val="Heading5"/>
      </w:pPr>
      <w:r>
        <w:t>Deliberation stage</w:t>
      </w:r>
    </w:p>
    <w:p w14:paraId="5C7BA7C4" w14:textId="34CE94CE" w:rsidR="002C13CA" w:rsidRDefault="004F7B75" w:rsidP="00331A75">
      <w:r>
        <w:t>The</w:t>
      </w:r>
      <w:r w:rsidR="002C13CA">
        <w:t xml:space="preserve"> findings suggested that customers preferred some</w:t>
      </w:r>
      <w:r w:rsidR="00475009">
        <w:t xml:space="preserve">where between the </w:t>
      </w:r>
      <w:r w:rsidR="002C13CA">
        <w:t xml:space="preserve">current level </w:t>
      </w:r>
      <w:r w:rsidR="00475009">
        <w:t xml:space="preserve">of service </w:t>
      </w:r>
      <w:r w:rsidR="002C13CA">
        <w:t>and a higher level</w:t>
      </w:r>
      <w:r w:rsidR="00116C11">
        <w:t>.</w:t>
      </w:r>
      <w:r w:rsidR="002C13CA">
        <w:t xml:space="preserve"> </w:t>
      </w:r>
      <w:r w:rsidR="00116C11">
        <w:t>T</w:t>
      </w:r>
      <w:r w:rsidR="002C13CA">
        <w:t xml:space="preserve">his </w:t>
      </w:r>
      <w:r w:rsidR="00602CE6">
        <w:t xml:space="preserve">priority </w:t>
      </w:r>
      <w:r w:rsidR="00820215">
        <w:t xml:space="preserve">topic </w:t>
      </w:r>
      <w:r w:rsidR="00602CE6">
        <w:t>went to deliberation</w:t>
      </w:r>
      <w:r w:rsidR="002C13CA">
        <w:t xml:space="preserve">. </w:t>
      </w:r>
      <w:r w:rsidR="00AC21FC">
        <w:t xml:space="preserve">The </w:t>
      </w:r>
      <w:r w:rsidR="002C13CA">
        <w:t>deliberative panel found current service delivery met current expectations in time to respon</w:t>
      </w:r>
      <w:r w:rsidR="00CC72A6">
        <w:t>d</w:t>
      </w:r>
      <w:r w:rsidR="002C13CA">
        <w:t xml:space="preserve"> and frequency of interruptions</w:t>
      </w:r>
      <w:r w:rsidR="00CC72A6">
        <w:t>. The panel</w:t>
      </w:r>
      <w:r w:rsidR="002C13CA">
        <w:t xml:space="preserve"> recommended we continue to address unplanned disruptions in a proactive and timely manner (Recommendation 1.1)</w:t>
      </w:r>
      <w:r w:rsidR="00CC72A6">
        <w:t xml:space="preserve"> and that</w:t>
      </w:r>
      <w:r w:rsidR="0098514F">
        <w:t xml:space="preserve"> we</w:t>
      </w:r>
      <w:r w:rsidR="00895C39">
        <w:t xml:space="preserve"> </w:t>
      </w:r>
      <w:r w:rsidR="002C13CA">
        <w:t>notify and communicat</w:t>
      </w:r>
      <w:r w:rsidR="0098514F">
        <w:t>e</w:t>
      </w:r>
      <w:r w:rsidR="002C13CA">
        <w:t xml:space="preserve"> with customers in a more proactive and customised way </w:t>
      </w:r>
      <w:r w:rsidR="00820215">
        <w:t xml:space="preserve">to improve </w:t>
      </w:r>
      <w:r w:rsidR="002C13CA">
        <w:t xml:space="preserve">accessibility for everyone (recommendation 5.1). </w:t>
      </w:r>
    </w:p>
    <w:p w14:paraId="0EDFF1C2" w14:textId="551336F6" w:rsidR="002C13CA" w:rsidRDefault="002C13CA" w:rsidP="002C13CA">
      <w:r>
        <w:t xml:space="preserve">We adopted these recommendations in our customer outcomes and experiences. </w:t>
      </w:r>
    </w:p>
    <w:p w14:paraId="6A5F5707" w14:textId="77777777" w:rsidR="00CE7C47" w:rsidRDefault="00CE7C47" w:rsidP="00CE7C47">
      <w:pPr>
        <w:pStyle w:val="Heading4"/>
      </w:pPr>
      <w:r>
        <w:t>How we will be accountable to our customers</w:t>
      </w:r>
    </w:p>
    <w:p w14:paraId="7E856A80" w14:textId="3EC9E1CB" w:rsidR="002C13CA" w:rsidRDefault="00171863" w:rsidP="002C13CA">
      <w:r>
        <w:t xml:space="preserve">We will </w:t>
      </w:r>
      <w:r w:rsidR="002D2F30">
        <w:t>report on</w:t>
      </w:r>
      <w:r>
        <w:t xml:space="preserve"> </w:t>
      </w:r>
      <w:r w:rsidR="0098514F">
        <w:t xml:space="preserve">four </w:t>
      </w:r>
      <w:r w:rsidR="002C13CA">
        <w:t xml:space="preserve">measures that underpin our </w:t>
      </w:r>
      <w:r w:rsidR="0098514F">
        <w:t xml:space="preserve">two </w:t>
      </w:r>
      <w:r w:rsidR="002C13CA">
        <w:t>customer experiences</w:t>
      </w:r>
      <w:r w:rsidR="0098514F">
        <w:t>. These measures</w:t>
      </w:r>
      <w:r w:rsidR="002C13CA">
        <w:t xml:space="preserve"> were voted for by </w:t>
      </w:r>
      <w:r w:rsidR="000F6BFE">
        <w:t>our customer forum</w:t>
      </w:r>
      <w:r w:rsidR="002C13CA">
        <w:t>.</w:t>
      </w:r>
    </w:p>
    <w:p w14:paraId="46285CD2" w14:textId="77777777" w:rsidR="00EB35A3" w:rsidRDefault="002C13CA" w:rsidP="002C13CA">
      <w:r>
        <w:t xml:space="preserve">We will </w:t>
      </w:r>
      <w:r w:rsidR="00E95714">
        <w:t xml:space="preserve">report </w:t>
      </w:r>
      <w:r w:rsidR="00EB35A3">
        <w:t>on:</w:t>
      </w:r>
    </w:p>
    <w:p w14:paraId="5F539CEB" w14:textId="10D8A42C" w:rsidR="002C13CA" w:rsidRDefault="00E95714">
      <w:pPr>
        <w:pStyle w:val="ListBullet"/>
        <w:numPr>
          <w:ilvl w:val="0"/>
          <w:numId w:val="90"/>
        </w:numPr>
      </w:pPr>
      <w:r>
        <w:t>our</w:t>
      </w:r>
      <w:r w:rsidR="002C13CA">
        <w:t xml:space="preserve"> responsiveness and efficiency when </w:t>
      </w:r>
      <w:r w:rsidR="002571CF">
        <w:t>there are</w:t>
      </w:r>
      <w:r w:rsidR="002C13CA">
        <w:t xml:space="preserve"> water and sewer interruptions to demonstrate that we respond in a proactive and timely manner and </w:t>
      </w:r>
      <w:r w:rsidR="003E1297">
        <w:t>provide</w:t>
      </w:r>
      <w:r w:rsidR="002C13CA">
        <w:t xml:space="preserve"> a consistent level of service across the region with slight </w:t>
      </w:r>
      <w:proofErr w:type="gramStart"/>
      <w:r w:rsidR="002C13CA">
        <w:t>improvements</w:t>
      </w:r>
      <w:proofErr w:type="gramEnd"/>
    </w:p>
    <w:p w14:paraId="25B7DD48" w14:textId="29DC5155" w:rsidR="002C13CA" w:rsidRDefault="002C13CA">
      <w:pPr>
        <w:pStyle w:val="ListBullet"/>
        <w:numPr>
          <w:ilvl w:val="0"/>
          <w:numId w:val="90"/>
        </w:numPr>
      </w:pPr>
      <w:r>
        <w:t xml:space="preserve">overall customer satisfaction of those who contacted us in the past 12 months to measure the level of customer service customers receive. </w:t>
      </w:r>
    </w:p>
    <w:p w14:paraId="67E4D43D" w14:textId="37DB7534" w:rsidR="00477DDA" w:rsidRDefault="003E1297" w:rsidP="00115C49">
      <w:r>
        <w:t xml:space="preserve">Our </w:t>
      </w:r>
      <w:r w:rsidR="002C13CA">
        <w:t xml:space="preserve">targets </w:t>
      </w:r>
      <w:r>
        <w:t>are</w:t>
      </w:r>
      <w:r w:rsidR="002C13CA">
        <w:t xml:space="preserve"> based on our 2020-23 average historical performance.</w:t>
      </w:r>
    </w:p>
    <w:p w14:paraId="739E25AF" w14:textId="77777777" w:rsidR="00156DFD" w:rsidRDefault="00156DFD" w:rsidP="00DA5B0B">
      <w:pPr>
        <w:tabs>
          <w:tab w:val="center" w:pos="4708"/>
          <w:tab w:val="left" w:pos="5100"/>
        </w:tabs>
        <w:rPr>
          <w:rFonts w:asciiTheme="majorHAnsi" w:hAnsiTheme="majorHAnsi"/>
          <w:b/>
          <w:color w:val="FFFFFF" w:themeColor="background1"/>
          <w:szCs w:val="18"/>
        </w:rPr>
      </w:pPr>
    </w:p>
    <w:p w14:paraId="7949CD62" w14:textId="77777777" w:rsidR="00AD6693" w:rsidRDefault="00AD6693" w:rsidP="00DA5B0B">
      <w:pPr>
        <w:tabs>
          <w:tab w:val="center" w:pos="4708"/>
          <w:tab w:val="left" w:pos="5100"/>
        </w:tabs>
        <w:rPr>
          <w:rFonts w:asciiTheme="majorHAnsi" w:hAnsiTheme="majorHAnsi"/>
          <w:b/>
          <w:color w:val="FFFFFF" w:themeColor="background1"/>
          <w:szCs w:val="18"/>
        </w:rPr>
      </w:pPr>
    </w:p>
    <w:p w14:paraId="4EF130DA" w14:textId="77777777" w:rsidR="00156DFD" w:rsidRDefault="00156DFD" w:rsidP="00DA5B0B">
      <w:pPr>
        <w:tabs>
          <w:tab w:val="center" w:pos="4708"/>
          <w:tab w:val="left" w:pos="5100"/>
        </w:tabs>
        <w:rPr>
          <w:rFonts w:asciiTheme="majorHAnsi" w:hAnsiTheme="majorHAnsi"/>
          <w:b/>
          <w:color w:val="FFFFFF" w:themeColor="background1"/>
          <w:szCs w:val="18"/>
        </w:rPr>
      </w:pPr>
    </w:p>
    <w:p w14:paraId="48CEB555" w14:textId="77777777" w:rsidR="00156DFD" w:rsidRDefault="00156DFD" w:rsidP="00DA5B0B">
      <w:pPr>
        <w:tabs>
          <w:tab w:val="center" w:pos="4708"/>
          <w:tab w:val="left" w:pos="5100"/>
        </w:tabs>
        <w:rPr>
          <w:rFonts w:asciiTheme="majorHAnsi" w:hAnsiTheme="majorHAnsi"/>
          <w:b/>
          <w:color w:val="FFFFFF" w:themeColor="background1"/>
          <w:szCs w:val="18"/>
        </w:rPr>
        <w:sectPr w:rsidR="00156DFD" w:rsidSect="008C1A38">
          <w:pgSz w:w="11906" w:h="16838" w:orient="landscape" w:code="9"/>
          <w:pgMar w:top="1134" w:right="1134" w:bottom="1134" w:left="1134" w:header="709" w:footer="652" w:gutter="0"/>
          <w:cols w:space="708"/>
          <w:docGrid w:linePitch="360"/>
        </w:sectPr>
      </w:pPr>
    </w:p>
    <w:p w14:paraId="3CF5F8AF" w14:textId="22F158B6" w:rsidR="0025377F" w:rsidRDefault="0025377F" w:rsidP="0025377F">
      <w:pPr>
        <w:pStyle w:val="Caption"/>
      </w:pPr>
      <w:r w:rsidRPr="00AE09B8">
        <w:rPr>
          <w:b/>
          <w:bCs/>
        </w:rPr>
        <w:lastRenderedPageBreak/>
        <w:t xml:space="preserve">Table </w:t>
      </w:r>
      <w:r w:rsidR="001F7221" w:rsidRPr="00AE09B8">
        <w:rPr>
          <w:b/>
          <w:bCs/>
        </w:rPr>
        <w:fldChar w:fldCharType="begin"/>
      </w:r>
      <w:r w:rsidR="001F7221" w:rsidRPr="00AE09B8">
        <w:rPr>
          <w:b/>
          <w:bCs/>
        </w:rPr>
        <w:instrText xml:space="preserve"> SEQ Table \* ARABIC </w:instrText>
      </w:r>
      <w:r w:rsidR="001F7221" w:rsidRPr="00AE09B8">
        <w:rPr>
          <w:b/>
          <w:bCs/>
        </w:rPr>
        <w:fldChar w:fldCharType="separate"/>
      </w:r>
      <w:r w:rsidR="003B42C6">
        <w:rPr>
          <w:b/>
          <w:bCs/>
          <w:noProof/>
        </w:rPr>
        <w:t>5</w:t>
      </w:r>
      <w:r w:rsidR="001F7221" w:rsidRPr="00AE09B8">
        <w:rPr>
          <w:b/>
          <w:bCs/>
          <w:noProof/>
        </w:rPr>
        <w:fldChar w:fldCharType="end"/>
      </w:r>
      <w:r>
        <w:t xml:space="preserve"> </w:t>
      </w:r>
      <w:r w:rsidRPr="007A20F5">
        <w:t xml:space="preserve">Customer outcome </w:t>
      </w:r>
      <w:r>
        <w:t>2</w:t>
      </w:r>
      <w:r w:rsidRPr="007A20F5">
        <w:t xml:space="preserve"> - </w:t>
      </w:r>
      <w:r>
        <w:t xml:space="preserve">When things go wrong, we fix </w:t>
      </w:r>
      <w:proofErr w:type="gramStart"/>
      <w:r>
        <w:t>them</w:t>
      </w:r>
      <w:proofErr w:type="gramEnd"/>
    </w:p>
    <w:tbl>
      <w:tblPr>
        <w:tblStyle w:val="GWWDefaulttable"/>
        <w:tblW w:w="5002" w:type="pct"/>
        <w:tblLook w:val="04A0" w:firstRow="1" w:lastRow="0" w:firstColumn="1" w:lastColumn="0" w:noHBand="0" w:noVBand="1"/>
      </w:tblPr>
      <w:tblGrid>
        <w:gridCol w:w="2784"/>
        <w:gridCol w:w="3000"/>
        <w:gridCol w:w="2355"/>
        <w:gridCol w:w="6437"/>
      </w:tblGrid>
      <w:tr w:rsidR="00EC61BD" w:rsidRPr="00DA5B0B" w14:paraId="19BADD3D" w14:textId="77777777" w:rsidTr="00926B2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Pr>
          <w:p w14:paraId="20AFF79C" w14:textId="68E4470E" w:rsidR="00EC61BD" w:rsidRPr="00C13E42" w:rsidRDefault="00EC61BD" w:rsidP="00DA5B0B">
            <w:pPr>
              <w:tabs>
                <w:tab w:val="center" w:pos="4708"/>
                <w:tab w:val="left" w:pos="5100"/>
              </w:tabs>
              <w:rPr>
                <w:b w:val="0"/>
                <w:szCs w:val="18"/>
              </w:rPr>
            </w:pPr>
            <w:r w:rsidRPr="00C13E42">
              <w:rPr>
                <w:szCs w:val="18"/>
              </w:rPr>
              <w:t>When things go wrong, we fix them</w:t>
            </w:r>
          </w:p>
        </w:tc>
      </w:tr>
      <w:tr w:rsidR="00EC61BD" w:rsidRPr="00DA5B0B" w14:paraId="3B800328"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30C61E2A" w14:textId="151CEAC4" w:rsidR="00EC61BD" w:rsidRPr="00E22F26" w:rsidRDefault="00EC61BD" w:rsidP="00DA5B0B">
            <w:pPr>
              <w:rPr>
                <w:b w:val="0"/>
                <w:bCs/>
                <w:szCs w:val="18"/>
              </w:rPr>
            </w:pPr>
            <w:r w:rsidRPr="00E22F26">
              <w:rPr>
                <w:b w:val="0"/>
                <w:szCs w:val="18"/>
              </w:rPr>
              <w:t>We recognise that</w:t>
            </w:r>
            <w:proofErr w:type="gramStart"/>
            <w:r w:rsidR="00B01A99" w:rsidRPr="00E22F26">
              <w:rPr>
                <w:b w:val="0"/>
                <w:szCs w:val="18"/>
              </w:rPr>
              <w:t>,</w:t>
            </w:r>
            <w:r w:rsidRPr="00E22F26">
              <w:rPr>
                <w:b w:val="0"/>
                <w:szCs w:val="18"/>
              </w:rPr>
              <w:t xml:space="preserve"> in reality, some</w:t>
            </w:r>
            <w:proofErr w:type="gramEnd"/>
            <w:r w:rsidRPr="00E22F26">
              <w:rPr>
                <w:b w:val="0"/>
                <w:szCs w:val="18"/>
              </w:rPr>
              <w:t xml:space="preserve"> customers will experience interruptions to their service unexpectedly. </w:t>
            </w:r>
            <w:r w:rsidR="00AD76E7" w:rsidRPr="00E22F26">
              <w:rPr>
                <w:b w:val="0"/>
                <w:szCs w:val="18"/>
              </w:rPr>
              <w:t>When these happen, our water and sewerage maintenance crews are responsive and efficient to resolve the issue. We also provide excellent customer services when you contact us</w:t>
            </w:r>
          </w:p>
        </w:tc>
      </w:tr>
      <w:tr w:rsidR="00EC61BD" w:rsidRPr="00BA3885" w14:paraId="64B2E324"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955" w:type="pct"/>
            <w:shd w:val="clear" w:color="auto" w:fill="1A206C" w:themeFill="text2"/>
            <w:vAlign w:val="center"/>
          </w:tcPr>
          <w:p w14:paraId="3905DD77" w14:textId="77777777" w:rsidR="00EC61BD" w:rsidRPr="00BA3885" w:rsidRDefault="00EC61BD" w:rsidP="00926B27">
            <w:pPr>
              <w:pStyle w:val="NoSpacing"/>
              <w:rPr>
                <w:color w:val="FFFFFF" w:themeColor="background1"/>
              </w:rPr>
            </w:pPr>
            <w:r w:rsidRPr="00BA3885">
              <w:rPr>
                <w:color w:val="FFFFFF" w:themeColor="background1"/>
              </w:rPr>
              <w:t>Experiences</w:t>
            </w:r>
          </w:p>
        </w:tc>
        <w:tc>
          <w:tcPr>
            <w:tcW w:w="1029" w:type="pct"/>
            <w:shd w:val="clear" w:color="auto" w:fill="1A206C" w:themeFill="text2"/>
            <w:vAlign w:val="center"/>
          </w:tcPr>
          <w:p w14:paraId="310DE018"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 xml:space="preserve">Report card measures </w:t>
            </w:r>
          </w:p>
        </w:tc>
        <w:tc>
          <w:tcPr>
            <w:tcW w:w="808" w:type="pct"/>
            <w:shd w:val="clear" w:color="auto" w:fill="1A206C" w:themeFill="text2"/>
            <w:vAlign w:val="center"/>
          </w:tcPr>
          <w:p w14:paraId="7C5AC598"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 xml:space="preserve">Our 2024-28 target </w:t>
            </w:r>
          </w:p>
        </w:tc>
        <w:tc>
          <w:tcPr>
            <w:tcW w:w="2208" w:type="pct"/>
            <w:shd w:val="clear" w:color="auto" w:fill="1A206C" w:themeFill="text2"/>
            <w:vAlign w:val="center"/>
          </w:tcPr>
          <w:p w14:paraId="415B3FFF"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What we will do</w:t>
            </w:r>
          </w:p>
        </w:tc>
      </w:tr>
      <w:tr w:rsidR="00EC61BD" w:rsidRPr="00DA5B0B" w14:paraId="22725722"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DC0BD30" w14:textId="529A5535" w:rsidR="00EC61BD" w:rsidRPr="006B680C" w:rsidRDefault="00EC61BD">
            <w:pPr>
              <w:rPr>
                <w:b w:val="0"/>
                <w:bCs/>
                <w:szCs w:val="18"/>
              </w:rPr>
            </w:pPr>
            <w:r w:rsidRPr="006B680C">
              <w:rPr>
                <w:b w:val="0"/>
                <w:bCs/>
                <w:szCs w:val="18"/>
              </w:rPr>
              <w:t>Our water and sewerage maintenance crews are responsive and efficient if disruptions happen</w:t>
            </w:r>
          </w:p>
        </w:tc>
        <w:tc>
          <w:tcPr>
            <w:tcW w:w="1029" w:type="pct"/>
          </w:tcPr>
          <w:p w14:paraId="26269D80" w14:textId="0ACE34CA"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 xml:space="preserve">Average time to fix a burst or leak in our main or trunk infrastructure (priority </w:t>
            </w:r>
            <w:proofErr w:type="gramStart"/>
            <w:r w:rsidRPr="00C13E42">
              <w:rPr>
                <w:rFonts w:asciiTheme="majorHAnsi" w:hAnsiTheme="majorHAnsi"/>
                <w:szCs w:val="18"/>
              </w:rPr>
              <w:t>1)</w:t>
            </w:r>
            <w:r w:rsidR="00E20488">
              <w:rPr>
                <w:rFonts w:asciiTheme="majorHAnsi" w:hAnsiTheme="majorHAnsi"/>
                <w:szCs w:val="18"/>
              </w:rPr>
              <w:t>*</w:t>
            </w:r>
            <w:proofErr w:type="gramEnd"/>
            <w:r w:rsidRPr="00C13E42">
              <w:rPr>
                <w:rFonts w:asciiTheme="majorHAnsi" w:hAnsiTheme="majorHAnsi"/>
                <w:szCs w:val="18"/>
              </w:rPr>
              <w:t xml:space="preserve"> </w:t>
            </w:r>
          </w:p>
        </w:tc>
        <w:tc>
          <w:tcPr>
            <w:tcW w:w="808" w:type="pct"/>
          </w:tcPr>
          <w:p w14:paraId="51ABFB58" w14:textId="2EF98FFC" w:rsidR="00EC61BD" w:rsidRPr="00475D0D"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&lt; 465 minutes</w:t>
            </w:r>
          </w:p>
        </w:tc>
        <w:tc>
          <w:tcPr>
            <w:tcW w:w="2208" w:type="pct"/>
            <w:vMerge w:val="restart"/>
          </w:tcPr>
          <w:p w14:paraId="371EC429" w14:textId="3C245ED5" w:rsidR="00DA5B0B" w:rsidRPr="00475D0D" w:rsidRDefault="00DA5B0B">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 xml:space="preserve">Maintain the current level of investment in </w:t>
            </w:r>
            <w:r w:rsidR="0001435C" w:rsidRPr="00475D0D">
              <w:t>proactive maintenance and r</w:t>
            </w:r>
            <w:r w:rsidRPr="00475D0D">
              <w:t>enewal programs so interruptions don</w:t>
            </w:r>
            <w:r w:rsidR="00634AB0">
              <w:t>’</w:t>
            </w:r>
            <w:r w:rsidRPr="00475D0D">
              <w:t xml:space="preserve">t become more frequent </w:t>
            </w:r>
            <w:r w:rsidR="00FB5AE0">
              <w:t>to provide customer the same level of service</w:t>
            </w:r>
            <w:r w:rsidR="00925164">
              <w:t>.</w:t>
            </w:r>
          </w:p>
          <w:p w14:paraId="417A49A0" w14:textId="5FA10D09" w:rsidR="00EC61BD" w:rsidRPr="00475D0D" w:rsidRDefault="00DA5B0B">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 xml:space="preserve">Implement and review our asset management plans </w:t>
            </w:r>
            <w:r w:rsidR="00B01A99">
              <w:t>so they</w:t>
            </w:r>
            <w:r w:rsidRPr="00475D0D">
              <w:t xml:space="preserve"> target those areas at greatest risk of interruptions</w:t>
            </w:r>
            <w:r w:rsidR="00925164">
              <w:t>.</w:t>
            </w:r>
          </w:p>
          <w:p w14:paraId="68BD7D36" w14:textId="2FB03176" w:rsidR="00116EFA" w:rsidRDefault="00116EFA">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Maintain the current level of investment</w:t>
            </w:r>
            <w:r w:rsidR="00F5269D">
              <w:t xml:space="preserve">, </w:t>
            </w:r>
            <w:proofErr w:type="gramStart"/>
            <w:r w:rsidR="00F5269D">
              <w:t>expenditure</w:t>
            </w:r>
            <w:proofErr w:type="gramEnd"/>
            <w:r w:rsidRPr="00475D0D">
              <w:t xml:space="preserve"> and service for our responsive maintenance programs to </w:t>
            </w:r>
            <w:r w:rsidR="00B01A99">
              <w:t>deliver</w:t>
            </w:r>
            <w:r w:rsidRPr="00475D0D">
              <w:t xml:space="preserve"> the level of service our customers expect</w:t>
            </w:r>
            <w:r w:rsidR="00925164">
              <w:t>.</w:t>
            </w:r>
          </w:p>
          <w:p w14:paraId="13619A8A" w14:textId="41563AAE" w:rsidR="00EC61BD" w:rsidRPr="00116EFA" w:rsidRDefault="00721B45">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t xml:space="preserve">Extend our </w:t>
            </w:r>
            <w:r w:rsidR="00B01A99">
              <w:t>Gu</w:t>
            </w:r>
            <w:r w:rsidR="00793128">
              <w:t>a</w:t>
            </w:r>
            <w:r w:rsidR="00B01A99">
              <w:t>ran</w:t>
            </w:r>
            <w:r w:rsidR="00793128">
              <w:t>teed Service Level</w:t>
            </w:r>
            <w:r>
              <w:t xml:space="preserve"> scheme to all customers </w:t>
            </w:r>
            <w:r w:rsidR="00793128">
              <w:t>to compensate them</w:t>
            </w:r>
            <w:r>
              <w:t xml:space="preserve"> </w:t>
            </w:r>
            <w:r w:rsidR="00793128">
              <w:t>they receive lower levels of service</w:t>
            </w:r>
            <w:r w:rsidR="00925164">
              <w:t>.</w:t>
            </w:r>
            <w:r w:rsidR="00793128">
              <w:t xml:space="preserve"> </w:t>
            </w:r>
          </w:p>
        </w:tc>
      </w:tr>
      <w:tr w:rsidR="00EC61BD" w:rsidRPr="00DA5B0B" w14:paraId="0A4B3CDF"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tcPr>
          <w:p w14:paraId="17857345" w14:textId="77777777" w:rsidR="00EC61BD" w:rsidRPr="006B680C" w:rsidRDefault="00EC61BD">
            <w:pPr>
              <w:rPr>
                <w:b w:val="0"/>
                <w:bCs/>
                <w:szCs w:val="18"/>
              </w:rPr>
            </w:pPr>
          </w:p>
        </w:tc>
        <w:tc>
          <w:tcPr>
            <w:tcW w:w="1029" w:type="pct"/>
          </w:tcPr>
          <w:p w14:paraId="75A3CF37" w14:textId="7D233486"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Average time to fix all reported sewer blockages/spills</w:t>
            </w:r>
            <w:r w:rsidR="00E20488">
              <w:rPr>
                <w:rFonts w:asciiTheme="majorHAnsi" w:hAnsiTheme="majorHAnsi"/>
                <w:szCs w:val="18"/>
              </w:rPr>
              <w:t>*</w:t>
            </w:r>
          </w:p>
        </w:tc>
        <w:tc>
          <w:tcPr>
            <w:tcW w:w="808" w:type="pct"/>
          </w:tcPr>
          <w:p w14:paraId="716B14E6" w14:textId="14ACB14E" w:rsidR="00EC61BD" w:rsidRPr="00612C73"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&lt; 117 minutes</w:t>
            </w:r>
          </w:p>
        </w:tc>
        <w:tc>
          <w:tcPr>
            <w:tcW w:w="2208" w:type="pct"/>
            <w:vMerge/>
          </w:tcPr>
          <w:p w14:paraId="340DA3A2" w14:textId="77777777" w:rsidR="00EC61BD" w:rsidRPr="00C13E42" w:rsidRDefault="00EC61BD" w:rsidP="00156DFD">
            <w:pPr>
              <w:pStyle w:val="ListBullet"/>
              <w:cnfStyle w:val="000000000000" w:firstRow="0" w:lastRow="0" w:firstColumn="0" w:lastColumn="0" w:oddVBand="0" w:evenVBand="0" w:oddHBand="0" w:evenHBand="0" w:firstRowFirstColumn="0" w:firstRowLastColumn="0" w:lastRowFirstColumn="0" w:lastRowLastColumn="0"/>
            </w:pPr>
          </w:p>
        </w:tc>
      </w:tr>
      <w:tr w:rsidR="00EC61BD" w:rsidRPr="00DA5B0B" w14:paraId="2BC22B75"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tcPr>
          <w:p w14:paraId="036AE146" w14:textId="77777777" w:rsidR="00EC61BD" w:rsidRPr="006B680C" w:rsidRDefault="00EC61BD">
            <w:pPr>
              <w:rPr>
                <w:b w:val="0"/>
                <w:bCs/>
                <w:szCs w:val="18"/>
              </w:rPr>
            </w:pPr>
          </w:p>
        </w:tc>
        <w:tc>
          <w:tcPr>
            <w:tcW w:w="1029" w:type="pct"/>
          </w:tcPr>
          <w:p w14:paraId="3650FEFD" w14:textId="667E8A0A"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Percentage of unplanned water supply interruptions restored within five hours</w:t>
            </w:r>
          </w:p>
        </w:tc>
        <w:tc>
          <w:tcPr>
            <w:tcW w:w="808" w:type="pct"/>
          </w:tcPr>
          <w:p w14:paraId="05CE8F5E" w14:textId="3E1745FA" w:rsidR="00EC61BD" w:rsidRPr="00612C73"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&gt;95%</w:t>
            </w:r>
          </w:p>
        </w:tc>
        <w:tc>
          <w:tcPr>
            <w:tcW w:w="2208" w:type="pct"/>
            <w:vMerge/>
          </w:tcPr>
          <w:p w14:paraId="605EB13C" w14:textId="77777777" w:rsidR="00EC61BD" w:rsidRPr="00C13E42" w:rsidRDefault="00EC61BD" w:rsidP="00156DFD">
            <w:pPr>
              <w:pStyle w:val="ListBullet"/>
              <w:cnfStyle w:val="000000000000" w:firstRow="0" w:lastRow="0" w:firstColumn="0" w:lastColumn="0" w:oddVBand="0" w:evenVBand="0" w:oddHBand="0" w:evenHBand="0" w:firstRowFirstColumn="0" w:firstRowLastColumn="0" w:lastRowFirstColumn="0" w:lastRowLastColumn="0"/>
            </w:pPr>
          </w:p>
        </w:tc>
      </w:tr>
      <w:tr w:rsidR="00EC61BD" w:rsidRPr="00DA5B0B" w14:paraId="2A00614B"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955" w:type="pct"/>
          </w:tcPr>
          <w:p w14:paraId="5309E71E" w14:textId="77777777" w:rsidR="00EC61BD" w:rsidRPr="006B680C" w:rsidRDefault="00EC61BD">
            <w:pPr>
              <w:rPr>
                <w:b w:val="0"/>
                <w:bCs/>
                <w:szCs w:val="18"/>
              </w:rPr>
            </w:pPr>
            <w:r w:rsidRPr="006B680C">
              <w:rPr>
                <w:b w:val="0"/>
                <w:bCs/>
                <w:szCs w:val="18"/>
              </w:rPr>
              <w:t>We provide excellent customer services when you contact us</w:t>
            </w:r>
          </w:p>
        </w:tc>
        <w:tc>
          <w:tcPr>
            <w:tcW w:w="1029" w:type="pct"/>
          </w:tcPr>
          <w:p w14:paraId="3DF44BE8" w14:textId="18F27559"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Overall customer satisfaction of those who contact GWW in past 12 months</w:t>
            </w:r>
            <w:r w:rsidR="00E20488">
              <w:rPr>
                <w:rFonts w:asciiTheme="majorHAnsi" w:hAnsiTheme="majorHAnsi"/>
                <w:szCs w:val="18"/>
              </w:rPr>
              <w:t>*</w:t>
            </w:r>
          </w:p>
        </w:tc>
        <w:tc>
          <w:tcPr>
            <w:tcW w:w="808" w:type="pct"/>
          </w:tcPr>
          <w:p w14:paraId="79235C64" w14:textId="16D90F80" w:rsidR="00EC61BD" w:rsidRPr="00C13E42"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&gt;</w:t>
            </w:r>
            <w:r w:rsidR="008F071C" w:rsidRPr="00C13E42">
              <w:rPr>
                <w:rFonts w:asciiTheme="majorHAnsi" w:hAnsiTheme="majorHAnsi"/>
                <w:szCs w:val="18"/>
              </w:rPr>
              <w:t>80%</w:t>
            </w:r>
            <w:r w:rsidRPr="00C13E42" w:rsidDel="00246907">
              <w:rPr>
                <w:rFonts w:asciiTheme="majorHAnsi" w:hAnsiTheme="majorHAnsi"/>
                <w:szCs w:val="18"/>
              </w:rPr>
              <w:t xml:space="preserve"> </w:t>
            </w:r>
          </w:p>
        </w:tc>
        <w:tc>
          <w:tcPr>
            <w:tcW w:w="2208" w:type="pct"/>
          </w:tcPr>
          <w:p w14:paraId="2314376A" w14:textId="19EBA230" w:rsidR="00116EFA" w:rsidRPr="00E22F26" w:rsidRDefault="00AC47CF">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C</w:t>
            </w:r>
            <w:r w:rsidR="00116EFA" w:rsidRPr="00E22F26">
              <w:t xml:space="preserve">ontinue to maintain </w:t>
            </w:r>
            <w:r w:rsidR="00316B3C" w:rsidRPr="00E22F26">
              <w:t>our grades</w:t>
            </w:r>
            <w:r w:rsidR="00116EFA" w:rsidRPr="00E22F26">
              <w:t xml:space="preserve"> of service </w:t>
            </w:r>
            <w:r w:rsidR="00316B3C" w:rsidRPr="00E22F26">
              <w:t xml:space="preserve">(call response times, call resolution </w:t>
            </w:r>
            <w:r w:rsidR="003C7DCD" w:rsidRPr="00E22F26">
              <w:t>times)</w:t>
            </w:r>
            <w:r w:rsidR="00116EFA" w:rsidRPr="00E22F26">
              <w:t xml:space="preserve"> from our customer call centre</w:t>
            </w:r>
            <w:r w:rsidR="00925164">
              <w:t>.</w:t>
            </w:r>
          </w:p>
          <w:p w14:paraId="43834A7A" w14:textId="77A6C0F5" w:rsidR="003C7DCD" w:rsidRPr="00E22F26" w:rsidRDefault="003C7DCD">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Continue to respond quickly to email</w:t>
            </w:r>
            <w:r w:rsidR="00E65F31" w:rsidRPr="00E22F26">
              <w:t>s</w:t>
            </w:r>
            <w:r w:rsidR="00925164">
              <w:t>.</w:t>
            </w:r>
            <w:r w:rsidRPr="00E22F26">
              <w:t xml:space="preserve"> </w:t>
            </w:r>
          </w:p>
          <w:p w14:paraId="7EC9ADF8" w14:textId="08F21425" w:rsidR="00EC61BD" w:rsidRPr="00E22F26" w:rsidRDefault="00316B3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Finalise and implement</w:t>
            </w:r>
            <w:r w:rsidR="00CA1F90" w:rsidRPr="00E22F26">
              <w:t xml:space="preserve"> our new customer </w:t>
            </w:r>
            <w:r w:rsidR="00FB352F" w:rsidRPr="00E22F26">
              <w:t>communication</w:t>
            </w:r>
            <w:r w:rsidR="00CA1F90" w:rsidRPr="00E22F26">
              <w:t xml:space="preserve"> management </w:t>
            </w:r>
            <w:r w:rsidR="00FB352F" w:rsidRPr="00E22F26">
              <w:t>system</w:t>
            </w:r>
            <w:r w:rsidR="00CA1F90" w:rsidRPr="00E22F26">
              <w:t xml:space="preserve"> </w:t>
            </w:r>
            <w:r w:rsidR="00E65F31" w:rsidRPr="00E22F26">
              <w:t xml:space="preserve">so </w:t>
            </w:r>
            <w:r w:rsidR="00994F60" w:rsidRPr="00E22F26">
              <w:t xml:space="preserve">customers can </w:t>
            </w:r>
            <w:r w:rsidR="003C7DCD" w:rsidRPr="00E22F26">
              <w:t xml:space="preserve">select </w:t>
            </w:r>
            <w:r w:rsidR="00994F60" w:rsidRPr="00E22F26">
              <w:t>from a range of methods to engage with us</w:t>
            </w:r>
            <w:r w:rsidR="00925164">
              <w:t>.</w:t>
            </w:r>
          </w:p>
          <w:p w14:paraId="7AA4F87A" w14:textId="77777777" w:rsidR="00A0666C" w:rsidRPr="00A0666C" w:rsidRDefault="001F123D">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proofErr w:type="spellStart"/>
            <w:r w:rsidRPr="001F123D">
              <w:rPr>
                <w:lang w:val="en-US"/>
              </w:rPr>
              <w:t>Modernise</w:t>
            </w:r>
            <w:proofErr w:type="spellEnd"/>
            <w:r>
              <w:rPr>
                <w:lang w:val="en-US"/>
              </w:rPr>
              <w:t xml:space="preserve"> </w:t>
            </w:r>
            <w:r w:rsidRPr="001F123D">
              <w:rPr>
                <w:lang w:val="en-US"/>
              </w:rPr>
              <w:t xml:space="preserve">platforms, </w:t>
            </w:r>
            <w:proofErr w:type="gramStart"/>
            <w:r w:rsidRPr="001F123D">
              <w:rPr>
                <w:lang w:val="en-US"/>
              </w:rPr>
              <w:t>processes</w:t>
            </w:r>
            <w:proofErr w:type="gramEnd"/>
            <w:r w:rsidRPr="001F123D">
              <w:rPr>
                <w:lang w:val="en-US"/>
              </w:rPr>
              <w:t xml:space="preserve"> and data capabilities to support billing and collection services that meet water industry standards for communication and improve customer experience.</w:t>
            </w:r>
          </w:p>
          <w:p w14:paraId="08E30B2B" w14:textId="77777777" w:rsidR="00EC61BD" w:rsidRDefault="00316B3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 xml:space="preserve">Continue to provide dedicated business </w:t>
            </w:r>
            <w:r w:rsidR="003C7DCD" w:rsidRPr="00E22F26">
              <w:t>customer</w:t>
            </w:r>
            <w:r w:rsidRPr="00E22F26">
              <w:t xml:space="preserve"> teams</w:t>
            </w:r>
            <w:r w:rsidR="003C7DCD" w:rsidRPr="00E22F26">
              <w:t xml:space="preserve"> to service </w:t>
            </w:r>
            <w:r w:rsidR="00E47655" w:rsidRPr="00E22F26">
              <w:t>customers</w:t>
            </w:r>
            <w:r w:rsidR="003C7DCD" w:rsidRPr="00E22F26">
              <w:t xml:space="preserve"> </w:t>
            </w:r>
            <w:r w:rsidR="00827218" w:rsidRPr="00E22F26">
              <w:t xml:space="preserve">with </w:t>
            </w:r>
            <w:proofErr w:type="gramStart"/>
            <w:r w:rsidR="00827218" w:rsidRPr="00E22F26">
              <w:t>particular</w:t>
            </w:r>
            <w:r w:rsidR="003C7DCD" w:rsidRPr="00E22F26">
              <w:t xml:space="preserve"> needs</w:t>
            </w:r>
            <w:proofErr w:type="gramEnd"/>
            <w:r w:rsidR="00925164">
              <w:t>.</w:t>
            </w:r>
          </w:p>
          <w:p w14:paraId="08792155" w14:textId="78BC53FF" w:rsidR="00A0666C" w:rsidRPr="00E22F26" w:rsidRDefault="00A0666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A0666C">
              <w:lastRenderedPageBreak/>
              <w:t>Security of critical infrastructure IT program to improve cyber security management to meet industry standards</w:t>
            </w:r>
          </w:p>
        </w:tc>
      </w:tr>
      <w:tr w:rsidR="00EC61BD" w:rsidRPr="00DA5B0B" w14:paraId="2482FFEE"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6BA1428D" w14:textId="26B0C50A" w:rsidR="00EC61BD" w:rsidRPr="00A14C50" w:rsidRDefault="004D4B98" w:rsidP="00F045A5">
            <w:pPr>
              <w:jc w:val="center"/>
              <w:rPr>
                <w:color w:val="FFFFFF" w:themeColor="background1"/>
                <w:szCs w:val="18"/>
              </w:rPr>
            </w:pPr>
            <w:r w:rsidRPr="00702AE9">
              <w:rPr>
                <w:rFonts w:ascii="Verdana" w:eastAsia="Verdana" w:hAnsi="Verdana"/>
                <w:color w:val="FFFFFF" w:themeColor="background1"/>
                <w:spacing w:val="0"/>
                <w:szCs w:val="18"/>
              </w:rPr>
              <w:lastRenderedPageBreak/>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EC61BD" w:rsidRPr="007B13A7" w14:paraId="0AF1CD45"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55E55646" w14:textId="505F1FFB" w:rsidR="00EC61BD" w:rsidRPr="007B13A7" w:rsidRDefault="00C02F00" w:rsidP="006B680C">
            <w:pPr>
              <w:rPr>
                <w:rFonts w:ascii="Verdana" w:eastAsia="Verdana" w:hAnsi="Verdana"/>
                <w:spacing w:val="0"/>
                <w:szCs w:val="18"/>
              </w:rPr>
            </w:pPr>
            <w:r w:rsidRPr="007B13A7">
              <w:rPr>
                <w:rFonts w:ascii="Verdana" w:eastAsia="Verdana" w:hAnsi="Verdana"/>
                <w:spacing w:val="0"/>
                <w:szCs w:val="18"/>
              </w:rPr>
              <w:t>Asset Ecosystem and Asset Monitoring program of works</w:t>
            </w:r>
            <w:r w:rsidR="000B4587" w:rsidRPr="007B13A7">
              <w:rPr>
                <w:rFonts w:ascii="Verdana" w:eastAsia="Verdana" w:hAnsi="Verdana"/>
                <w:spacing w:val="0"/>
                <w:szCs w:val="18"/>
              </w:rPr>
              <w:t xml:space="preserve"> </w:t>
            </w:r>
            <w:r w:rsidR="000B4587" w:rsidRPr="00445532">
              <w:rPr>
                <w:rFonts w:ascii="Verdana" w:eastAsia="Verdana" w:hAnsi="Verdana"/>
                <w:b w:val="0"/>
                <w:bCs/>
                <w:spacing w:val="0"/>
                <w:szCs w:val="18"/>
              </w:rPr>
              <w:t>(</w:t>
            </w:r>
            <w:r w:rsidR="006C19A4" w:rsidRPr="00445532">
              <w:rPr>
                <w:rFonts w:ascii="Verdana" w:eastAsia="Verdana" w:hAnsi="Verdana"/>
                <w:b w:val="0"/>
                <w:bCs/>
                <w:spacing w:val="0"/>
                <w:szCs w:val="18"/>
              </w:rPr>
              <w:t>$</w:t>
            </w:r>
            <w:r w:rsidR="000B4587" w:rsidRPr="00445532">
              <w:rPr>
                <w:rFonts w:ascii="Verdana" w:eastAsia="Verdana" w:hAnsi="Verdana"/>
                <w:b w:val="0"/>
                <w:bCs/>
                <w:spacing w:val="0"/>
                <w:szCs w:val="18"/>
              </w:rPr>
              <w:t>104.96m</w:t>
            </w:r>
            <w:r w:rsidR="00A0666C" w:rsidRPr="00445532">
              <w:rPr>
                <w:rFonts w:ascii="Verdana" w:eastAsia="Verdana" w:hAnsi="Verdana"/>
                <w:b w:val="0"/>
                <w:bCs/>
                <w:spacing w:val="0"/>
                <w:szCs w:val="18"/>
              </w:rPr>
              <w:t xml:space="preserve"> CAPEX</w:t>
            </w:r>
            <w:r w:rsidR="000B4587" w:rsidRPr="00445532">
              <w:rPr>
                <w:rFonts w:ascii="Verdana" w:eastAsia="Verdana" w:hAnsi="Verdana"/>
                <w:b w:val="0"/>
                <w:bCs/>
                <w:spacing w:val="0"/>
                <w:szCs w:val="18"/>
              </w:rPr>
              <w:t>)</w:t>
            </w:r>
          </w:p>
          <w:p w14:paraId="0FE92275" w14:textId="77777777" w:rsidR="00EC61BD" w:rsidRPr="00445532" w:rsidRDefault="006C19A4" w:rsidP="006B680C">
            <w:pPr>
              <w:rPr>
                <w:rFonts w:ascii="Verdana" w:eastAsia="Verdana" w:hAnsi="Verdana"/>
                <w:b w:val="0"/>
                <w:bCs/>
                <w:spacing w:val="0"/>
                <w:szCs w:val="18"/>
              </w:rPr>
            </w:pPr>
            <w:r w:rsidRPr="007B13A7">
              <w:rPr>
                <w:rFonts w:ascii="Verdana" w:eastAsia="Verdana" w:hAnsi="Verdana"/>
                <w:spacing w:val="0"/>
                <w:szCs w:val="18"/>
              </w:rPr>
              <w:t xml:space="preserve">Modernisation of GWW’s customer experience platforms, </w:t>
            </w:r>
            <w:proofErr w:type="gramStart"/>
            <w:r w:rsidRPr="007B13A7">
              <w:rPr>
                <w:rFonts w:ascii="Verdana" w:eastAsia="Verdana" w:hAnsi="Verdana"/>
                <w:spacing w:val="0"/>
                <w:szCs w:val="18"/>
              </w:rPr>
              <w:t>processes</w:t>
            </w:r>
            <w:proofErr w:type="gramEnd"/>
            <w:r w:rsidRPr="007B13A7">
              <w:rPr>
                <w:rFonts w:ascii="Verdana" w:eastAsia="Verdana" w:hAnsi="Verdana"/>
                <w:spacing w:val="0"/>
                <w:szCs w:val="18"/>
              </w:rPr>
              <w:t xml:space="preserve"> and data capabilities </w:t>
            </w:r>
            <w:r w:rsidRPr="00445532">
              <w:rPr>
                <w:rFonts w:ascii="Verdana" w:eastAsia="Verdana" w:hAnsi="Verdana"/>
                <w:b w:val="0"/>
                <w:bCs/>
                <w:spacing w:val="0"/>
                <w:szCs w:val="18"/>
              </w:rPr>
              <w:t>($37.47m</w:t>
            </w:r>
            <w:r w:rsidR="00D70F53" w:rsidRPr="00445532">
              <w:rPr>
                <w:rFonts w:ascii="Verdana" w:eastAsia="Verdana" w:hAnsi="Verdana"/>
                <w:b w:val="0"/>
                <w:bCs/>
                <w:spacing w:val="0"/>
                <w:szCs w:val="18"/>
              </w:rPr>
              <w:t xml:space="preserve"> CAPEX</w:t>
            </w:r>
            <w:r w:rsidRPr="00445532">
              <w:rPr>
                <w:rFonts w:ascii="Verdana" w:eastAsia="Verdana" w:hAnsi="Verdana"/>
                <w:b w:val="0"/>
                <w:bCs/>
                <w:spacing w:val="0"/>
                <w:szCs w:val="18"/>
              </w:rPr>
              <w:t>)</w:t>
            </w:r>
          </w:p>
          <w:p w14:paraId="7699F250" w14:textId="0790329E" w:rsidR="001822EC" w:rsidRPr="007B13A7" w:rsidRDefault="009252E8" w:rsidP="006B680C">
            <w:pPr>
              <w:rPr>
                <w:rFonts w:ascii="Verdana" w:eastAsia="Verdana" w:hAnsi="Verdana"/>
                <w:spacing w:val="0"/>
                <w:szCs w:val="18"/>
              </w:rPr>
            </w:pPr>
            <w:r>
              <w:rPr>
                <w:rFonts w:ascii="Verdana" w:eastAsia="Verdana" w:hAnsi="Verdana"/>
                <w:spacing w:val="0"/>
                <w:szCs w:val="18"/>
              </w:rPr>
              <w:t>O</w:t>
            </w:r>
            <w:r w:rsidR="001822EC" w:rsidRPr="007B13A7">
              <w:rPr>
                <w:rFonts w:ascii="Verdana" w:eastAsia="Verdana" w:hAnsi="Verdana"/>
                <w:spacing w:val="0"/>
                <w:szCs w:val="18"/>
              </w:rPr>
              <w:t xml:space="preserve">perating expenditure step </w:t>
            </w:r>
            <w:r w:rsidR="00B65354">
              <w:rPr>
                <w:rFonts w:ascii="Verdana" w:eastAsia="Verdana" w:hAnsi="Verdana"/>
                <w:spacing w:val="0"/>
                <w:szCs w:val="18"/>
              </w:rPr>
              <w:t>change</w:t>
            </w:r>
            <w:r w:rsidR="001822EC" w:rsidRPr="007B13A7">
              <w:rPr>
                <w:rFonts w:ascii="Verdana" w:eastAsia="Verdana" w:hAnsi="Verdana"/>
                <w:spacing w:val="0"/>
                <w:szCs w:val="18"/>
              </w:rPr>
              <w:t xml:space="preserve"> to uplift security of critical infrastructure IT program </w:t>
            </w:r>
            <w:r w:rsidR="001822EC" w:rsidRPr="00445532">
              <w:rPr>
                <w:rFonts w:ascii="Verdana" w:eastAsia="Verdana" w:hAnsi="Verdana"/>
                <w:b w:val="0"/>
                <w:bCs/>
                <w:spacing w:val="0"/>
                <w:szCs w:val="18"/>
              </w:rPr>
              <w:t>($4.5m OPEX)</w:t>
            </w:r>
          </w:p>
        </w:tc>
      </w:tr>
    </w:tbl>
    <w:p w14:paraId="5C9B913F" w14:textId="1B1E447B" w:rsidR="001835AF" w:rsidRDefault="001835AF" w:rsidP="001835AF">
      <w:pPr>
        <w:rPr>
          <w:sz w:val="20"/>
          <w:szCs w:val="20"/>
        </w:rPr>
      </w:pPr>
      <w:r w:rsidRPr="00480E82">
        <w:rPr>
          <w:sz w:val="20"/>
          <w:szCs w:val="20"/>
        </w:rPr>
        <w:t>*The report card measures were chosen</w:t>
      </w:r>
      <w:r>
        <w:rPr>
          <w:sz w:val="20"/>
          <w:szCs w:val="20"/>
        </w:rPr>
        <w:t xml:space="preserve"> and agreed</w:t>
      </w:r>
      <w:r w:rsidRPr="00480E82">
        <w:rPr>
          <w:sz w:val="20"/>
          <w:szCs w:val="20"/>
        </w:rPr>
        <w:t xml:space="preserve"> by our Customer Forum</w:t>
      </w:r>
      <w:r>
        <w:rPr>
          <w:sz w:val="20"/>
          <w:szCs w:val="20"/>
        </w:rPr>
        <w:t xml:space="preserve">. Our </w:t>
      </w:r>
      <w:r w:rsidR="00635027">
        <w:rPr>
          <w:sz w:val="20"/>
          <w:szCs w:val="20"/>
        </w:rPr>
        <w:t xml:space="preserve">investment and expenditure </w:t>
      </w:r>
      <w:r>
        <w:rPr>
          <w:sz w:val="20"/>
          <w:szCs w:val="20"/>
        </w:rPr>
        <w:t>forecasts consider our customer outcomes and are aligned to ensure measures are achievable.</w:t>
      </w:r>
    </w:p>
    <w:p w14:paraId="5166280A" w14:textId="77777777" w:rsidR="00156DFD" w:rsidRDefault="00156DFD" w:rsidP="00E20488">
      <w:pPr>
        <w:rPr>
          <w:sz w:val="20"/>
          <w:szCs w:val="20"/>
        </w:rPr>
      </w:pPr>
    </w:p>
    <w:p w14:paraId="3D0F61E9" w14:textId="013E62EF" w:rsidR="001835AF" w:rsidRDefault="001835AF" w:rsidP="00E20488">
      <w:pPr>
        <w:rPr>
          <w:sz w:val="20"/>
          <w:szCs w:val="20"/>
        </w:rPr>
        <w:sectPr w:rsidR="001835AF" w:rsidSect="008C1A38">
          <w:pgSz w:w="16838" w:h="11906" w:code="9"/>
          <w:pgMar w:top="1134" w:right="1134" w:bottom="1134" w:left="1134" w:header="709" w:footer="652" w:gutter="0"/>
          <w:cols w:space="708"/>
          <w:docGrid w:linePitch="360"/>
        </w:sectPr>
      </w:pPr>
    </w:p>
    <w:p w14:paraId="43134CBA" w14:textId="7CE0720E" w:rsidR="0059483B" w:rsidRDefault="0059483B" w:rsidP="005B69CD">
      <w:pPr>
        <w:pStyle w:val="Heading3"/>
      </w:pPr>
      <w:r>
        <w:lastRenderedPageBreak/>
        <w:t xml:space="preserve">Customer outcome 3 - We support our diverse communities and </w:t>
      </w:r>
      <w:proofErr w:type="gramStart"/>
      <w:r>
        <w:t>customers</w:t>
      </w:r>
      <w:proofErr w:type="gramEnd"/>
    </w:p>
    <w:p w14:paraId="5B9AD8F3" w14:textId="423180C5" w:rsidR="008E4B22" w:rsidRDefault="00CF27A4" w:rsidP="0059483B">
      <w:r w:rsidRPr="00CF27A4">
        <w:t>Customers have told us that supporting our diverse communities’ wellbeing and liveability through partnerships and supporting customers experiencing hardship is important.</w:t>
      </w:r>
    </w:p>
    <w:p w14:paraId="22D9C0B9" w14:textId="7B46362B" w:rsidR="0059483B" w:rsidRDefault="008E4B22" w:rsidP="0059483B">
      <w:r>
        <w:t>Our customers will experience this outcome as:</w:t>
      </w:r>
    </w:p>
    <w:p w14:paraId="16C33766" w14:textId="53A51ACE" w:rsidR="0059483B" w:rsidRDefault="0059483B">
      <w:pPr>
        <w:pStyle w:val="ListBullet"/>
        <w:numPr>
          <w:ilvl w:val="0"/>
          <w:numId w:val="93"/>
        </w:numPr>
      </w:pPr>
      <w:r>
        <w:t>With our partners, we improve the wellbeing of our communities by providing alternative water to irrigate public green spaces</w:t>
      </w:r>
      <w:r w:rsidR="00FE2848">
        <w:t>.</w:t>
      </w:r>
    </w:p>
    <w:p w14:paraId="5A3114C0" w14:textId="6AEDE48E" w:rsidR="0059483B" w:rsidRDefault="0059483B">
      <w:pPr>
        <w:pStyle w:val="ListBullet"/>
        <w:numPr>
          <w:ilvl w:val="0"/>
          <w:numId w:val="93"/>
        </w:numPr>
      </w:pPr>
      <w:r>
        <w:t>If our customers are having payment difficulties, we provide support.</w:t>
      </w:r>
    </w:p>
    <w:p w14:paraId="27F5FBA5" w14:textId="1AB89D1C" w:rsidR="0059483B" w:rsidRDefault="0059483B" w:rsidP="003A1AD6">
      <w:pPr>
        <w:pStyle w:val="Heading4"/>
      </w:pPr>
      <w:r>
        <w:t>What we heard from our customers</w:t>
      </w:r>
    </w:p>
    <w:p w14:paraId="2AC36670" w14:textId="1BBB5993" w:rsidR="009D4234" w:rsidRDefault="00DF47A6" w:rsidP="009D4234">
      <w:r>
        <w:t>Customers told us that they</w:t>
      </w:r>
      <w:r w:rsidR="009D4234">
        <w:t xml:space="preserve"> value </w:t>
      </w:r>
      <w:r w:rsidR="0015747B">
        <w:t xml:space="preserve">us supporting </w:t>
      </w:r>
      <w:r>
        <w:t xml:space="preserve">liveability for </w:t>
      </w:r>
      <w:r w:rsidR="0015747B">
        <w:t xml:space="preserve">our communities </w:t>
      </w:r>
      <w:r>
        <w:t>and</w:t>
      </w:r>
      <w:r w:rsidR="0015747B">
        <w:t xml:space="preserve"> supporting customers experiencing hardship. </w:t>
      </w:r>
      <w:r>
        <w:t>C</w:t>
      </w:r>
      <w:r w:rsidR="0015747B">
        <w:t xml:space="preserve">ustomers </w:t>
      </w:r>
      <w:r>
        <w:t>indicated they are</w:t>
      </w:r>
      <w:r w:rsidR="0015747B">
        <w:t xml:space="preserve"> willing to pay more to support customers</w:t>
      </w:r>
      <w:r w:rsidR="002F3F8D">
        <w:t xml:space="preserve"> experiencing hardship</w:t>
      </w:r>
      <w:r w:rsidR="0015747B">
        <w:t xml:space="preserve"> and </w:t>
      </w:r>
      <w:r>
        <w:t>to maintain or increase</w:t>
      </w:r>
      <w:r w:rsidR="0015747B">
        <w:t xml:space="preserve"> spending to address liveability </w:t>
      </w:r>
      <w:r w:rsidR="002F3F8D">
        <w:t>through</w:t>
      </w:r>
      <w:r>
        <w:t xml:space="preserve"> </w:t>
      </w:r>
      <w:r w:rsidR="0015747B">
        <w:t>alternative water.</w:t>
      </w:r>
    </w:p>
    <w:p w14:paraId="12A16753" w14:textId="77777777" w:rsidR="00DF47A6" w:rsidRDefault="00DF47A6" w:rsidP="00664888">
      <w:pPr>
        <w:pStyle w:val="Heading5"/>
      </w:pPr>
      <w:r>
        <w:t>Exploration stage</w:t>
      </w:r>
    </w:p>
    <w:p w14:paraId="0218B652" w14:textId="55675048" w:rsidR="00FC2F2A" w:rsidRDefault="0059483B" w:rsidP="0059483B">
      <w:r>
        <w:t xml:space="preserve">WSAA’s 2021 customer perception survey </w:t>
      </w:r>
      <w:r w:rsidR="00B80D75">
        <w:t>revealed that customers</w:t>
      </w:r>
      <w:r w:rsidR="00FC2F2A">
        <w:t xml:space="preserve"> expect us to:</w:t>
      </w:r>
    </w:p>
    <w:p w14:paraId="22C3A004" w14:textId="109353EA" w:rsidR="0059483B" w:rsidRDefault="0059483B">
      <w:pPr>
        <w:pStyle w:val="ListBullet"/>
        <w:numPr>
          <w:ilvl w:val="0"/>
          <w:numId w:val="94"/>
        </w:numPr>
      </w:pPr>
      <w:r>
        <w:t>help customers who struggle to pay their water bills and make additional allowances for customers with special needs</w:t>
      </w:r>
      <w:r w:rsidR="00FC2F2A">
        <w:t xml:space="preserve"> (more than half of respondents)</w:t>
      </w:r>
      <w:r>
        <w:t xml:space="preserve">  </w:t>
      </w:r>
    </w:p>
    <w:p w14:paraId="44CD43E6" w14:textId="405EE396" w:rsidR="00FC2F2A" w:rsidRDefault="0059483B">
      <w:pPr>
        <w:pStyle w:val="ListBullet"/>
        <w:numPr>
          <w:ilvl w:val="0"/>
          <w:numId w:val="94"/>
        </w:numPr>
      </w:pPr>
      <w:r>
        <w:t xml:space="preserve">provide recycled water for public parks and community sporting grounds </w:t>
      </w:r>
      <w:r w:rsidR="00FC2F2A">
        <w:t>(47% of respondents)</w:t>
      </w:r>
    </w:p>
    <w:p w14:paraId="45DE8056" w14:textId="47044426" w:rsidR="0059483B" w:rsidRDefault="0059483B">
      <w:pPr>
        <w:pStyle w:val="ListBullet"/>
        <w:numPr>
          <w:ilvl w:val="0"/>
          <w:numId w:val="94"/>
        </w:numPr>
      </w:pPr>
      <w:r>
        <w:t>invest money into research and innovation to save water and work with councils to provide greener and cooler public spaces for recreation</w:t>
      </w:r>
      <w:r w:rsidR="00FC2F2A">
        <w:t xml:space="preserve"> (more than one-third of respondents)</w:t>
      </w:r>
      <w:r>
        <w:t xml:space="preserve">. </w:t>
      </w:r>
    </w:p>
    <w:p w14:paraId="03EE36A4" w14:textId="300E4029" w:rsidR="0059483B" w:rsidRDefault="0059483B">
      <w:pPr>
        <w:pStyle w:val="ListParagraph"/>
        <w:numPr>
          <w:ilvl w:val="0"/>
          <w:numId w:val="94"/>
        </w:numPr>
      </w:pPr>
      <w:r>
        <w:t>These values were tested in our exploration customer survey</w:t>
      </w:r>
      <w:r w:rsidR="000D4FFC">
        <w:t>. Customers told us it was important that we</w:t>
      </w:r>
      <w:r>
        <w:t xml:space="preserve">: </w:t>
      </w:r>
    </w:p>
    <w:p w14:paraId="64B2EB6C" w14:textId="6C4ED8E0" w:rsidR="0059483B" w:rsidRDefault="000D4FFC">
      <w:pPr>
        <w:pStyle w:val="ListBullet"/>
        <w:numPr>
          <w:ilvl w:val="0"/>
          <w:numId w:val="94"/>
        </w:numPr>
      </w:pPr>
      <w:r>
        <w:t xml:space="preserve">provide </w:t>
      </w:r>
      <w:r w:rsidR="0059483B">
        <w:t xml:space="preserve">recycled water for public parks and community sporting grounds </w:t>
      </w:r>
      <w:r>
        <w:t>(48% of respondents)</w:t>
      </w:r>
    </w:p>
    <w:p w14:paraId="7B91076C" w14:textId="203D3A41" w:rsidR="00A5119D" w:rsidRDefault="000D4FFC">
      <w:pPr>
        <w:pStyle w:val="ListBullet"/>
        <w:numPr>
          <w:ilvl w:val="0"/>
          <w:numId w:val="94"/>
        </w:numPr>
      </w:pPr>
      <w:r>
        <w:t>work</w:t>
      </w:r>
      <w:r w:rsidR="0059483B">
        <w:t xml:space="preserve"> with council</w:t>
      </w:r>
      <w:r>
        <w:t>s</w:t>
      </w:r>
      <w:r w:rsidR="0059483B">
        <w:t xml:space="preserve"> to provide greener and cooler public spaces for recreation </w:t>
      </w:r>
      <w:r>
        <w:t>(38% of respondents)</w:t>
      </w:r>
    </w:p>
    <w:p w14:paraId="1F90A98D" w14:textId="77777777" w:rsidR="00A5119D" w:rsidRDefault="00A5119D">
      <w:pPr>
        <w:pStyle w:val="ListBullet"/>
        <w:numPr>
          <w:ilvl w:val="0"/>
          <w:numId w:val="94"/>
        </w:numPr>
      </w:pPr>
      <w:r>
        <w:t>look into alternative water sources like recycled water to improve our public spaces (74% of respondents)</w:t>
      </w:r>
    </w:p>
    <w:p w14:paraId="4238E393" w14:textId="5707D371" w:rsidR="0059483B" w:rsidRDefault="00A5119D">
      <w:pPr>
        <w:pStyle w:val="ListBullet"/>
        <w:numPr>
          <w:ilvl w:val="0"/>
          <w:numId w:val="94"/>
        </w:numPr>
      </w:pPr>
      <w:r>
        <w:t>use alternative water to support agriculture (68% of respondents).</w:t>
      </w:r>
    </w:p>
    <w:p w14:paraId="1B7F461C" w14:textId="34A266AA" w:rsidR="0059483B" w:rsidRDefault="0059483B" w:rsidP="0059483B">
      <w:r>
        <w:t xml:space="preserve">In the same survey, customers strongly supported our ‘supporting communities to thrive’ </w:t>
      </w:r>
      <w:r w:rsidR="00480BDB">
        <w:t>strategic outcome</w:t>
      </w:r>
      <w:r>
        <w:t xml:space="preserve"> and its focus areas from our </w:t>
      </w:r>
      <w:r w:rsidRPr="000D4FFC">
        <w:rPr>
          <w:i/>
        </w:rPr>
        <w:t>2030 Strategy</w:t>
      </w:r>
      <w:r w:rsidR="00A5119D">
        <w:rPr>
          <w:i/>
          <w:iCs/>
        </w:rPr>
        <w:t>.</w:t>
      </w:r>
      <w:r>
        <w:t xml:space="preserve"> When we asked our stakeholders, </w:t>
      </w:r>
      <w:r w:rsidR="00FE2848">
        <w:t>they strongly</w:t>
      </w:r>
      <w:r>
        <w:t xml:space="preserve"> identified using alternative water sources to improve public spaces for communities to thrive.  </w:t>
      </w:r>
    </w:p>
    <w:p w14:paraId="221E15C1" w14:textId="2C1F53A7" w:rsidR="00B94B1F" w:rsidRDefault="0059483B" w:rsidP="00B94B1F">
      <w:r>
        <w:t>This was also evident in the exploration stage focus groups, with 28</w:t>
      </w:r>
      <w:r w:rsidR="00A5119D">
        <w:t>%</w:t>
      </w:r>
      <w:r>
        <w:t xml:space="preserve"> of comments relat</w:t>
      </w:r>
      <w:r w:rsidR="00A5119D">
        <w:t>ing</w:t>
      </w:r>
      <w:r>
        <w:t xml:space="preserve"> to supporting local communities </w:t>
      </w:r>
      <w:r w:rsidR="00A5119D">
        <w:t>and</w:t>
      </w:r>
      <w:r>
        <w:t xml:space="preserve"> 17</w:t>
      </w:r>
      <w:r w:rsidR="00A5119D">
        <w:t>%</w:t>
      </w:r>
      <w:r>
        <w:t xml:space="preserve"> relating to providing access to water for public green spaces, drinking water fountain and community amenities. </w:t>
      </w:r>
    </w:p>
    <w:p w14:paraId="3EA88203" w14:textId="60852659" w:rsidR="0059483B" w:rsidRDefault="0059483B" w:rsidP="0059483B">
      <w:r>
        <w:t>In the same exploration survey, customers also strongly supported us helping people who are experiencing hardship</w:t>
      </w:r>
      <w:r w:rsidR="001C45D2">
        <w:t>,</w:t>
      </w:r>
      <w:r>
        <w:t xml:space="preserve"> with 46% of survey respondents and 56% of stakeholders interviewed </w:t>
      </w:r>
      <w:r w:rsidR="00BF6C24">
        <w:t>saying it is</w:t>
      </w:r>
      <w:r>
        <w:t xml:space="preserve"> important to them. We received some feedback from customers that although </w:t>
      </w:r>
      <w:r w:rsidR="00B53EE4">
        <w:t>we had categorised</w:t>
      </w:r>
      <w:r w:rsidR="007106F0">
        <w:t xml:space="preserve"> this as part of the </w:t>
      </w:r>
      <w:r>
        <w:t xml:space="preserve">‘customers’ </w:t>
      </w:r>
      <w:r w:rsidR="007106F0">
        <w:lastRenderedPageBreak/>
        <w:t xml:space="preserve">strategic </w:t>
      </w:r>
      <w:r w:rsidR="00C208CB">
        <w:t>outcome</w:t>
      </w:r>
      <w:r>
        <w:t xml:space="preserve">, it </w:t>
      </w:r>
      <w:r w:rsidR="00705E04">
        <w:t xml:space="preserve">made more sense as part of the </w:t>
      </w:r>
      <w:r>
        <w:t xml:space="preserve">‘communities’ </w:t>
      </w:r>
      <w:r w:rsidR="00705E04">
        <w:t>strategic outcome</w:t>
      </w:r>
      <w:r>
        <w:t>.  Our stakeholders also made it clear that supporting customers experiencing hardship was important to them.</w:t>
      </w:r>
    </w:p>
    <w:p w14:paraId="721754B7" w14:textId="77777777" w:rsidR="00DF47A6" w:rsidRDefault="00DF47A6" w:rsidP="00664888">
      <w:pPr>
        <w:pStyle w:val="Heading5"/>
      </w:pPr>
      <w:r>
        <w:t>Valuation stage</w:t>
      </w:r>
    </w:p>
    <w:p w14:paraId="028393E5" w14:textId="3541F29B" w:rsidR="0059483B" w:rsidRDefault="0059483B" w:rsidP="0059483B">
      <w:r>
        <w:t xml:space="preserve">We took </w:t>
      </w:r>
      <w:r w:rsidR="007979CC">
        <w:t>both</w:t>
      </w:r>
      <w:r>
        <w:t xml:space="preserve"> </w:t>
      </w:r>
      <w:r w:rsidR="00A83659">
        <w:t xml:space="preserve">priorities </w:t>
      </w:r>
      <w:r>
        <w:t>to our customers in the valuation stage</w:t>
      </w:r>
      <w:r w:rsidR="00A83659">
        <w:t>,</w:t>
      </w:r>
      <w:r>
        <w:t xml:space="preserve"> given the range of investment </w:t>
      </w:r>
      <w:r w:rsidR="000956C4">
        <w:t>and expenditure</w:t>
      </w:r>
      <w:r>
        <w:t xml:space="preserve"> options and bill implications for alternative water uses as well as the degree of support provided to customers experiencing payment difficulty. </w:t>
      </w:r>
    </w:p>
    <w:p w14:paraId="2B1C9B5D" w14:textId="78BD10F2" w:rsidR="00FB29EA" w:rsidRDefault="0059483B" w:rsidP="00331A75">
      <w:r>
        <w:t xml:space="preserve">In our </w:t>
      </w:r>
      <w:r w:rsidR="00AC2491">
        <w:t>‘</w:t>
      </w:r>
      <w:r w:rsidRPr="00320080">
        <w:t>best-worst’ online survey</w:t>
      </w:r>
      <w:r w:rsidR="00AC2491">
        <w:t>,</w:t>
      </w:r>
      <w:r>
        <w:t xml:space="preserve"> we explored where customers would like us to use alternative water. </w:t>
      </w:r>
      <w:r w:rsidR="00AC2491">
        <w:t>C</w:t>
      </w:r>
      <w:r>
        <w:t xml:space="preserve">ustomers were very supportive of using alternative water for agricultural purposes and to keep parks and trees healthy but less supportive to </w:t>
      </w:r>
      <w:r w:rsidR="00A83659">
        <w:t xml:space="preserve">use it to </w:t>
      </w:r>
      <w:r>
        <w:t xml:space="preserve">keep sports fields green. Although more customers felt any investment was necessary, a quarter chose to do nothing and keep bills as low as possible. </w:t>
      </w:r>
      <w:proofErr w:type="gramStart"/>
      <w:r w:rsidR="00AC2491">
        <w:t>The</w:t>
      </w:r>
      <w:r w:rsidR="00C43727" w:rsidRPr="00BB6A2F">
        <w:t xml:space="preserve"> majority of</w:t>
      </w:r>
      <w:proofErr w:type="gramEnd"/>
      <w:r w:rsidR="00C43727" w:rsidRPr="00BB6A2F">
        <w:t xml:space="preserve"> customers</w:t>
      </w:r>
      <w:r w:rsidR="00C43727" w:rsidRPr="00ED3F7C">
        <w:t xml:space="preserve"> wanted to maintain or increase spend</w:t>
      </w:r>
      <w:r w:rsidR="00A83659">
        <w:t>ing</w:t>
      </w:r>
      <w:r w:rsidR="00C43727" w:rsidRPr="00ED3F7C">
        <w:t xml:space="preserve"> to support customers</w:t>
      </w:r>
      <w:r w:rsidR="00FB29EA" w:rsidRPr="00BB6A2F">
        <w:t xml:space="preserve"> </w:t>
      </w:r>
      <w:r w:rsidR="007B2100" w:rsidRPr="00BB6A2F">
        <w:t xml:space="preserve">experiencing hardship </w:t>
      </w:r>
      <w:r w:rsidR="00FB29EA" w:rsidRPr="00BB6A2F">
        <w:t xml:space="preserve">and </w:t>
      </w:r>
      <w:r w:rsidR="00A83659">
        <w:t xml:space="preserve">felt </w:t>
      </w:r>
      <w:r w:rsidR="00FB29EA" w:rsidRPr="00BB6A2F">
        <w:t>that reducing or doing nothing was the worst option.</w:t>
      </w:r>
    </w:p>
    <w:p w14:paraId="1E84A2F1" w14:textId="723749B3" w:rsidR="008167AA" w:rsidRDefault="00BF7FB1" w:rsidP="0059483B">
      <w:r>
        <w:t xml:space="preserve">In our bill simulator online survey, </w:t>
      </w:r>
      <w:r w:rsidR="008A4C20">
        <w:t>we received a mix of responses with 79</w:t>
      </w:r>
      <w:r w:rsidR="00880C6F">
        <w:t>%</w:t>
      </w:r>
      <w:r>
        <w:t xml:space="preserve"> of customers willing to pay </w:t>
      </w:r>
      <w:r w:rsidR="008A4C20">
        <w:t xml:space="preserve">between </w:t>
      </w:r>
      <w:r w:rsidR="00061663">
        <w:t xml:space="preserve">the current spend on alternative water schemes to the most expensive option to fund a lot more schemes. </w:t>
      </w:r>
    </w:p>
    <w:p w14:paraId="65B11B05" w14:textId="4141E8DA" w:rsidR="00985576" w:rsidRDefault="00FD5899" w:rsidP="0059483B">
      <w:r>
        <w:t>I</w:t>
      </w:r>
      <w:r w:rsidR="00985576">
        <w:t>n our bill simulator focus group</w:t>
      </w:r>
      <w:r w:rsidR="008167AA">
        <w:t>s</w:t>
      </w:r>
      <w:r w:rsidR="00985576">
        <w:t xml:space="preserve">, </w:t>
      </w:r>
      <w:r w:rsidR="0059483B">
        <w:t xml:space="preserve">six out of eight groups thought we should do more to provide alternative water for public green spaces and two </w:t>
      </w:r>
      <w:r w:rsidR="008167AA">
        <w:t xml:space="preserve">focus groups </w:t>
      </w:r>
      <w:r w:rsidR="0059483B">
        <w:t>vot</w:t>
      </w:r>
      <w:r w:rsidR="008167AA">
        <w:t>ed</w:t>
      </w:r>
      <w:r w:rsidR="0059483B">
        <w:t xml:space="preserve"> to do a lot more (invest in 10-15 new alternative water schemes). When asked why they wanted us to spend more on alternative schemes than we currently do, </w:t>
      </w:r>
      <w:r w:rsidR="008167AA">
        <w:t xml:space="preserve">focus group </w:t>
      </w:r>
      <w:r w:rsidR="0059483B">
        <w:t>participants referred to climate and global warming concerns as well as a desire for sustainable practices. Participants</w:t>
      </w:r>
      <w:r w:rsidR="008167AA">
        <w:t>,</w:t>
      </w:r>
      <w:r w:rsidR="0059483B">
        <w:t xml:space="preserve"> however</w:t>
      </w:r>
      <w:r w:rsidR="008167AA">
        <w:t>,</w:t>
      </w:r>
      <w:r w:rsidR="0059483B">
        <w:t xml:space="preserve"> did not</w:t>
      </w:r>
      <w:r w:rsidR="008167AA">
        <w:t>e</w:t>
      </w:r>
      <w:r w:rsidR="0059483B">
        <w:t xml:space="preserve"> that the most expensive option </w:t>
      </w:r>
      <w:r w:rsidR="008167AA">
        <w:t xml:space="preserve">would </w:t>
      </w:r>
      <w:r w:rsidR="0059483B">
        <w:t xml:space="preserve">increase bills significantly and felt </w:t>
      </w:r>
      <w:r w:rsidR="008167AA">
        <w:t xml:space="preserve">it was </w:t>
      </w:r>
      <w:r w:rsidR="0059483B">
        <w:t xml:space="preserve">too extreme. </w:t>
      </w:r>
    </w:p>
    <w:p w14:paraId="7526125F" w14:textId="2520AAF4" w:rsidR="001616CE" w:rsidRDefault="008167AA" w:rsidP="00331A75">
      <w:r>
        <w:t>Our</w:t>
      </w:r>
      <w:r w:rsidR="005D5D1D">
        <w:t xml:space="preserve"> bill simulator survey </w:t>
      </w:r>
      <w:r>
        <w:t xml:space="preserve">found </w:t>
      </w:r>
      <w:r w:rsidR="005D5D1D">
        <w:t xml:space="preserve">that </w:t>
      </w:r>
      <w:r w:rsidR="0059483B" w:rsidRPr="00FB29EA">
        <w:t>53</w:t>
      </w:r>
      <w:r>
        <w:t>%</w:t>
      </w:r>
      <w:r w:rsidR="0059483B">
        <w:t xml:space="preserve"> of customers were willing to pay more to increase the number of customers supported. </w:t>
      </w:r>
      <w:r w:rsidR="00C36520">
        <w:t>In our billing simulator</w:t>
      </w:r>
      <w:r w:rsidR="00FB29EA">
        <w:t xml:space="preserve"> focus groups, six out of eight focus groups, including the </w:t>
      </w:r>
      <w:r w:rsidR="002C7F18">
        <w:t>financially</w:t>
      </w:r>
      <w:r w:rsidR="00FB29EA">
        <w:t xml:space="preserve"> vulnerable group</w:t>
      </w:r>
      <w:r w:rsidR="006B519C">
        <w:t>,</w:t>
      </w:r>
      <w:r w:rsidR="00FB29EA">
        <w:t xml:space="preserve"> </w:t>
      </w:r>
      <w:r w:rsidR="006B519C">
        <w:t>chose</w:t>
      </w:r>
      <w:r w:rsidR="00FB29EA">
        <w:t xml:space="preserve"> the second most expensive option by increasing our support to customers. </w:t>
      </w:r>
      <w:r w:rsidR="009E6DA9">
        <w:t>Verbati</w:t>
      </w:r>
      <w:r w:rsidR="007D5FB3">
        <w:t>m comments and probing by the facilitator of focus groups sought to elicit the underlying values that drove customers to express their views. Their comments suggested that values of fairness and equity overrode concerns for their personal financial needs and were more at the forefront of their considerations due to cost of living c</w:t>
      </w:r>
      <w:r w:rsidR="00C7325E">
        <w:t>hallenges</w:t>
      </w:r>
      <w:r w:rsidR="007D5FB3">
        <w:t>.</w:t>
      </w:r>
      <w:r w:rsidR="00B0659A">
        <w:t xml:space="preserve"> </w:t>
      </w:r>
      <w:r w:rsidR="002C7F18">
        <w:t xml:space="preserve">Renters and small business owners voted to maintain the same number of customers we support annually. </w:t>
      </w:r>
    </w:p>
    <w:p w14:paraId="627E462E" w14:textId="77777777" w:rsidR="00A83659" w:rsidRDefault="00A83659" w:rsidP="00383BB9">
      <w:pPr>
        <w:pStyle w:val="Heading5"/>
      </w:pPr>
      <w:r>
        <w:t>Deliberation stage</w:t>
      </w:r>
    </w:p>
    <w:p w14:paraId="2EB126AB" w14:textId="7E7A9D48" w:rsidR="00FB29EA" w:rsidRDefault="0059483B" w:rsidP="0059483B">
      <w:r>
        <w:t>Given the overwhelming support</w:t>
      </w:r>
      <w:r w:rsidR="00AE3D29">
        <w:t xml:space="preserve"> for increasing support for </w:t>
      </w:r>
      <w:r>
        <w:t>customers experiencing vulnerability</w:t>
      </w:r>
      <w:r w:rsidR="00AE3D29">
        <w:t xml:space="preserve">, we </w:t>
      </w:r>
      <w:r w:rsidR="002E04B3">
        <w:t>included this in our cust</w:t>
      </w:r>
      <w:r w:rsidR="00A9495E">
        <w:t>om</w:t>
      </w:r>
      <w:r w:rsidR="002E04B3">
        <w:t xml:space="preserve">er outcome and </w:t>
      </w:r>
      <w:r w:rsidR="00AE3D29">
        <w:t>did n</w:t>
      </w:r>
      <w:r w:rsidR="002E04B3">
        <w:t>o</w:t>
      </w:r>
      <w:r w:rsidR="00AE3D29">
        <w:t xml:space="preserve">t take </w:t>
      </w:r>
      <w:r w:rsidR="002E04B3">
        <w:t xml:space="preserve">it </w:t>
      </w:r>
      <w:r>
        <w:t>to the deliberative panel.</w:t>
      </w:r>
    </w:p>
    <w:p w14:paraId="44CFCB4D" w14:textId="6E17D230" w:rsidR="0059483B" w:rsidRDefault="002846B0" w:rsidP="0059483B">
      <w:r>
        <w:t>While</w:t>
      </w:r>
      <w:r w:rsidR="0059483B">
        <w:t xml:space="preserve"> customers in the exploration stage supported liveability by providing alternative water to public assets, our valuation stage found customers emphasised partnering with local councils and communities over providing access to alternative water directly</w:t>
      </w:r>
      <w:r>
        <w:t xml:space="preserve">. </w:t>
      </w:r>
      <w:r w:rsidR="00130C8A">
        <w:t xml:space="preserve">With the mix of views across the various engagement techniques, we felt our deliberative panel </w:t>
      </w:r>
      <w:r w:rsidR="005169E2">
        <w:t>sh</w:t>
      </w:r>
      <w:r w:rsidR="00130C8A">
        <w:t>ould have a chance to review the evidence, ask questions and decide what was best for the whole community.</w:t>
      </w:r>
    </w:p>
    <w:p w14:paraId="72B71C37" w14:textId="76CF5C4D" w:rsidR="0059483B" w:rsidRDefault="00A83659" w:rsidP="0059483B">
      <w:r>
        <w:lastRenderedPageBreak/>
        <w:t>The</w:t>
      </w:r>
      <w:r w:rsidR="0059483B">
        <w:t xml:space="preserve"> </w:t>
      </w:r>
      <w:r w:rsidR="0057565C">
        <w:t xml:space="preserve">deliberative </w:t>
      </w:r>
      <w:r w:rsidR="005869AA">
        <w:t>panel reviewed our findings and evidence</w:t>
      </w:r>
      <w:r w:rsidR="0059483B">
        <w:t xml:space="preserve"> and made several recommendations including:</w:t>
      </w:r>
    </w:p>
    <w:p w14:paraId="75C2629D" w14:textId="047F32BC" w:rsidR="0059483B" w:rsidRDefault="0059483B">
      <w:pPr>
        <w:pStyle w:val="ListBullet"/>
        <w:numPr>
          <w:ilvl w:val="0"/>
          <w:numId w:val="95"/>
        </w:numPr>
      </w:pPr>
      <w:r>
        <w:t>Collaborate with councils for high value projects that can maximise the use of alternative water sources (large parks/gardens/ recreation)</w:t>
      </w:r>
      <w:r w:rsidR="002846B0">
        <w:t>.</w:t>
      </w:r>
      <w:r>
        <w:t xml:space="preserve"> (Recommendation 3.1)</w:t>
      </w:r>
    </w:p>
    <w:p w14:paraId="3D4E0BF5" w14:textId="3582E9B5" w:rsidR="0059483B" w:rsidRDefault="0059483B">
      <w:pPr>
        <w:pStyle w:val="ListBullet"/>
        <w:numPr>
          <w:ilvl w:val="0"/>
          <w:numId w:val="95"/>
        </w:numPr>
      </w:pPr>
      <w:r>
        <w:t>Increasing the amount of alternative water (stormwater and recycled) facilities for more access to homes that don't have them</w:t>
      </w:r>
      <w:r w:rsidR="002846B0">
        <w:t>.</w:t>
      </w:r>
      <w:r>
        <w:t xml:space="preserve"> (Recommendation 3.2)</w:t>
      </w:r>
    </w:p>
    <w:p w14:paraId="762D97A2" w14:textId="27D494EC" w:rsidR="0059483B" w:rsidRDefault="0059483B">
      <w:pPr>
        <w:pStyle w:val="ListBullet"/>
        <w:numPr>
          <w:ilvl w:val="0"/>
          <w:numId w:val="95"/>
        </w:numPr>
      </w:pPr>
      <w:r>
        <w:t>Investment and advocacy in alternative water sources</w:t>
      </w:r>
      <w:r w:rsidR="002846B0">
        <w:t>, for example,</w:t>
      </w:r>
      <w:r w:rsidDel="002846B0">
        <w:t xml:space="preserve"> </w:t>
      </w:r>
      <w:r>
        <w:t>recycled water and stormwater for things such as watering parks and gardens, or for livestock to drink (not for human consumption)</w:t>
      </w:r>
      <w:r w:rsidR="002846B0">
        <w:t>.</w:t>
      </w:r>
      <w:r>
        <w:t xml:space="preserve"> (Recommendation 3.3)</w:t>
      </w:r>
    </w:p>
    <w:p w14:paraId="4E1F15B1" w14:textId="5E3F2BFD" w:rsidR="0059483B" w:rsidRDefault="0059483B" w:rsidP="0059483B">
      <w:r>
        <w:t xml:space="preserve">The </w:t>
      </w:r>
      <w:r w:rsidR="0057565C">
        <w:t xml:space="preserve">deliberative </w:t>
      </w:r>
      <w:r>
        <w:t xml:space="preserve">panel also made recommendations </w:t>
      </w:r>
      <w:r w:rsidR="002846B0">
        <w:t xml:space="preserve">relating to </w:t>
      </w:r>
      <w:r>
        <w:t>the manufactur</w:t>
      </w:r>
      <w:r w:rsidR="002846B0">
        <w:t>e</w:t>
      </w:r>
      <w:r>
        <w:t xml:space="preserve"> of alternative water for irrigation and improving the quality of recycled water </w:t>
      </w:r>
      <w:r w:rsidR="00A83659">
        <w:t xml:space="preserve">that is </w:t>
      </w:r>
      <w:r w:rsidR="0057565C">
        <w:t>discharged</w:t>
      </w:r>
      <w:r>
        <w:t xml:space="preserve"> to waterways. We discuss this in customer outcome</w:t>
      </w:r>
      <w:r w:rsidR="002846B0">
        <w:t>s</w:t>
      </w:r>
      <w:r>
        <w:t xml:space="preserve"> 4 and 5.</w:t>
      </w:r>
    </w:p>
    <w:p w14:paraId="198FFA40" w14:textId="1C06C1C0" w:rsidR="0059483B" w:rsidRDefault="0059483B" w:rsidP="0059483B">
      <w:r>
        <w:t>We adopted these recommendations, as well as supporting customers experiencing payment difficulty</w:t>
      </w:r>
      <w:r w:rsidR="00797D09">
        <w:t>,</w:t>
      </w:r>
      <w:r>
        <w:t xml:space="preserve"> in our high-level customer outcomes and experiences. We also included providing alternative water for agricultural uses in our outcomes, as it was strongly supported</w:t>
      </w:r>
      <w:r w:rsidR="00A45963">
        <w:t>.</w:t>
      </w:r>
      <w:r>
        <w:t xml:space="preserve"> </w:t>
      </w:r>
      <w:r w:rsidR="00A45963">
        <w:t>H</w:t>
      </w:r>
      <w:r>
        <w:t xml:space="preserve">owever, we have </w:t>
      </w:r>
      <w:r w:rsidR="00797D09">
        <w:t>included</w:t>
      </w:r>
      <w:r>
        <w:t xml:space="preserve"> it</w:t>
      </w:r>
      <w:r w:rsidR="00797D09">
        <w:t xml:space="preserve"> in</w:t>
      </w:r>
      <w:r>
        <w:t xml:space="preserve"> customer outcome 4.</w:t>
      </w:r>
    </w:p>
    <w:p w14:paraId="51FB5C22" w14:textId="1D0FC4A1" w:rsidR="004C31BE" w:rsidRPr="00480E82" w:rsidRDefault="004C31BE" w:rsidP="0059483B">
      <w:pPr>
        <w:rPr>
          <w:b/>
        </w:rPr>
      </w:pPr>
      <w:r w:rsidRPr="00480E82">
        <w:rPr>
          <w:b/>
        </w:rPr>
        <w:t>Confirmation stage</w:t>
      </w:r>
    </w:p>
    <w:p w14:paraId="5FD6B94B" w14:textId="43360ADB" w:rsidR="004C31BE" w:rsidRDefault="00167F6F" w:rsidP="0059483B">
      <w:r>
        <w:t xml:space="preserve">Through </w:t>
      </w:r>
      <w:r w:rsidR="0057565C">
        <w:t xml:space="preserve">the </w:t>
      </w:r>
      <w:r>
        <w:t>confirmation</w:t>
      </w:r>
      <w:r w:rsidR="009545A3">
        <w:t xml:space="preserve"> stage</w:t>
      </w:r>
      <w:r>
        <w:t>, we heard from councils that they strongly supported our</w:t>
      </w:r>
      <w:r w:rsidR="00B37121">
        <w:t xml:space="preserve"> plans for improving the liveability of our service region </w:t>
      </w:r>
      <w:r w:rsidR="009545A3">
        <w:t xml:space="preserve">as outlined in outcome 3. Particularly, councils were supportive of </w:t>
      </w:r>
      <w:r w:rsidR="00275171">
        <w:t xml:space="preserve">our response to the panel’s recommendations (recommendation 3.2), with </w:t>
      </w:r>
      <w:proofErr w:type="spellStart"/>
      <w:r w:rsidR="00275171">
        <w:t>Brimbank</w:t>
      </w:r>
      <w:proofErr w:type="spellEnd"/>
      <w:r w:rsidR="00275171">
        <w:t xml:space="preserve"> </w:t>
      </w:r>
      <w:r w:rsidR="006B164A">
        <w:t xml:space="preserve">City Council </w:t>
      </w:r>
      <w:r w:rsidR="00456BE5">
        <w:t>stating</w:t>
      </w:r>
      <w:r w:rsidR="00701B0E">
        <w:t xml:space="preserve"> that GWW’s ‘</w:t>
      </w:r>
      <w:r w:rsidR="00456BE5" w:rsidRPr="007F061B">
        <w:rPr>
          <w:lang w:val="en-US"/>
        </w:rPr>
        <w:t>inclusion of a Stormwater Harvesting Partnership Fund is strongly supported and welcomed by Council</w:t>
      </w:r>
      <w:r w:rsidR="00701B0E">
        <w:rPr>
          <w:lang w:val="en-US"/>
        </w:rPr>
        <w:t>’</w:t>
      </w:r>
      <w:r w:rsidR="00456BE5">
        <w:rPr>
          <w:lang w:val="en-US"/>
        </w:rPr>
        <w:t>.</w:t>
      </w:r>
      <w:r w:rsidR="0084356A">
        <w:rPr>
          <w:rStyle w:val="EndnoteReference"/>
          <w:lang w:val="en-US"/>
        </w:rPr>
        <w:endnoteReference w:id="9"/>
      </w:r>
      <w:r w:rsidR="0084356A">
        <w:rPr>
          <w:lang w:val="en-US"/>
        </w:rPr>
        <w:t xml:space="preserve"> </w:t>
      </w:r>
    </w:p>
    <w:p w14:paraId="638937EB" w14:textId="77777777" w:rsidR="00CE7C47" w:rsidRDefault="00CE7C47" w:rsidP="00CE7C47">
      <w:pPr>
        <w:pStyle w:val="Heading4"/>
      </w:pPr>
      <w:r>
        <w:t>How we will be accountable to our customers</w:t>
      </w:r>
    </w:p>
    <w:p w14:paraId="48208EA6" w14:textId="44AB5A80" w:rsidR="0059483B" w:rsidRDefault="00171863" w:rsidP="0059483B">
      <w:r>
        <w:t>We will report</w:t>
      </w:r>
      <w:r w:rsidR="00797D09">
        <w:t xml:space="preserve"> on</w:t>
      </w:r>
      <w:r w:rsidR="0059483B" w:rsidDel="00797D09">
        <w:t xml:space="preserve"> </w:t>
      </w:r>
      <w:r w:rsidR="00A83659">
        <w:t>three</w:t>
      </w:r>
      <w:r w:rsidR="0059483B">
        <w:t xml:space="preserve"> measures that underpin our </w:t>
      </w:r>
      <w:r w:rsidR="00E631AD">
        <w:t xml:space="preserve">two </w:t>
      </w:r>
      <w:r w:rsidR="0059483B">
        <w:t>customer experiences</w:t>
      </w:r>
      <w:r w:rsidR="00E631AD">
        <w:t xml:space="preserve">. These </w:t>
      </w:r>
      <w:r w:rsidR="00ED623C">
        <w:t>measures</w:t>
      </w:r>
      <w:r w:rsidR="0059483B">
        <w:t xml:space="preserve"> were voted for by </w:t>
      </w:r>
      <w:r w:rsidR="0057565C">
        <w:t xml:space="preserve">our </w:t>
      </w:r>
      <w:r w:rsidR="0059483B">
        <w:t>customer</w:t>
      </w:r>
      <w:r w:rsidR="00054010">
        <w:t xml:space="preserve"> forum.</w:t>
      </w:r>
    </w:p>
    <w:p w14:paraId="43F1DD05" w14:textId="77777777" w:rsidR="00E631AD" w:rsidRDefault="00CB25C7" w:rsidP="0059483B">
      <w:r>
        <w:t>We will report on</w:t>
      </w:r>
      <w:r w:rsidR="00E631AD">
        <w:t>:</w:t>
      </w:r>
    </w:p>
    <w:p w14:paraId="240D5325" w14:textId="3BA679BD" w:rsidR="005646C9" w:rsidRDefault="005646C9">
      <w:pPr>
        <w:pStyle w:val="ListBullet"/>
        <w:numPr>
          <w:ilvl w:val="0"/>
          <w:numId w:val="96"/>
        </w:numPr>
      </w:pPr>
      <w:r>
        <w:t xml:space="preserve">the number of additional schemes including stormwater harvesting projects to demonstrate that we are working with our partners to improve wellbeing and liveability of our </w:t>
      </w:r>
      <w:proofErr w:type="gramStart"/>
      <w:r>
        <w:t>communities</w:t>
      </w:r>
      <w:proofErr w:type="gramEnd"/>
    </w:p>
    <w:p w14:paraId="61DF9EF3" w14:textId="4AFDA39A" w:rsidR="005646C9" w:rsidRDefault="005646C9">
      <w:pPr>
        <w:pStyle w:val="ListBullet"/>
        <w:numPr>
          <w:ilvl w:val="0"/>
          <w:numId w:val="96"/>
        </w:numPr>
      </w:pPr>
      <w:r>
        <w:t>our customers’ overall perception of the value for money of our services</w:t>
      </w:r>
    </w:p>
    <w:p w14:paraId="2E3B67F1" w14:textId="648D06E7" w:rsidR="005646C9" w:rsidRDefault="005646C9">
      <w:pPr>
        <w:pStyle w:val="ListBullet"/>
        <w:numPr>
          <w:ilvl w:val="0"/>
          <w:numId w:val="96"/>
        </w:numPr>
      </w:pPr>
      <w:r>
        <w:t>the proportion of customers in our customer support program meeting their instalment plans to demonstrate that we are providing tailored support to our customers and building our community’s financial resilience.</w:t>
      </w:r>
    </w:p>
    <w:p w14:paraId="2028DAB1" w14:textId="2B02557C" w:rsidR="00477DDA" w:rsidRDefault="000D6B82" w:rsidP="00115C49">
      <w:r>
        <w:t>Our</w:t>
      </w:r>
      <w:r w:rsidR="0059483B">
        <w:t xml:space="preserve"> targets </w:t>
      </w:r>
      <w:r>
        <w:t>are</w:t>
      </w:r>
      <w:r w:rsidR="0059483B">
        <w:t xml:space="preserve"> based on our 2020-23 average historical performance.</w:t>
      </w:r>
    </w:p>
    <w:p w14:paraId="7F304A9C" w14:textId="77777777" w:rsidR="00DA5B0B" w:rsidRDefault="00DA5B0B" w:rsidP="00115C49"/>
    <w:p w14:paraId="62A62FB4" w14:textId="77777777" w:rsidR="00A14C50" w:rsidRDefault="00A14C50" w:rsidP="00115C49">
      <w:pPr>
        <w:sectPr w:rsidR="00A14C50" w:rsidSect="008C1A38">
          <w:pgSz w:w="11906" w:h="16838" w:orient="landscape" w:code="9"/>
          <w:pgMar w:top="1134" w:right="1134" w:bottom="1134" w:left="1134" w:header="709" w:footer="652" w:gutter="0"/>
          <w:cols w:space="708"/>
          <w:docGrid w:linePitch="360"/>
        </w:sectPr>
      </w:pPr>
    </w:p>
    <w:p w14:paraId="132AFA51" w14:textId="282C03D9" w:rsidR="00091355" w:rsidRDefault="00003CE1" w:rsidP="00003CE1">
      <w:pPr>
        <w:pStyle w:val="Caption"/>
      </w:pPr>
      <w:r w:rsidRPr="00AE09B8">
        <w:rPr>
          <w:b/>
          <w:bCs/>
        </w:rPr>
        <w:lastRenderedPageBreak/>
        <w:t xml:space="preserve">Table </w:t>
      </w:r>
      <w:r w:rsidRPr="00AE09B8">
        <w:rPr>
          <w:b/>
          <w:bCs/>
        </w:rPr>
        <w:fldChar w:fldCharType="begin"/>
      </w:r>
      <w:r w:rsidRPr="00AE09B8">
        <w:rPr>
          <w:b/>
          <w:bCs/>
        </w:rPr>
        <w:instrText>SEQ Table \* ARABIC</w:instrText>
      </w:r>
      <w:r w:rsidRPr="00AE09B8">
        <w:rPr>
          <w:b/>
          <w:bCs/>
        </w:rPr>
        <w:fldChar w:fldCharType="separate"/>
      </w:r>
      <w:r w:rsidR="003B42C6">
        <w:rPr>
          <w:b/>
          <w:bCs/>
          <w:noProof/>
        </w:rPr>
        <w:t>6</w:t>
      </w:r>
      <w:r w:rsidRPr="00AE09B8">
        <w:rPr>
          <w:b/>
          <w:bCs/>
        </w:rPr>
        <w:fldChar w:fldCharType="end"/>
      </w:r>
      <w:r>
        <w:t xml:space="preserve"> Customer outcome</w:t>
      </w:r>
      <w:r w:rsidR="00DA5B0B">
        <w:t xml:space="preserve"> 3 </w:t>
      </w:r>
      <w:r w:rsidR="000A3E94">
        <w:t>- We</w:t>
      </w:r>
      <w:r>
        <w:t xml:space="preserve"> support our diverse communities and </w:t>
      </w:r>
      <w:proofErr w:type="gramStart"/>
      <w:r>
        <w:t>customers</w:t>
      </w:r>
      <w:proofErr w:type="gramEnd"/>
      <w:r>
        <w:t xml:space="preserve"> </w:t>
      </w:r>
    </w:p>
    <w:tbl>
      <w:tblPr>
        <w:tblStyle w:val="GWWDefaulttable"/>
        <w:tblW w:w="4998" w:type="pct"/>
        <w:tblLook w:val="04A0" w:firstRow="1" w:lastRow="0" w:firstColumn="1" w:lastColumn="0" w:noHBand="0" w:noVBand="1"/>
      </w:tblPr>
      <w:tblGrid>
        <w:gridCol w:w="2942"/>
        <w:gridCol w:w="2587"/>
        <w:gridCol w:w="2694"/>
        <w:gridCol w:w="6341"/>
      </w:tblGrid>
      <w:tr w:rsidR="008A491B" w:rsidRPr="00DA5B0B" w14:paraId="5720B8ED" w14:textId="77777777" w:rsidTr="00926B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7E1A6EFC" w14:textId="77777777" w:rsidR="008A491B" w:rsidRPr="00DA5B0B" w:rsidRDefault="008A491B">
            <w:pPr>
              <w:rPr>
                <w:b w:val="0"/>
                <w:color w:val="FFFFFF"/>
                <w:szCs w:val="20"/>
              </w:rPr>
            </w:pPr>
            <w:r w:rsidRPr="00DA5B0B">
              <w:rPr>
                <w:color w:val="FFFFFF"/>
                <w:szCs w:val="20"/>
              </w:rPr>
              <w:t>We support our diverse communities and customers</w:t>
            </w:r>
          </w:p>
        </w:tc>
      </w:tr>
      <w:tr w:rsidR="008A491B" w:rsidRPr="00DA5B0B" w14:paraId="00E297D5"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1D632DD9" w14:textId="522A6710" w:rsidR="008A491B" w:rsidRPr="00E22F26" w:rsidRDefault="008A491B">
            <w:pPr>
              <w:rPr>
                <w:b w:val="0"/>
                <w:bCs/>
                <w:szCs w:val="20"/>
              </w:rPr>
            </w:pPr>
            <w:r w:rsidRPr="00E22F26">
              <w:rPr>
                <w:b w:val="0"/>
                <w:szCs w:val="20"/>
              </w:rPr>
              <w:t xml:space="preserve">We will foster the wellbeing and liveability of our </w:t>
            </w:r>
            <w:r w:rsidR="008423F9">
              <w:rPr>
                <w:b w:val="0"/>
                <w:szCs w:val="20"/>
              </w:rPr>
              <w:t xml:space="preserve">service </w:t>
            </w:r>
            <w:r w:rsidRPr="00E22F26">
              <w:rPr>
                <w:b w:val="0"/>
                <w:szCs w:val="20"/>
              </w:rPr>
              <w:t xml:space="preserve">region to support our communities to thrive economically, </w:t>
            </w:r>
            <w:proofErr w:type="gramStart"/>
            <w:r w:rsidRPr="00E22F26">
              <w:rPr>
                <w:b w:val="0"/>
                <w:szCs w:val="20"/>
              </w:rPr>
              <w:t>socially</w:t>
            </w:r>
            <w:proofErr w:type="gramEnd"/>
            <w:r w:rsidRPr="00E22F26">
              <w:rPr>
                <w:b w:val="0"/>
                <w:szCs w:val="20"/>
              </w:rPr>
              <w:t xml:space="preserve"> and environmentally. We will work with our partners to deliver new ways to use alternative water to increase green open spaces and amenity for our communities</w:t>
            </w:r>
            <w:r w:rsidR="008533E5" w:rsidRPr="00E22F26">
              <w:rPr>
                <w:b w:val="0"/>
                <w:szCs w:val="20"/>
              </w:rPr>
              <w:t>’</w:t>
            </w:r>
            <w:r w:rsidRPr="00E22F26">
              <w:rPr>
                <w:b w:val="0"/>
                <w:szCs w:val="20"/>
              </w:rPr>
              <w:t xml:space="preserve"> physical and mental wellbeing. We will </w:t>
            </w:r>
            <w:r w:rsidR="008533E5" w:rsidRPr="00E22F26">
              <w:rPr>
                <w:b w:val="0"/>
                <w:szCs w:val="20"/>
              </w:rPr>
              <w:t>provide</w:t>
            </w:r>
            <w:r w:rsidRPr="00E22F26">
              <w:rPr>
                <w:b w:val="0"/>
                <w:szCs w:val="20"/>
              </w:rPr>
              <w:t xml:space="preserve"> support to improve the financial resilience of customers experiencing hardship </w:t>
            </w:r>
            <w:r w:rsidR="008533E5" w:rsidRPr="00E22F26">
              <w:rPr>
                <w:b w:val="0"/>
                <w:szCs w:val="20"/>
              </w:rPr>
              <w:t xml:space="preserve">and </w:t>
            </w:r>
            <w:r w:rsidRPr="00E22F26">
              <w:rPr>
                <w:b w:val="0"/>
                <w:szCs w:val="20"/>
              </w:rPr>
              <w:t>support a thriving community.</w:t>
            </w:r>
          </w:p>
        </w:tc>
      </w:tr>
      <w:tr w:rsidR="008A491B" w:rsidRPr="00DA5B0B" w14:paraId="1E7F2A4E" w14:textId="77777777" w:rsidTr="00727A53">
        <w:trPr>
          <w:trHeight w:val="454"/>
        </w:trPr>
        <w:tc>
          <w:tcPr>
            <w:cnfStyle w:val="001000000000" w:firstRow="0" w:lastRow="0" w:firstColumn="1" w:lastColumn="0" w:oddVBand="0" w:evenVBand="0" w:oddHBand="0" w:evenHBand="0" w:firstRowFirstColumn="0" w:firstRowLastColumn="0" w:lastRowFirstColumn="0" w:lastRowLastColumn="0"/>
            <w:tcW w:w="1010" w:type="pct"/>
            <w:shd w:val="clear" w:color="auto" w:fill="1A206C" w:themeFill="text2"/>
          </w:tcPr>
          <w:p w14:paraId="0FE76A1F" w14:textId="685835C3" w:rsidR="008A491B" w:rsidRPr="00DA5B0B" w:rsidRDefault="008A491B">
            <w:pPr>
              <w:rPr>
                <w:color w:val="FFFFFF"/>
                <w:szCs w:val="20"/>
              </w:rPr>
            </w:pPr>
            <w:r w:rsidRPr="00DA5B0B">
              <w:rPr>
                <w:color w:val="FFFFFF"/>
                <w:szCs w:val="20"/>
              </w:rPr>
              <w:t>Experiences</w:t>
            </w:r>
          </w:p>
        </w:tc>
        <w:tc>
          <w:tcPr>
            <w:tcW w:w="888" w:type="pct"/>
            <w:shd w:val="clear" w:color="auto" w:fill="1A206C" w:themeFill="text2"/>
          </w:tcPr>
          <w:p w14:paraId="3BDEF364"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 xml:space="preserve">Report card measures </w:t>
            </w:r>
          </w:p>
        </w:tc>
        <w:tc>
          <w:tcPr>
            <w:tcW w:w="925" w:type="pct"/>
            <w:shd w:val="clear" w:color="auto" w:fill="1A206C" w:themeFill="text2"/>
          </w:tcPr>
          <w:p w14:paraId="732C1748"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Our 2024-28 target</w:t>
            </w:r>
          </w:p>
        </w:tc>
        <w:tc>
          <w:tcPr>
            <w:tcW w:w="2177" w:type="pct"/>
            <w:shd w:val="clear" w:color="auto" w:fill="1A206C" w:themeFill="text2"/>
          </w:tcPr>
          <w:p w14:paraId="7D86267B"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What we will do</w:t>
            </w:r>
          </w:p>
        </w:tc>
      </w:tr>
      <w:tr w:rsidR="008A491B" w:rsidRPr="00DA5B0B" w14:paraId="1AAF1287"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tcPr>
          <w:p w14:paraId="0F86C24A" w14:textId="4E6BC8C5" w:rsidR="008A491B" w:rsidRPr="00FD667D" w:rsidRDefault="008A491B">
            <w:pPr>
              <w:rPr>
                <w:b w:val="0"/>
                <w:szCs w:val="20"/>
              </w:rPr>
            </w:pPr>
            <w:r w:rsidRPr="00FD667D">
              <w:rPr>
                <w:b w:val="0"/>
                <w:szCs w:val="20"/>
              </w:rPr>
              <w:t>With our partners, we improve the wellbeing of our communities by providing alternative water to irrigate public green spaces</w:t>
            </w:r>
          </w:p>
        </w:tc>
        <w:tc>
          <w:tcPr>
            <w:tcW w:w="888" w:type="pct"/>
          </w:tcPr>
          <w:p w14:paraId="3FD83D17" w14:textId="593BB7B9" w:rsidR="008A491B" w:rsidRPr="00DD58ED" w:rsidRDefault="00DD58ED">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The number of projects funded through the stormwater harvesting partnership fund</w:t>
            </w:r>
            <w:r w:rsidR="00595692">
              <w:rPr>
                <w:rFonts w:asciiTheme="majorHAnsi" w:hAnsiTheme="majorHAnsi"/>
                <w:szCs w:val="20"/>
              </w:rPr>
              <w:t>*</w:t>
            </w:r>
          </w:p>
        </w:tc>
        <w:tc>
          <w:tcPr>
            <w:tcW w:w="925" w:type="pct"/>
          </w:tcPr>
          <w:p w14:paraId="0667C948" w14:textId="556F9E4A" w:rsidR="00DD10BA"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2024-27 target: </w:t>
            </w:r>
          </w:p>
          <w:p w14:paraId="65AC7BA3" w14:textId="2C4E3B9B"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On </w:t>
            </w:r>
            <w:r w:rsidR="00DD10BA">
              <w:rPr>
                <w:rFonts w:asciiTheme="majorHAnsi" w:hAnsiTheme="majorHAnsi"/>
                <w:szCs w:val="20"/>
              </w:rPr>
              <w:t>track</w:t>
            </w:r>
          </w:p>
          <w:p w14:paraId="251005B7" w14:textId="77777777"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p w14:paraId="51B49F52" w14:textId="77777777" w:rsidR="00DD10BA"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2027-28 target:</w:t>
            </w:r>
          </w:p>
          <w:p w14:paraId="2E8F7467" w14:textId="76BCDD96"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Met</w:t>
            </w:r>
            <w:r w:rsidR="008F071C">
              <w:rPr>
                <w:rFonts w:asciiTheme="majorHAnsi" w:hAnsiTheme="majorHAnsi"/>
                <w:szCs w:val="20"/>
              </w:rPr>
              <w:t xml:space="preserve"> (10)</w:t>
            </w:r>
          </w:p>
        </w:tc>
        <w:tc>
          <w:tcPr>
            <w:tcW w:w="2177" w:type="pct"/>
          </w:tcPr>
          <w:p w14:paraId="68C08001" w14:textId="49D37761" w:rsidR="00C30133" w:rsidRPr="00975E09" w:rsidRDefault="0011140F">
            <w:pPr>
              <w:pStyle w:val="ListBullet"/>
              <w:numPr>
                <w:ilvl w:val="0"/>
                <w:numId w:val="97"/>
              </w:numPr>
              <w:cnfStyle w:val="000000000000" w:firstRow="0" w:lastRow="0" w:firstColumn="0" w:lastColumn="0" w:oddVBand="0" w:evenVBand="0" w:oddHBand="0" w:evenHBand="0" w:firstRowFirstColumn="0" w:firstRowLastColumn="0" w:lastRowFirstColumn="0" w:lastRowLastColumn="0"/>
            </w:pPr>
            <w:r>
              <w:t>A</w:t>
            </w:r>
            <w:r w:rsidR="003C7DCD">
              <w:t>dditional</w:t>
            </w:r>
            <w:r>
              <w:t xml:space="preserve"> funding for</w:t>
            </w:r>
            <w:r w:rsidR="003C7DCD">
              <w:t xml:space="preserve"> 10 stormwater harvesting schemes with partners to save drinking water and improve </w:t>
            </w:r>
            <w:r w:rsidR="00C73730">
              <w:t>liveability</w:t>
            </w:r>
            <w:r w:rsidR="003C7DCD">
              <w:t xml:space="preserve"> and amenity </w:t>
            </w:r>
            <w:r w:rsidR="00837B8D">
              <w:t xml:space="preserve">for </w:t>
            </w:r>
            <w:r w:rsidR="003C7DCD">
              <w:t>our communities</w:t>
            </w:r>
            <w:r w:rsidR="00925164">
              <w:t>.</w:t>
            </w:r>
            <w:r w:rsidRPr="0070671C">
              <w:t> The program will include a competitive, merit-based funding model which will ensure projects can provide the greatest liveability and environmental benefits at the lowest cost to the community. </w:t>
            </w:r>
            <w:r w:rsidR="00B26085" w:rsidRPr="0070671C">
              <w:t xml:space="preserve">The </w:t>
            </w:r>
            <w:r w:rsidR="00B26085" w:rsidRPr="00B26085">
              <w:t>additional</w:t>
            </w:r>
            <w:r w:rsidR="00B26085" w:rsidRPr="0070671C">
              <w:t xml:space="preserve"> funding has </w:t>
            </w:r>
            <w:r w:rsidR="00B26085">
              <w:t xml:space="preserve">strong support by local councils and customers. </w:t>
            </w:r>
            <w:r w:rsidR="00C30133" w:rsidRPr="00C30133">
              <w:t xml:space="preserve"> councils to support alternative water </w:t>
            </w:r>
            <w:r w:rsidR="00F11A93">
              <w:t xml:space="preserve">and </w:t>
            </w:r>
            <w:r w:rsidR="00A043D0">
              <w:t>participate</w:t>
            </w:r>
            <w:r w:rsidR="00F11A93">
              <w:t xml:space="preserve"> in </w:t>
            </w:r>
            <w:r w:rsidR="00315A93">
              <w:t xml:space="preserve">Integrated Water Management </w:t>
            </w:r>
            <w:r w:rsidR="003C7DCD">
              <w:t>forums</w:t>
            </w:r>
            <w:r w:rsidR="00C73730">
              <w:t>.</w:t>
            </w:r>
            <w:r w:rsidR="003C7DCD">
              <w:t xml:space="preserve"> </w:t>
            </w:r>
          </w:p>
          <w:p w14:paraId="011F7F62" w14:textId="330BD200" w:rsidR="003C7DCD" w:rsidRPr="00975E09" w:rsidRDefault="003C7DCD">
            <w:pPr>
              <w:pStyle w:val="ListBullet"/>
              <w:numPr>
                <w:ilvl w:val="0"/>
                <w:numId w:val="97"/>
              </w:numPr>
              <w:cnfStyle w:val="000000000000" w:firstRow="0" w:lastRow="0" w:firstColumn="0" w:lastColumn="0" w:oddVBand="0" w:evenVBand="0" w:oddHBand="0" w:evenHBand="0" w:firstRowFirstColumn="0" w:firstRowLastColumn="0" w:lastRowFirstColumn="0" w:lastRowLastColumn="0"/>
            </w:pPr>
            <w:r w:rsidRPr="7A48422E">
              <w:t>Implement our SWS/GWMUSS actions</w:t>
            </w:r>
            <w:r w:rsidR="00C73730" w:rsidRPr="7A48422E">
              <w:t>, including any alternative water actions, to support future water resources and liveability</w:t>
            </w:r>
            <w:r w:rsidR="00925164">
              <w:t>.</w:t>
            </w:r>
          </w:p>
          <w:p w14:paraId="0B811D29" w14:textId="334D25D1" w:rsidR="00DD58ED" w:rsidRDefault="00837B8D">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w:t>
            </w:r>
            <w:r w:rsidR="00C73730" w:rsidRPr="7A48422E">
              <w:rPr>
                <w:rFonts w:asciiTheme="majorHAnsi" w:hAnsiTheme="majorHAnsi"/>
              </w:rPr>
              <w:t xml:space="preserve">ontinue to deliver on our </w:t>
            </w:r>
            <w:r>
              <w:rPr>
                <w:rFonts w:asciiTheme="majorHAnsi" w:hAnsiTheme="majorHAnsi"/>
              </w:rPr>
              <w:t>IWM</w:t>
            </w:r>
            <w:r w:rsidR="00C73730" w:rsidRPr="7A48422E">
              <w:rPr>
                <w:rFonts w:asciiTheme="majorHAnsi" w:hAnsiTheme="majorHAnsi"/>
              </w:rPr>
              <w:t xml:space="preserve"> plans and actions</w:t>
            </w:r>
            <w:r w:rsidR="00925164">
              <w:rPr>
                <w:rFonts w:asciiTheme="majorHAnsi" w:hAnsiTheme="majorHAnsi"/>
              </w:rPr>
              <w:t>.</w:t>
            </w:r>
          </w:p>
          <w:p w14:paraId="2B5D90EE" w14:textId="77777777" w:rsidR="008A491B" w:rsidRDefault="00837B8D">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rPr>
              <w:t>D</w:t>
            </w:r>
            <w:r w:rsidR="00C73730">
              <w:rPr>
                <w:rFonts w:asciiTheme="majorHAnsi" w:hAnsiTheme="majorHAnsi"/>
              </w:rPr>
              <w:t>eliver our</w:t>
            </w:r>
            <w:r w:rsidR="00DD58ED" w:rsidRPr="00DD58ED">
              <w:rPr>
                <w:rFonts w:asciiTheme="majorHAnsi" w:hAnsiTheme="majorHAnsi"/>
              </w:rPr>
              <w:t xml:space="preserve"> Werribee </w:t>
            </w:r>
            <w:r w:rsidR="00DD10BA">
              <w:rPr>
                <w:rFonts w:asciiTheme="majorHAnsi" w:hAnsiTheme="majorHAnsi"/>
              </w:rPr>
              <w:t>Z</w:t>
            </w:r>
            <w:r w:rsidR="00DD10BA" w:rsidRPr="00DD58ED">
              <w:rPr>
                <w:rFonts w:asciiTheme="majorHAnsi" w:hAnsiTheme="majorHAnsi"/>
              </w:rPr>
              <w:t xml:space="preserve">oo </w:t>
            </w:r>
            <w:r w:rsidR="00DD58ED" w:rsidRPr="00DD58ED">
              <w:rPr>
                <w:rFonts w:asciiTheme="majorHAnsi" w:hAnsiTheme="majorHAnsi"/>
              </w:rPr>
              <w:t xml:space="preserve">and Wyndham open space </w:t>
            </w:r>
            <w:r w:rsidR="00C73730">
              <w:rPr>
                <w:rFonts w:asciiTheme="majorHAnsi" w:hAnsiTheme="majorHAnsi"/>
              </w:rPr>
              <w:t xml:space="preserve">alternative water </w:t>
            </w:r>
            <w:r w:rsidR="00DD58ED" w:rsidRPr="00DD58ED">
              <w:rPr>
                <w:rFonts w:asciiTheme="majorHAnsi" w:hAnsiTheme="majorHAnsi"/>
              </w:rPr>
              <w:t>projects</w:t>
            </w:r>
            <w:r w:rsidR="00C73730">
              <w:rPr>
                <w:rFonts w:asciiTheme="majorHAnsi" w:hAnsiTheme="majorHAnsi"/>
              </w:rPr>
              <w:t xml:space="preserve"> to irrigate public green spaces</w:t>
            </w:r>
            <w:r w:rsidR="00925164">
              <w:rPr>
                <w:rFonts w:asciiTheme="majorHAnsi" w:hAnsiTheme="majorHAnsi"/>
              </w:rPr>
              <w:t>.</w:t>
            </w:r>
            <w:r w:rsidR="00331A75">
              <w:rPr>
                <w:rFonts w:asciiTheme="majorHAnsi" w:hAnsiTheme="majorHAnsi"/>
              </w:rPr>
              <w:br/>
            </w:r>
            <w:r w:rsidR="00DD10BA" w:rsidRPr="7A48422E">
              <w:rPr>
                <w:rFonts w:asciiTheme="majorHAnsi" w:hAnsiTheme="majorHAnsi"/>
                <w:szCs w:val="20"/>
              </w:rPr>
              <w:t xml:space="preserve">Continue to advocate for a greener, more liveable west </w:t>
            </w:r>
            <w:r>
              <w:rPr>
                <w:rFonts w:asciiTheme="majorHAnsi" w:hAnsiTheme="majorHAnsi"/>
                <w:szCs w:val="20"/>
              </w:rPr>
              <w:t>by</w:t>
            </w:r>
            <w:r w:rsidRPr="7A48422E">
              <w:rPr>
                <w:rFonts w:asciiTheme="majorHAnsi" w:hAnsiTheme="majorHAnsi"/>
                <w:szCs w:val="20"/>
              </w:rPr>
              <w:t xml:space="preserve"> </w:t>
            </w:r>
            <w:r w:rsidR="00DD10BA" w:rsidRPr="7A48422E">
              <w:rPr>
                <w:rFonts w:asciiTheme="majorHAnsi" w:hAnsiTheme="majorHAnsi"/>
                <w:szCs w:val="20"/>
              </w:rPr>
              <w:t xml:space="preserve">leading programs such as </w:t>
            </w:r>
            <w:r w:rsidR="00DD10BA" w:rsidRPr="000E316D">
              <w:rPr>
                <w:rFonts w:asciiTheme="majorHAnsi" w:hAnsiTheme="majorHAnsi"/>
                <w:szCs w:val="20"/>
              </w:rPr>
              <w:t>Greening the West</w:t>
            </w:r>
            <w:r w:rsidR="00925164">
              <w:rPr>
                <w:rFonts w:asciiTheme="majorHAnsi" w:hAnsiTheme="majorHAnsi"/>
                <w:szCs w:val="20"/>
              </w:rPr>
              <w:t>.</w:t>
            </w:r>
          </w:p>
          <w:p w14:paraId="7EE7B8F2" w14:textId="1B2A612C" w:rsidR="009C75FF" w:rsidRPr="00DD58ED" w:rsidRDefault="009C75FF">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C75FF">
              <w:rPr>
                <w:rFonts w:asciiTheme="majorHAnsi" w:hAnsiTheme="majorHAnsi"/>
                <w:szCs w:val="20"/>
              </w:rPr>
              <w:t>Begin supplying our foundational and new Western Irrigation Network customers with alternative water from our Bacchus Marsh and Melton treatment plants (WIN).</w:t>
            </w:r>
          </w:p>
        </w:tc>
      </w:tr>
      <w:tr w:rsidR="008A491B" w:rsidRPr="00DA5B0B" w14:paraId="1185D36C"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vMerge w:val="restart"/>
          </w:tcPr>
          <w:p w14:paraId="4976F42C" w14:textId="73EF3C59" w:rsidR="008A491B" w:rsidRPr="00FD667D" w:rsidRDefault="00193AA0" w:rsidP="00331A75">
            <w:pPr>
              <w:keepNext/>
              <w:keepLines/>
              <w:rPr>
                <w:b w:val="0"/>
                <w:szCs w:val="20"/>
              </w:rPr>
            </w:pPr>
            <w:r w:rsidRPr="00FD667D">
              <w:rPr>
                <w:b w:val="0"/>
                <w:szCs w:val="20"/>
              </w:rPr>
              <w:lastRenderedPageBreak/>
              <w:t>We support the financial resilience of our communities and help you if you’re having payment difficulties</w:t>
            </w:r>
          </w:p>
        </w:tc>
        <w:tc>
          <w:tcPr>
            <w:tcW w:w="888" w:type="pct"/>
          </w:tcPr>
          <w:p w14:paraId="73822628" w14:textId="3B9C7D95" w:rsidR="008A491B" w:rsidRPr="00DD58ED" w:rsidRDefault="008A491B"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Customer satisfaction that our prices for our services represents value for money</w:t>
            </w:r>
            <w:r w:rsidR="00595692">
              <w:rPr>
                <w:rFonts w:asciiTheme="majorHAnsi" w:hAnsiTheme="majorHAnsi"/>
                <w:szCs w:val="20"/>
              </w:rPr>
              <w:t>*</w:t>
            </w:r>
          </w:p>
        </w:tc>
        <w:tc>
          <w:tcPr>
            <w:tcW w:w="925" w:type="pct"/>
          </w:tcPr>
          <w:p w14:paraId="62FEB521" w14:textId="7FAF3299" w:rsidR="008A491B" w:rsidRPr="00DD58ED" w:rsidRDefault="008A491B"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&gt;</w:t>
            </w:r>
            <w:r w:rsidR="008F071C">
              <w:rPr>
                <w:rFonts w:asciiTheme="majorHAnsi" w:hAnsiTheme="majorHAnsi"/>
                <w:szCs w:val="20"/>
              </w:rPr>
              <w:t>60%</w:t>
            </w:r>
          </w:p>
        </w:tc>
        <w:tc>
          <w:tcPr>
            <w:tcW w:w="2177" w:type="pct"/>
            <w:vMerge w:val="restart"/>
          </w:tcPr>
          <w:p w14:paraId="4E300A3C" w14:textId="4DF456D6" w:rsidR="00E47655" w:rsidRDefault="0070671C">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Improved and expanded customer support program</w:t>
            </w:r>
            <w:r w:rsidR="00E47655">
              <w:t xml:space="preserve"> to </w:t>
            </w:r>
            <w:r>
              <w:t xml:space="preserve">proactively reach out and </w:t>
            </w:r>
            <w:r w:rsidR="00E47655">
              <w:t xml:space="preserve">support </w:t>
            </w:r>
            <w:r w:rsidR="00837B8D">
              <w:t>more</w:t>
            </w:r>
            <w:r w:rsidR="00E47655">
              <w:t xml:space="preserve"> customers </w:t>
            </w:r>
            <w:r w:rsidR="00054E7B">
              <w:t xml:space="preserve">that may face hardship. </w:t>
            </w:r>
          </w:p>
          <w:p w14:paraId="635A31D1" w14:textId="076CCBC0" w:rsidR="00721B45" w:rsidRDefault="00B15DE4">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w:t>
            </w:r>
            <w:r w:rsidR="00054E7B">
              <w:t xml:space="preserve"> inter</w:t>
            </w:r>
            <w:r>
              <w:t>nal</w:t>
            </w:r>
            <w:r w:rsidR="00970AF8">
              <w:t xml:space="preserve"> hardship processes</w:t>
            </w:r>
            <w:r w:rsidR="00837B8D">
              <w:t>,</w:t>
            </w:r>
            <w:r w:rsidR="00970AF8">
              <w:t xml:space="preserve"> including referrals, payment plans, </w:t>
            </w:r>
            <w:r w:rsidR="00837B8D">
              <w:t>instalment</w:t>
            </w:r>
            <w:r w:rsidR="00970AF8">
              <w:t xml:space="preserve"> plans and water efficiency assistance programs</w:t>
            </w:r>
            <w:r w:rsidR="00925164">
              <w:t>.</w:t>
            </w:r>
          </w:p>
          <w:p w14:paraId="7C1BEA0F" w14:textId="33AEDE39" w:rsidR="00970AF8" w:rsidRDefault="00970AF8">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 to explore with customers</w:t>
            </w:r>
            <w:r w:rsidR="00E47655">
              <w:t xml:space="preserve"> engagement methods and case management support </w:t>
            </w:r>
            <w:r>
              <w:t xml:space="preserve">programs </w:t>
            </w:r>
            <w:r w:rsidR="00592115">
              <w:t xml:space="preserve">to </w:t>
            </w:r>
            <w:r>
              <w:t>best support customers experiencing hardship</w:t>
            </w:r>
            <w:r w:rsidR="00450EC1">
              <w:t>.</w:t>
            </w:r>
          </w:p>
          <w:p w14:paraId="40442680" w14:textId="7EFDEF9F" w:rsidR="008A491B" w:rsidRPr="00DA5B0B" w:rsidRDefault="00E47655">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 programs t</w:t>
            </w:r>
            <w:r w:rsidR="001C45D2">
              <w:t xml:space="preserve">hat help confirm </w:t>
            </w:r>
            <w:r>
              <w:t xml:space="preserve">that a customer is not in hardship </w:t>
            </w:r>
            <w:r w:rsidR="001C45D2">
              <w:t>before their service is restricted</w:t>
            </w:r>
            <w:r>
              <w:t xml:space="preserve"> </w:t>
            </w:r>
          </w:p>
        </w:tc>
      </w:tr>
      <w:tr w:rsidR="008A491B" w:rsidRPr="00DA5B0B" w14:paraId="1E391633"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vMerge/>
          </w:tcPr>
          <w:p w14:paraId="560C7E52" w14:textId="77777777" w:rsidR="008A491B" w:rsidRPr="00DD58ED" w:rsidRDefault="008A491B">
            <w:pPr>
              <w:rPr>
                <w:szCs w:val="20"/>
              </w:rPr>
            </w:pPr>
          </w:p>
        </w:tc>
        <w:tc>
          <w:tcPr>
            <w:tcW w:w="888" w:type="pct"/>
          </w:tcPr>
          <w:p w14:paraId="3856F073" w14:textId="77777777" w:rsidR="008A491B" w:rsidRPr="00DD58ED"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Proportion of customer support program participants meeting mutual obligations </w:t>
            </w:r>
          </w:p>
        </w:tc>
        <w:tc>
          <w:tcPr>
            <w:tcW w:w="925" w:type="pct"/>
          </w:tcPr>
          <w:p w14:paraId="7A532B63" w14:textId="77777777"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0659A">
              <w:rPr>
                <w:rFonts w:asciiTheme="majorHAnsi" w:hAnsiTheme="majorHAnsi"/>
                <w:szCs w:val="20"/>
              </w:rPr>
              <w:t>&gt;75%</w:t>
            </w:r>
          </w:p>
        </w:tc>
        <w:tc>
          <w:tcPr>
            <w:tcW w:w="2177" w:type="pct"/>
            <w:vMerge/>
          </w:tcPr>
          <w:p w14:paraId="63B47D55"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E415E0" w:rsidRPr="00926B27" w14:paraId="422C438B"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0F1560B9" w14:textId="79C041EC" w:rsidR="008A491B" w:rsidRPr="00926B27" w:rsidRDefault="004D4B98" w:rsidP="002A40C0">
            <w:pPr>
              <w:jc w:val="center"/>
              <w:rPr>
                <w:rStyle w:val="Bold"/>
                <w:b/>
                <w:bCs/>
                <w:color w:val="FFFFFF" w:themeColor="background1"/>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8A491B" w:rsidRPr="007B13A7" w14:paraId="2612AF8E"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06AA1D17" w14:textId="5CCA94C8" w:rsidR="0011140F" w:rsidRPr="007B13A7" w:rsidRDefault="0011140F" w:rsidP="00897D42">
            <w:pPr>
              <w:rPr>
                <w:rFonts w:ascii="Verdana" w:eastAsia="Verdana" w:hAnsi="Verdana"/>
                <w:spacing w:val="0"/>
                <w:szCs w:val="18"/>
              </w:rPr>
            </w:pPr>
            <w:r w:rsidRPr="007B13A7">
              <w:rPr>
                <w:rFonts w:ascii="Verdana" w:eastAsia="Verdana" w:hAnsi="Verdana"/>
                <w:spacing w:val="0"/>
                <w:szCs w:val="18"/>
              </w:rPr>
              <w:t xml:space="preserve">10 New Stormwater harvesting schemes </w:t>
            </w:r>
            <w:r w:rsidRPr="007B13A7">
              <w:rPr>
                <w:rFonts w:ascii="Verdana" w:eastAsia="Verdana" w:hAnsi="Verdana"/>
                <w:b w:val="0"/>
                <w:spacing w:val="0"/>
                <w:szCs w:val="18"/>
              </w:rPr>
              <w:t>(</w:t>
            </w:r>
            <w:r w:rsidR="0011437A" w:rsidRPr="007B13A7">
              <w:rPr>
                <w:rFonts w:ascii="Verdana" w:eastAsia="Verdana" w:hAnsi="Verdana"/>
                <w:b w:val="0"/>
                <w:spacing w:val="0"/>
                <w:szCs w:val="18"/>
              </w:rPr>
              <w:t>additional</w:t>
            </w:r>
            <w:r w:rsidRPr="007B13A7">
              <w:rPr>
                <w:rFonts w:ascii="Verdana" w:eastAsia="Verdana" w:hAnsi="Verdana"/>
                <w:b w:val="0"/>
                <w:spacing w:val="0"/>
                <w:szCs w:val="18"/>
              </w:rPr>
              <w:t xml:space="preserve"> </w:t>
            </w:r>
            <w:r w:rsidR="0011437A" w:rsidRPr="007B13A7">
              <w:rPr>
                <w:rFonts w:ascii="Verdana" w:eastAsia="Verdana" w:hAnsi="Verdana"/>
                <w:b w:val="0"/>
                <w:spacing w:val="0"/>
                <w:szCs w:val="18"/>
              </w:rPr>
              <w:t>$12.8</w:t>
            </w:r>
            <w:r w:rsidR="00CA7456" w:rsidRPr="007B13A7">
              <w:rPr>
                <w:rFonts w:ascii="Verdana" w:eastAsia="Verdana" w:hAnsi="Verdana"/>
                <w:b w:val="0"/>
                <w:spacing w:val="0"/>
                <w:szCs w:val="18"/>
              </w:rPr>
              <w:t>m</w:t>
            </w:r>
            <w:r w:rsidR="001260FF" w:rsidRPr="007B13A7">
              <w:rPr>
                <w:rFonts w:ascii="Verdana" w:eastAsia="Verdana" w:hAnsi="Verdana"/>
                <w:b w:val="0"/>
                <w:spacing w:val="0"/>
                <w:szCs w:val="18"/>
              </w:rPr>
              <w:t xml:space="preserve"> CAPEX</w:t>
            </w:r>
            <w:r w:rsidR="0011437A" w:rsidRPr="007B13A7">
              <w:rPr>
                <w:rFonts w:ascii="Verdana" w:eastAsia="Verdana" w:hAnsi="Verdana"/>
                <w:b w:val="0"/>
                <w:spacing w:val="0"/>
                <w:szCs w:val="18"/>
              </w:rPr>
              <w:t>)</w:t>
            </w:r>
          </w:p>
          <w:p w14:paraId="7ABE092C" w14:textId="21550AEE" w:rsidR="00926B27" w:rsidRDefault="00CA7456" w:rsidP="00897D42">
            <w:pPr>
              <w:rPr>
                <w:rFonts w:ascii="Verdana" w:eastAsia="Verdana" w:hAnsi="Verdana"/>
                <w:b w:val="0"/>
                <w:spacing w:val="0"/>
                <w:szCs w:val="18"/>
              </w:rPr>
            </w:pPr>
            <w:r w:rsidRPr="007B13A7">
              <w:rPr>
                <w:rFonts w:ascii="Verdana" w:eastAsia="Verdana" w:hAnsi="Verdana"/>
                <w:spacing w:val="0"/>
                <w:szCs w:val="18"/>
              </w:rPr>
              <w:t xml:space="preserve">Recycled Water Growth and renewals programs </w:t>
            </w:r>
            <w:r w:rsidRPr="007B13A7">
              <w:rPr>
                <w:rFonts w:ascii="Verdana" w:eastAsia="Verdana" w:hAnsi="Verdana"/>
                <w:b w:val="0"/>
                <w:spacing w:val="0"/>
                <w:szCs w:val="18"/>
              </w:rPr>
              <w:t>($21.1m</w:t>
            </w:r>
            <w:r w:rsidR="004C2960" w:rsidRPr="007B13A7">
              <w:rPr>
                <w:rFonts w:ascii="Verdana" w:eastAsia="Verdana" w:hAnsi="Verdana"/>
                <w:b w:val="0"/>
                <w:spacing w:val="0"/>
                <w:szCs w:val="18"/>
              </w:rPr>
              <w:t xml:space="preserve"> CAPEX)</w:t>
            </w:r>
          </w:p>
          <w:p w14:paraId="6DFF71B6" w14:textId="58B2083C" w:rsidR="0034003B" w:rsidRPr="007B13A7" w:rsidRDefault="00521B9D" w:rsidP="00897D42">
            <w:pPr>
              <w:rPr>
                <w:rFonts w:ascii="Verdana" w:eastAsia="Verdana" w:hAnsi="Verdana"/>
                <w:spacing w:val="0"/>
                <w:szCs w:val="18"/>
              </w:rPr>
            </w:pPr>
            <w:r>
              <w:rPr>
                <w:rFonts w:ascii="Verdana" w:eastAsia="Verdana" w:hAnsi="Verdana"/>
                <w:spacing w:val="0"/>
                <w:szCs w:val="18"/>
              </w:rPr>
              <w:t xml:space="preserve">Western Irrigation </w:t>
            </w:r>
            <w:proofErr w:type="spellStart"/>
            <w:r>
              <w:rPr>
                <w:rFonts w:ascii="Verdana" w:eastAsia="Verdana" w:hAnsi="Verdana"/>
                <w:spacing w:val="0"/>
                <w:szCs w:val="18"/>
              </w:rPr>
              <w:t>Netwok</w:t>
            </w:r>
            <w:proofErr w:type="spellEnd"/>
            <w:r w:rsidR="0034003B" w:rsidRPr="007B13A7">
              <w:rPr>
                <w:rFonts w:ascii="Verdana" w:eastAsia="Verdana" w:hAnsi="Verdana"/>
                <w:spacing w:val="0"/>
                <w:szCs w:val="18"/>
              </w:rPr>
              <w:t xml:space="preserve"> Program providing alternative water for irrigation </w:t>
            </w:r>
            <w:r w:rsidR="0034003B" w:rsidRPr="007B13A7">
              <w:rPr>
                <w:rFonts w:ascii="Verdana" w:eastAsia="Verdana" w:hAnsi="Verdana"/>
                <w:b w:val="0"/>
                <w:spacing w:val="0"/>
                <w:szCs w:val="18"/>
              </w:rPr>
              <w:t>($30</w:t>
            </w:r>
            <w:r>
              <w:rPr>
                <w:rFonts w:ascii="Verdana" w:eastAsia="Verdana" w:hAnsi="Verdana"/>
                <w:b w:val="0"/>
                <w:spacing w:val="0"/>
                <w:szCs w:val="18"/>
              </w:rPr>
              <w:t>.0</w:t>
            </w:r>
            <w:r w:rsidR="0034003B" w:rsidRPr="007B13A7">
              <w:rPr>
                <w:rFonts w:ascii="Verdana" w:eastAsia="Verdana" w:hAnsi="Verdana"/>
                <w:b w:val="0"/>
                <w:spacing w:val="0"/>
                <w:szCs w:val="18"/>
              </w:rPr>
              <w:t>m CAPEX)</w:t>
            </w:r>
          </w:p>
          <w:p w14:paraId="26926BD7" w14:textId="36766CC5" w:rsidR="008A491B" w:rsidRPr="007B13A7" w:rsidRDefault="00E80DB8" w:rsidP="00897D42">
            <w:pPr>
              <w:rPr>
                <w:rFonts w:ascii="Verdana" w:eastAsia="Verdana" w:hAnsi="Verdana"/>
                <w:spacing w:val="0"/>
                <w:szCs w:val="18"/>
              </w:rPr>
            </w:pPr>
            <w:r w:rsidRPr="007B13A7">
              <w:rPr>
                <w:rFonts w:ascii="Verdana" w:eastAsia="Verdana" w:hAnsi="Verdana"/>
                <w:spacing w:val="0"/>
                <w:szCs w:val="18"/>
              </w:rPr>
              <w:t>Operati</w:t>
            </w:r>
            <w:r w:rsidR="00827B3A">
              <w:rPr>
                <w:rFonts w:ascii="Verdana" w:eastAsia="Verdana" w:hAnsi="Verdana"/>
                <w:spacing w:val="0"/>
                <w:szCs w:val="18"/>
              </w:rPr>
              <w:t>ng</w:t>
            </w:r>
            <w:r w:rsidRPr="007B13A7">
              <w:rPr>
                <w:rFonts w:ascii="Verdana" w:eastAsia="Verdana" w:hAnsi="Verdana"/>
                <w:spacing w:val="0"/>
                <w:szCs w:val="18"/>
              </w:rPr>
              <w:t xml:space="preserve"> </w:t>
            </w:r>
            <w:r w:rsidR="009252E8">
              <w:rPr>
                <w:rFonts w:ascii="Verdana" w:eastAsia="Verdana" w:hAnsi="Verdana"/>
                <w:spacing w:val="0"/>
                <w:szCs w:val="18"/>
              </w:rPr>
              <w:t>expenditure</w:t>
            </w:r>
            <w:r w:rsidRPr="007B13A7">
              <w:rPr>
                <w:rFonts w:ascii="Verdana" w:eastAsia="Verdana" w:hAnsi="Verdana"/>
                <w:spacing w:val="0"/>
                <w:szCs w:val="18"/>
              </w:rPr>
              <w:t xml:space="preserve"> step change </w:t>
            </w:r>
            <w:r w:rsidR="00B15DE4" w:rsidRPr="007B13A7">
              <w:rPr>
                <w:rFonts w:ascii="Verdana" w:eastAsia="Verdana" w:hAnsi="Verdana"/>
                <w:spacing w:val="0"/>
                <w:szCs w:val="18"/>
              </w:rPr>
              <w:t>to increase service</w:t>
            </w:r>
            <w:r w:rsidR="00B26085" w:rsidRPr="007B13A7">
              <w:rPr>
                <w:rFonts w:ascii="Verdana" w:eastAsia="Verdana" w:hAnsi="Verdana"/>
                <w:spacing w:val="0"/>
                <w:szCs w:val="18"/>
              </w:rPr>
              <w:t>s</w:t>
            </w:r>
            <w:r w:rsidR="00B15DE4" w:rsidRPr="007B13A7">
              <w:rPr>
                <w:rFonts w:ascii="Verdana" w:eastAsia="Verdana" w:hAnsi="Verdana"/>
                <w:spacing w:val="0"/>
                <w:szCs w:val="18"/>
              </w:rPr>
              <w:t xml:space="preserve"> to customers experiencing hardship </w:t>
            </w:r>
            <w:r w:rsidR="00B15DE4" w:rsidRPr="007B13A7">
              <w:rPr>
                <w:rFonts w:ascii="Verdana" w:eastAsia="Verdana" w:hAnsi="Verdana"/>
                <w:b w:val="0"/>
                <w:spacing w:val="0"/>
                <w:szCs w:val="18"/>
              </w:rPr>
              <w:t>($</w:t>
            </w:r>
            <w:r w:rsidR="00F9237D" w:rsidRPr="007B13A7">
              <w:rPr>
                <w:rFonts w:ascii="Verdana" w:eastAsia="Verdana" w:hAnsi="Verdana"/>
                <w:b w:val="0"/>
                <w:spacing w:val="0"/>
                <w:szCs w:val="18"/>
              </w:rPr>
              <w:t>5.2</w:t>
            </w:r>
            <w:r w:rsidR="00802830" w:rsidRPr="007B13A7">
              <w:rPr>
                <w:rFonts w:ascii="Verdana" w:eastAsia="Verdana" w:hAnsi="Verdana"/>
                <w:b w:val="0"/>
                <w:spacing w:val="0"/>
                <w:szCs w:val="18"/>
              </w:rPr>
              <w:t>m OPEX</w:t>
            </w:r>
            <w:r w:rsidR="00B15DE4" w:rsidRPr="007B13A7">
              <w:rPr>
                <w:rFonts w:ascii="Verdana" w:eastAsia="Verdana" w:hAnsi="Verdana"/>
                <w:b w:val="0"/>
                <w:spacing w:val="0"/>
                <w:szCs w:val="18"/>
              </w:rPr>
              <w:t>)</w:t>
            </w:r>
          </w:p>
          <w:p w14:paraId="12D23A49" w14:textId="5AEE8E30" w:rsidR="00E80DB8" w:rsidRPr="007B13A7" w:rsidRDefault="00E80DB8" w:rsidP="00897D42">
            <w:pPr>
              <w:rPr>
                <w:rFonts w:ascii="Verdana" w:eastAsia="Verdana" w:hAnsi="Verdana"/>
                <w:spacing w:val="0"/>
                <w:szCs w:val="18"/>
              </w:rPr>
            </w:pPr>
            <w:r w:rsidRPr="007B13A7">
              <w:rPr>
                <w:rFonts w:ascii="Verdana" w:eastAsia="Verdana" w:hAnsi="Verdana"/>
                <w:spacing w:val="0"/>
                <w:szCs w:val="18"/>
              </w:rPr>
              <w:t>Operati</w:t>
            </w:r>
            <w:r w:rsidR="009252E8">
              <w:rPr>
                <w:rFonts w:ascii="Verdana" w:eastAsia="Verdana" w:hAnsi="Verdana"/>
                <w:spacing w:val="0"/>
                <w:szCs w:val="18"/>
              </w:rPr>
              <w:t>ng expenditure</w:t>
            </w:r>
            <w:r w:rsidRPr="007B13A7">
              <w:rPr>
                <w:rFonts w:ascii="Verdana" w:eastAsia="Verdana" w:hAnsi="Verdana"/>
                <w:spacing w:val="0"/>
                <w:szCs w:val="18"/>
              </w:rPr>
              <w:t xml:space="preserve"> step change for the Werribee Irrigation Program providing alternative water for irrigation </w:t>
            </w:r>
            <w:r w:rsidRPr="007B13A7">
              <w:rPr>
                <w:rFonts w:ascii="Verdana" w:eastAsia="Verdana" w:hAnsi="Verdana"/>
                <w:b w:val="0"/>
                <w:spacing w:val="0"/>
                <w:szCs w:val="18"/>
              </w:rPr>
              <w:t>($3.3M OPEX)</w:t>
            </w:r>
          </w:p>
        </w:tc>
      </w:tr>
    </w:tbl>
    <w:p w14:paraId="19AD93D9" w14:textId="6EBC5495" w:rsidR="00F50393" w:rsidRPr="0070671C" w:rsidRDefault="00F50393" w:rsidP="00F50393">
      <w:pPr>
        <w:rPr>
          <w:sz w:val="20"/>
          <w:szCs w:val="20"/>
        </w:rPr>
      </w:pPr>
      <w:r w:rsidRPr="00132BC5">
        <w:rPr>
          <w:sz w:val="20"/>
          <w:szCs w:val="20"/>
        </w:rPr>
        <w:t>*The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244558">
        <w:rPr>
          <w:sz w:val="20"/>
          <w:szCs w:val="20"/>
        </w:rPr>
        <w:t>investment and expenditure</w:t>
      </w:r>
      <w:r>
        <w:rPr>
          <w:sz w:val="20"/>
          <w:szCs w:val="20"/>
        </w:rPr>
        <w:t xml:space="preserve"> forecasts consider our customer outcomes and are aligned to ensure measures are achievable. </w:t>
      </w:r>
    </w:p>
    <w:p w14:paraId="300D18B1" w14:textId="77777777" w:rsidR="00F50393" w:rsidRDefault="00F50393" w:rsidP="00B61BDB"/>
    <w:p w14:paraId="6941781B" w14:textId="77777777" w:rsidR="00F50393" w:rsidRPr="00F50393" w:rsidRDefault="00F50393" w:rsidP="005B4BB4">
      <w:pPr>
        <w:sectPr w:rsidR="00F50393" w:rsidRPr="00F50393" w:rsidSect="008C1A38">
          <w:pgSz w:w="16838" w:h="11906" w:orient="landscape" w:code="9"/>
          <w:pgMar w:top="1134" w:right="1134" w:bottom="1134" w:left="1134" w:header="709" w:footer="652" w:gutter="0"/>
          <w:cols w:space="708"/>
          <w:docGrid w:linePitch="360"/>
        </w:sectPr>
      </w:pPr>
    </w:p>
    <w:p w14:paraId="1EEC2B19" w14:textId="4D06CAF7" w:rsidR="00B46817" w:rsidRDefault="00B46817" w:rsidP="005B69CD">
      <w:pPr>
        <w:pStyle w:val="Heading3"/>
      </w:pPr>
      <w:r>
        <w:lastRenderedPageBreak/>
        <w:t xml:space="preserve">Customer outcome 4 - We enable growth and help businesses </w:t>
      </w:r>
      <w:proofErr w:type="gramStart"/>
      <w:r>
        <w:t>thrive</w:t>
      </w:r>
      <w:proofErr w:type="gramEnd"/>
    </w:p>
    <w:p w14:paraId="653E3380" w14:textId="0677D816" w:rsidR="00B46817" w:rsidRDefault="00244558" w:rsidP="00B46817">
      <w:r>
        <w:t>We</w:t>
      </w:r>
      <w:r w:rsidR="00B46817">
        <w:t xml:space="preserve"> heard that supporting local businesses and industrial customers to thrive and supporting developers in our </w:t>
      </w:r>
      <w:r w:rsidR="008423F9">
        <w:t xml:space="preserve">service </w:t>
      </w:r>
      <w:r w:rsidR="00B46817">
        <w:t>region to enable growth is important.</w:t>
      </w:r>
    </w:p>
    <w:p w14:paraId="1E4A920A" w14:textId="5D172C70" w:rsidR="00B46817" w:rsidRDefault="008E4B22" w:rsidP="00B46817">
      <w:r>
        <w:t>Our customers will experience this outcome as:</w:t>
      </w:r>
    </w:p>
    <w:p w14:paraId="2DD1499F" w14:textId="173E3DCD" w:rsidR="00B46817" w:rsidRDefault="00B46817">
      <w:pPr>
        <w:pStyle w:val="ListBullet"/>
        <w:numPr>
          <w:ilvl w:val="0"/>
          <w:numId w:val="99"/>
        </w:numPr>
      </w:pPr>
      <w:r>
        <w:t>We provide excellent customer services when you contact us</w:t>
      </w:r>
      <w:r w:rsidR="00E96C66">
        <w:t>.</w:t>
      </w:r>
    </w:p>
    <w:p w14:paraId="5102373F" w14:textId="65D00647" w:rsidR="00B46817" w:rsidRDefault="00B46817">
      <w:pPr>
        <w:pStyle w:val="ListBullet"/>
        <w:numPr>
          <w:ilvl w:val="0"/>
          <w:numId w:val="99"/>
        </w:numPr>
      </w:pPr>
      <w:r>
        <w:t>We support agriculture with the right recycled water products for your needs</w:t>
      </w:r>
      <w:r w:rsidR="00E96C66">
        <w:t>.</w:t>
      </w:r>
      <w:r>
        <w:t xml:space="preserve"> </w:t>
      </w:r>
    </w:p>
    <w:p w14:paraId="5D0E4799" w14:textId="37083060" w:rsidR="00B46817" w:rsidRDefault="00B46817">
      <w:pPr>
        <w:pStyle w:val="ListBullet"/>
        <w:numPr>
          <w:ilvl w:val="0"/>
          <w:numId w:val="99"/>
        </w:numPr>
      </w:pPr>
      <w:r>
        <w:t>Developers and applicants find us easy, timely and consistent to do business with to get new customers connected</w:t>
      </w:r>
      <w:r w:rsidR="00E96C66">
        <w:t>.</w:t>
      </w:r>
    </w:p>
    <w:p w14:paraId="07DD9F03" w14:textId="1AB89D1C" w:rsidR="00B46817" w:rsidRDefault="00B46817" w:rsidP="003A1AD6">
      <w:pPr>
        <w:pStyle w:val="Heading4"/>
      </w:pPr>
      <w:r>
        <w:t>What we heard from our customers</w:t>
      </w:r>
    </w:p>
    <w:p w14:paraId="5C29F52E" w14:textId="4FE69C97" w:rsidR="00B46817" w:rsidRDefault="00963E4E" w:rsidP="00B46817">
      <w:r>
        <w:t xml:space="preserve">While our </w:t>
      </w:r>
      <w:r w:rsidR="00B46817">
        <w:t xml:space="preserve">engagement program </w:t>
      </w:r>
      <w:r>
        <w:t>focused on residential customers</w:t>
      </w:r>
      <w:r w:rsidR="00B46817">
        <w:t xml:space="preserve">, we also engaged with the development industry and business customers to understand what is important to them. </w:t>
      </w:r>
    </w:p>
    <w:p w14:paraId="25149A50" w14:textId="77777777" w:rsidR="000936CE" w:rsidRDefault="000936CE" w:rsidP="00664888">
      <w:pPr>
        <w:pStyle w:val="Heading5"/>
      </w:pPr>
      <w:r>
        <w:t>Exploration stage</w:t>
      </w:r>
    </w:p>
    <w:p w14:paraId="50AFBD4D" w14:textId="56218093" w:rsidR="00B46817" w:rsidRDefault="000936CE" w:rsidP="00B46817">
      <w:r>
        <w:t xml:space="preserve">Our </w:t>
      </w:r>
      <w:r w:rsidR="00B46817">
        <w:t>customer survey</w:t>
      </w:r>
      <w:r>
        <w:t xml:space="preserve"> found that</w:t>
      </w:r>
      <w:r w:rsidR="00B46817">
        <w:t xml:space="preserve"> customers strongly supported our ‘delivering value to customers’ </w:t>
      </w:r>
      <w:r w:rsidR="00DA218B">
        <w:t>strategic outcome</w:t>
      </w:r>
      <w:r w:rsidR="00B46817">
        <w:t xml:space="preserve"> and its focus areas from our </w:t>
      </w:r>
      <w:r w:rsidR="00B46817" w:rsidRPr="003B7868">
        <w:rPr>
          <w:i/>
        </w:rPr>
        <w:t>2030 Strategy</w:t>
      </w:r>
      <w:r w:rsidR="007872A5">
        <w:t>,</w:t>
      </w:r>
      <w:r w:rsidR="0041084A">
        <w:t xml:space="preserve"> </w:t>
      </w:r>
      <w:r w:rsidR="007872A5">
        <w:t>w</w:t>
      </w:r>
      <w:r w:rsidR="00B46817">
        <w:t>ith 44</w:t>
      </w:r>
      <w:r w:rsidR="00A83659">
        <w:t>%</w:t>
      </w:r>
      <w:r w:rsidR="00B46817">
        <w:t xml:space="preserve"> of respondents rating having excellent customer service with fast response times as important to them.  </w:t>
      </w:r>
    </w:p>
    <w:p w14:paraId="151A16AD" w14:textId="6C3BB743" w:rsidR="005D2C50" w:rsidRDefault="00A454BD" w:rsidP="00B46817">
      <w:r>
        <w:t>We asked our focus groups what was</w:t>
      </w:r>
      <w:r w:rsidR="00B46817">
        <w:t xml:space="preserve"> important to </w:t>
      </w:r>
      <w:r>
        <w:t xml:space="preserve">them </w:t>
      </w:r>
      <w:r w:rsidR="00B46817">
        <w:t>to ‘support communities to thrive’ (</w:t>
      </w:r>
      <w:r w:rsidR="00B46817" w:rsidRPr="003B7868">
        <w:rPr>
          <w:i/>
        </w:rPr>
        <w:t xml:space="preserve">2030 </w:t>
      </w:r>
      <w:r w:rsidR="000936CE" w:rsidRPr="003B7868">
        <w:rPr>
          <w:i/>
          <w:iCs/>
        </w:rPr>
        <w:t>S</w:t>
      </w:r>
      <w:r w:rsidR="00B46817" w:rsidRPr="003B7868">
        <w:rPr>
          <w:i/>
        </w:rPr>
        <w:t>trategy</w:t>
      </w:r>
      <w:r w:rsidR="00B46817">
        <w:t xml:space="preserve"> pillar)</w:t>
      </w:r>
      <w:r>
        <w:t>.</w:t>
      </w:r>
      <w:r w:rsidR="00B46817">
        <w:t xml:space="preserve"> </w:t>
      </w:r>
      <w:r>
        <w:t xml:space="preserve">They </w:t>
      </w:r>
      <w:r w:rsidR="00B46817">
        <w:t xml:space="preserve">told us </w:t>
      </w:r>
      <w:r w:rsidR="00DF10A7">
        <w:t>‘</w:t>
      </w:r>
      <w:r w:rsidR="00B46817">
        <w:t>Supporting industry and business in a sustainable way</w:t>
      </w:r>
      <w:r w:rsidR="00DF10A7">
        <w:t>’</w:t>
      </w:r>
      <w:r w:rsidR="00B46817">
        <w:t xml:space="preserve"> was important</w:t>
      </w:r>
      <w:r w:rsidR="00DF10A7">
        <w:t>. Our</w:t>
      </w:r>
      <w:r w:rsidR="00B46817">
        <w:t xml:space="preserve"> stakeholders </w:t>
      </w:r>
      <w:r w:rsidR="00DF10A7">
        <w:t xml:space="preserve">told us </w:t>
      </w:r>
      <w:r w:rsidR="00B46817">
        <w:t xml:space="preserve">it’s important </w:t>
      </w:r>
      <w:r w:rsidR="00DF10A7">
        <w:t>that we don’t ‘</w:t>
      </w:r>
      <w:r w:rsidR="00B46817">
        <w:t>get in the way of businesses growing and providing jobs</w:t>
      </w:r>
      <w:r w:rsidR="00DF10A7">
        <w:t>’</w:t>
      </w:r>
      <w:r w:rsidR="00B46817">
        <w:t>.</w:t>
      </w:r>
    </w:p>
    <w:p w14:paraId="2F2FA2DD" w14:textId="45591EDF" w:rsidR="00B46817" w:rsidRDefault="004860B5" w:rsidP="00B46817">
      <w:r>
        <w:t>In</w:t>
      </w:r>
      <w:r w:rsidR="00B46817">
        <w:t xml:space="preserve"> parallel to our core engagement program, </w:t>
      </w:r>
      <w:r w:rsidR="009B44CA">
        <w:t xml:space="preserve">we </w:t>
      </w:r>
      <w:r w:rsidR="00B46817">
        <w:t xml:space="preserve">engaged </w:t>
      </w:r>
      <w:r w:rsidR="009B44CA">
        <w:t xml:space="preserve">with </w:t>
      </w:r>
      <w:r w:rsidR="00B46817">
        <w:t xml:space="preserve">developers, </w:t>
      </w:r>
      <w:proofErr w:type="gramStart"/>
      <w:r>
        <w:t>builders</w:t>
      </w:r>
      <w:proofErr w:type="gramEnd"/>
      <w:r w:rsidR="00B46817">
        <w:t xml:space="preserve"> and industry to </w:t>
      </w:r>
      <w:r w:rsidR="009B44CA">
        <w:t xml:space="preserve">understand </w:t>
      </w:r>
      <w:r w:rsidR="00B46817">
        <w:t>their values and preferences. We heard that:</w:t>
      </w:r>
    </w:p>
    <w:p w14:paraId="5187BB45" w14:textId="4330A26B" w:rsidR="00B46817" w:rsidRDefault="00B46817">
      <w:pPr>
        <w:pStyle w:val="ListBullet"/>
        <w:numPr>
          <w:ilvl w:val="0"/>
          <w:numId w:val="100"/>
        </w:numPr>
      </w:pPr>
      <w:r>
        <w:t>they were please</w:t>
      </w:r>
      <w:r w:rsidR="009B44CA">
        <w:t>d</w:t>
      </w:r>
      <w:r>
        <w:t xml:space="preserve"> that they were considered ‘customers’ of </w:t>
      </w:r>
      <w:proofErr w:type="gramStart"/>
      <w:r w:rsidR="004860B5">
        <w:t>GWW</w:t>
      </w:r>
      <w:proofErr w:type="gramEnd"/>
    </w:p>
    <w:p w14:paraId="5F283A3E" w14:textId="0BEB1E42" w:rsidR="00B46817" w:rsidRDefault="00B46817">
      <w:pPr>
        <w:pStyle w:val="ListBullet"/>
        <w:numPr>
          <w:ilvl w:val="0"/>
          <w:numId w:val="100"/>
        </w:numPr>
      </w:pPr>
      <w:r>
        <w:t xml:space="preserve">they liked talking to a dedicated team to respond to enquiries and requests in a timely </w:t>
      </w:r>
      <w:proofErr w:type="gramStart"/>
      <w:r>
        <w:t>manner</w:t>
      </w:r>
      <w:proofErr w:type="gramEnd"/>
    </w:p>
    <w:p w14:paraId="254F3B89" w14:textId="55F47BF4" w:rsidR="00B46817" w:rsidRDefault="00B46817">
      <w:pPr>
        <w:pStyle w:val="ListBullet"/>
        <w:numPr>
          <w:ilvl w:val="0"/>
          <w:numId w:val="100"/>
        </w:numPr>
      </w:pPr>
      <w:r>
        <w:t>their industry emphasises timeliness and ease of doing business.</w:t>
      </w:r>
    </w:p>
    <w:p w14:paraId="6BABB688" w14:textId="61ADCCB2" w:rsidR="00B46817" w:rsidRDefault="00B46817" w:rsidP="00B46817">
      <w:r>
        <w:t xml:space="preserve">Given this view, we </w:t>
      </w:r>
      <w:r w:rsidR="0041084A">
        <w:t>tested our</w:t>
      </w:r>
      <w:r>
        <w:t xml:space="preserve"> proposed customer outcome and experiences </w:t>
      </w:r>
      <w:r w:rsidR="0041084A">
        <w:t xml:space="preserve">with the </w:t>
      </w:r>
      <w:r w:rsidR="00A60774">
        <w:t>development</w:t>
      </w:r>
      <w:r>
        <w:t xml:space="preserve"> </w:t>
      </w:r>
      <w:r w:rsidR="00E90C8E">
        <w:t>industry</w:t>
      </w:r>
      <w:r>
        <w:t>. We received little feedback on the proposed customer outcome and promises and kept them the same.</w:t>
      </w:r>
    </w:p>
    <w:p w14:paraId="35866F5A" w14:textId="537CC377" w:rsidR="00B46817" w:rsidRDefault="00B46817" w:rsidP="00B46817">
      <w:r>
        <w:t>As noted in customer outcome 3, we have incorporated a</w:t>
      </w:r>
      <w:r w:rsidR="00315A57">
        <w:t>n outcome</w:t>
      </w:r>
      <w:r>
        <w:t xml:space="preserve"> and measure relating to providing alternative water sources to the agricultural industry. This was included as a </w:t>
      </w:r>
      <w:r w:rsidR="00A60774">
        <w:t xml:space="preserve">deliberative </w:t>
      </w:r>
      <w:r>
        <w:t>panel recommendation to invest in technology to manufacture alternative water for irrigation and industry in a manner that is affordable (</w:t>
      </w:r>
      <w:r w:rsidR="00315A57">
        <w:t>R</w:t>
      </w:r>
      <w:r>
        <w:t>ecommendation 4.4)</w:t>
      </w:r>
      <w:r w:rsidR="00315A57">
        <w:t>.</w:t>
      </w:r>
    </w:p>
    <w:p w14:paraId="016A9190" w14:textId="36D5C1BD" w:rsidR="00B46817" w:rsidRDefault="00B46817" w:rsidP="00B46817">
      <w:r>
        <w:t xml:space="preserve">We adopted these recommendations in our high-level customer outcomes and experiences. </w:t>
      </w:r>
    </w:p>
    <w:p w14:paraId="12A19DCF" w14:textId="77777777" w:rsidR="00CE7C47" w:rsidRDefault="00CE7C47" w:rsidP="00331A75">
      <w:pPr>
        <w:pStyle w:val="Heading4"/>
      </w:pPr>
      <w:r>
        <w:lastRenderedPageBreak/>
        <w:t>How we will be accountable to our customers</w:t>
      </w:r>
    </w:p>
    <w:p w14:paraId="03F0716F" w14:textId="7569AE2E" w:rsidR="00B46817" w:rsidRDefault="00171863" w:rsidP="00331A75">
      <w:pPr>
        <w:keepNext/>
        <w:keepLines/>
      </w:pPr>
      <w:r>
        <w:t xml:space="preserve">We will </w:t>
      </w:r>
      <w:r w:rsidR="00C55D79">
        <w:t>report on five</w:t>
      </w:r>
      <w:r>
        <w:t xml:space="preserve"> </w:t>
      </w:r>
      <w:r w:rsidR="00B46817">
        <w:t xml:space="preserve">measures that underpin our </w:t>
      </w:r>
      <w:r w:rsidR="00C55D79">
        <w:t>three</w:t>
      </w:r>
      <w:r w:rsidR="00B46817">
        <w:t xml:space="preserve"> customer experiences</w:t>
      </w:r>
      <w:r w:rsidR="007E08B2">
        <w:t>:</w:t>
      </w:r>
    </w:p>
    <w:p w14:paraId="3A3C5E01" w14:textId="2425437B" w:rsidR="00B46817" w:rsidRDefault="0090795C">
      <w:pPr>
        <w:pStyle w:val="ListBullet"/>
        <w:numPr>
          <w:ilvl w:val="0"/>
          <w:numId w:val="101"/>
        </w:numPr>
      </w:pPr>
      <w:r>
        <w:t>B</w:t>
      </w:r>
      <w:r w:rsidR="00B46817">
        <w:t xml:space="preserve">usiness customer satisfaction to our responses to enquires and complaints to </w:t>
      </w:r>
      <w:r w:rsidR="004975A1">
        <w:t xml:space="preserve">demonstrate </w:t>
      </w:r>
      <w:r w:rsidR="00B46817">
        <w:t>the level of customer service we provide to our business customers to ensure we are easy to deal with</w:t>
      </w:r>
      <w:r>
        <w:t>.</w:t>
      </w:r>
    </w:p>
    <w:p w14:paraId="38EF2C6C" w14:textId="449A7E68" w:rsidR="00B46817" w:rsidRDefault="0090795C">
      <w:pPr>
        <w:pStyle w:val="ListBullet"/>
        <w:numPr>
          <w:ilvl w:val="0"/>
          <w:numId w:val="101"/>
        </w:numPr>
      </w:pPr>
      <w:r>
        <w:t>T</w:t>
      </w:r>
      <w:r w:rsidR="00B46817">
        <w:t>he volume of alternative water supplied to our agricultural customers, in particular customers in the west, to support a thriving agricultural industry</w:t>
      </w:r>
      <w:r>
        <w:t>.</w:t>
      </w:r>
      <w:r w:rsidR="00B46817">
        <w:t xml:space="preserve"> </w:t>
      </w:r>
    </w:p>
    <w:p w14:paraId="4A87FFD4" w14:textId="09C75F52" w:rsidR="00B46817" w:rsidRDefault="0090795C">
      <w:pPr>
        <w:pStyle w:val="ListBullet"/>
        <w:numPr>
          <w:ilvl w:val="0"/>
          <w:numId w:val="101"/>
        </w:numPr>
      </w:pPr>
      <w:r>
        <w:t>A</w:t>
      </w:r>
      <w:r w:rsidR="00B46817">
        <w:t>pplication and process turnaround times for the developer and building industry</w:t>
      </w:r>
      <w:r w:rsidR="004279FB">
        <w:t xml:space="preserve"> to demonstrate we are</w:t>
      </w:r>
      <w:r w:rsidR="006078C7">
        <w:t xml:space="preserve"> </w:t>
      </w:r>
      <w:r w:rsidR="004279FB">
        <w:t>timely and consistent. Specifically</w:t>
      </w:r>
      <w:r>
        <w:t>,</w:t>
      </w:r>
      <w:r w:rsidR="004279FB">
        <w:t xml:space="preserve"> we will report on the proportion of </w:t>
      </w:r>
      <w:r w:rsidR="00B46817">
        <w:t xml:space="preserve">pressure and flow information applications, standard new customer contributions applications and standard plumbing applications completed within an appropriate time frame. </w:t>
      </w:r>
    </w:p>
    <w:p w14:paraId="035A1ACD" w14:textId="77777777" w:rsidR="004279FB" w:rsidRDefault="004279FB" w:rsidP="004279FB"/>
    <w:p w14:paraId="3993676E" w14:textId="77777777" w:rsidR="00DD58ED" w:rsidRDefault="00DD58ED" w:rsidP="00B46817">
      <w:pPr>
        <w:sectPr w:rsidR="00DD58ED" w:rsidSect="008C1A38">
          <w:pgSz w:w="11906" w:h="16838" w:orient="landscape"/>
          <w:pgMar w:top="1134" w:right="1134" w:bottom="1134" w:left="1134" w:header="709" w:footer="652" w:gutter="0"/>
          <w:cols w:space="708"/>
          <w:docGrid w:linePitch="360"/>
        </w:sectPr>
      </w:pPr>
    </w:p>
    <w:p w14:paraId="78479768" w14:textId="34AF07A6" w:rsidR="00477DDA" w:rsidRDefault="00534EED" w:rsidP="00534EED">
      <w:pPr>
        <w:pStyle w:val="Caption"/>
      </w:pPr>
      <w:r w:rsidRPr="00727A53">
        <w:rPr>
          <w:b/>
          <w:bCs/>
        </w:rPr>
        <w:lastRenderedPageBreak/>
        <w:t xml:space="preserve">Table </w:t>
      </w:r>
      <w:r w:rsidRPr="00727A53">
        <w:rPr>
          <w:b/>
          <w:bCs/>
        </w:rPr>
        <w:fldChar w:fldCharType="begin"/>
      </w:r>
      <w:r w:rsidRPr="00727A53">
        <w:rPr>
          <w:b/>
          <w:bCs/>
        </w:rPr>
        <w:instrText>SEQ Table \* ARABIC</w:instrText>
      </w:r>
      <w:r w:rsidRPr="00727A53">
        <w:rPr>
          <w:b/>
          <w:bCs/>
        </w:rPr>
        <w:fldChar w:fldCharType="separate"/>
      </w:r>
      <w:r w:rsidR="003B42C6">
        <w:rPr>
          <w:b/>
          <w:bCs/>
          <w:noProof/>
        </w:rPr>
        <w:t>7</w:t>
      </w:r>
      <w:r w:rsidRPr="00727A53">
        <w:rPr>
          <w:b/>
          <w:bCs/>
        </w:rPr>
        <w:fldChar w:fldCharType="end"/>
      </w:r>
      <w:r w:rsidR="00C06A85">
        <w:t xml:space="preserve"> </w:t>
      </w:r>
      <w:r>
        <w:t>Customer</w:t>
      </w:r>
      <w:r w:rsidR="00E82795">
        <w:t xml:space="preserve"> </w:t>
      </w:r>
      <w:r>
        <w:t>outcome</w:t>
      </w:r>
      <w:r w:rsidR="00DD58ED">
        <w:t xml:space="preserve"> 4 - </w:t>
      </w:r>
      <w:r>
        <w:t xml:space="preserve">We enable growth and help businesses </w:t>
      </w:r>
      <w:proofErr w:type="gramStart"/>
      <w:r>
        <w:t>thrive</w:t>
      </w:r>
      <w:proofErr w:type="gramEnd"/>
      <w:r>
        <w:t xml:space="preserve"> </w:t>
      </w:r>
    </w:p>
    <w:tbl>
      <w:tblPr>
        <w:tblStyle w:val="GWWDefaulttable"/>
        <w:tblW w:w="4998" w:type="pct"/>
        <w:tblLook w:val="04A0" w:firstRow="1" w:lastRow="0" w:firstColumn="1" w:lastColumn="0" w:noHBand="0" w:noVBand="1"/>
      </w:tblPr>
      <w:tblGrid>
        <w:gridCol w:w="3641"/>
        <w:gridCol w:w="3306"/>
        <w:gridCol w:w="2123"/>
        <w:gridCol w:w="5494"/>
      </w:tblGrid>
      <w:tr w:rsidR="00C612DC" w:rsidRPr="007A36FD" w14:paraId="31DF043B" w14:textId="77777777" w:rsidTr="002372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Pr>
          <w:p w14:paraId="19C4E702" w14:textId="17823F2F" w:rsidR="00C612DC" w:rsidRPr="00086C3C" w:rsidRDefault="00C612DC">
            <w:pPr>
              <w:rPr>
                <w:b w:val="0"/>
                <w:color w:val="FFFFFF"/>
                <w:szCs w:val="18"/>
              </w:rPr>
            </w:pPr>
            <w:r w:rsidRPr="00086C3C">
              <w:rPr>
                <w:szCs w:val="18"/>
              </w:rPr>
              <w:t>We enable growth and help businesses thrive</w:t>
            </w:r>
          </w:p>
        </w:tc>
      </w:tr>
      <w:tr w:rsidR="00C612DC" w:rsidRPr="007A36FD" w14:paraId="712AC42E" w14:textId="77777777" w:rsidTr="00727A53">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tcPr>
          <w:p w14:paraId="53B2105E" w14:textId="3A179E57" w:rsidR="00C612DC" w:rsidRPr="00E22F26" w:rsidRDefault="00C612DC">
            <w:pPr>
              <w:textAlignment w:val="baseline"/>
              <w:rPr>
                <w:rFonts w:eastAsia="Times New Roman" w:cs="Times New Roman"/>
                <w:b w:val="0"/>
                <w:bCs/>
                <w:szCs w:val="18"/>
                <w:lang w:eastAsia="en-AU"/>
              </w:rPr>
            </w:pPr>
            <w:r w:rsidRPr="00E22F26">
              <w:rPr>
                <w:rFonts w:eastAsia="Times New Roman" w:cs="Times New Roman"/>
                <w:b w:val="0"/>
                <w:szCs w:val="18"/>
                <w:lang w:eastAsia="en-AU"/>
              </w:rPr>
              <w:t>We enable development and growth in our</w:t>
            </w:r>
            <w:r w:rsidR="008423F9">
              <w:rPr>
                <w:rFonts w:eastAsia="Times New Roman" w:cs="Times New Roman"/>
                <w:b w:val="0"/>
                <w:szCs w:val="18"/>
                <w:lang w:eastAsia="en-AU"/>
              </w:rPr>
              <w:t xml:space="preserve"> service</w:t>
            </w:r>
            <w:r w:rsidRPr="00E22F26">
              <w:rPr>
                <w:rFonts w:eastAsia="Times New Roman" w:cs="Times New Roman"/>
                <w:b w:val="0"/>
                <w:szCs w:val="18"/>
                <w:lang w:eastAsia="en-AU"/>
              </w:rPr>
              <w:t xml:space="preserve"> region</w:t>
            </w:r>
            <w:r w:rsidR="005869AA" w:rsidRPr="00E22F26">
              <w:rPr>
                <w:rFonts w:eastAsia="Times New Roman" w:cs="Times New Roman"/>
                <w:b w:val="0"/>
                <w:szCs w:val="18"/>
                <w:lang w:eastAsia="en-AU"/>
              </w:rPr>
              <w:t xml:space="preserve"> by making it easy to do business with us and providing excellent customer service when business customers contact us. We also support our agriculture with the right recycled water products for their needs.</w:t>
            </w:r>
            <w:r w:rsidRPr="00E22F26">
              <w:rPr>
                <w:rFonts w:eastAsia="Times New Roman" w:cs="Times New Roman"/>
                <w:b w:val="0"/>
                <w:szCs w:val="18"/>
                <w:lang w:eastAsia="en-AU"/>
              </w:rPr>
              <w:t xml:space="preserve"> </w:t>
            </w:r>
          </w:p>
        </w:tc>
      </w:tr>
      <w:tr w:rsidR="00C612DC" w:rsidRPr="007A36FD" w14:paraId="1EDAC165" w14:textId="77777777" w:rsidTr="00727A53">
        <w:trPr>
          <w:trHeight w:val="454"/>
        </w:trPr>
        <w:tc>
          <w:tcPr>
            <w:cnfStyle w:val="001000000000" w:firstRow="0" w:lastRow="0" w:firstColumn="1" w:lastColumn="0" w:oddVBand="0" w:evenVBand="0" w:oddHBand="0" w:evenHBand="0" w:firstRowFirstColumn="0" w:firstRowLastColumn="0" w:lastRowFirstColumn="0" w:lastRowLastColumn="0"/>
            <w:tcW w:w="1250" w:type="pct"/>
            <w:shd w:val="clear" w:color="auto" w:fill="1A206C" w:themeFill="text2"/>
          </w:tcPr>
          <w:p w14:paraId="10B51758" w14:textId="45AD7B32" w:rsidR="00C612DC" w:rsidRPr="00086C3C" w:rsidRDefault="00C612DC">
            <w:pPr>
              <w:rPr>
                <w:color w:val="FFFFFF"/>
                <w:szCs w:val="18"/>
              </w:rPr>
            </w:pPr>
            <w:r w:rsidRPr="00086C3C">
              <w:rPr>
                <w:color w:val="FFFFFF"/>
                <w:szCs w:val="18"/>
              </w:rPr>
              <w:t>Experiences</w:t>
            </w:r>
          </w:p>
        </w:tc>
        <w:tc>
          <w:tcPr>
            <w:tcW w:w="1135" w:type="pct"/>
            <w:shd w:val="clear" w:color="auto" w:fill="1A206C" w:themeFill="text2"/>
          </w:tcPr>
          <w:p w14:paraId="0E4D3D8C"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 xml:space="preserve">Report card measures </w:t>
            </w:r>
          </w:p>
        </w:tc>
        <w:tc>
          <w:tcPr>
            <w:tcW w:w="729" w:type="pct"/>
            <w:shd w:val="clear" w:color="auto" w:fill="1A206C" w:themeFill="text2"/>
          </w:tcPr>
          <w:p w14:paraId="443EEEA3"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Our 2024-28 target</w:t>
            </w:r>
          </w:p>
        </w:tc>
        <w:tc>
          <w:tcPr>
            <w:tcW w:w="1886" w:type="pct"/>
            <w:shd w:val="clear" w:color="auto" w:fill="1A206C" w:themeFill="text2"/>
          </w:tcPr>
          <w:p w14:paraId="3D55C7B2"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What we will do</w:t>
            </w:r>
          </w:p>
        </w:tc>
      </w:tr>
      <w:tr w:rsidR="00C612DC" w:rsidRPr="007A36FD" w14:paraId="5D1AD88F" w14:textId="77777777" w:rsidTr="00727A53">
        <w:tc>
          <w:tcPr>
            <w:cnfStyle w:val="001000000000" w:firstRow="0" w:lastRow="0" w:firstColumn="1" w:lastColumn="0" w:oddVBand="0" w:evenVBand="0" w:oddHBand="0" w:evenHBand="0" w:firstRowFirstColumn="0" w:firstRowLastColumn="0" w:lastRowFirstColumn="0" w:lastRowLastColumn="0"/>
            <w:tcW w:w="1250" w:type="pct"/>
          </w:tcPr>
          <w:p w14:paraId="493A0F57" w14:textId="77777777" w:rsidR="00C612DC" w:rsidRPr="00FF0F47" w:rsidRDefault="00C612DC">
            <w:pPr>
              <w:rPr>
                <w:b w:val="0"/>
                <w:szCs w:val="18"/>
              </w:rPr>
            </w:pPr>
            <w:r w:rsidRPr="00FF0F47">
              <w:rPr>
                <w:b w:val="0"/>
                <w:szCs w:val="18"/>
              </w:rPr>
              <w:t>We provide excellent customer services when you contact us</w:t>
            </w:r>
          </w:p>
        </w:tc>
        <w:tc>
          <w:tcPr>
            <w:tcW w:w="1135" w:type="pct"/>
          </w:tcPr>
          <w:p w14:paraId="536B59AA" w14:textId="4B53F1EA" w:rsidR="00C612DC" w:rsidRPr="00DD58ED"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 xml:space="preserve">Business customer satisfaction on responses to enquires and complaints </w:t>
            </w:r>
            <w:r w:rsidR="00595692">
              <w:rPr>
                <w:rFonts w:asciiTheme="majorHAnsi" w:hAnsiTheme="majorHAnsi"/>
                <w:szCs w:val="18"/>
              </w:rPr>
              <w:t>*</w:t>
            </w:r>
          </w:p>
        </w:tc>
        <w:tc>
          <w:tcPr>
            <w:tcW w:w="729" w:type="pct"/>
          </w:tcPr>
          <w:p w14:paraId="585BBF86" w14:textId="73636A5A" w:rsidR="00C612DC" w:rsidRPr="00DD58ED" w:rsidRDefault="00C61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w:t>
            </w:r>
            <w:r w:rsidR="008F071C">
              <w:rPr>
                <w:rFonts w:asciiTheme="majorHAnsi" w:hAnsiTheme="majorHAnsi"/>
                <w:szCs w:val="18"/>
              </w:rPr>
              <w:t>65%</w:t>
            </w:r>
          </w:p>
        </w:tc>
        <w:tc>
          <w:tcPr>
            <w:tcW w:w="1886" w:type="pct"/>
          </w:tcPr>
          <w:p w14:paraId="7194E214" w14:textId="06C9554A" w:rsidR="00E47655"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Continue to provide dedicated business customer teams to service these </w:t>
            </w:r>
            <w:r w:rsidR="008731EC">
              <w:t>customers’</w:t>
            </w:r>
            <w:r w:rsidRPr="00F372D3">
              <w:t xml:space="preserve"> </w:t>
            </w:r>
            <w:r w:rsidR="009F15AD">
              <w:t>specific</w:t>
            </w:r>
            <w:r w:rsidR="009F15AD" w:rsidRPr="00F372D3">
              <w:t xml:space="preserve"> </w:t>
            </w:r>
            <w:r w:rsidRPr="00F372D3">
              <w:t>need</w:t>
            </w:r>
            <w:r>
              <w:t>s</w:t>
            </w:r>
            <w:r w:rsidR="00F2459B">
              <w:t>.</w:t>
            </w:r>
          </w:p>
          <w:p w14:paraId="632F8F78" w14:textId="04933F4C" w:rsidR="00E47655" w:rsidRPr="00ED2CFD"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Include small businesses in our customer support program to ensure </w:t>
            </w:r>
            <w:proofErr w:type="gramStart"/>
            <w:r w:rsidRPr="00F372D3">
              <w:t>all of</w:t>
            </w:r>
            <w:proofErr w:type="gramEnd"/>
            <w:r w:rsidRPr="00F372D3">
              <w:t xml:space="preserve"> our community thrives</w:t>
            </w:r>
            <w:r w:rsidR="00F2459B">
              <w:t>.</w:t>
            </w:r>
            <w:r w:rsidRPr="00F372D3">
              <w:t xml:space="preserve"> </w:t>
            </w:r>
          </w:p>
          <w:p w14:paraId="44D8E771" w14:textId="0B13290A" w:rsidR="00E47655" w:rsidRPr="00F372D3"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Finalise and implement our new customer communication management system </w:t>
            </w:r>
            <w:r w:rsidR="009F15AD">
              <w:t>so</w:t>
            </w:r>
            <w:r w:rsidR="009F15AD" w:rsidRPr="00F372D3">
              <w:t xml:space="preserve"> </w:t>
            </w:r>
            <w:r w:rsidRPr="00F372D3">
              <w:t>customers can select from a range of methods to engage with us</w:t>
            </w:r>
            <w:r w:rsidR="00F2459B">
              <w:t>.</w:t>
            </w:r>
          </w:p>
          <w:p w14:paraId="26712165" w14:textId="45554469" w:rsidR="00C612DC" w:rsidRPr="00ED2CFD"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Implement our new billings replacement system </w:t>
            </w:r>
            <w:r w:rsidR="009F15AD">
              <w:t>to provide more ways to communicate with customers</w:t>
            </w:r>
            <w:r w:rsidR="00F2459B">
              <w:t>.</w:t>
            </w:r>
            <w:r w:rsidR="009F15AD">
              <w:t xml:space="preserve"> </w:t>
            </w:r>
          </w:p>
        </w:tc>
      </w:tr>
      <w:tr w:rsidR="00C612DC" w:rsidRPr="007A36FD" w14:paraId="31AE6119" w14:textId="77777777" w:rsidTr="00727A53">
        <w:trPr>
          <w:trHeight w:val="872"/>
        </w:trPr>
        <w:tc>
          <w:tcPr>
            <w:cnfStyle w:val="001000000000" w:firstRow="0" w:lastRow="0" w:firstColumn="1" w:lastColumn="0" w:oddVBand="0" w:evenVBand="0" w:oddHBand="0" w:evenHBand="0" w:firstRowFirstColumn="0" w:firstRowLastColumn="0" w:lastRowFirstColumn="0" w:lastRowLastColumn="0"/>
            <w:tcW w:w="1250" w:type="pct"/>
          </w:tcPr>
          <w:p w14:paraId="69F2E0FB" w14:textId="77777777" w:rsidR="00C612DC" w:rsidRPr="00FF0F47" w:rsidRDefault="00C612DC">
            <w:pPr>
              <w:rPr>
                <w:b w:val="0"/>
                <w:szCs w:val="18"/>
              </w:rPr>
            </w:pPr>
            <w:r w:rsidRPr="00FF0F47">
              <w:rPr>
                <w:b w:val="0"/>
                <w:szCs w:val="18"/>
              </w:rPr>
              <w:t>We support agriculture with the right recycled water products for your needs</w:t>
            </w:r>
          </w:p>
        </w:tc>
        <w:tc>
          <w:tcPr>
            <w:tcW w:w="1135" w:type="pct"/>
          </w:tcPr>
          <w:p w14:paraId="25ADE0C4" w14:textId="0B974984" w:rsidR="00C612DC" w:rsidRPr="00DD58ED"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Volume of recycled water delivered for agricultural uses</w:t>
            </w:r>
          </w:p>
        </w:tc>
        <w:tc>
          <w:tcPr>
            <w:tcW w:w="729" w:type="pct"/>
          </w:tcPr>
          <w:p w14:paraId="1A94820B" w14:textId="60380F17" w:rsidR="00C612DC" w:rsidRPr="00DD58ED" w:rsidRDefault="00C61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B0659A">
              <w:rPr>
                <w:rFonts w:asciiTheme="majorHAnsi" w:hAnsiTheme="majorHAnsi"/>
                <w:szCs w:val="18"/>
              </w:rPr>
              <w:t>&gt;3,</w:t>
            </w:r>
            <w:r w:rsidR="004C0D05" w:rsidRPr="00B0659A">
              <w:rPr>
                <w:rFonts w:asciiTheme="majorHAnsi" w:hAnsiTheme="majorHAnsi"/>
                <w:szCs w:val="18"/>
              </w:rPr>
              <w:t>500ML</w:t>
            </w:r>
          </w:p>
        </w:tc>
        <w:tc>
          <w:tcPr>
            <w:tcW w:w="1886" w:type="pct"/>
          </w:tcPr>
          <w:p w14:paraId="01106F7B" w14:textId="5AF569A8" w:rsidR="00BF4270" w:rsidRPr="00F372D3" w:rsidRDefault="00BF4270">
            <w:pPr>
              <w:pStyle w:val="ListBullet"/>
              <w:numPr>
                <w:ilvl w:val="0"/>
                <w:numId w:val="103"/>
              </w:numPr>
              <w:cnfStyle w:val="000000000000" w:firstRow="0" w:lastRow="0" w:firstColumn="0" w:lastColumn="0" w:oddVBand="0" w:evenVBand="0" w:oddHBand="0" w:evenHBand="0" w:firstRowFirstColumn="0" w:firstRowLastColumn="0" w:lastRowFirstColumn="0" w:lastRowLastColumn="0"/>
            </w:pPr>
            <w:r w:rsidRPr="00F372D3">
              <w:t xml:space="preserve">Continue to </w:t>
            </w:r>
            <w:r w:rsidR="00276565">
              <w:t xml:space="preserve">treat and </w:t>
            </w:r>
            <w:r w:rsidRPr="00F372D3">
              <w:t>provide alternative water at a level of quality that meets the needs of our agricultural customers</w:t>
            </w:r>
            <w:r w:rsidR="00F2459B">
              <w:t>.</w:t>
            </w:r>
          </w:p>
          <w:p w14:paraId="590BB868" w14:textId="18BF2A27" w:rsidR="00C612DC" w:rsidRPr="00DE2EB8" w:rsidRDefault="00BF4270">
            <w:pPr>
              <w:pStyle w:val="ListBullet"/>
              <w:numPr>
                <w:ilvl w:val="0"/>
                <w:numId w:val="103"/>
              </w:numPr>
              <w:cnfStyle w:val="000000000000" w:firstRow="0" w:lastRow="0" w:firstColumn="0" w:lastColumn="0" w:oddVBand="0" w:evenVBand="0" w:oddHBand="0" w:evenHBand="0" w:firstRowFirstColumn="0" w:firstRowLastColumn="0" w:lastRowFirstColumn="0" w:lastRowLastColumn="0"/>
            </w:pPr>
            <w:r w:rsidRPr="00F372D3">
              <w:t>Begin supplying our foundational</w:t>
            </w:r>
            <w:r w:rsidRPr="008E66B4">
              <w:t xml:space="preserve"> </w:t>
            </w:r>
            <w:r w:rsidR="008E66B4" w:rsidRPr="008E66B4">
              <w:t>and new</w:t>
            </w:r>
            <w:r w:rsidRPr="00F372D3">
              <w:t xml:space="preserve"> Western Irrigation Network customers </w:t>
            </w:r>
            <w:r w:rsidR="009F15AD">
              <w:t xml:space="preserve">with </w:t>
            </w:r>
            <w:r w:rsidRPr="00F372D3">
              <w:t xml:space="preserve">alternative water </w:t>
            </w:r>
            <w:r w:rsidR="008E66B4" w:rsidRPr="00F372D3">
              <w:t>from our Bacchus Marsh and Melton treatment plants</w:t>
            </w:r>
            <w:r w:rsidR="000A409F">
              <w:t xml:space="preserve"> (WIN)</w:t>
            </w:r>
            <w:r w:rsidR="00F2459B">
              <w:t>.</w:t>
            </w:r>
          </w:p>
        </w:tc>
      </w:tr>
      <w:tr w:rsidR="00C612DC" w:rsidRPr="007A36FD" w14:paraId="24DA3F56"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val="restart"/>
          </w:tcPr>
          <w:p w14:paraId="09CFC477" w14:textId="75136A30" w:rsidR="00C612DC" w:rsidRPr="00FF0F47" w:rsidRDefault="00DD58ED" w:rsidP="00331A75">
            <w:pPr>
              <w:keepNext/>
              <w:keepLines/>
              <w:rPr>
                <w:b w:val="0"/>
                <w:szCs w:val="18"/>
              </w:rPr>
            </w:pPr>
            <w:r w:rsidRPr="00FF0F47">
              <w:rPr>
                <w:rFonts w:cs="Arial"/>
                <w:b w:val="0"/>
                <w:szCs w:val="18"/>
              </w:rPr>
              <w:lastRenderedPageBreak/>
              <w:t>Developers and applicants find us easy, timely and consistent to do business with to get new customers connected</w:t>
            </w:r>
          </w:p>
        </w:tc>
        <w:tc>
          <w:tcPr>
            <w:tcW w:w="1135" w:type="pct"/>
          </w:tcPr>
          <w:p w14:paraId="02B0CE8B" w14:textId="77777777" w:rsidR="00C612DC" w:rsidRPr="00DD58ED"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Pressure and flow information applications processed within five business days</w:t>
            </w:r>
          </w:p>
        </w:tc>
        <w:tc>
          <w:tcPr>
            <w:tcW w:w="729" w:type="pct"/>
          </w:tcPr>
          <w:p w14:paraId="53F05EA5"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val="restart"/>
          </w:tcPr>
          <w:p w14:paraId="53F33D6A" w14:textId="51238E5F" w:rsidR="00C612DC" w:rsidRPr="00B0659A" w:rsidRDefault="008E66B4">
            <w:pPr>
              <w:pStyle w:val="ListBullet"/>
              <w:numPr>
                <w:ilvl w:val="0"/>
                <w:numId w:val="104"/>
              </w:numPr>
              <w:cnfStyle w:val="000000000000" w:firstRow="0" w:lastRow="0" w:firstColumn="0" w:lastColumn="0" w:oddVBand="0" w:evenVBand="0" w:oddHBand="0" w:evenHBand="0" w:firstRowFirstColumn="0" w:firstRowLastColumn="0" w:lastRowFirstColumn="0" w:lastRowLastColumn="0"/>
            </w:pPr>
            <w:r w:rsidRPr="00B0659A">
              <w:t xml:space="preserve">Continue to </w:t>
            </w:r>
            <w:r w:rsidR="009F15AD" w:rsidRPr="00B0659A">
              <w:t>engage</w:t>
            </w:r>
            <w:r w:rsidR="21D76DE7" w:rsidRPr="00B0659A">
              <w:t xml:space="preserve"> with </w:t>
            </w:r>
            <w:r w:rsidR="45F42DDA" w:rsidRPr="00B0659A">
              <w:t>developers</w:t>
            </w:r>
            <w:r w:rsidR="21D76DE7" w:rsidRPr="00B0659A">
              <w:t xml:space="preserve"> to </w:t>
            </w:r>
            <w:r w:rsidR="267E5B4B" w:rsidRPr="00B0659A">
              <w:t>understand</w:t>
            </w:r>
            <w:r w:rsidR="21D76DE7" w:rsidRPr="00B0659A">
              <w:t xml:space="preserve"> </w:t>
            </w:r>
            <w:r w:rsidR="009F15AD" w:rsidRPr="00B0659A">
              <w:t>their</w:t>
            </w:r>
            <w:r w:rsidR="32CEF16C" w:rsidRPr="00B0659A">
              <w:t xml:space="preserve"> </w:t>
            </w:r>
            <w:r w:rsidR="359CDF70" w:rsidRPr="00B0659A">
              <w:t>p</w:t>
            </w:r>
            <w:r w:rsidR="21D76DE7" w:rsidRPr="00B0659A">
              <w:t xml:space="preserve">references for doing business </w:t>
            </w:r>
            <w:r w:rsidR="009F15AD" w:rsidRPr="00B0659A">
              <w:t>with us</w:t>
            </w:r>
            <w:r w:rsidR="00F2459B">
              <w:t>.</w:t>
            </w:r>
          </w:p>
          <w:p w14:paraId="2BC44D67" w14:textId="1148312A" w:rsidR="00C612DC" w:rsidRPr="006E1002" w:rsidRDefault="008E66B4">
            <w:pPr>
              <w:pStyle w:val="ListBullet"/>
              <w:numPr>
                <w:ilvl w:val="0"/>
                <w:numId w:val="104"/>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0659A">
              <w:t xml:space="preserve">Continue to streamline our processes </w:t>
            </w:r>
            <w:r w:rsidR="009F15AD" w:rsidRPr="00B0659A">
              <w:t>so that</w:t>
            </w:r>
            <w:r w:rsidRPr="00B0659A">
              <w:t xml:space="preserve"> applications (beyond the three measured) are processed in a timely manner</w:t>
            </w:r>
            <w:r w:rsidR="00F2459B">
              <w:t>.</w:t>
            </w:r>
          </w:p>
        </w:tc>
      </w:tr>
      <w:tr w:rsidR="00C612DC" w:rsidRPr="007A36FD" w14:paraId="075B92C2"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tcPr>
          <w:p w14:paraId="63BC94B1" w14:textId="77777777" w:rsidR="00C612DC" w:rsidRPr="00086C3C" w:rsidRDefault="00C612DC" w:rsidP="00331A75">
            <w:pPr>
              <w:keepNext/>
              <w:keepLines/>
              <w:rPr>
                <w:szCs w:val="18"/>
              </w:rPr>
            </w:pPr>
          </w:p>
        </w:tc>
        <w:tc>
          <w:tcPr>
            <w:tcW w:w="1135" w:type="pct"/>
          </w:tcPr>
          <w:p w14:paraId="54A12AF5" w14:textId="77777777" w:rsidR="00C612DC" w:rsidRPr="00DD58ED"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Standard new customer contribution applications processed within 45 business days</w:t>
            </w:r>
          </w:p>
        </w:tc>
        <w:tc>
          <w:tcPr>
            <w:tcW w:w="729" w:type="pct"/>
          </w:tcPr>
          <w:p w14:paraId="45F9DEFB"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tcPr>
          <w:p w14:paraId="1DEC2531"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C612DC" w:rsidRPr="007A36FD" w14:paraId="336A8EAB"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tcPr>
          <w:p w14:paraId="5F19DAAA" w14:textId="77777777" w:rsidR="00C612DC" w:rsidRPr="00086C3C" w:rsidRDefault="00C612DC" w:rsidP="00331A75">
            <w:pPr>
              <w:keepNext/>
              <w:keepLines/>
              <w:rPr>
                <w:szCs w:val="18"/>
              </w:rPr>
            </w:pPr>
          </w:p>
        </w:tc>
        <w:tc>
          <w:tcPr>
            <w:tcW w:w="1135" w:type="pct"/>
          </w:tcPr>
          <w:p w14:paraId="7DE6A2D1" w14:textId="36D89115" w:rsidR="00C612DC" w:rsidRPr="009E765B"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9E765B">
              <w:rPr>
                <w:rFonts w:asciiTheme="majorHAnsi" w:hAnsiTheme="majorHAnsi"/>
                <w:szCs w:val="18"/>
              </w:rPr>
              <w:t xml:space="preserve">Standard plumbing applications completed on time within </w:t>
            </w:r>
            <w:r w:rsidR="009E765B" w:rsidRPr="003F5724">
              <w:rPr>
                <w:rFonts w:asciiTheme="majorHAnsi" w:hAnsiTheme="majorHAnsi"/>
                <w:szCs w:val="18"/>
              </w:rPr>
              <w:t>five</w:t>
            </w:r>
            <w:r w:rsidRPr="009E765B">
              <w:rPr>
                <w:rFonts w:asciiTheme="majorHAnsi" w:hAnsiTheme="majorHAnsi"/>
                <w:szCs w:val="18"/>
              </w:rPr>
              <w:t xml:space="preserve"> business days</w:t>
            </w:r>
          </w:p>
        </w:tc>
        <w:tc>
          <w:tcPr>
            <w:tcW w:w="729" w:type="pct"/>
          </w:tcPr>
          <w:p w14:paraId="14011DD2"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tcPr>
          <w:p w14:paraId="09E1B85D"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584A25" w:rsidRPr="00584A25" w14:paraId="28A9ED2A" w14:textId="77777777" w:rsidTr="00584A25">
        <w:trPr>
          <w:trHeight w:val="456"/>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19F00985" w14:textId="643BE993" w:rsidR="00C612DC" w:rsidRPr="00584A25" w:rsidRDefault="004D4B98" w:rsidP="00C42B4D">
            <w:pPr>
              <w:jc w:val="center"/>
              <w:rPr>
                <w:color w:val="FFFFFF" w:themeColor="background1"/>
                <w:szCs w:val="18"/>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C612DC" w:rsidRPr="00727A53" w14:paraId="292CE9DF" w14:textId="77777777" w:rsidTr="00D142FF">
        <w:trPr>
          <w:trHeight w:val="56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874C9F7" w14:textId="541380C4" w:rsidR="00C612DC" w:rsidRPr="00727A53" w:rsidRDefault="00585397" w:rsidP="00897D42">
            <w:pPr>
              <w:rPr>
                <w:rFonts w:ascii="Verdana" w:eastAsia="Verdana" w:hAnsi="Verdana"/>
                <w:spacing w:val="0"/>
                <w:szCs w:val="18"/>
              </w:rPr>
            </w:pPr>
            <w:r w:rsidRPr="00727A53">
              <w:rPr>
                <w:rFonts w:ascii="Verdana" w:eastAsia="Verdana" w:hAnsi="Verdana"/>
                <w:spacing w:val="0"/>
                <w:szCs w:val="18"/>
              </w:rPr>
              <w:t xml:space="preserve">Providing </w:t>
            </w:r>
            <w:r w:rsidR="009F15AD" w:rsidRPr="00727A53">
              <w:rPr>
                <w:rFonts w:ascii="Verdana" w:eastAsia="Verdana" w:hAnsi="Verdana"/>
                <w:spacing w:val="0"/>
                <w:szCs w:val="18"/>
              </w:rPr>
              <w:t>s</w:t>
            </w:r>
            <w:r w:rsidRPr="00727A53">
              <w:rPr>
                <w:rFonts w:ascii="Verdana" w:eastAsia="Verdana" w:hAnsi="Verdana"/>
                <w:spacing w:val="0"/>
                <w:szCs w:val="18"/>
              </w:rPr>
              <w:t xml:space="preserve">ewer </w:t>
            </w:r>
            <w:r w:rsidR="009F15AD" w:rsidRPr="00727A53">
              <w:rPr>
                <w:rFonts w:ascii="Verdana" w:eastAsia="Verdana" w:hAnsi="Verdana"/>
                <w:spacing w:val="0"/>
                <w:szCs w:val="18"/>
              </w:rPr>
              <w:t>s</w:t>
            </w:r>
            <w:r w:rsidRPr="00727A53">
              <w:rPr>
                <w:rFonts w:ascii="Verdana" w:eastAsia="Verdana" w:hAnsi="Verdana"/>
                <w:spacing w:val="0"/>
                <w:szCs w:val="18"/>
              </w:rPr>
              <w:t xml:space="preserve">ervices to growth regions through </w:t>
            </w:r>
            <w:r w:rsidR="009F15AD" w:rsidRPr="00727A53">
              <w:rPr>
                <w:rFonts w:ascii="Verdana" w:eastAsia="Verdana" w:hAnsi="Verdana"/>
                <w:spacing w:val="0"/>
                <w:szCs w:val="18"/>
              </w:rPr>
              <w:t xml:space="preserve">Emu </w:t>
            </w:r>
            <w:r w:rsidRPr="00727A53">
              <w:rPr>
                <w:rFonts w:ascii="Verdana" w:eastAsia="Verdana" w:hAnsi="Verdana"/>
                <w:spacing w:val="0"/>
                <w:szCs w:val="18"/>
              </w:rPr>
              <w:t xml:space="preserve">Creek </w:t>
            </w:r>
            <w:r w:rsidR="009F15AD" w:rsidRPr="00727A53">
              <w:rPr>
                <w:rFonts w:ascii="Verdana" w:eastAsia="Verdana" w:hAnsi="Verdana"/>
                <w:spacing w:val="0"/>
                <w:szCs w:val="18"/>
              </w:rPr>
              <w:t>branch sewer main</w:t>
            </w:r>
            <w:r w:rsidRPr="00727A53">
              <w:rPr>
                <w:rFonts w:ascii="Verdana" w:eastAsia="Verdana" w:hAnsi="Verdana"/>
                <w:spacing w:val="0"/>
                <w:szCs w:val="18"/>
              </w:rPr>
              <w:t xml:space="preserve"> and Sunbury Road </w:t>
            </w:r>
            <w:r w:rsidR="009F15AD" w:rsidRPr="00727A53">
              <w:rPr>
                <w:rFonts w:ascii="Verdana" w:eastAsia="Verdana" w:hAnsi="Verdana"/>
                <w:spacing w:val="0"/>
                <w:szCs w:val="18"/>
              </w:rPr>
              <w:t>outfall sewer</w:t>
            </w:r>
            <w:r w:rsidR="00717C81" w:rsidRPr="00727A53">
              <w:rPr>
                <w:rFonts w:ascii="Verdana" w:eastAsia="Verdana" w:hAnsi="Verdana"/>
                <w:spacing w:val="0"/>
                <w:szCs w:val="18"/>
              </w:rPr>
              <w:t xml:space="preserve"> </w:t>
            </w:r>
            <w:r w:rsidR="00C9046E" w:rsidRPr="00FF0F47">
              <w:rPr>
                <w:rFonts w:ascii="Verdana" w:eastAsia="Verdana" w:hAnsi="Verdana"/>
                <w:b w:val="0"/>
                <w:spacing w:val="0"/>
                <w:szCs w:val="18"/>
              </w:rPr>
              <w:t>($34.2m</w:t>
            </w:r>
            <w:r w:rsidR="00A60774" w:rsidRPr="00FF0F47">
              <w:rPr>
                <w:rFonts w:ascii="Verdana" w:eastAsia="Verdana" w:hAnsi="Verdana"/>
                <w:b w:val="0"/>
                <w:spacing w:val="0"/>
                <w:szCs w:val="18"/>
              </w:rPr>
              <w:t xml:space="preserve"> CAPEX</w:t>
            </w:r>
            <w:r w:rsidR="00C9046E" w:rsidRPr="00FF0F47">
              <w:rPr>
                <w:rFonts w:ascii="Verdana" w:eastAsia="Verdana" w:hAnsi="Verdana"/>
                <w:b w:val="0"/>
                <w:spacing w:val="0"/>
                <w:szCs w:val="18"/>
              </w:rPr>
              <w:t>)</w:t>
            </w:r>
          </w:p>
          <w:p w14:paraId="3B4E1D8B" w14:textId="27629EF5" w:rsidR="00C612DC" w:rsidRPr="00FF0F47" w:rsidRDefault="007500EA" w:rsidP="00897D42">
            <w:pPr>
              <w:rPr>
                <w:rFonts w:ascii="Verdana" w:eastAsia="Verdana" w:hAnsi="Verdana"/>
                <w:b w:val="0"/>
                <w:spacing w:val="0"/>
                <w:szCs w:val="18"/>
              </w:rPr>
            </w:pPr>
            <w:r w:rsidRPr="00727A53">
              <w:rPr>
                <w:rFonts w:ascii="Verdana" w:eastAsia="Verdana" w:hAnsi="Verdana"/>
                <w:spacing w:val="0"/>
                <w:szCs w:val="18"/>
              </w:rPr>
              <w:t xml:space="preserve">Large investments in </w:t>
            </w:r>
            <w:r w:rsidR="002A5E6C" w:rsidRPr="00727A53">
              <w:rPr>
                <w:rFonts w:ascii="Verdana" w:eastAsia="Verdana" w:hAnsi="Verdana"/>
                <w:spacing w:val="0"/>
                <w:szCs w:val="18"/>
              </w:rPr>
              <w:t xml:space="preserve">our </w:t>
            </w:r>
            <w:r w:rsidR="009F15AD" w:rsidRPr="00727A53">
              <w:rPr>
                <w:rFonts w:ascii="Verdana" w:eastAsia="Verdana" w:hAnsi="Verdana"/>
                <w:spacing w:val="0"/>
                <w:szCs w:val="18"/>
              </w:rPr>
              <w:t>water</w:t>
            </w:r>
            <w:r w:rsidR="00C9046E" w:rsidRPr="00727A53">
              <w:rPr>
                <w:rFonts w:ascii="Verdana" w:eastAsia="Verdana" w:hAnsi="Verdana"/>
                <w:spacing w:val="0"/>
                <w:szCs w:val="18"/>
              </w:rPr>
              <w:t xml:space="preserve"> and </w:t>
            </w:r>
            <w:r w:rsidR="009F15AD" w:rsidRPr="00727A53">
              <w:rPr>
                <w:rFonts w:ascii="Verdana" w:eastAsia="Verdana" w:hAnsi="Verdana"/>
                <w:spacing w:val="0"/>
                <w:szCs w:val="18"/>
              </w:rPr>
              <w:t>sewer</w:t>
            </w:r>
            <w:r w:rsidRPr="00727A53">
              <w:rPr>
                <w:rFonts w:ascii="Verdana" w:eastAsia="Verdana" w:hAnsi="Verdana"/>
                <w:spacing w:val="0"/>
                <w:szCs w:val="18"/>
              </w:rPr>
              <w:t xml:space="preserve"> </w:t>
            </w:r>
            <w:r w:rsidR="009F15AD" w:rsidRPr="00727A53">
              <w:rPr>
                <w:rFonts w:ascii="Verdana" w:eastAsia="Verdana" w:hAnsi="Verdana"/>
                <w:spacing w:val="0"/>
                <w:szCs w:val="18"/>
              </w:rPr>
              <w:t>growth</w:t>
            </w:r>
            <w:r w:rsidRPr="00727A53">
              <w:rPr>
                <w:rFonts w:ascii="Verdana" w:eastAsia="Verdana" w:hAnsi="Verdana"/>
                <w:spacing w:val="0"/>
                <w:szCs w:val="18"/>
              </w:rPr>
              <w:t xml:space="preserve"> </w:t>
            </w:r>
            <w:r w:rsidR="00C9046E" w:rsidRPr="00727A53">
              <w:rPr>
                <w:rFonts w:ascii="Verdana" w:eastAsia="Verdana" w:hAnsi="Verdana"/>
                <w:spacing w:val="0"/>
                <w:szCs w:val="18"/>
              </w:rPr>
              <w:t xml:space="preserve">program </w:t>
            </w:r>
            <w:r w:rsidR="00C9046E" w:rsidRPr="00FF0F47">
              <w:rPr>
                <w:rFonts w:ascii="Verdana" w:eastAsia="Verdana" w:hAnsi="Verdana"/>
                <w:b w:val="0"/>
                <w:spacing w:val="0"/>
                <w:szCs w:val="18"/>
              </w:rPr>
              <w:t>($245.8m</w:t>
            </w:r>
            <w:r w:rsidR="00A60774" w:rsidRPr="00FF0F47">
              <w:rPr>
                <w:rFonts w:ascii="Verdana" w:eastAsia="Verdana" w:hAnsi="Verdana"/>
                <w:b w:val="0"/>
                <w:spacing w:val="0"/>
                <w:szCs w:val="18"/>
              </w:rPr>
              <w:t xml:space="preserve"> CAPEX</w:t>
            </w:r>
            <w:r w:rsidR="00C9046E" w:rsidRPr="00FF0F47">
              <w:rPr>
                <w:rFonts w:ascii="Verdana" w:eastAsia="Verdana" w:hAnsi="Verdana"/>
                <w:b w:val="0"/>
                <w:spacing w:val="0"/>
                <w:szCs w:val="18"/>
              </w:rPr>
              <w:t>)</w:t>
            </w:r>
          </w:p>
          <w:p w14:paraId="124411E4" w14:textId="1447A7AE" w:rsidR="000E1789" w:rsidRPr="00FF0F47" w:rsidRDefault="0058358E" w:rsidP="00897D42">
            <w:pPr>
              <w:rPr>
                <w:rFonts w:ascii="Verdana" w:eastAsia="Verdana" w:hAnsi="Verdana"/>
                <w:b w:val="0"/>
                <w:spacing w:val="0"/>
                <w:szCs w:val="18"/>
              </w:rPr>
            </w:pPr>
            <w:r>
              <w:rPr>
                <w:rFonts w:ascii="Verdana" w:eastAsia="Verdana" w:hAnsi="Verdana"/>
                <w:spacing w:val="0"/>
                <w:szCs w:val="18"/>
              </w:rPr>
              <w:t>Western Irrigation Netwo</w:t>
            </w:r>
            <w:r w:rsidR="005E0FFD">
              <w:rPr>
                <w:rFonts w:ascii="Verdana" w:eastAsia="Verdana" w:hAnsi="Verdana"/>
                <w:spacing w:val="0"/>
                <w:szCs w:val="18"/>
              </w:rPr>
              <w:t>rk</w:t>
            </w:r>
            <w:r w:rsidR="000E1789" w:rsidRPr="00727A53">
              <w:rPr>
                <w:rFonts w:ascii="Verdana" w:eastAsia="Verdana" w:hAnsi="Verdana"/>
                <w:spacing w:val="0"/>
                <w:szCs w:val="18"/>
              </w:rPr>
              <w:t xml:space="preserve"> Program providing alternative water for irrigation </w:t>
            </w:r>
            <w:r w:rsidR="000E1789" w:rsidRPr="00FF0F47">
              <w:rPr>
                <w:rFonts w:ascii="Verdana" w:eastAsia="Verdana" w:hAnsi="Verdana"/>
                <w:b w:val="0"/>
                <w:spacing w:val="0"/>
                <w:szCs w:val="18"/>
              </w:rPr>
              <w:t>($30</w:t>
            </w:r>
            <w:r w:rsidR="00A60774" w:rsidRPr="00FF0F47">
              <w:rPr>
                <w:rFonts w:ascii="Verdana" w:eastAsia="Verdana" w:hAnsi="Verdana"/>
                <w:b w:val="0"/>
                <w:spacing w:val="0"/>
                <w:szCs w:val="18"/>
              </w:rPr>
              <w:t>.0</w:t>
            </w:r>
            <w:r w:rsidR="000E1789" w:rsidRPr="00FF0F47">
              <w:rPr>
                <w:rFonts w:ascii="Verdana" w:eastAsia="Verdana" w:hAnsi="Verdana"/>
                <w:b w:val="0"/>
                <w:spacing w:val="0"/>
                <w:szCs w:val="18"/>
              </w:rPr>
              <w:t>m CAPEX)</w:t>
            </w:r>
          </w:p>
          <w:p w14:paraId="3374F6CD" w14:textId="4CE9CB4D" w:rsidR="000E1789" w:rsidRPr="00727A53" w:rsidRDefault="000E1789" w:rsidP="00897D42">
            <w:pPr>
              <w:rPr>
                <w:rFonts w:ascii="Verdana" w:eastAsia="Verdana" w:hAnsi="Verdana"/>
                <w:spacing w:val="0"/>
                <w:szCs w:val="18"/>
              </w:rPr>
            </w:pPr>
            <w:r w:rsidRPr="00727A53">
              <w:rPr>
                <w:rFonts w:ascii="Verdana" w:eastAsia="Verdana" w:hAnsi="Verdana"/>
                <w:spacing w:val="0"/>
                <w:szCs w:val="18"/>
              </w:rPr>
              <w:t>Operati</w:t>
            </w:r>
            <w:r w:rsidR="00D228FA">
              <w:rPr>
                <w:rFonts w:ascii="Verdana" w:eastAsia="Verdana" w:hAnsi="Verdana"/>
                <w:spacing w:val="0"/>
                <w:szCs w:val="18"/>
              </w:rPr>
              <w:t>ng expenditure</w:t>
            </w:r>
            <w:r w:rsidRPr="00727A53">
              <w:rPr>
                <w:rFonts w:ascii="Verdana" w:eastAsia="Verdana" w:hAnsi="Verdana"/>
                <w:spacing w:val="0"/>
                <w:szCs w:val="18"/>
              </w:rPr>
              <w:t xml:space="preserve"> step change for the Werribee Irrigation Program providing alternative water for irrigation </w:t>
            </w:r>
            <w:r w:rsidRPr="00FF0F47">
              <w:rPr>
                <w:rFonts w:ascii="Verdana" w:eastAsia="Verdana" w:hAnsi="Verdana"/>
                <w:b w:val="0"/>
                <w:spacing w:val="0"/>
                <w:szCs w:val="18"/>
              </w:rPr>
              <w:t>($3.3M OPEX)</w:t>
            </w:r>
          </w:p>
        </w:tc>
      </w:tr>
    </w:tbl>
    <w:p w14:paraId="0FA7A619" w14:textId="3FA80E74" w:rsidR="00DD58ED" w:rsidRPr="009730CB" w:rsidRDefault="009730CB" w:rsidP="00410364">
      <w:r w:rsidRPr="00132BC5">
        <w:rPr>
          <w:sz w:val="20"/>
          <w:szCs w:val="20"/>
        </w:rPr>
        <w:t>*The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5E0FFD">
        <w:rPr>
          <w:sz w:val="20"/>
          <w:szCs w:val="20"/>
        </w:rPr>
        <w:t>investment and expenditure</w:t>
      </w:r>
      <w:r>
        <w:rPr>
          <w:sz w:val="20"/>
          <w:szCs w:val="20"/>
        </w:rPr>
        <w:t xml:space="preserve"> forecasts consider our customer outcomes and are aligned to ensure measures are achievable. </w:t>
      </w:r>
    </w:p>
    <w:p w14:paraId="40561929" w14:textId="77777777" w:rsidR="009730CB" w:rsidRDefault="009730CB" w:rsidP="00B61BDB"/>
    <w:p w14:paraId="0F63ED2E" w14:textId="77777777" w:rsidR="009730CB" w:rsidRPr="009730CB" w:rsidRDefault="009730CB" w:rsidP="005B4BB4">
      <w:pPr>
        <w:sectPr w:rsidR="009730CB" w:rsidRPr="009730CB" w:rsidSect="008C1A38">
          <w:pgSz w:w="16838" w:h="11906" w:code="9"/>
          <w:pgMar w:top="1134" w:right="1134" w:bottom="1134" w:left="1134" w:header="720" w:footer="720" w:gutter="0"/>
          <w:cols w:space="708"/>
          <w:docGrid w:linePitch="360"/>
        </w:sectPr>
      </w:pPr>
    </w:p>
    <w:p w14:paraId="15299440" w14:textId="6777D856" w:rsidR="005B47C4" w:rsidRDefault="005B47C4" w:rsidP="005B69CD">
      <w:pPr>
        <w:pStyle w:val="Heading3"/>
      </w:pPr>
      <w:bookmarkStart w:id="94" w:name="_Ref145919542"/>
      <w:r>
        <w:lastRenderedPageBreak/>
        <w:t xml:space="preserve">Customer outcome 5 – We heal and care for </w:t>
      </w:r>
      <w:proofErr w:type="gramStart"/>
      <w:r>
        <w:t>Country</w:t>
      </w:r>
      <w:bookmarkEnd w:id="94"/>
      <w:proofErr w:type="gramEnd"/>
    </w:p>
    <w:p w14:paraId="772918C3" w14:textId="6E8B44F2" w:rsidR="005B47C4" w:rsidRDefault="005E0FFD" w:rsidP="005B47C4">
      <w:r>
        <w:t>We</w:t>
      </w:r>
      <w:r w:rsidR="005B47C4">
        <w:t xml:space="preserve"> heard that the health and resiliency of our waterways is important to our </w:t>
      </w:r>
      <w:r w:rsidR="00450EC1">
        <w:t>customers,</w:t>
      </w:r>
      <w:r w:rsidR="005B47C4">
        <w:t xml:space="preserve"> and </w:t>
      </w:r>
      <w:r w:rsidR="009F15AD">
        <w:t xml:space="preserve">we </w:t>
      </w:r>
      <w:r w:rsidR="005B47C4">
        <w:t xml:space="preserve">recognise Traditional Owners as the original custodians of Country and their connection and obligation to </w:t>
      </w:r>
      <w:r w:rsidR="00213366">
        <w:t xml:space="preserve">care for </w:t>
      </w:r>
      <w:r w:rsidR="005B47C4">
        <w:t xml:space="preserve">water and </w:t>
      </w:r>
      <w:r>
        <w:t>Country</w:t>
      </w:r>
      <w:r w:rsidR="005B47C4">
        <w:t xml:space="preserve">. </w:t>
      </w:r>
    </w:p>
    <w:p w14:paraId="7EA7F5E9" w14:textId="2AB515D8" w:rsidR="005B47C4" w:rsidRDefault="008E4B22" w:rsidP="005B47C4">
      <w:r>
        <w:t>Our customers will experience this outcome as:</w:t>
      </w:r>
    </w:p>
    <w:p w14:paraId="0C91DC44" w14:textId="2B366A9B" w:rsidR="005B47C4" w:rsidRDefault="005B47C4">
      <w:pPr>
        <w:pStyle w:val="ListBullet"/>
        <w:numPr>
          <w:ilvl w:val="0"/>
          <w:numId w:val="105"/>
        </w:numPr>
      </w:pPr>
      <w:r>
        <w:t>We limit and reduce our impact on the environment including from our treatment plants</w:t>
      </w:r>
      <w:r w:rsidR="00EC1B54">
        <w:t>.</w:t>
      </w:r>
    </w:p>
    <w:p w14:paraId="52BBD07A" w14:textId="1A486AC9" w:rsidR="005B47C4" w:rsidRDefault="005B47C4">
      <w:pPr>
        <w:pStyle w:val="ListBullet"/>
        <w:numPr>
          <w:ilvl w:val="0"/>
          <w:numId w:val="105"/>
        </w:numPr>
      </w:pPr>
      <w:r>
        <w:t>We will meet our net zero emission targets by 2030</w:t>
      </w:r>
      <w:r w:rsidR="00EC1B54">
        <w:t>.</w:t>
      </w:r>
    </w:p>
    <w:p w14:paraId="0A39C5DE" w14:textId="4190B350" w:rsidR="005B47C4" w:rsidRDefault="005B47C4">
      <w:pPr>
        <w:pStyle w:val="ListBullet"/>
        <w:numPr>
          <w:ilvl w:val="0"/>
          <w:numId w:val="105"/>
        </w:numPr>
      </w:pPr>
      <w:r>
        <w:t>We actively support First Nations and Traditional Owners self-determination and provide access to water to achieve cultural value</w:t>
      </w:r>
      <w:r w:rsidR="008423F9">
        <w:t xml:space="preserve">s. </w:t>
      </w:r>
    </w:p>
    <w:p w14:paraId="65689E8D" w14:textId="1AB89D1C" w:rsidR="005B47C4" w:rsidRDefault="005B47C4" w:rsidP="003A1AD6">
      <w:pPr>
        <w:pStyle w:val="Heading4"/>
      </w:pPr>
      <w:r>
        <w:t>What we heard from our customers</w:t>
      </w:r>
    </w:p>
    <w:p w14:paraId="2C59D7B9" w14:textId="10F9B906" w:rsidR="008B1131" w:rsidRDefault="008B1131" w:rsidP="008B1131">
      <w:r>
        <w:t xml:space="preserve">We </w:t>
      </w:r>
      <w:r w:rsidR="00D70549">
        <w:t>heard early in our engagement that</w:t>
      </w:r>
      <w:r>
        <w:t xml:space="preserve"> customers </w:t>
      </w:r>
      <w:r w:rsidR="00C82EF0">
        <w:t xml:space="preserve">strongly valued reducing our impact to the environment, </w:t>
      </w:r>
      <w:r w:rsidR="00D70549">
        <w:t>improving the health of our waterways</w:t>
      </w:r>
      <w:r w:rsidR="00C82EF0">
        <w:t xml:space="preserve">, our commitment to net zero and supporting First Nations and Traditional Owners. </w:t>
      </w:r>
      <w:r w:rsidR="009F7E3D">
        <w:t>C</w:t>
      </w:r>
      <w:r w:rsidR="00D70549">
        <w:t xml:space="preserve">ustomers </w:t>
      </w:r>
      <w:r w:rsidR="009F7E3D">
        <w:t>indicated they are</w:t>
      </w:r>
      <w:r w:rsidR="00D70549">
        <w:t xml:space="preserve"> willing to pay much more for</w:t>
      </w:r>
      <w:r w:rsidR="006868AA">
        <w:t xml:space="preserve"> local benefits to reach</w:t>
      </w:r>
      <w:r w:rsidR="00D70549">
        <w:t xml:space="preserve"> net zero</w:t>
      </w:r>
      <w:r w:rsidR="006868AA">
        <w:t xml:space="preserve"> and</w:t>
      </w:r>
      <w:r w:rsidR="00D70549">
        <w:t xml:space="preserve"> reducing our impact on the environment from an engineering perspective</w:t>
      </w:r>
      <w:r w:rsidR="009A5BB4">
        <w:t xml:space="preserve"> to improve our wat</w:t>
      </w:r>
      <w:r w:rsidR="006868AA">
        <w:t>erway health</w:t>
      </w:r>
      <w:r w:rsidR="00D70549">
        <w:t xml:space="preserve">. </w:t>
      </w:r>
    </w:p>
    <w:p w14:paraId="2B42E0D2" w14:textId="77777777" w:rsidR="00EC1B54" w:rsidRDefault="00EC1B54" w:rsidP="00DF2159">
      <w:pPr>
        <w:pStyle w:val="Heading5"/>
      </w:pPr>
      <w:r>
        <w:t>Exploration stage</w:t>
      </w:r>
    </w:p>
    <w:p w14:paraId="79977D4E" w14:textId="34CD04EA" w:rsidR="005B47C4" w:rsidRDefault="00A11CEE" w:rsidP="005B47C4">
      <w:r>
        <w:t>Through</w:t>
      </w:r>
      <w:r w:rsidR="005B47C4">
        <w:t xml:space="preserve"> WSAA’s 2021 customer perception survey</w:t>
      </w:r>
      <w:r w:rsidR="00EC1B54">
        <w:t>,</w:t>
      </w:r>
      <w:r w:rsidR="005B47C4">
        <w:t xml:space="preserve"> </w:t>
      </w:r>
      <w:r>
        <w:t xml:space="preserve">we know </w:t>
      </w:r>
      <w:r w:rsidR="005B47C4">
        <w:t>that over a third of respondents from our service region expect us to generate renewable energy, be carbon neutral</w:t>
      </w:r>
      <w:r w:rsidR="002902B4">
        <w:t>,</w:t>
      </w:r>
      <w:r w:rsidR="005B47C4">
        <w:t xml:space="preserve"> </w:t>
      </w:r>
      <w:r w:rsidR="00EC1B54">
        <w:t>talk</w:t>
      </w:r>
      <w:r w:rsidR="005B47C4">
        <w:t xml:space="preserve"> about the impact</w:t>
      </w:r>
      <w:r w:rsidR="002902B4">
        <w:t>s</w:t>
      </w:r>
      <w:r w:rsidR="005B47C4">
        <w:t xml:space="preserve"> of climate change</w:t>
      </w:r>
      <w:r w:rsidR="002902B4">
        <w:t xml:space="preserve"> and </w:t>
      </w:r>
      <w:r w:rsidR="005B47C4">
        <w:t>improve local waterways and waterway health.</w:t>
      </w:r>
    </w:p>
    <w:p w14:paraId="43AF23BB" w14:textId="6363C1F6" w:rsidR="005B47C4" w:rsidRDefault="005B47C4" w:rsidP="005B47C4">
      <w:r>
        <w:t>These values were reconfirmed and tested in our customer survey</w:t>
      </w:r>
      <w:r w:rsidR="002902B4">
        <w:t>. Customers told us it was important for us to</w:t>
      </w:r>
      <w:r>
        <w:t xml:space="preserve">: </w:t>
      </w:r>
    </w:p>
    <w:p w14:paraId="30FA834B" w14:textId="7B39A17D" w:rsidR="005B47C4" w:rsidRDefault="005B47C4">
      <w:pPr>
        <w:pStyle w:val="ListBullet"/>
        <w:numPr>
          <w:ilvl w:val="0"/>
          <w:numId w:val="106"/>
        </w:numPr>
      </w:pPr>
      <w:r>
        <w:t>reduc</w:t>
      </w:r>
      <w:r w:rsidR="002902B4">
        <w:t>e</w:t>
      </w:r>
      <w:r>
        <w:t xml:space="preserve"> the risk of wastewater spilling into creeks and waterways during heavy rain </w:t>
      </w:r>
      <w:r w:rsidR="002902B4">
        <w:t>(51% of respondents)</w:t>
      </w:r>
    </w:p>
    <w:p w14:paraId="158B9D3B" w14:textId="5A5F0646" w:rsidR="005B47C4" w:rsidRDefault="005B47C4">
      <w:pPr>
        <w:pStyle w:val="ListBullet"/>
        <w:numPr>
          <w:ilvl w:val="0"/>
          <w:numId w:val="106"/>
        </w:numPr>
      </w:pPr>
      <w:r>
        <w:t>improv</w:t>
      </w:r>
      <w:r w:rsidR="002902B4">
        <w:t>e</w:t>
      </w:r>
      <w:r>
        <w:t xml:space="preserve"> rivers and creeks for local wildlife and vegetation </w:t>
      </w:r>
      <w:r w:rsidR="002902B4">
        <w:t>(49% of respondents)</w:t>
      </w:r>
    </w:p>
    <w:p w14:paraId="281B90C4" w14:textId="1EC6A178" w:rsidR="005B47C4" w:rsidRDefault="002902B4">
      <w:pPr>
        <w:pStyle w:val="ListBullet"/>
        <w:numPr>
          <w:ilvl w:val="0"/>
          <w:numId w:val="106"/>
        </w:numPr>
      </w:pPr>
      <w:r>
        <w:t>reduce our carbon emissions to zero in a way that creates jobs and improves liveability (</w:t>
      </w:r>
      <w:r w:rsidR="005B47C4">
        <w:t>33% of respondents</w:t>
      </w:r>
      <w:r>
        <w:t>)</w:t>
      </w:r>
    </w:p>
    <w:p w14:paraId="448D68C0" w14:textId="49ADCD91" w:rsidR="005B47C4" w:rsidRDefault="002902B4">
      <w:pPr>
        <w:pStyle w:val="ListBullet"/>
        <w:numPr>
          <w:ilvl w:val="0"/>
          <w:numId w:val="106"/>
        </w:numPr>
      </w:pPr>
      <w:r>
        <w:t>reduce the number of sewer spills (</w:t>
      </w:r>
      <w:r w:rsidR="005B47C4">
        <w:t>24% of respondents</w:t>
      </w:r>
      <w:r>
        <w:t>).</w:t>
      </w:r>
    </w:p>
    <w:p w14:paraId="64E87BB6" w14:textId="7817D262" w:rsidR="008F2AAC" w:rsidRDefault="005B47C4">
      <w:pPr>
        <w:pStyle w:val="ListParagraph"/>
        <w:numPr>
          <w:ilvl w:val="0"/>
          <w:numId w:val="106"/>
        </w:numPr>
      </w:pPr>
      <w:r>
        <w:t xml:space="preserve">In the same survey, customers strongly supported our ‘healing and caring for Country’ pillar and its focus areas from our </w:t>
      </w:r>
      <w:r w:rsidRPr="009F3CEB">
        <w:rPr>
          <w:i/>
        </w:rPr>
        <w:t>2030 Strategy</w:t>
      </w:r>
      <w:r w:rsidR="008F2AAC" w:rsidRPr="009F3CEB">
        <w:rPr>
          <w:i/>
          <w:iCs/>
        </w:rPr>
        <w:t xml:space="preserve">. </w:t>
      </w:r>
      <w:r w:rsidR="008F2AAC" w:rsidRPr="003F5724">
        <w:t xml:space="preserve">Respondents </w:t>
      </w:r>
      <w:r w:rsidR="008F2AAC">
        <w:t>said</w:t>
      </w:r>
      <w:r w:rsidR="008F2AAC" w:rsidRPr="003F5724">
        <w:t xml:space="preserve"> it was important</w:t>
      </w:r>
      <w:r w:rsidR="006956A7" w:rsidRPr="003F5724">
        <w:t xml:space="preserve"> </w:t>
      </w:r>
      <w:r w:rsidR="006956A7" w:rsidRPr="00A70C03">
        <w:t xml:space="preserve">for </w:t>
      </w:r>
      <w:r w:rsidR="008F2AAC" w:rsidRPr="003F5724">
        <w:t>us to</w:t>
      </w:r>
      <w:r w:rsidR="006956A7" w:rsidRPr="00A70C03">
        <w:t>:</w:t>
      </w:r>
    </w:p>
    <w:p w14:paraId="1B3DC14C" w14:textId="17552902" w:rsidR="008F2AAC" w:rsidRDefault="005B47C4">
      <w:pPr>
        <w:pStyle w:val="ListBullet"/>
        <w:numPr>
          <w:ilvl w:val="0"/>
          <w:numId w:val="106"/>
        </w:numPr>
      </w:pPr>
      <w:r>
        <w:t xml:space="preserve">work with local communities to improve the health of their lakes, rivers, </w:t>
      </w:r>
      <w:proofErr w:type="gramStart"/>
      <w:r>
        <w:t>creeks</w:t>
      </w:r>
      <w:proofErr w:type="gramEnd"/>
      <w:r>
        <w:t xml:space="preserve"> and other waterways </w:t>
      </w:r>
      <w:r w:rsidR="008F2AAC">
        <w:t>(77% of respondents)</w:t>
      </w:r>
    </w:p>
    <w:p w14:paraId="425E37A2" w14:textId="493DA76D" w:rsidR="008F2AAC" w:rsidRDefault="008F2AAC">
      <w:pPr>
        <w:pStyle w:val="ListBullet"/>
        <w:numPr>
          <w:ilvl w:val="0"/>
          <w:numId w:val="106"/>
        </w:numPr>
      </w:pPr>
      <w:r>
        <w:t>improve</w:t>
      </w:r>
      <w:r w:rsidR="005B47C4">
        <w:t xml:space="preserve"> access to alternative water sources to save drinking water </w:t>
      </w:r>
      <w:r>
        <w:t>(</w:t>
      </w:r>
      <w:r w:rsidR="005B47C4">
        <w:t>55</w:t>
      </w:r>
      <w:r>
        <w:t>%</w:t>
      </w:r>
      <w:r w:rsidR="005B47C4">
        <w:t xml:space="preserve"> of respondents</w:t>
      </w:r>
      <w:r>
        <w:t>)</w:t>
      </w:r>
      <w:r w:rsidR="005B47C4">
        <w:t xml:space="preserve"> </w:t>
      </w:r>
    </w:p>
    <w:p w14:paraId="7FF85467" w14:textId="1B374DE1" w:rsidR="005B47C4" w:rsidRDefault="008F2AAC">
      <w:pPr>
        <w:pStyle w:val="ListBullet"/>
        <w:numPr>
          <w:ilvl w:val="0"/>
          <w:numId w:val="106"/>
        </w:numPr>
      </w:pPr>
      <w:r>
        <w:t>reduce</w:t>
      </w:r>
      <w:r w:rsidR="005B47C4">
        <w:t xml:space="preserve"> carbon emissions, reduc</w:t>
      </w:r>
      <w:r>
        <w:t>e</w:t>
      </w:r>
      <w:r w:rsidR="005B47C4">
        <w:t xml:space="preserve"> waste from our operations and provid</w:t>
      </w:r>
      <w:r>
        <w:t>e</w:t>
      </w:r>
      <w:r w:rsidR="005B47C4">
        <w:t xml:space="preserve"> opportunities to use our reservoirs and catchments for cultural and educational uses</w:t>
      </w:r>
      <w:r>
        <w:t xml:space="preserve"> (more than 40% of respondents)</w:t>
      </w:r>
      <w:r w:rsidR="005B47C4">
        <w:t xml:space="preserve">.  </w:t>
      </w:r>
    </w:p>
    <w:p w14:paraId="74CAFEA2" w14:textId="68315CD3" w:rsidR="005B47C4" w:rsidRDefault="005B47C4" w:rsidP="005B47C4">
      <w:r>
        <w:t>This was also evident in the exploration stage focus groups, with 39</w:t>
      </w:r>
      <w:r w:rsidR="008F2AAC">
        <w:t>%</w:t>
      </w:r>
      <w:r>
        <w:t xml:space="preserve"> of comments related to caring for the environment and waterways, and 21</w:t>
      </w:r>
      <w:r w:rsidR="008F2AAC">
        <w:t>%</w:t>
      </w:r>
      <w:r>
        <w:t xml:space="preserve"> related to water security and conservation.  </w:t>
      </w:r>
    </w:p>
    <w:p w14:paraId="2A977993" w14:textId="173FC4B1" w:rsidR="005B47C4" w:rsidRDefault="005B47C4" w:rsidP="005B47C4">
      <w:r w:rsidRPr="00130E07">
        <w:lastRenderedPageBreak/>
        <w:t>We</w:t>
      </w:r>
      <w:r w:rsidR="00130E07">
        <w:t xml:space="preserve"> heard </w:t>
      </w:r>
      <w:r w:rsidRPr="00130E07">
        <w:t>that customers overwhelming</w:t>
      </w:r>
      <w:r w:rsidR="006F3CF8">
        <w:t>ly</w:t>
      </w:r>
      <w:r w:rsidRPr="00130E07">
        <w:t xml:space="preserve"> support caring for the environment and waterway</w:t>
      </w:r>
      <w:r w:rsidR="00962FED" w:rsidRPr="00130E07">
        <w:t>s</w:t>
      </w:r>
      <w:r w:rsidRPr="00130E07">
        <w:t xml:space="preserve"> directly or through our processes such as reducing waste and emissions.</w:t>
      </w:r>
      <w:r>
        <w:t xml:space="preserve">  </w:t>
      </w:r>
    </w:p>
    <w:p w14:paraId="01CC73A4" w14:textId="77777777" w:rsidR="008F2AAC" w:rsidRPr="00DF2159" w:rsidRDefault="008F2AAC" w:rsidP="005B47C4">
      <w:pPr>
        <w:rPr>
          <w:b/>
        </w:rPr>
      </w:pPr>
      <w:r w:rsidRPr="00DF2159">
        <w:rPr>
          <w:b/>
        </w:rPr>
        <w:t>Valuation stage</w:t>
      </w:r>
    </w:p>
    <w:p w14:paraId="101FC576" w14:textId="56FD03B3" w:rsidR="005B47C4" w:rsidRDefault="005B47C4" w:rsidP="005B47C4">
      <w:r>
        <w:t>We took these to our customers in the valuation stage</w:t>
      </w:r>
      <w:r w:rsidR="008F2AAC">
        <w:t>,</w:t>
      </w:r>
      <w:r>
        <w:t xml:space="preserve"> given the range of investment options and bill implications </w:t>
      </w:r>
      <w:r w:rsidR="00AF5438">
        <w:t xml:space="preserve">of </w:t>
      </w:r>
      <w:r>
        <w:t xml:space="preserve">caring for our environment and waterway health </w:t>
      </w:r>
      <w:r w:rsidR="00AF5438">
        <w:t>and how we deliver</w:t>
      </w:r>
      <w:r>
        <w:t xml:space="preserve"> net zero emissions by 2030. </w:t>
      </w:r>
    </w:p>
    <w:p w14:paraId="2DE6F72A" w14:textId="61228460" w:rsidR="005B47C4" w:rsidRDefault="005B47C4" w:rsidP="00CD15D1">
      <w:r>
        <w:t xml:space="preserve">In our </w:t>
      </w:r>
      <w:r w:rsidR="00AF5438">
        <w:t>‘</w:t>
      </w:r>
      <w:r w:rsidRPr="00111EFB">
        <w:t>best-worst’ online survey,</w:t>
      </w:r>
      <w:r>
        <w:t xml:space="preserve"> participants were asked to identify the best and worst option from four possible ways </w:t>
      </w:r>
      <w:r w:rsidR="008E6BDB">
        <w:t>for</w:t>
      </w:r>
      <w:r>
        <w:t xml:space="preserve"> improving waterway health. We </w:t>
      </w:r>
      <w:r w:rsidR="00130E07">
        <w:t xml:space="preserve">heard </w:t>
      </w:r>
      <w:r>
        <w:t>that customers were very supportive of improving waterway health through an engineering response</w:t>
      </w:r>
      <w:r w:rsidR="00AF5438">
        <w:t>,</w:t>
      </w:r>
      <w:r>
        <w:t xml:space="preserve"> such as improving the quality of recycled water that comes out of sewerage treatment plants and reducing the chance of sewers overflowing and spilling into waterways during heavy rain. Around one in four respondents just wanted us to do the absolute minimum required by our legal obligations. In contrast, 52</w:t>
      </w:r>
      <w:r w:rsidR="00AF5438">
        <w:t>%</w:t>
      </w:r>
      <w:r>
        <w:t xml:space="preserve"> of </w:t>
      </w:r>
      <w:r w:rsidR="00AF5438">
        <w:t xml:space="preserve">respondents </w:t>
      </w:r>
      <w:r>
        <w:t xml:space="preserve">thought that was the worst idea.  </w:t>
      </w:r>
    </w:p>
    <w:p w14:paraId="22AF3EC5" w14:textId="3F99AD71" w:rsidR="00AA715C" w:rsidRDefault="00AA715C" w:rsidP="00CD15D1">
      <w:r>
        <w:t xml:space="preserve">In the same survey, we asked participants </w:t>
      </w:r>
      <w:r w:rsidR="00AF5438">
        <w:t xml:space="preserve">about </w:t>
      </w:r>
      <w:r w:rsidR="002E4EC2">
        <w:t>different options to reduc</w:t>
      </w:r>
      <w:r w:rsidR="00AF5438">
        <w:t>e</w:t>
      </w:r>
      <w:r w:rsidR="002E4EC2">
        <w:t xml:space="preserve"> our emissions. We </w:t>
      </w:r>
      <w:r w:rsidR="00130E07">
        <w:t xml:space="preserve">heard that </w:t>
      </w:r>
      <w:r w:rsidR="002E4EC2">
        <w:t>customer</w:t>
      </w:r>
      <w:r w:rsidR="00130E07">
        <w:t>s</w:t>
      </w:r>
      <w:r w:rsidR="002E4EC2">
        <w:t xml:space="preserve"> </w:t>
      </w:r>
      <w:r w:rsidR="00130E07">
        <w:t xml:space="preserve">are </w:t>
      </w:r>
      <w:r w:rsidR="003E5A77">
        <w:t>very supportive of reducing our emissions through treatment plant processes and operations, as well as investing in renewable energy projects</w:t>
      </w:r>
      <w:r w:rsidR="00794E0E">
        <w:t xml:space="preserve"> locally</w:t>
      </w:r>
      <w:r w:rsidR="00AF5438">
        <w:t>,</w:t>
      </w:r>
      <w:r w:rsidR="00794E0E">
        <w:t xml:space="preserve"> more so than planting trees in our </w:t>
      </w:r>
      <w:r w:rsidR="00E33A84">
        <w:t xml:space="preserve">service </w:t>
      </w:r>
      <w:r w:rsidR="00794E0E">
        <w:t>region</w:t>
      </w:r>
      <w:r w:rsidR="003E5A77">
        <w:t>.</w:t>
      </w:r>
      <w:r w:rsidR="00794E0E">
        <w:t xml:space="preserve"> </w:t>
      </w:r>
      <w:r w:rsidR="008F6140">
        <w:t>49%</w:t>
      </w:r>
      <w:r w:rsidR="00794E0E">
        <w:t xml:space="preserve"> of participants thought doing nothing was the worst idea. </w:t>
      </w:r>
    </w:p>
    <w:p w14:paraId="63A0E21A" w14:textId="165304F9" w:rsidR="001D6041" w:rsidRDefault="005B47C4" w:rsidP="00CD15D1">
      <w:r>
        <w:t xml:space="preserve">We </w:t>
      </w:r>
      <w:r w:rsidR="00A46C95">
        <w:t>also took similar</w:t>
      </w:r>
      <w:r>
        <w:t xml:space="preserve"> waterway health </w:t>
      </w:r>
      <w:r w:rsidR="00794E0E">
        <w:t>and net zero</w:t>
      </w:r>
      <w:r>
        <w:t xml:space="preserve"> options into our billing simulator survey and focus group. </w:t>
      </w:r>
    </w:p>
    <w:p w14:paraId="2A75C405" w14:textId="776888A3" w:rsidR="00AF5438" w:rsidRDefault="005B47C4" w:rsidP="00CD15D1">
      <w:r>
        <w:t xml:space="preserve">We asked customers </w:t>
      </w:r>
      <w:r w:rsidR="00AF5438">
        <w:t xml:space="preserve">to indicate </w:t>
      </w:r>
      <w:r>
        <w:t xml:space="preserve">their willingness to pay </w:t>
      </w:r>
      <w:r w:rsidR="001D6041">
        <w:t>to address waterway health</w:t>
      </w:r>
      <w:r>
        <w:t xml:space="preserve"> by selecting one of three options</w:t>
      </w:r>
      <w:r w:rsidR="00AF5438">
        <w:t>. We</w:t>
      </w:r>
      <w:r>
        <w:t xml:space="preserve"> found over a quarter of survey respondents told us not to change what we currently spend on waterway health and </w:t>
      </w:r>
      <w:r w:rsidR="00AF5438">
        <w:t xml:space="preserve">to </w:t>
      </w:r>
      <w:r>
        <w:t>spend enough to meet compliance obligations. Another quarter were willing to pay significantly more to improve the health of all waterways in the region. The remaining 47% were willing to pay more than current levels and opted for the second most expensive option, investing in the most stressed waterways to improve river health.</w:t>
      </w:r>
      <w:r w:rsidR="00A21F23">
        <w:t xml:space="preserve"> </w:t>
      </w:r>
    </w:p>
    <w:p w14:paraId="2080AD65" w14:textId="0132BA0D" w:rsidR="005B47C4" w:rsidRDefault="00A21F23" w:rsidP="00CD15D1">
      <w:r>
        <w:t xml:space="preserve">In our bill simulator focus groups, four of eight groups opted to continue </w:t>
      </w:r>
      <w:r w:rsidR="00A05237">
        <w:t>initiatives to meet complian</w:t>
      </w:r>
      <w:r w:rsidR="00AF5438">
        <w:t>ce</w:t>
      </w:r>
      <w:r w:rsidR="00A05237">
        <w:t xml:space="preserve"> obligations and the remaining four </w:t>
      </w:r>
      <w:r w:rsidR="00AF5438">
        <w:t>chose</w:t>
      </w:r>
      <w:r w:rsidR="00A05237">
        <w:t xml:space="preserve"> the second most expensive option to invest in </w:t>
      </w:r>
      <w:r w:rsidR="00240CA4">
        <w:t xml:space="preserve">the areas with the most stressed waterways. </w:t>
      </w:r>
      <w:r w:rsidR="00AF5438">
        <w:t>As a result, we found</w:t>
      </w:r>
      <w:r w:rsidR="00240CA4">
        <w:t xml:space="preserve"> mix</w:t>
      </w:r>
      <w:r w:rsidR="00AF5438">
        <w:t>ed</w:t>
      </w:r>
      <w:r w:rsidR="00240CA4">
        <w:t xml:space="preserve"> evidence on </w:t>
      </w:r>
      <w:r w:rsidR="008731EC">
        <w:t>customers’</w:t>
      </w:r>
      <w:r w:rsidR="00240CA4">
        <w:t xml:space="preserve"> willingness to pay for waterway and health</w:t>
      </w:r>
      <w:r w:rsidR="00DD6958">
        <w:t>.</w:t>
      </w:r>
    </w:p>
    <w:p w14:paraId="4D4663A3" w14:textId="43C37E69" w:rsidR="001E4D41" w:rsidRDefault="001D6041" w:rsidP="00CD15D1">
      <w:r>
        <w:t>We also asked customers their willingness to pay to address net zero emissions by selecting one of four options</w:t>
      </w:r>
      <w:r w:rsidR="00AF5438">
        <w:t>. We</w:t>
      </w:r>
      <w:r>
        <w:t xml:space="preserve"> found </w:t>
      </w:r>
      <w:r w:rsidR="00C05363">
        <w:t>overwhelming support</w:t>
      </w:r>
      <w:r w:rsidR="00AF5438">
        <w:t>,</w:t>
      </w:r>
      <w:r w:rsidR="00C05363">
        <w:t xml:space="preserve"> with</w:t>
      </w:r>
      <w:r w:rsidR="00A55A12">
        <w:t xml:space="preserve"> </w:t>
      </w:r>
      <w:r w:rsidR="00CD4033">
        <w:t>59</w:t>
      </w:r>
      <w:r w:rsidR="00AF5438">
        <w:t>%</w:t>
      </w:r>
      <w:r w:rsidR="00CD4033">
        <w:t xml:space="preserve"> of customers willing to pay more</w:t>
      </w:r>
      <w:r w:rsidR="00C05363">
        <w:t xml:space="preserve"> </w:t>
      </w:r>
      <w:r w:rsidR="00A55A12">
        <w:t>than our current spending</w:t>
      </w:r>
      <w:r w:rsidR="00DC566E">
        <w:t xml:space="preserve"> by investing in local renewable projects.</w:t>
      </w:r>
      <w:r w:rsidR="006D0C87">
        <w:t xml:space="preserve"> </w:t>
      </w:r>
    </w:p>
    <w:p w14:paraId="69F8C53D" w14:textId="61B2988B" w:rsidR="00C05363" w:rsidRDefault="006D0C87" w:rsidP="001D6041">
      <w:r>
        <w:t xml:space="preserve">In our bill simulator focus groups, </w:t>
      </w:r>
      <w:r w:rsidR="00DC566E">
        <w:t xml:space="preserve">six of eight focus groups </w:t>
      </w:r>
      <w:r w:rsidR="001E4D41">
        <w:t xml:space="preserve">chose </w:t>
      </w:r>
      <w:r w:rsidR="00DC566E">
        <w:t>for the most expensive option</w:t>
      </w:r>
      <w:r w:rsidR="001E4D41">
        <w:t>,</w:t>
      </w:r>
      <w:r w:rsidR="00DC566E">
        <w:t xml:space="preserve"> </w:t>
      </w:r>
      <w:r w:rsidR="00C4725C">
        <w:t xml:space="preserve">driven by their </w:t>
      </w:r>
      <w:r w:rsidR="001E4D41">
        <w:t>concerns about the</w:t>
      </w:r>
      <w:r w:rsidR="00C4725C">
        <w:t xml:space="preserve"> environment, and</w:t>
      </w:r>
      <w:r w:rsidR="00DC566E">
        <w:t xml:space="preserve"> found the benefits far outweighed the impact </w:t>
      </w:r>
      <w:r w:rsidR="001E4D41">
        <w:t xml:space="preserve">on </w:t>
      </w:r>
      <w:r w:rsidR="00DC566E">
        <w:t>bills.</w:t>
      </w:r>
      <w:r w:rsidR="00DD6958">
        <w:t xml:space="preserve"> </w:t>
      </w:r>
    </w:p>
    <w:p w14:paraId="7ED1DC4B" w14:textId="77777777" w:rsidR="00EE458F" w:rsidRPr="00EE458F" w:rsidRDefault="00EE458F" w:rsidP="003F5724">
      <w:pPr>
        <w:pStyle w:val="Heading5"/>
      </w:pPr>
      <w:r w:rsidRPr="00EE458F">
        <w:t>Deliberation stage</w:t>
      </w:r>
    </w:p>
    <w:p w14:paraId="210F31B4" w14:textId="325C0F95" w:rsidR="005B47C4" w:rsidRDefault="005B47C4" w:rsidP="005B47C4">
      <w:r>
        <w:t xml:space="preserve">Given </w:t>
      </w:r>
      <w:r w:rsidR="00DE411A">
        <w:t xml:space="preserve">the mix of findings in our valuation stage for improving waterway health </w:t>
      </w:r>
      <w:r w:rsidR="00EE458F">
        <w:t>and</w:t>
      </w:r>
      <w:r>
        <w:t xml:space="preserve"> what customers told us in the exploration stage, we took </w:t>
      </w:r>
      <w:r w:rsidR="00F00FEA">
        <w:t>this topic</w:t>
      </w:r>
      <w:r>
        <w:t xml:space="preserve"> to our deliberati</w:t>
      </w:r>
      <w:r w:rsidR="00C520CB">
        <w:t>ve</w:t>
      </w:r>
      <w:r>
        <w:t xml:space="preserve"> panel. We did not take reaching net zero to </w:t>
      </w:r>
      <w:r w:rsidR="00A01DF7">
        <w:t>the panel</w:t>
      </w:r>
      <w:r>
        <w:t xml:space="preserve"> given the widespread support </w:t>
      </w:r>
      <w:r w:rsidR="001B504F">
        <w:t xml:space="preserve">and </w:t>
      </w:r>
      <w:r>
        <w:t>have included it in our outcome.</w:t>
      </w:r>
    </w:p>
    <w:p w14:paraId="5EF293B7" w14:textId="1FE880F4" w:rsidR="005B47C4" w:rsidRDefault="005B47C4" w:rsidP="005B47C4">
      <w:r>
        <w:t>Our panel recommended an increase</w:t>
      </w:r>
      <w:r w:rsidR="001B504F">
        <w:t>d</w:t>
      </w:r>
      <w:r>
        <w:t xml:space="preserve"> spend but focused their recommendations on:</w:t>
      </w:r>
    </w:p>
    <w:p w14:paraId="1B19BEB5" w14:textId="49B62A54" w:rsidR="005B47C4" w:rsidRDefault="005B47C4">
      <w:pPr>
        <w:pStyle w:val="ListBullet"/>
        <w:numPr>
          <w:ilvl w:val="0"/>
          <w:numId w:val="107"/>
        </w:numPr>
      </w:pPr>
      <w:r>
        <w:lastRenderedPageBreak/>
        <w:t>Education, community engagement and awareness to support waterway health (recommendation 4.1)</w:t>
      </w:r>
    </w:p>
    <w:p w14:paraId="45B5D675" w14:textId="5CA85917" w:rsidR="005B47C4" w:rsidRDefault="005B47C4">
      <w:pPr>
        <w:pStyle w:val="ListBullet"/>
        <w:numPr>
          <w:ilvl w:val="0"/>
          <w:numId w:val="107"/>
        </w:numPr>
      </w:pPr>
      <w:r>
        <w:t xml:space="preserve">Investment </w:t>
      </w:r>
      <w:r w:rsidR="003E0F5E">
        <w:t>in</w:t>
      </w:r>
      <w:r>
        <w:t xml:space="preserve"> our water treatment plants to protect our overall waterway health and environment (recommendations 4.2)</w:t>
      </w:r>
    </w:p>
    <w:p w14:paraId="6BF122E3" w14:textId="44603B53" w:rsidR="005B47C4" w:rsidRDefault="005B47C4">
      <w:pPr>
        <w:pStyle w:val="ListBullet"/>
        <w:numPr>
          <w:ilvl w:val="0"/>
          <w:numId w:val="107"/>
        </w:numPr>
      </w:pPr>
      <w:r>
        <w:t>Improve the quality of recycled water returning to waterways (recommendations 4.3)</w:t>
      </w:r>
    </w:p>
    <w:p w14:paraId="1CD45D3F" w14:textId="4D797D90" w:rsidR="005B47C4" w:rsidRDefault="005B47C4">
      <w:pPr>
        <w:pStyle w:val="ListBullet"/>
        <w:numPr>
          <w:ilvl w:val="0"/>
          <w:numId w:val="107"/>
        </w:numPr>
      </w:pPr>
      <w:r>
        <w:t>Invest in technology that makes the creation and supply of manufactured water/alternate water for irrigation and industry affordable (recommendations 4.4)</w:t>
      </w:r>
    </w:p>
    <w:p w14:paraId="1A09FA41" w14:textId="6A928FFF" w:rsidR="005B47C4" w:rsidRDefault="005B47C4" w:rsidP="005B47C4">
      <w:r>
        <w:t>We adopted these recommendations, as well as supporting customers experiencing payment difficulty in our high-level customer outcomes and experiences. We also included providing alternative water for agricultural uses in our outcomes, as it was strongly supported</w:t>
      </w:r>
      <w:r w:rsidR="008D1DAE">
        <w:t>.</w:t>
      </w:r>
      <w:r>
        <w:t xml:space="preserve"> </w:t>
      </w:r>
      <w:r w:rsidR="008D1DAE">
        <w:t>H</w:t>
      </w:r>
      <w:r>
        <w:t>owever, we have grouped it in our more non-residential customer</w:t>
      </w:r>
      <w:r w:rsidR="00C90281">
        <w:t>-</w:t>
      </w:r>
      <w:r>
        <w:t xml:space="preserve">centric customer outcome 4. </w:t>
      </w:r>
    </w:p>
    <w:p w14:paraId="0BD24437" w14:textId="3A205E71" w:rsidR="005B47C4" w:rsidRDefault="005B47C4" w:rsidP="005B47C4">
      <w:r>
        <w:t xml:space="preserve">We adopted these recommendations in our high-level customer outcomes and experiences. </w:t>
      </w:r>
    </w:p>
    <w:p w14:paraId="1C8FB917" w14:textId="77777777" w:rsidR="005B47C4" w:rsidRPr="00584A25" w:rsidRDefault="005B47C4" w:rsidP="00584A25">
      <w:pPr>
        <w:pStyle w:val="Heading4"/>
      </w:pPr>
      <w:r w:rsidRPr="00584A25">
        <w:t>How we developed our Traditional Owners and First Nations experiences and measures</w:t>
      </w:r>
    </w:p>
    <w:p w14:paraId="2287DF3F" w14:textId="15A49CF2" w:rsidR="00B837FA" w:rsidRDefault="005B47C4" w:rsidP="005B47C4">
      <w:r>
        <w:t xml:space="preserve">In addition to the experiences and measures discussed, we </w:t>
      </w:r>
      <w:r w:rsidR="007001BD">
        <w:t>also engaged</w:t>
      </w:r>
      <w:r w:rsidR="00584C7F">
        <w:t xml:space="preserve"> with</w:t>
      </w:r>
      <w:r w:rsidR="00D53BCF">
        <w:t xml:space="preserve"> </w:t>
      </w:r>
      <w:r>
        <w:t xml:space="preserve">Traditional Owners </w:t>
      </w:r>
      <w:r w:rsidR="00B50F73">
        <w:t xml:space="preserve">and First Nations </w:t>
      </w:r>
      <w:r w:rsidR="00D64FCA">
        <w:t>people to</w:t>
      </w:r>
      <w:r w:rsidR="00733F11">
        <w:t xml:space="preserve"> ensure their voices are included in our price submission</w:t>
      </w:r>
      <w:r w:rsidR="00B837FA">
        <w:t xml:space="preserve"> (</w:t>
      </w:r>
      <w:r w:rsidR="00B678A0">
        <w:t xml:space="preserve">outlined in </w:t>
      </w:r>
      <w:r w:rsidR="00ED11BC">
        <w:t>S</w:t>
      </w:r>
      <w:r w:rsidR="00B678A0">
        <w:t xml:space="preserve">ection </w:t>
      </w:r>
      <w:r w:rsidR="005E15F2">
        <w:t>2.4.1</w:t>
      </w:r>
      <w:r w:rsidR="00C05C0B">
        <w:fldChar w:fldCharType="begin"/>
      </w:r>
      <w:r w:rsidR="00C05C0B">
        <w:instrText xml:space="preserve"> REF _Ref145920964 \n \h </w:instrText>
      </w:r>
      <w:r w:rsidR="0069425C">
        <w:fldChar w:fldCharType="separate"/>
      </w:r>
      <w:r w:rsidR="00C05C0B">
        <w:fldChar w:fldCharType="end"/>
      </w:r>
      <w:r w:rsidR="00B678A0">
        <w:t>).</w:t>
      </w:r>
      <w:r w:rsidR="005951F8">
        <w:t xml:space="preserve"> </w:t>
      </w:r>
    </w:p>
    <w:p w14:paraId="67203617" w14:textId="18018817" w:rsidR="005B47C4" w:rsidRDefault="005B47C4" w:rsidP="005B47C4">
      <w:r>
        <w:t xml:space="preserve">Experiences and measures associated with Traditional Owners and First Nations people were not put forward to our customers for discussion. </w:t>
      </w:r>
      <w:r w:rsidR="00B837FA">
        <w:t>They</w:t>
      </w:r>
      <w:r>
        <w:t xml:space="preserve"> have been </w:t>
      </w:r>
      <w:r w:rsidR="006566A2">
        <w:t>drawn</w:t>
      </w:r>
      <w:r>
        <w:t xml:space="preserve"> from </w:t>
      </w:r>
      <w:r w:rsidR="006566A2">
        <w:t xml:space="preserve">engagement to develop </w:t>
      </w:r>
      <w:r>
        <w:t xml:space="preserve">our </w:t>
      </w:r>
      <w:r w:rsidRPr="006566A2">
        <w:rPr>
          <w:i/>
        </w:rPr>
        <w:t xml:space="preserve">2030 </w:t>
      </w:r>
      <w:r w:rsidR="006566A2" w:rsidRPr="006566A2">
        <w:rPr>
          <w:i/>
          <w:iCs/>
        </w:rPr>
        <w:t>S</w:t>
      </w:r>
      <w:r w:rsidRPr="006566A2">
        <w:rPr>
          <w:i/>
          <w:iCs/>
        </w:rPr>
        <w:t>trategy</w:t>
      </w:r>
      <w:r>
        <w:t xml:space="preserve"> </w:t>
      </w:r>
      <w:r w:rsidR="006566A2">
        <w:t>and Reconciliation Action Plan</w:t>
      </w:r>
      <w:r w:rsidR="00C05C0B">
        <w:t>.</w:t>
      </w:r>
    </w:p>
    <w:p w14:paraId="59C7F402" w14:textId="105CE652" w:rsidR="005B47C4" w:rsidRDefault="006566A2" w:rsidP="005B47C4">
      <w:r>
        <w:t>We will</w:t>
      </w:r>
      <w:r w:rsidR="005B47C4">
        <w:t xml:space="preserve"> continue to partner with Traditional Owners and First Nations </w:t>
      </w:r>
      <w:r>
        <w:t xml:space="preserve">people </w:t>
      </w:r>
      <w:r w:rsidR="005B47C4">
        <w:t xml:space="preserve">on their priorities during this regulatory period and beyond. If Traditional Owners indicate that their preference is to adjust our experiences and </w:t>
      </w:r>
      <w:r w:rsidR="00F01EAE">
        <w:t>measures,</w:t>
      </w:r>
      <w:r w:rsidR="005B47C4">
        <w:t xml:space="preserve"> we are committed to doing so in partnership. </w:t>
      </w:r>
    </w:p>
    <w:p w14:paraId="66E8E0E4" w14:textId="0DCEA98F" w:rsidR="005B47C4" w:rsidRDefault="00B678A0" w:rsidP="005B47C4">
      <w:r>
        <w:t>We outlined our</w:t>
      </w:r>
      <w:r w:rsidR="005B47C4" w:rsidRPr="00F9237D">
        <w:t xml:space="preserve"> commitments to Traditional Owners and First Nations</w:t>
      </w:r>
      <w:r w:rsidR="005B47C4">
        <w:t xml:space="preserve"> people and how we plan to action them</w:t>
      </w:r>
      <w:r>
        <w:t xml:space="preserve"> through the ‘what we heard’ briefing note (supporting document).</w:t>
      </w:r>
    </w:p>
    <w:p w14:paraId="34E63275" w14:textId="77777777" w:rsidR="00CE7C47" w:rsidRDefault="00CE7C47" w:rsidP="00584A25">
      <w:pPr>
        <w:pStyle w:val="Heading4"/>
      </w:pPr>
      <w:r>
        <w:t>How we will be accountable to our customers</w:t>
      </w:r>
    </w:p>
    <w:p w14:paraId="554EE923" w14:textId="5951DCBF" w:rsidR="005B47C4" w:rsidRDefault="00171863" w:rsidP="005B47C4">
      <w:r>
        <w:t xml:space="preserve">We will report </w:t>
      </w:r>
      <w:r w:rsidR="006566A2">
        <w:t>on five</w:t>
      </w:r>
      <w:r w:rsidR="005B47C4">
        <w:t xml:space="preserve"> measures that underpin our </w:t>
      </w:r>
      <w:r w:rsidR="006566A2">
        <w:t xml:space="preserve">three </w:t>
      </w:r>
      <w:r w:rsidR="005B47C4">
        <w:t>customer experiences</w:t>
      </w:r>
      <w:r w:rsidR="006566A2">
        <w:t>. These measures</w:t>
      </w:r>
      <w:r w:rsidR="005B47C4">
        <w:t xml:space="preserve"> were voted for by </w:t>
      </w:r>
      <w:r w:rsidR="00BE2FDE">
        <w:t>our customer forum.</w:t>
      </w:r>
    </w:p>
    <w:p w14:paraId="66527B63" w14:textId="77777777" w:rsidR="006566A2" w:rsidRDefault="005B47C4" w:rsidP="005B47C4">
      <w:r>
        <w:t xml:space="preserve">We will </w:t>
      </w:r>
      <w:r w:rsidR="004279FB">
        <w:t>report on</w:t>
      </w:r>
      <w:r w:rsidR="006566A2">
        <w:t>:</w:t>
      </w:r>
    </w:p>
    <w:p w14:paraId="5511B6EE" w14:textId="229AD556" w:rsidR="006566A2" w:rsidRDefault="004279FB">
      <w:pPr>
        <w:pStyle w:val="ListBullet"/>
        <w:numPr>
          <w:ilvl w:val="0"/>
          <w:numId w:val="108"/>
        </w:numPr>
      </w:pPr>
      <w:r>
        <w:t xml:space="preserve">how we limit and reduce the impact on our environment including from our treatment plant processes </w:t>
      </w:r>
    </w:p>
    <w:p w14:paraId="4F52D4DB" w14:textId="0020E6B1" w:rsidR="005B47C4" w:rsidRDefault="00EC2E9E">
      <w:pPr>
        <w:pStyle w:val="ListBullet"/>
        <w:numPr>
          <w:ilvl w:val="0"/>
          <w:numId w:val="108"/>
        </w:numPr>
      </w:pPr>
      <w:r>
        <w:t xml:space="preserve">our process to meet our net zero emissions by </w:t>
      </w:r>
      <w:proofErr w:type="gramStart"/>
      <w:r>
        <w:t>2030</w:t>
      </w:r>
      <w:proofErr w:type="gramEnd"/>
    </w:p>
    <w:p w14:paraId="37BCBA0A" w14:textId="1F7DCCBD" w:rsidR="005B47C4" w:rsidRDefault="00EC2E9E">
      <w:pPr>
        <w:pStyle w:val="ListBullet"/>
        <w:numPr>
          <w:ilvl w:val="0"/>
          <w:numId w:val="108"/>
        </w:numPr>
      </w:pPr>
      <w:r>
        <w:t>our</w:t>
      </w:r>
      <w:r w:rsidR="005B47C4">
        <w:t xml:space="preserve"> delivery of the actions outlined in our R</w:t>
      </w:r>
      <w:r w:rsidR="0058636E">
        <w:t xml:space="preserve">econciliation </w:t>
      </w:r>
      <w:r w:rsidR="005B47C4">
        <w:t>A</w:t>
      </w:r>
      <w:r w:rsidR="0058636E">
        <w:t xml:space="preserve">ction </w:t>
      </w:r>
      <w:r w:rsidR="005B47C4">
        <w:t>P</w:t>
      </w:r>
      <w:r w:rsidR="0058636E">
        <w:t>la</w:t>
      </w:r>
      <w:r w:rsidR="00F74FA5">
        <w:t>n</w:t>
      </w:r>
      <w:r w:rsidR="005B47C4">
        <w:t xml:space="preserve"> and </w:t>
      </w:r>
      <w:r w:rsidR="006566A2">
        <w:t>the</w:t>
      </w:r>
      <w:r w:rsidR="005B47C4">
        <w:t xml:space="preserve"> development and implementation of our new </w:t>
      </w:r>
      <w:r w:rsidR="00691D6F">
        <w:t>Walking</w:t>
      </w:r>
      <w:r w:rsidR="00C92BFA">
        <w:t xml:space="preserve"> Alongside</w:t>
      </w:r>
      <w:r w:rsidR="00691D6F">
        <w:t xml:space="preserve"> </w:t>
      </w:r>
      <w:r w:rsidR="005B47C4">
        <w:t xml:space="preserve">First Nations </w:t>
      </w:r>
      <w:r w:rsidR="00C92BFA">
        <w:t>Commitment</w:t>
      </w:r>
      <w:r w:rsidR="005B47C4">
        <w:t xml:space="preserve">. </w:t>
      </w:r>
    </w:p>
    <w:p w14:paraId="2B074686" w14:textId="77777777" w:rsidR="00EC2E9E" w:rsidRDefault="00EC2E9E" w:rsidP="005B47C4"/>
    <w:p w14:paraId="25CBFB85" w14:textId="77777777" w:rsidR="00DD58ED" w:rsidRDefault="00DD58ED" w:rsidP="005B47C4">
      <w:pPr>
        <w:sectPr w:rsidR="00DD58ED" w:rsidSect="008C1A38">
          <w:pgSz w:w="11906" w:h="16838" w:orient="landscape" w:code="9"/>
          <w:pgMar w:top="1134" w:right="1134" w:bottom="1134" w:left="1134" w:header="709" w:footer="652" w:gutter="0"/>
          <w:cols w:space="708"/>
          <w:docGrid w:linePitch="360"/>
        </w:sectPr>
      </w:pPr>
    </w:p>
    <w:p w14:paraId="13C169C8" w14:textId="46BE6437" w:rsidR="000E7C39" w:rsidRPr="0070671C" w:rsidRDefault="004D41F7" w:rsidP="00410364">
      <w:pPr>
        <w:pStyle w:val="Caption"/>
      </w:pPr>
      <w:r w:rsidRPr="00AE09B8">
        <w:rPr>
          <w:b/>
          <w:bCs/>
        </w:rPr>
        <w:lastRenderedPageBreak/>
        <w:t xml:space="preserve">Table </w:t>
      </w:r>
      <w:r w:rsidRPr="00AE09B8">
        <w:rPr>
          <w:b/>
          <w:bCs/>
        </w:rPr>
        <w:fldChar w:fldCharType="begin"/>
      </w:r>
      <w:r w:rsidRPr="00AE09B8">
        <w:rPr>
          <w:b/>
          <w:bCs/>
        </w:rPr>
        <w:instrText>SEQ Table \* ARABIC</w:instrText>
      </w:r>
      <w:r w:rsidRPr="00AE09B8">
        <w:rPr>
          <w:b/>
          <w:bCs/>
        </w:rPr>
        <w:fldChar w:fldCharType="separate"/>
      </w:r>
      <w:r w:rsidR="003B42C6">
        <w:rPr>
          <w:b/>
          <w:bCs/>
          <w:noProof/>
        </w:rPr>
        <w:t>8</w:t>
      </w:r>
      <w:r w:rsidRPr="00AE09B8">
        <w:rPr>
          <w:b/>
          <w:bCs/>
        </w:rPr>
        <w:fldChar w:fldCharType="end"/>
      </w:r>
      <w:r w:rsidR="00F76085">
        <w:t xml:space="preserve"> Customer outcome</w:t>
      </w:r>
      <w:r w:rsidR="000A3E94">
        <w:t xml:space="preserve"> 5</w:t>
      </w:r>
      <w:r w:rsidR="00F76085">
        <w:t xml:space="preserve"> – We heal and care for </w:t>
      </w:r>
      <w:proofErr w:type="gramStart"/>
      <w:r w:rsidR="00F76085">
        <w:t>Country</w:t>
      </w:r>
      <w:proofErr w:type="gramEnd"/>
      <w:r w:rsidR="00F76085">
        <w:t xml:space="preserve"> </w:t>
      </w:r>
    </w:p>
    <w:tbl>
      <w:tblPr>
        <w:tblStyle w:val="GWWDefaulttable"/>
        <w:tblW w:w="0" w:type="auto"/>
        <w:tblLayout w:type="fixed"/>
        <w:tblLook w:val="04A0" w:firstRow="1" w:lastRow="0" w:firstColumn="1" w:lastColumn="0" w:noHBand="0" w:noVBand="1"/>
      </w:tblPr>
      <w:tblGrid>
        <w:gridCol w:w="2552"/>
        <w:gridCol w:w="2835"/>
        <w:gridCol w:w="3544"/>
        <w:gridCol w:w="5634"/>
      </w:tblGrid>
      <w:tr w:rsidR="00E01968" w:rsidRPr="00DD58ED" w14:paraId="5F32616A" w14:textId="77777777" w:rsidTr="006C77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5" w:type="dxa"/>
            <w:gridSpan w:val="4"/>
          </w:tcPr>
          <w:p w14:paraId="0C70D1EE" w14:textId="77777777" w:rsidR="00E01968" w:rsidRPr="00DD58ED" w:rsidRDefault="00E01968">
            <w:pPr>
              <w:rPr>
                <w:b w:val="0"/>
                <w:color w:val="FFFFFF"/>
                <w:szCs w:val="20"/>
              </w:rPr>
            </w:pPr>
            <w:r w:rsidRPr="00DD58ED">
              <w:rPr>
                <w:szCs w:val="20"/>
              </w:rPr>
              <w:t>We heal and care for Country</w:t>
            </w:r>
          </w:p>
        </w:tc>
      </w:tr>
      <w:tr w:rsidR="00E01968" w:rsidRPr="00DD58ED" w14:paraId="5DF22F1E" w14:textId="77777777" w:rsidTr="006C776A">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tcPr>
          <w:p w14:paraId="0938AA84" w14:textId="0A7A7FA4" w:rsidR="00E01968" w:rsidRPr="00D142FF" w:rsidRDefault="00E01968" w:rsidP="004E6258">
            <w:pPr>
              <w:rPr>
                <w:rFonts w:eastAsia="Times New Roman" w:cs="Times New Roman"/>
                <w:b w:val="0"/>
                <w:szCs w:val="20"/>
                <w:lang w:eastAsia="en-AU"/>
              </w:rPr>
            </w:pPr>
            <w:r w:rsidRPr="00D142FF">
              <w:rPr>
                <w:rFonts w:eastAsia="Times New Roman" w:cs="Times New Roman"/>
                <w:b w:val="0"/>
                <w:szCs w:val="20"/>
                <w:lang w:eastAsia="en-AU"/>
              </w:rPr>
              <w:t xml:space="preserve">We recognise that our health and the resiliency of our waterways depends on how we manage our water and sewerage services. </w:t>
            </w:r>
            <w:r w:rsidR="004E6258" w:rsidRPr="00D142FF">
              <w:rPr>
                <w:rFonts w:eastAsia="Times New Roman" w:cs="Times New Roman"/>
                <w:b w:val="0"/>
                <w:szCs w:val="20"/>
                <w:lang w:eastAsia="en-AU"/>
              </w:rPr>
              <w:t xml:space="preserve"> </w:t>
            </w:r>
            <w:r w:rsidRPr="00D142FF">
              <w:rPr>
                <w:rFonts w:eastAsia="Times New Roman" w:cs="Times New Roman"/>
                <w:b w:val="0"/>
                <w:szCs w:val="20"/>
                <w:lang w:eastAsia="en-AU"/>
              </w:rPr>
              <w:t xml:space="preserve">We want to ensure that we continue to reduce and limit our environmental impact </w:t>
            </w:r>
            <w:r w:rsidR="00AD76E7" w:rsidRPr="00D142FF">
              <w:rPr>
                <w:rFonts w:eastAsia="Times New Roman" w:cs="Times New Roman"/>
                <w:b w:val="0"/>
                <w:szCs w:val="20"/>
                <w:lang w:eastAsia="en-AU"/>
              </w:rPr>
              <w:t>including</w:t>
            </w:r>
            <w:r w:rsidRPr="00D142FF">
              <w:rPr>
                <w:rFonts w:eastAsia="Times New Roman" w:cs="Times New Roman"/>
                <w:b w:val="0"/>
                <w:szCs w:val="20"/>
                <w:lang w:eastAsia="en-AU"/>
              </w:rPr>
              <w:t xml:space="preserve"> from our treatment plants and reduce our emissions to improve our environment to improve our waterways and environment. We also recognise that Traditional Owners as the original custodians of Country and their connection and obligation to water and natural resources.</w:t>
            </w:r>
          </w:p>
        </w:tc>
      </w:tr>
      <w:tr w:rsidR="00E01968" w:rsidRPr="00DD58ED" w14:paraId="6633B0B5"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shd w:val="clear" w:color="auto" w:fill="1A206C" w:themeFill="text2"/>
          </w:tcPr>
          <w:p w14:paraId="2F066F56" w14:textId="77777777" w:rsidR="00E01968" w:rsidRPr="00DD58ED" w:rsidRDefault="00E01968">
            <w:pPr>
              <w:rPr>
                <w:color w:val="FFFFFF"/>
                <w:szCs w:val="20"/>
              </w:rPr>
            </w:pPr>
            <w:r w:rsidRPr="00DD58ED">
              <w:rPr>
                <w:color w:val="FFFFFF"/>
                <w:szCs w:val="20"/>
              </w:rPr>
              <w:t>Experiences</w:t>
            </w:r>
          </w:p>
        </w:tc>
        <w:tc>
          <w:tcPr>
            <w:tcW w:w="2835" w:type="dxa"/>
            <w:shd w:val="clear" w:color="auto" w:fill="1A206C" w:themeFill="text2"/>
          </w:tcPr>
          <w:p w14:paraId="24E9FD20"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 xml:space="preserve">Report card measures </w:t>
            </w:r>
          </w:p>
        </w:tc>
        <w:tc>
          <w:tcPr>
            <w:tcW w:w="3544" w:type="dxa"/>
            <w:shd w:val="clear" w:color="auto" w:fill="1A206C" w:themeFill="text2"/>
          </w:tcPr>
          <w:p w14:paraId="3FA08805"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Our 2024-28 target</w:t>
            </w:r>
          </w:p>
        </w:tc>
        <w:tc>
          <w:tcPr>
            <w:tcW w:w="5634" w:type="dxa"/>
            <w:shd w:val="clear" w:color="auto" w:fill="1A206C" w:themeFill="text2"/>
          </w:tcPr>
          <w:p w14:paraId="0C8F0807"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What we will do</w:t>
            </w:r>
          </w:p>
        </w:tc>
      </w:tr>
      <w:tr w:rsidR="00E01968" w:rsidRPr="00DD58ED" w14:paraId="14700832" w14:textId="77777777" w:rsidTr="00AE09B8">
        <w:trPr>
          <w:trHeight w:val="1348"/>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680F0A7C" w14:textId="57BFFF52" w:rsidR="00E01968" w:rsidRPr="00D142FF" w:rsidRDefault="00E01968">
            <w:pPr>
              <w:rPr>
                <w:b w:val="0"/>
                <w:szCs w:val="20"/>
              </w:rPr>
            </w:pPr>
            <w:r w:rsidRPr="00D142FF">
              <w:rPr>
                <w:b w:val="0"/>
                <w:szCs w:val="20"/>
              </w:rPr>
              <w:t>We limit and reduce our impact on the environment including from our treatment plants</w:t>
            </w:r>
          </w:p>
        </w:tc>
        <w:tc>
          <w:tcPr>
            <w:tcW w:w="2835" w:type="dxa"/>
          </w:tcPr>
          <w:p w14:paraId="2412251E" w14:textId="66974E4C"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Proportion of beneficial re-use of biosolids from our treatment plants</w:t>
            </w:r>
            <w:r w:rsidR="00595692">
              <w:rPr>
                <w:rFonts w:asciiTheme="majorHAnsi" w:hAnsiTheme="majorHAnsi"/>
                <w:szCs w:val="20"/>
              </w:rPr>
              <w:t>*</w:t>
            </w:r>
            <w:r w:rsidR="00D25460" w:rsidRPr="00DD58ED">
              <w:rPr>
                <w:rFonts w:asciiTheme="majorHAnsi" w:hAnsiTheme="majorHAnsi"/>
                <w:szCs w:val="20"/>
              </w:rPr>
              <w:t xml:space="preserve"> </w:t>
            </w:r>
          </w:p>
        </w:tc>
        <w:tc>
          <w:tcPr>
            <w:tcW w:w="3544" w:type="dxa"/>
          </w:tcPr>
          <w:p w14:paraId="6726C337" w14:textId="377B90B0" w:rsidR="00E01968" w:rsidRPr="002C4056" w:rsidRDefault="00E0196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223197">
              <w:rPr>
                <w:rFonts w:asciiTheme="majorHAnsi" w:hAnsiTheme="majorHAnsi"/>
                <w:szCs w:val="20"/>
              </w:rPr>
              <w:t>&gt;90</w:t>
            </w:r>
            <w:r w:rsidR="008F071C" w:rsidRPr="003F5724">
              <w:rPr>
                <w:rFonts w:asciiTheme="majorHAnsi" w:hAnsiTheme="majorHAnsi"/>
                <w:szCs w:val="20"/>
              </w:rPr>
              <w:t>%</w:t>
            </w:r>
          </w:p>
        </w:tc>
        <w:tc>
          <w:tcPr>
            <w:tcW w:w="5634" w:type="dxa"/>
            <w:vMerge w:val="restart"/>
          </w:tcPr>
          <w:p w14:paraId="00286765" w14:textId="289B5E49" w:rsidR="00850D5C" w:rsidRPr="00AB7E5E" w:rsidRDefault="004401EC">
            <w:pPr>
              <w:pStyle w:val="ListBullet"/>
              <w:numPr>
                <w:ilvl w:val="0"/>
                <w:numId w:val="109"/>
              </w:numPr>
              <w:cnfStyle w:val="000000000000" w:firstRow="0" w:lastRow="0" w:firstColumn="0" w:lastColumn="0" w:oddVBand="0" w:evenVBand="0" w:oddHBand="0" w:evenHBand="0" w:firstRowFirstColumn="0" w:firstRowLastColumn="0" w:lastRowFirstColumn="0" w:lastRowLastColumn="0"/>
            </w:pPr>
            <w:r w:rsidRPr="00AB7E5E">
              <w:t>Investigat</w:t>
            </w:r>
            <w:r w:rsidR="009F7E3D" w:rsidRPr="00AB7E5E">
              <w:t>e</w:t>
            </w:r>
            <w:r w:rsidRPr="00AB7E5E">
              <w:t xml:space="preserve"> </w:t>
            </w:r>
            <w:r w:rsidR="00506381" w:rsidRPr="00AB7E5E">
              <w:t xml:space="preserve">the most </w:t>
            </w:r>
            <w:r w:rsidRPr="00AB7E5E">
              <w:t>beneficial r</w:t>
            </w:r>
            <w:r w:rsidR="00E75D4E" w:rsidRPr="00AB7E5E">
              <w:t>e</w:t>
            </w:r>
            <w:r w:rsidRPr="00AB7E5E">
              <w:t>use opportunities for biosolids including soil reuse</w:t>
            </w:r>
            <w:r w:rsidR="00F45168" w:rsidRPr="00AB7E5E">
              <w:t>.</w:t>
            </w:r>
          </w:p>
          <w:p w14:paraId="5F5F4388" w14:textId="53F0C6EC" w:rsidR="001E0BB4" w:rsidRDefault="001E0BB4">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Invest in our treatment plants to build capacity and </w:t>
            </w:r>
            <w:r w:rsidR="005719AE">
              <w:rPr>
                <w:rFonts w:asciiTheme="majorHAnsi" w:hAnsiTheme="majorHAnsi"/>
              </w:rPr>
              <w:t>e</w:t>
            </w:r>
            <w:r>
              <w:rPr>
                <w:rFonts w:asciiTheme="majorHAnsi" w:hAnsiTheme="majorHAnsi"/>
              </w:rPr>
              <w:t>nsure we meet our EPA’s discharge licence commitments</w:t>
            </w:r>
            <w:r w:rsidR="00CA72CF">
              <w:rPr>
                <w:rFonts w:asciiTheme="majorHAnsi" w:hAnsiTheme="majorHAnsi"/>
              </w:rPr>
              <w:t xml:space="preserve"> and improve waterway health in the highest risk areas</w:t>
            </w:r>
            <w:r w:rsidR="00F45168">
              <w:rPr>
                <w:rFonts w:asciiTheme="majorHAnsi" w:hAnsiTheme="majorHAnsi"/>
              </w:rPr>
              <w:t>.</w:t>
            </w:r>
          </w:p>
          <w:p w14:paraId="2D08F3A6" w14:textId="08D84257" w:rsidR="00172394" w:rsidRDefault="00CA72CF">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7A48422E">
              <w:rPr>
                <w:rFonts w:asciiTheme="majorHAnsi" w:hAnsiTheme="majorHAnsi"/>
              </w:rPr>
              <w:t>Continue to maintain our sewerage network to limit the risk of sewer spills</w:t>
            </w:r>
            <w:r w:rsidR="00450EC1">
              <w:rPr>
                <w:rFonts w:asciiTheme="majorHAnsi" w:hAnsiTheme="majorHAnsi"/>
              </w:rPr>
              <w:t>.</w:t>
            </w:r>
          </w:p>
          <w:p w14:paraId="754FE0CD" w14:textId="4AB1BD9B" w:rsidR="00E01968" w:rsidRPr="00276565" w:rsidRDefault="005719AE">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Engage</w:t>
            </w:r>
            <w:r w:rsidR="007D7349">
              <w:rPr>
                <w:rFonts w:asciiTheme="majorHAnsi" w:hAnsiTheme="majorHAnsi"/>
              </w:rPr>
              <w:t xml:space="preserve"> with</w:t>
            </w:r>
            <w:r w:rsidR="00172394">
              <w:rPr>
                <w:rFonts w:asciiTheme="majorHAnsi" w:hAnsiTheme="majorHAnsi"/>
              </w:rPr>
              <w:t xml:space="preserve"> communities near our inland treatment plants and with our Traditional Owners to understand waterway values</w:t>
            </w:r>
            <w:r w:rsidR="00F45168">
              <w:rPr>
                <w:rFonts w:asciiTheme="majorHAnsi" w:hAnsiTheme="majorHAnsi"/>
              </w:rPr>
              <w:t>.</w:t>
            </w:r>
            <w:r w:rsidR="00172394">
              <w:rPr>
                <w:rFonts w:asciiTheme="majorHAnsi" w:hAnsiTheme="majorHAnsi"/>
              </w:rPr>
              <w:t xml:space="preserve"> </w:t>
            </w:r>
          </w:p>
        </w:tc>
      </w:tr>
      <w:tr w:rsidR="00E01968" w:rsidRPr="00DD58ED" w14:paraId="1C97311F" w14:textId="77777777" w:rsidTr="00AE09B8">
        <w:trPr>
          <w:trHeight w:val="1349"/>
        </w:trPr>
        <w:tc>
          <w:tcPr>
            <w:cnfStyle w:val="001000000000" w:firstRow="0" w:lastRow="0" w:firstColumn="1" w:lastColumn="0" w:oddVBand="0" w:evenVBand="0" w:oddHBand="0" w:evenHBand="0" w:firstRowFirstColumn="0" w:firstRowLastColumn="0" w:lastRowFirstColumn="0" w:lastRowLastColumn="0"/>
            <w:tcW w:w="2552" w:type="dxa"/>
            <w:vMerge/>
          </w:tcPr>
          <w:p w14:paraId="28F7130C" w14:textId="77777777" w:rsidR="00E01968" w:rsidRPr="00D142FF" w:rsidRDefault="00E01968">
            <w:pPr>
              <w:rPr>
                <w:b w:val="0"/>
                <w:szCs w:val="20"/>
              </w:rPr>
            </w:pPr>
          </w:p>
        </w:tc>
        <w:tc>
          <w:tcPr>
            <w:tcW w:w="2835" w:type="dxa"/>
          </w:tcPr>
          <w:p w14:paraId="29A285A2" w14:textId="0329BDA9"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The number of EPA-notifiable sewer spills</w:t>
            </w:r>
            <w:r w:rsidR="00595692">
              <w:rPr>
                <w:rFonts w:asciiTheme="majorHAnsi" w:hAnsiTheme="majorHAnsi"/>
                <w:szCs w:val="20"/>
              </w:rPr>
              <w:t>*</w:t>
            </w:r>
          </w:p>
        </w:tc>
        <w:tc>
          <w:tcPr>
            <w:tcW w:w="3544" w:type="dxa"/>
          </w:tcPr>
          <w:p w14:paraId="5AED5C43" w14:textId="754768ED" w:rsidR="00E01968" w:rsidRPr="002C4056" w:rsidRDefault="007E470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F5724">
              <w:rPr>
                <w:rFonts w:asciiTheme="majorHAnsi" w:hAnsiTheme="majorHAnsi"/>
                <w:szCs w:val="20"/>
              </w:rPr>
              <w:t>&lt;13</w:t>
            </w:r>
          </w:p>
        </w:tc>
        <w:tc>
          <w:tcPr>
            <w:tcW w:w="5634" w:type="dxa"/>
            <w:vMerge/>
          </w:tcPr>
          <w:p w14:paraId="5EF949F5" w14:textId="77777777" w:rsidR="00E01968" w:rsidRPr="00DD58ED" w:rsidRDefault="00E01968" w:rsidP="00A23D9F">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E01968" w:rsidRPr="00DD58ED" w14:paraId="4AE819A0"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tcPr>
          <w:p w14:paraId="6F442210" w14:textId="77777777" w:rsidR="00E01968" w:rsidRPr="00D142FF" w:rsidRDefault="00E01968">
            <w:pPr>
              <w:rPr>
                <w:b w:val="0"/>
                <w:szCs w:val="20"/>
              </w:rPr>
            </w:pPr>
            <w:r w:rsidRPr="00D142FF">
              <w:rPr>
                <w:b w:val="0"/>
                <w:szCs w:val="20"/>
              </w:rPr>
              <w:t>We will meet our net zero emission targets by 2030</w:t>
            </w:r>
          </w:p>
        </w:tc>
        <w:tc>
          <w:tcPr>
            <w:tcW w:w="2835" w:type="dxa"/>
          </w:tcPr>
          <w:p w14:paraId="23DBBBAC" w14:textId="033B8683" w:rsidR="00E01968" w:rsidRPr="00F10262" w:rsidRDefault="00B5596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5596B">
              <w:rPr>
                <w:rFonts w:asciiTheme="majorHAnsi" w:hAnsiTheme="majorHAnsi"/>
                <w:szCs w:val="20"/>
              </w:rPr>
              <w:t>Tonnes of CO2 equivalent emissions</w:t>
            </w:r>
          </w:p>
        </w:tc>
        <w:tc>
          <w:tcPr>
            <w:tcW w:w="3544" w:type="dxa"/>
          </w:tcPr>
          <w:p w14:paraId="27BC712A" w14:textId="77777777"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rPr>
                <w:szCs w:val="20"/>
              </w:rPr>
            </w:pPr>
            <w:r w:rsidRPr="00537037">
              <w:rPr>
                <w:szCs w:val="20"/>
              </w:rPr>
              <w:t>2024-25 target: &lt;27,586 tonnes</w:t>
            </w:r>
          </w:p>
          <w:p w14:paraId="034E2B48" w14:textId="5D2BEFD6"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rPr>
                <w:szCs w:val="20"/>
              </w:rPr>
            </w:pPr>
            <w:r w:rsidRPr="00537037">
              <w:rPr>
                <w:szCs w:val="20"/>
              </w:rPr>
              <w:t>2025-28 target: &lt;27,586</w:t>
            </w:r>
            <w:r w:rsidR="00BE5413">
              <w:rPr>
                <w:szCs w:val="20"/>
              </w:rPr>
              <w:t xml:space="preserve"> </w:t>
            </w:r>
            <w:r w:rsidRPr="00537037">
              <w:rPr>
                <w:szCs w:val="20"/>
              </w:rPr>
              <w:t>tonnes*</w:t>
            </w:r>
          </w:p>
          <w:p w14:paraId="68DF2685" w14:textId="77777777"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pPr>
          </w:p>
          <w:p w14:paraId="59C359CF" w14:textId="53D5B374" w:rsidR="00E01968" w:rsidRPr="007D1E6C" w:rsidRDefault="00537037" w:rsidP="00537037">
            <w:pPr>
              <w:cnfStyle w:val="000000000000" w:firstRow="0" w:lastRow="0" w:firstColumn="0" w:lastColumn="0" w:oddVBand="0" w:evenVBand="0" w:oddHBand="0" w:evenHBand="0" w:firstRowFirstColumn="0" w:firstRowLastColumn="0" w:lastRowFirstColumn="0" w:lastRowLastColumn="0"/>
            </w:pPr>
            <w:r w:rsidRPr="00537037">
              <w:t xml:space="preserve">*We are currently progressing on a pathway to net zero by 2030. At the time of submission, the target tonnes of CO2 equivalent emissions beyond 2024-25 have not been finalised. We anticipate finalising these targets before 1 July 2024 and will inform </w:t>
            </w:r>
            <w:r w:rsidRPr="00537037">
              <w:lastRenderedPageBreak/>
              <w:t>the ESC with these targets as soon as possible.</w:t>
            </w:r>
          </w:p>
        </w:tc>
        <w:tc>
          <w:tcPr>
            <w:tcW w:w="5634" w:type="dxa"/>
          </w:tcPr>
          <w:p w14:paraId="01757D66" w14:textId="35306206" w:rsidR="00E3273F" w:rsidRDefault="00E3273F">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lastRenderedPageBreak/>
              <w:t>Develop and implement our revised net zero 2030 pathway as GWW</w:t>
            </w:r>
            <w:r w:rsidR="00F45168">
              <w:t>.</w:t>
            </w:r>
          </w:p>
          <w:p w14:paraId="6CA7B635" w14:textId="15081917" w:rsidR="00717EF1" w:rsidRPr="00276565"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276565">
              <w:t>Investigate and reduce emissions at our high energy consuming treatment plant</w:t>
            </w:r>
            <w:r w:rsidR="007D7349" w:rsidRPr="00276565">
              <w:t>s</w:t>
            </w:r>
            <w:r w:rsidR="00F45168">
              <w:t>.</w:t>
            </w:r>
          </w:p>
          <w:p w14:paraId="7905F753" w14:textId="59239DE0" w:rsidR="00717EF1" w:rsidRPr="00276565" w:rsidRDefault="007D7349">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276565">
              <w:t>Investigate</w:t>
            </w:r>
            <w:r w:rsidR="00717EF1" w:rsidRPr="00276565">
              <w:t xml:space="preserve"> </w:t>
            </w:r>
            <w:r w:rsidRPr="00276565">
              <w:t>our</w:t>
            </w:r>
            <w:r w:rsidR="00717EF1" w:rsidRPr="00276565">
              <w:t xml:space="preserve"> wastewater treatment plants </w:t>
            </w:r>
            <w:r w:rsidRPr="00276565">
              <w:t xml:space="preserve">to </w:t>
            </w:r>
            <w:r w:rsidR="00717EF1" w:rsidRPr="00276565">
              <w:t>better understand the options to reduce methane and nitrous oxide emissions</w:t>
            </w:r>
            <w:r w:rsidR="00F45168">
              <w:t>.</w:t>
            </w:r>
          </w:p>
          <w:p w14:paraId="341F5F26" w14:textId="7406F9ED" w:rsidR="00EF4B28"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eastAsia="Times New Roman" w:cs="Times New Roman"/>
                <w:spacing w:val="0"/>
              </w:rPr>
            </w:pPr>
            <w:r w:rsidRPr="00276565">
              <w:t xml:space="preserve">Explore and develop </w:t>
            </w:r>
            <w:r w:rsidR="007D7349" w:rsidRPr="00276565">
              <w:t xml:space="preserve">extra </w:t>
            </w:r>
            <w:r w:rsidRPr="00276565">
              <w:t>solar installation opportunities</w:t>
            </w:r>
            <w:r w:rsidR="000E2435">
              <w:t>.</w:t>
            </w:r>
          </w:p>
          <w:p w14:paraId="71BCBFE3" w14:textId="4BB106C3" w:rsidR="00717EF1" w:rsidRPr="00DD58ED"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eastAsia="Times New Roman" w:cs="Times New Roman"/>
                <w:spacing w:val="0"/>
              </w:rPr>
            </w:pPr>
            <w:r w:rsidRPr="00DD58ED">
              <w:rPr>
                <w:rFonts w:eastAsia="Times New Roman" w:cs="Times New Roman"/>
                <w:spacing w:val="0"/>
              </w:rPr>
              <w:t>Participate in securing carbon offsets for the water sector (</w:t>
            </w:r>
            <w:proofErr w:type="spellStart"/>
            <w:r w:rsidRPr="00DD58ED">
              <w:rPr>
                <w:rFonts w:eastAsia="Times New Roman" w:cs="Times New Roman"/>
                <w:spacing w:val="0"/>
              </w:rPr>
              <w:t>VicWater</w:t>
            </w:r>
            <w:proofErr w:type="spellEnd"/>
            <w:r w:rsidRPr="00DD58ED">
              <w:rPr>
                <w:rFonts w:eastAsia="Times New Roman" w:cs="Times New Roman"/>
                <w:spacing w:val="0"/>
              </w:rPr>
              <w:t xml:space="preserve"> Carbon Offsets Working Group)</w:t>
            </w:r>
            <w:r w:rsidR="000E2435">
              <w:rPr>
                <w:rFonts w:eastAsia="Times New Roman" w:cs="Times New Roman"/>
                <w:spacing w:val="0"/>
              </w:rPr>
              <w:t>.</w:t>
            </w:r>
          </w:p>
          <w:p w14:paraId="0F5BAC27" w14:textId="0DCFE7AD" w:rsidR="00E01968" w:rsidRPr="00276565" w:rsidRDefault="001500B7">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DD58ED">
              <w:rPr>
                <w:rFonts w:eastAsia="Times New Roman" w:cs="Times New Roman"/>
                <w:spacing w:val="0"/>
              </w:rPr>
              <w:lastRenderedPageBreak/>
              <w:t>Investigat</w:t>
            </w:r>
            <w:r w:rsidR="007D7349">
              <w:rPr>
                <w:rFonts w:eastAsia="Times New Roman" w:cs="Times New Roman"/>
                <w:spacing w:val="0"/>
              </w:rPr>
              <w:t>e innovative</w:t>
            </w:r>
            <w:r w:rsidRPr="00DD58ED">
              <w:rPr>
                <w:rFonts w:eastAsia="Times New Roman" w:cs="Times New Roman"/>
                <w:spacing w:val="0"/>
              </w:rPr>
              <w:t xml:space="preserve"> solutions in our </w:t>
            </w:r>
            <w:r w:rsidR="00E33A84">
              <w:rPr>
                <w:rFonts w:eastAsia="Times New Roman" w:cs="Times New Roman"/>
                <w:spacing w:val="0"/>
              </w:rPr>
              <w:t xml:space="preserve">service </w:t>
            </w:r>
            <w:r w:rsidRPr="00DD58ED">
              <w:rPr>
                <w:rFonts w:eastAsia="Times New Roman" w:cs="Times New Roman"/>
                <w:spacing w:val="0"/>
              </w:rPr>
              <w:t>region</w:t>
            </w:r>
            <w:r w:rsidR="000E2435">
              <w:rPr>
                <w:rFonts w:eastAsia="Times New Roman" w:cs="Times New Roman"/>
                <w:spacing w:val="0"/>
              </w:rPr>
              <w:t>.</w:t>
            </w:r>
            <w:r w:rsidRPr="00DD58ED">
              <w:rPr>
                <w:rFonts w:eastAsia="Times New Roman" w:cs="Times New Roman"/>
                <w:spacing w:val="0"/>
              </w:rPr>
              <w:t xml:space="preserve"> </w:t>
            </w:r>
          </w:p>
        </w:tc>
      </w:tr>
      <w:tr w:rsidR="00E01968" w:rsidRPr="00DD58ED" w14:paraId="23CECD89"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452BF793" w14:textId="73011A67" w:rsidR="00E01968" w:rsidRPr="00D142FF" w:rsidRDefault="00E01968">
            <w:pPr>
              <w:rPr>
                <w:b w:val="0"/>
                <w:szCs w:val="20"/>
              </w:rPr>
            </w:pPr>
            <w:r w:rsidRPr="00D142FF">
              <w:rPr>
                <w:b w:val="0"/>
                <w:szCs w:val="20"/>
              </w:rPr>
              <w:lastRenderedPageBreak/>
              <w:t>We actively support First Nations and Traditional Owners self-determination and provide access to water to achieve cultural value</w:t>
            </w:r>
            <w:r w:rsidR="00E33A84">
              <w:rPr>
                <w:b w:val="0"/>
                <w:szCs w:val="20"/>
              </w:rPr>
              <w:t>s</w:t>
            </w:r>
          </w:p>
        </w:tc>
        <w:tc>
          <w:tcPr>
            <w:tcW w:w="2835" w:type="dxa"/>
          </w:tcPr>
          <w:p w14:paraId="42C5A42F"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eastAsia="Verdana" w:hAnsiTheme="majorHAnsi" w:cs="Verdana"/>
                <w:szCs w:val="20"/>
                <w:lang w:val="en-US"/>
              </w:rPr>
              <w:t xml:space="preserve">Deliver actions outlined in our RAP </w:t>
            </w:r>
            <w:r w:rsidRPr="00DD58ED">
              <w:rPr>
                <w:rFonts w:asciiTheme="majorHAnsi" w:eastAsia="Verdana" w:hAnsiTheme="majorHAnsi" w:cs="Verdana"/>
                <w:szCs w:val="20"/>
              </w:rPr>
              <w:t xml:space="preserve"> </w:t>
            </w:r>
          </w:p>
        </w:tc>
        <w:tc>
          <w:tcPr>
            <w:tcW w:w="3544" w:type="dxa"/>
          </w:tcPr>
          <w:p w14:paraId="57453950" w14:textId="17DC1E4E" w:rsidR="00864758" w:rsidRPr="00B3351B" w:rsidRDefault="00E01968" w:rsidP="0070671C">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3351B">
              <w:rPr>
                <w:rFonts w:asciiTheme="majorHAnsi" w:hAnsiTheme="majorHAnsi"/>
                <w:szCs w:val="20"/>
              </w:rPr>
              <w:t>2024-</w:t>
            </w:r>
            <w:r w:rsidR="00FF4D6E" w:rsidRPr="00B3351B">
              <w:rPr>
                <w:rFonts w:asciiTheme="majorHAnsi" w:hAnsiTheme="majorHAnsi"/>
                <w:szCs w:val="20"/>
              </w:rPr>
              <w:t>25:</w:t>
            </w:r>
          </w:p>
          <w:p w14:paraId="33387A7D" w14:textId="320CF9C5" w:rsidR="00E01968" w:rsidRPr="00A95212" w:rsidRDefault="00FF4D6E" w:rsidP="00CA0873">
            <w:pPr>
              <w:pStyle w:val="ListBullet"/>
              <w:cnfStyle w:val="000000000000" w:firstRow="0" w:lastRow="0" w:firstColumn="0" w:lastColumn="0" w:oddVBand="0" w:evenVBand="0" w:oddHBand="0" w:evenHBand="0" w:firstRowFirstColumn="0" w:firstRowLastColumn="0" w:lastRowFirstColumn="0" w:lastRowLastColumn="0"/>
            </w:pPr>
            <w:r w:rsidRPr="00A95212">
              <w:t xml:space="preserve">On track </w:t>
            </w:r>
            <w:r w:rsidR="00864758" w:rsidRPr="00A95212">
              <w:t>–</w:t>
            </w:r>
            <w:r w:rsidRPr="00A95212">
              <w:t xml:space="preserve"> Refer to </w:t>
            </w:r>
            <w:r w:rsidR="00864758" w:rsidRPr="00A95212">
              <w:t>traffic light</w:t>
            </w:r>
            <w:r w:rsidRPr="00A95212">
              <w:t xml:space="preserve"> </w:t>
            </w:r>
            <w:proofErr w:type="gramStart"/>
            <w:r w:rsidRPr="00A95212">
              <w:t>report</w:t>
            </w:r>
            <w:proofErr w:type="gramEnd"/>
          </w:p>
          <w:p w14:paraId="487560A4" w14:textId="77777777" w:rsidR="00864758" w:rsidRPr="00B3351B" w:rsidRDefault="00FF4D6E" w:rsidP="0070671C">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3351B">
              <w:rPr>
                <w:rFonts w:asciiTheme="majorHAnsi" w:hAnsiTheme="majorHAnsi"/>
                <w:szCs w:val="20"/>
              </w:rPr>
              <w:t xml:space="preserve">2025-26: </w:t>
            </w:r>
          </w:p>
          <w:p w14:paraId="3319A5F7" w14:textId="1B2DAF47" w:rsidR="00864758" w:rsidRPr="00B3351B" w:rsidRDefault="00FF4D6E">
            <w:pPr>
              <w:pStyle w:val="ListBullet"/>
              <w:numPr>
                <w:ilvl w:val="0"/>
                <w:numId w:val="111"/>
              </w:numPr>
              <w:cnfStyle w:val="000000000000" w:firstRow="0" w:lastRow="0" w:firstColumn="0" w:lastColumn="0" w:oddVBand="0" w:evenVBand="0" w:oddHBand="0" w:evenHBand="0" w:firstRowFirstColumn="0" w:firstRowLastColumn="0" w:lastRowFirstColumn="0" w:lastRowLastColumn="0"/>
            </w:pPr>
            <w:r w:rsidRPr="00B3351B">
              <w:t>Met</w:t>
            </w:r>
            <w:r w:rsidR="00864758" w:rsidRPr="00B3351B">
              <w:t xml:space="preserve"> – Delivered</w:t>
            </w:r>
            <w:r w:rsidR="008C1CEC" w:rsidRPr="00B3351B">
              <w:t xml:space="preserve"> on</w:t>
            </w:r>
            <w:r w:rsidR="00864758" w:rsidRPr="00B3351B">
              <w:t xml:space="preserve"> actions in </w:t>
            </w:r>
            <w:r w:rsidR="008C1CEC" w:rsidRPr="00B3351B">
              <w:t xml:space="preserve">our </w:t>
            </w:r>
            <w:r w:rsidR="005F35BD" w:rsidRPr="00B3351B">
              <w:t xml:space="preserve">2023-2025 </w:t>
            </w:r>
            <w:r w:rsidR="00864758" w:rsidRPr="00B3351B">
              <w:t>RAP</w:t>
            </w:r>
            <w:r w:rsidR="008C1CEC" w:rsidRPr="00B3351B">
              <w:t xml:space="preserve"> and begun development or refresh of next </w:t>
            </w:r>
            <w:proofErr w:type="gramStart"/>
            <w:r w:rsidR="008C1CEC" w:rsidRPr="00B3351B">
              <w:t>RAP</w:t>
            </w:r>
            <w:proofErr w:type="gramEnd"/>
          </w:p>
          <w:p w14:paraId="06FFC13E" w14:textId="77777777" w:rsidR="00864758" w:rsidRPr="001521B8" w:rsidRDefault="00FF4D6E" w:rsidP="001521B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521B8">
              <w:rPr>
                <w:rFonts w:asciiTheme="majorHAnsi" w:hAnsiTheme="majorHAnsi"/>
                <w:szCs w:val="20"/>
              </w:rPr>
              <w:t>2026-28:</w:t>
            </w:r>
          </w:p>
          <w:p w14:paraId="3786D67D" w14:textId="40FF70AC" w:rsidR="00E01968" w:rsidRPr="00E935D9" w:rsidRDefault="00537037">
            <w:pPr>
              <w:pStyle w:val="ListBullet"/>
              <w:numPr>
                <w:ilvl w:val="0"/>
                <w:numId w:val="111"/>
              </w:numPr>
              <w:cnfStyle w:val="000000000000" w:firstRow="0" w:lastRow="0" w:firstColumn="0" w:lastColumn="0" w:oddVBand="0" w:evenVBand="0" w:oddHBand="0" w:evenHBand="0" w:firstRowFirstColumn="0" w:firstRowLastColumn="0" w:lastRowFirstColumn="0" w:lastRowLastColumn="0"/>
              <w:rPr>
                <w:rFonts w:eastAsia="Verdana" w:cs="Verdana"/>
                <w:lang w:val="en-US"/>
              </w:rPr>
            </w:pPr>
            <w:r>
              <w:t xml:space="preserve">On track - </w:t>
            </w:r>
            <w:r w:rsidR="008C1CEC" w:rsidRPr="00B3351B">
              <w:t xml:space="preserve">Continued </w:t>
            </w:r>
            <w:r w:rsidR="001E5A9E" w:rsidRPr="00B3351B">
              <w:t>implementation</w:t>
            </w:r>
            <w:r w:rsidR="00FF4D6E" w:rsidRPr="00B3351B">
              <w:t xml:space="preserve"> </w:t>
            </w:r>
            <w:r w:rsidR="00CA3532" w:rsidRPr="00B3351B">
              <w:t>or refresh</w:t>
            </w:r>
            <w:r w:rsidR="00FF4D6E" w:rsidRPr="00B3351B">
              <w:t xml:space="preserve"> of next RA</w:t>
            </w:r>
            <w:r w:rsidR="00CC0143" w:rsidRPr="0070671C">
              <w:t>P</w:t>
            </w:r>
          </w:p>
        </w:tc>
        <w:tc>
          <w:tcPr>
            <w:tcW w:w="5634" w:type="dxa"/>
            <w:vMerge w:val="restart"/>
          </w:tcPr>
          <w:p w14:paraId="0DF3B40D" w14:textId="348BFABC" w:rsidR="00A02D57" w:rsidRDefault="0091235A">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 annual operating expenditure to </w:t>
            </w:r>
            <w:r w:rsidR="00C8081A">
              <w:rPr>
                <w:lang w:val="en-US"/>
              </w:rPr>
              <w:t>partner</w:t>
            </w:r>
            <w:r>
              <w:rPr>
                <w:lang w:val="en-US"/>
              </w:rPr>
              <w:t xml:space="preserve"> with </w:t>
            </w:r>
            <w:r w:rsidR="00B20C35">
              <w:rPr>
                <w:lang w:val="en-US"/>
              </w:rPr>
              <w:t xml:space="preserve">Traditional </w:t>
            </w:r>
            <w:r>
              <w:rPr>
                <w:lang w:val="en-US"/>
              </w:rPr>
              <w:t xml:space="preserve">Owners </w:t>
            </w:r>
            <w:r w:rsidR="00A02D57">
              <w:rPr>
                <w:lang w:val="en-US"/>
              </w:rPr>
              <w:t>to for self-</w:t>
            </w:r>
            <w:r w:rsidR="00B20C35">
              <w:rPr>
                <w:lang w:val="en-US"/>
              </w:rPr>
              <w:t xml:space="preserve">determined </w:t>
            </w:r>
            <w:r w:rsidR="00A02D57">
              <w:rPr>
                <w:lang w:val="en-US"/>
              </w:rPr>
              <w:t xml:space="preserve">water related projects to support healing and caring for </w:t>
            </w:r>
            <w:proofErr w:type="gramStart"/>
            <w:r w:rsidR="00A02D57">
              <w:rPr>
                <w:lang w:val="en-US"/>
              </w:rPr>
              <w:t>Country</w:t>
            </w:r>
            <w:proofErr w:type="gramEnd"/>
            <w:r w:rsidR="00A02D57">
              <w:rPr>
                <w:lang w:val="en-US"/>
              </w:rPr>
              <w:t xml:space="preserve"> </w:t>
            </w:r>
          </w:p>
          <w:p w14:paraId="74B8F82D" w14:textId="3D4F4C63" w:rsidR="00864758"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Deliver on the actions in our RAP and evaluate</w:t>
            </w:r>
            <w:r w:rsidR="007D7349">
              <w:rPr>
                <w:lang w:val="en-US"/>
              </w:rPr>
              <w:t>,</w:t>
            </w:r>
            <w:r>
              <w:rPr>
                <w:lang w:val="en-US"/>
              </w:rPr>
              <w:t xml:space="preserve"> </w:t>
            </w:r>
            <w:proofErr w:type="gramStart"/>
            <w:r>
              <w:rPr>
                <w:lang w:val="en-US"/>
              </w:rPr>
              <w:t>develop</w:t>
            </w:r>
            <w:proofErr w:type="gramEnd"/>
            <w:r>
              <w:rPr>
                <w:lang w:val="en-US"/>
              </w:rPr>
              <w:t xml:space="preserve"> or refresh a new RAP in 2025</w:t>
            </w:r>
            <w:r w:rsidR="007D7349">
              <w:rPr>
                <w:lang w:val="en-US"/>
              </w:rPr>
              <w:t>-</w:t>
            </w:r>
            <w:r>
              <w:rPr>
                <w:lang w:val="en-US"/>
              </w:rPr>
              <w:t>26</w:t>
            </w:r>
            <w:r w:rsidR="00CD65BF">
              <w:rPr>
                <w:lang w:val="en-US"/>
              </w:rPr>
              <w:t>.</w:t>
            </w:r>
          </w:p>
          <w:p w14:paraId="359456CE" w14:textId="444444EF" w:rsidR="00864758"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Develop and implement our </w:t>
            </w:r>
            <w:r w:rsidR="00C92BFA">
              <w:rPr>
                <w:lang w:val="en-US"/>
              </w:rPr>
              <w:t>Walking Alongside First Nations Commitment</w:t>
            </w:r>
            <w:r w:rsidR="00CD65BF">
              <w:rPr>
                <w:lang w:val="en-US"/>
              </w:rPr>
              <w:t>.</w:t>
            </w:r>
          </w:p>
          <w:p w14:paraId="3CD9AD07" w14:textId="12F280EA" w:rsidR="00D25460" w:rsidRPr="00DD58ED" w:rsidRDefault="007D7349">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E</w:t>
            </w:r>
            <w:r w:rsidR="00D25460" w:rsidRPr="00DD58ED">
              <w:rPr>
                <w:lang w:val="en-US"/>
              </w:rPr>
              <w:t xml:space="preserve">ngage with First Nations </w:t>
            </w:r>
            <w:r>
              <w:rPr>
                <w:lang w:val="en-US"/>
              </w:rPr>
              <w:t xml:space="preserve">people </w:t>
            </w:r>
            <w:r w:rsidR="00D25460" w:rsidRPr="00DD58ED">
              <w:rPr>
                <w:lang w:val="en-US"/>
              </w:rPr>
              <w:t xml:space="preserve">and Traditional Owners in a </w:t>
            </w:r>
            <w:r>
              <w:rPr>
                <w:lang w:val="en-US"/>
              </w:rPr>
              <w:t>way</w:t>
            </w:r>
            <w:r w:rsidRPr="00DD58ED">
              <w:rPr>
                <w:lang w:val="en-US"/>
              </w:rPr>
              <w:t xml:space="preserve"> </w:t>
            </w:r>
            <w:r w:rsidR="00D25460" w:rsidRPr="00DD58ED">
              <w:rPr>
                <w:lang w:val="en-US"/>
              </w:rPr>
              <w:t>that reflects their priorities</w:t>
            </w:r>
            <w:r w:rsidR="00B3351B">
              <w:rPr>
                <w:lang w:val="en-US"/>
              </w:rPr>
              <w:t>.</w:t>
            </w:r>
          </w:p>
          <w:p w14:paraId="21A52424" w14:textId="77777777" w:rsidR="00CA0873" w:rsidRPr="00CA0873" w:rsidRDefault="00520387">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Pr>
                <w:lang w:val="en-US"/>
              </w:rPr>
              <w:t>S</w:t>
            </w:r>
            <w:r w:rsidR="00D25460" w:rsidRPr="00DD58ED">
              <w:rPr>
                <w:lang w:val="en-US"/>
              </w:rPr>
              <w:t>ubmit a project proposal to return water to Traditional Owners to the Department of Environment, Energy and Climate Action (Action 4.2 for the Central and Gippsland Region Sustainable Water Strategy)</w:t>
            </w:r>
            <w:r w:rsidR="0091235A" w:rsidRPr="0091235A">
              <w:rPr>
                <w:lang w:val="en-US"/>
              </w:rPr>
              <w:t xml:space="preserve"> </w:t>
            </w:r>
          </w:p>
          <w:p w14:paraId="355BF4E5" w14:textId="32E54C19" w:rsidR="00E01968" w:rsidRPr="00DD58ED"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sidRPr="7A48422E">
              <w:rPr>
                <w:rFonts w:asciiTheme="majorHAnsi" w:eastAsia="Verdana" w:hAnsiTheme="majorHAnsi" w:cs="Verdana"/>
                <w:szCs w:val="20"/>
                <w:lang w:val="en-US"/>
              </w:rPr>
              <w:t>I</w:t>
            </w:r>
            <w:r w:rsidR="00D25460" w:rsidRPr="00DD58ED">
              <w:rPr>
                <w:rFonts w:asciiTheme="majorHAnsi" w:eastAsia="Verdana" w:hAnsiTheme="majorHAnsi" w:cs="Verdana"/>
                <w:szCs w:val="20"/>
                <w:lang w:val="en-US"/>
              </w:rPr>
              <w:t>dentify and scop</w:t>
            </w:r>
            <w:r w:rsidR="007D7349">
              <w:rPr>
                <w:rFonts w:asciiTheme="majorHAnsi" w:eastAsia="Verdana" w:hAnsiTheme="majorHAnsi" w:cs="Verdana"/>
                <w:szCs w:val="20"/>
                <w:lang w:val="en-US"/>
              </w:rPr>
              <w:t>e</w:t>
            </w:r>
            <w:r w:rsidR="00D25460" w:rsidRPr="00DD58ED">
              <w:rPr>
                <w:rFonts w:asciiTheme="majorHAnsi" w:eastAsia="Verdana" w:hAnsiTheme="majorHAnsi" w:cs="Verdana"/>
                <w:szCs w:val="20"/>
                <w:lang w:val="en-US"/>
              </w:rPr>
              <w:t xml:space="preserve"> pilot opportunities to support the return of water, including securing funding for knowledge-gathering</w:t>
            </w:r>
            <w:r w:rsidR="007D7349">
              <w:rPr>
                <w:rFonts w:asciiTheme="majorHAnsi" w:eastAsia="Verdana" w:hAnsiTheme="majorHAnsi" w:cs="Verdana"/>
                <w:szCs w:val="20"/>
                <w:lang w:val="en-US"/>
              </w:rPr>
              <w:t>,</w:t>
            </w:r>
            <w:r w:rsidR="00D25460" w:rsidRPr="00DD58ED">
              <w:rPr>
                <w:rFonts w:asciiTheme="majorHAnsi" w:eastAsia="Verdana" w:hAnsiTheme="majorHAnsi" w:cs="Verdana"/>
                <w:szCs w:val="20"/>
                <w:lang w:val="en-US"/>
              </w:rPr>
              <w:t xml:space="preserve"> </w:t>
            </w:r>
            <w:proofErr w:type="gramStart"/>
            <w:r w:rsidR="00D25460" w:rsidRPr="00DD58ED">
              <w:rPr>
                <w:rFonts w:asciiTheme="majorHAnsi" w:eastAsia="Verdana" w:hAnsiTheme="majorHAnsi" w:cs="Verdana"/>
                <w:szCs w:val="20"/>
                <w:lang w:val="en-US"/>
              </w:rPr>
              <w:t>capacity</w:t>
            </w:r>
            <w:proofErr w:type="gramEnd"/>
            <w:r w:rsidR="00D25460" w:rsidRPr="00DD58ED">
              <w:rPr>
                <w:rFonts w:asciiTheme="majorHAnsi" w:eastAsia="Verdana" w:hAnsiTheme="majorHAnsi" w:cs="Verdana"/>
                <w:szCs w:val="20"/>
                <w:lang w:val="en-US"/>
              </w:rPr>
              <w:t xml:space="preserve"> and capability uplift</w:t>
            </w:r>
            <w:r w:rsidR="00B3351B">
              <w:rPr>
                <w:rFonts w:asciiTheme="majorHAnsi" w:eastAsia="Verdana" w:hAnsiTheme="majorHAnsi" w:cs="Verdana"/>
                <w:szCs w:val="20"/>
                <w:lang w:val="en-US"/>
              </w:rPr>
              <w:t>.</w:t>
            </w:r>
            <w:r w:rsidR="00D25460" w:rsidRPr="7A48422E" w:rsidDel="00B3351B">
              <w:rPr>
                <w:rFonts w:asciiTheme="majorHAnsi" w:eastAsia="Verdana" w:hAnsiTheme="majorHAnsi" w:cs="Verdana"/>
                <w:szCs w:val="20"/>
                <w:lang w:val="en-US"/>
              </w:rPr>
              <w:t>  </w:t>
            </w:r>
            <w:r w:rsidR="00D25460" w:rsidRPr="00DD58ED">
              <w:rPr>
                <w:rFonts w:asciiTheme="majorHAnsi" w:eastAsia="Verdana" w:hAnsiTheme="majorHAnsi" w:cs="Verdana"/>
                <w:szCs w:val="20"/>
                <w:lang w:val="en-US"/>
              </w:rPr>
              <w:t xml:space="preserve"> </w:t>
            </w:r>
          </w:p>
        </w:tc>
      </w:tr>
      <w:tr w:rsidR="00E01968" w:rsidRPr="00DD58ED" w14:paraId="09789BF8"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vMerge/>
          </w:tcPr>
          <w:p w14:paraId="4FAFBA2A" w14:textId="77777777" w:rsidR="00E01968" w:rsidRPr="00DD58ED" w:rsidRDefault="00E01968">
            <w:pPr>
              <w:rPr>
                <w:szCs w:val="20"/>
              </w:rPr>
            </w:pPr>
          </w:p>
        </w:tc>
        <w:tc>
          <w:tcPr>
            <w:tcW w:w="2835" w:type="dxa"/>
          </w:tcPr>
          <w:p w14:paraId="2385BC58" w14:textId="5638CAC3"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sidRPr="00DD58ED">
              <w:rPr>
                <w:rFonts w:asciiTheme="majorHAnsi" w:eastAsia="Verdana" w:hAnsiTheme="majorHAnsi" w:cs="Verdana"/>
                <w:szCs w:val="20"/>
              </w:rPr>
              <w:t xml:space="preserve">Development and implementation of our </w:t>
            </w:r>
            <w:r w:rsidR="00C92BFA">
              <w:rPr>
                <w:rFonts w:asciiTheme="majorHAnsi" w:eastAsia="Verdana" w:hAnsiTheme="majorHAnsi" w:cs="Verdana"/>
                <w:szCs w:val="20"/>
              </w:rPr>
              <w:t xml:space="preserve">Walking Alongside First Nations Commitment </w:t>
            </w:r>
          </w:p>
        </w:tc>
        <w:tc>
          <w:tcPr>
            <w:tcW w:w="3544" w:type="dxa"/>
          </w:tcPr>
          <w:p w14:paraId="66629996" w14:textId="5CEFBE25" w:rsidR="00864758" w:rsidRPr="005140AE" w:rsidRDefault="00E01968" w:rsidP="00410364">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140AE">
              <w:rPr>
                <w:rFonts w:asciiTheme="majorHAnsi" w:hAnsiTheme="majorHAnsi"/>
                <w:szCs w:val="20"/>
              </w:rPr>
              <w:t>2024-</w:t>
            </w:r>
            <w:r w:rsidR="00864758" w:rsidRPr="005140AE">
              <w:rPr>
                <w:rFonts w:asciiTheme="majorHAnsi" w:hAnsiTheme="majorHAnsi"/>
                <w:szCs w:val="20"/>
              </w:rPr>
              <w:t>28</w:t>
            </w:r>
            <w:r w:rsidRPr="005140AE">
              <w:rPr>
                <w:rFonts w:asciiTheme="majorHAnsi" w:hAnsiTheme="majorHAnsi"/>
                <w:szCs w:val="20"/>
              </w:rPr>
              <w:t xml:space="preserve"> target: </w:t>
            </w:r>
          </w:p>
          <w:p w14:paraId="0A911EAE" w14:textId="0D5C0681" w:rsidR="00E01968" w:rsidRPr="005140AE" w:rsidRDefault="00E01968" w:rsidP="00410364">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140AE">
              <w:rPr>
                <w:rFonts w:asciiTheme="majorHAnsi" w:hAnsiTheme="majorHAnsi"/>
                <w:szCs w:val="20"/>
              </w:rPr>
              <w:t>On track</w:t>
            </w:r>
            <w:r w:rsidR="00B2711F" w:rsidRPr="005140AE">
              <w:rPr>
                <w:rFonts w:asciiTheme="majorHAnsi" w:hAnsiTheme="majorHAnsi"/>
                <w:szCs w:val="20"/>
              </w:rPr>
              <w:t xml:space="preserve"> (refer to our commitments </w:t>
            </w:r>
            <w:r w:rsidR="00F6504A">
              <w:rPr>
                <w:rFonts w:asciiTheme="majorHAnsi" w:hAnsiTheme="majorHAnsi"/>
                <w:szCs w:val="20"/>
              </w:rPr>
              <w:t>in</w:t>
            </w:r>
            <w:r w:rsidR="00F6504A" w:rsidRPr="005140AE">
              <w:rPr>
                <w:rFonts w:asciiTheme="majorHAnsi" w:hAnsiTheme="majorHAnsi"/>
                <w:szCs w:val="20"/>
              </w:rPr>
              <w:t xml:space="preserve"> </w:t>
            </w:r>
            <w:r w:rsidR="00B2711F" w:rsidRPr="005140AE">
              <w:rPr>
                <w:rFonts w:asciiTheme="majorHAnsi" w:hAnsiTheme="majorHAnsi"/>
                <w:szCs w:val="20"/>
              </w:rPr>
              <w:t xml:space="preserve">our </w:t>
            </w:r>
            <w:r w:rsidR="00C92BFA">
              <w:rPr>
                <w:rFonts w:asciiTheme="majorHAnsi" w:eastAsia="Verdana" w:hAnsiTheme="majorHAnsi" w:cs="Verdana"/>
                <w:szCs w:val="20"/>
              </w:rPr>
              <w:t>Walking Alongside First Nations Commitment</w:t>
            </w:r>
            <w:r w:rsidR="00B2711F" w:rsidRPr="005140AE">
              <w:rPr>
                <w:rFonts w:asciiTheme="majorHAnsi" w:hAnsiTheme="majorHAnsi"/>
                <w:szCs w:val="20"/>
              </w:rPr>
              <w:t>)</w:t>
            </w:r>
            <w:r w:rsidRPr="005140AE" w:rsidDel="00D3556D">
              <w:rPr>
                <w:rFonts w:asciiTheme="majorHAnsi" w:eastAsia="Verdana" w:hAnsiTheme="majorHAnsi" w:cs="Verdana"/>
                <w:szCs w:val="20"/>
              </w:rPr>
              <w:t xml:space="preserve"> </w:t>
            </w:r>
          </w:p>
        </w:tc>
        <w:tc>
          <w:tcPr>
            <w:tcW w:w="5634" w:type="dxa"/>
            <w:vMerge/>
          </w:tcPr>
          <w:p w14:paraId="7C52A45E"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color w:val="FF0000"/>
                <w:szCs w:val="20"/>
                <w:lang w:val="en-US"/>
              </w:rPr>
            </w:pPr>
          </w:p>
        </w:tc>
      </w:tr>
      <w:tr w:rsidR="006C776A" w:rsidRPr="006C776A" w14:paraId="01B03468" w14:textId="77777777" w:rsidTr="006C776A">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shd w:val="clear" w:color="auto" w:fill="1A206C" w:themeFill="text2"/>
          </w:tcPr>
          <w:p w14:paraId="73042945" w14:textId="59286A04" w:rsidR="00E01968" w:rsidRPr="006C776A" w:rsidRDefault="004D4B98" w:rsidP="00C42B4D">
            <w:pPr>
              <w:jc w:val="center"/>
              <w:rPr>
                <w:rFonts w:eastAsia="Verdana" w:cs="Verdana"/>
                <w:color w:val="FFFFFF" w:themeColor="background1"/>
                <w:szCs w:val="20"/>
                <w:lang w:val="en-US"/>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E01968" w:rsidRPr="00AE09B8" w14:paraId="5EA808FC" w14:textId="77777777" w:rsidTr="00BE5413">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vAlign w:val="center"/>
          </w:tcPr>
          <w:p w14:paraId="5B522146" w14:textId="788EB85B" w:rsidR="00E01968" w:rsidRPr="00AE09B8" w:rsidRDefault="00B8533E" w:rsidP="00897D42">
            <w:pPr>
              <w:rPr>
                <w:rFonts w:ascii="Verdana" w:eastAsia="Verdana" w:hAnsi="Verdana"/>
                <w:spacing w:val="0"/>
                <w:szCs w:val="18"/>
              </w:rPr>
            </w:pPr>
            <w:r w:rsidRPr="00AE09B8">
              <w:rPr>
                <w:rFonts w:ascii="Verdana" w:eastAsia="Verdana" w:hAnsi="Verdana"/>
                <w:spacing w:val="0"/>
                <w:szCs w:val="18"/>
              </w:rPr>
              <w:t xml:space="preserve">Improving </w:t>
            </w:r>
            <w:r w:rsidR="00520387" w:rsidRPr="00AE09B8">
              <w:rPr>
                <w:rFonts w:ascii="Verdana" w:eastAsia="Verdana" w:hAnsi="Verdana"/>
                <w:spacing w:val="0"/>
                <w:szCs w:val="18"/>
              </w:rPr>
              <w:t xml:space="preserve">waterway </w:t>
            </w:r>
            <w:r w:rsidRPr="00AE09B8">
              <w:rPr>
                <w:rFonts w:ascii="Verdana" w:eastAsia="Verdana" w:hAnsi="Verdana"/>
                <w:spacing w:val="0"/>
                <w:szCs w:val="18"/>
              </w:rPr>
              <w:t>health in Woodend</w:t>
            </w:r>
            <w:r w:rsidR="00936FA3" w:rsidRPr="00AE09B8">
              <w:rPr>
                <w:rFonts w:ascii="Verdana" w:eastAsia="Verdana" w:hAnsi="Verdana"/>
                <w:spacing w:val="0"/>
                <w:szCs w:val="18"/>
              </w:rPr>
              <w:t xml:space="preserve"> </w:t>
            </w:r>
            <w:r w:rsidR="00936FA3" w:rsidRPr="00D142FF">
              <w:rPr>
                <w:rFonts w:ascii="Verdana" w:eastAsia="Verdana" w:hAnsi="Verdana"/>
                <w:b w:val="0"/>
                <w:spacing w:val="0"/>
                <w:szCs w:val="18"/>
              </w:rPr>
              <w:t>($58.</w:t>
            </w:r>
            <w:r w:rsidR="00BE2FDE" w:rsidRPr="00D142FF">
              <w:rPr>
                <w:rFonts w:ascii="Verdana" w:eastAsia="Verdana" w:hAnsi="Verdana"/>
                <w:b w:val="0"/>
                <w:spacing w:val="0"/>
                <w:szCs w:val="18"/>
              </w:rPr>
              <w:t>4</w:t>
            </w:r>
            <w:r w:rsidR="00936FA3"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00936FA3" w:rsidRPr="00D142FF">
              <w:rPr>
                <w:rFonts w:ascii="Verdana" w:eastAsia="Verdana" w:hAnsi="Verdana"/>
                <w:b w:val="0"/>
                <w:spacing w:val="0"/>
                <w:szCs w:val="18"/>
              </w:rPr>
              <w:t>)</w:t>
            </w:r>
          </w:p>
          <w:p w14:paraId="5D19B581" w14:textId="2CE842DA" w:rsidR="00B8533E" w:rsidRPr="00D142FF" w:rsidRDefault="00621F87" w:rsidP="00897D42">
            <w:pPr>
              <w:rPr>
                <w:rFonts w:ascii="Verdana" w:eastAsia="Verdana" w:hAnsi="Verdana"/>
                <w:b w:val="0"/>
                <w:spacing w:val="0"/>
                <w:szCs w:val="18"/>
              </w:rPr>
            </w:pPr>
            <w:r w:rsidRPr="00AE09B8">
              <w:rPr>
                <w:rFonts w:ascii="Verdana" w:eastAsia="Verdana" w:hAnsi="Verdana"/>
                <w:spacing w:val="0"/>
                <w:szCs w:val="18"/>
              </w:rPr>
              <w:t xml:space="preserve">Supporting waterway health in Gisborne and meeting Environment </w:t>
            </w:r>
            <w:r w:rsidR="00936A1E" w:rsidRPr="00AE09B8">
              <w:rPr>
                <w:rFonts w:ascii="Verdana" w:eastAsia="Verdana" w:hAnsi="Verdana"/>
                <w:spacing w:val="0"/>
                <w:szCs w:val="18"/>
              </w:rPr>
              <w:t xml:space="preserve">Protection Authority </w:t>
            </w:r>
            <w:r w:rsidR="00520387" w:rsidRPr="00AE09B8">
              <w:rPr>
                <w:rFonts w:ascii="Verdana" w:eastAsia="Verdana" w:hAnsi="Verdana"/>
                <w:spacing w:val="0"/>
                <w:szCs w:val="18"/>
              </w:rPr>
              <w:t>l</w:t>
            </w:r>
            <w:r w:rsidR="00936A1E" w:rsidRPr="00AE09B8">
              <w:rPr>
                <w:rFonts w:ascii="Verdana" w:eastAsia="Verdana" w:hAnsi="Verdana"/>
                <w:spacing w:val="0"/>
                <w:szCs w:val="18"/>
              </w:rPr>
              <w:t>icence</w:t>
            </w:r>
            <w:r w:rsidR="007306EE" w:rsidRPr="00AE09B8">
              <w:rPr>
                <w:rFonts w:ascii="Verdana" w:eastAsia="Verdana" w:hAnsi="Verdana"/>
                <w:spacing w:val="0"/>
                <w:szCs w:val="18"/>
              </w:rPr>
              <w:t xml:space="preserve"> requirements</w:t>
            </w:r>
            <w:r w:rsidR="00936FA3" w:rsidRPr="00AE09B8">
              <w:rPr>
                <w:rFonts w:ascii="Verdana" w:eastAsia="Verdana" w:hAnsi="Verdana"/>
                <w:spacing w:val="0"/>
                <w:szCs w:val="18"/>
              </w:rPr>
              <w:t xml:space="preserve"> </w:t>
            </w:r>
            <w:r w:rsidR="003F459F" w:rsidRPr="00D142FF">
              <w:rPr>
                <w:rFonts w:ascii="Verdana" w:eastAsia="Verdana" w:hAnsi="Verdana"/>
                <w:b w:val="0"/>
                <w:spacing w:val="0"/>
                <w:szCs w:val="18"/>
              </w:rPr>
              <w:t>($29.9m</w:t>
            </w:r>
            <w:r w:rsidR="00537037" w:rsidRPr="00D142FF">
              <w:rPr>
                <w:rFonts w:ascii="Verdana" w:eastAsia="Verdana" w:hAnsi="Verdana"/>
                <w:b w:val="0"/>
                <w:spacing w:val="0"/>
                <w:szCs w:val="18"/>
              </w:rPr>
              <w:t xml:space="preserve"> CAPEX</w:t>
            </w:r>
            <w:r w:rsidR="003F459F" w:rsidRPr="00D142FF">
              <w:rPr>
                <w:rFonts w:ascii="Verdana" w:eastAsia="Verdana" w:hAnsi="Verdana"/>
                <w:b w:val="0"/>
                <w:spacing w:val="0"/>
                <w:szCs w:val="18"/>
              </w:rPr>
              <w:t>)</w:t>
            </w:r>
          </w:p>
          <w:p w14:paraId="5247738F" w14:textId="67FEC1AB" w:rsidR="00E01968" w:rsidRPr="00AE09B8" w:rsidRDefault="00DD198E" w:rsidP="00897D42">
            <w:pPr>
              <w:rPr>
                <w:rFonts w:ascii="Verdana" w:eastAsia="Verdana" w:hAnsi="Verdana"/>
                <w:spacing w:val="0"/>
                <w:szCs w:val="18"/>
              </w:rPr>
            </w:pPr>
            <w:r w:rsidRPr="00AE09B8">
              <w:rPr>
                <w:rFonts w:ascii="Verdana" w:eastAsia="Verdana" w:hAnsi="Verdana"/>
                <w:spacing w:val="0"/>
                <w:szCs w:val="18"/>
              </w:rPr>
              <w:t>Supporting waterway health and growth in Romsey</w:t>
            </w:r>
            <w:r w:rsidR="003F459F" w:rsidRPr="00AE09B8">
              <w:rPr>
                <w:rFonts w:ascii="Verdana" w:eastAsia="Verdana" w:hAnsi="Verdana"/>
                <w:spacing w:val="0"/>
                <w:szCs w:val="18"/>
              </w:rPr>
              <w:t xml:space="preserve"> </w:t>
            </w:r>
            <w:r w:rsidR="003F459F" w:rsidRPr="00D142FF">
              <w:rPr>
                <w:rFonts w:ascii="Verdana" w:eastAsia="Verdana" w:hAnsi="Verdana"/>
                <w:b w:val="0"/>
                <w:spacing w:val="0"/>
                <w:szCs w:val="18"/>
              </w:rPr>
              <w:t>(</w:t>
            </w:r>
            <w:r w:rsidR="00E93CF0" w:rsidRPr="00D142FF">
              <w:rPr>
                <w:rFonts w:ascii="Verdana" w:eastAsia="Verdana" w:hAnsi="Verdana"/>
                <w:b w:val="0"/>
                <w:spacing w:val="0"/>
                <w:szCs w:val="18"/>
              </w:rPr>
              <w:t>$23.</w:t>
            </w:r>
            <w:r w:rsidR="0073125E" w:rsidRPr="00D142FF">
              <w:rPr>
                <w:rFonts w:ascii="Verdana" w:eastAsia="Verdana" w:hAnsi="Verdana"/>
                <w:b w:val="0"/>
                <w:spacing w:val="0"/>
                <w:szCs w:val="18"/>
              </w:rPr>
              <w:t>9</w:t>
            </w:r>
            <w:r w:rsidR="00E93CF0"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00E93CF0" w:rsidRPr="00D142FF">
              <w:rPr>
                <w:rFonts w:ascii="Verdana" w:eastAsia="Verdana" w:hAnsi="Verdana"/>
                <w:b w:val="0"/>
                <w:spacing w:val="0"/>
                <w:szCs w:val="18"/>
              </w:rPr>
              <w:t>)</w:t>
            </w:r>
          </w:p>
          <w:p w14:paraId="6EFF2A44" w14:textId="56B1963B" w:rsidR="00301132" w:rsidRPr="00AE09B8" w:rsidRDefault="00301132" w:rsidP="00897D42">
            <w:pPr>
              <w:rPr>
                <w:rFonts w:ascii="Verdana" w:eastAsia="Verdana" w:hAnsi="Verdana"/>
                <w:spacing w:val="0"/>
                <w:szCs w:val="18"/>
              </w:rPr>
            </w:pPr>
            <w:r w:rsidRPr="00AE09B8">
              <w:rPr>
                <w:rFonts w:ascii="Verdana" w:eastAsia="Verdana" w:hAnsi="Verdana"/>
                <w:spacing w:val="0"/>
                <w:szCs w:val="18"/>
              </w:rPr>
              <w:t xml:space="preserve">Sewer treatment growth and renewals programs </w:t>
            </w:r>
            <w:r w:rsidRPr="00D142FF">
              <w:rPr>
                <w:rFonts w:ascii="Verdana" w:eastAsia="Verdana" w:hAnsi="Verdana"/>
                <w:b w:val="0"/>
                <w:spacing w:val="0"/>
                <w:szCs w:val="18"/>
              </w:rPr>
              <w:t>($132.</w:t>
            </w:r>
            <w:r w:rsidR="0073125E" w:rsidRPr="00D142FF">
              <w:rPr>
                <w:rFonts w:ascii="Verdana" w:eastAsia="Verdana" w:hAnsi="Verdana"/>
                <w:b w:val="0"/>
                <w:spacing w:val="0"/>
                <w:szCs w:val="18"/>
              </w:rPr>
              <w:t>8</w:t>
            </w:r>
            <w:r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Pr="00D142FF">
              <w:rPr>
                <w:rFonts w:ascii="Verdana" w:eastAsia="Verdana" w:hAnsi="Verdana"/>
                <w:b w:val="0"/>
                <w:spacing w:val="0"/>
                <w:szCs w:val="18"/>
              </w:rPr>
              <w:t>)</w:t>
            </w:r>
          </w:p>
          <w:p w14:paraId="78D35670" w14:textId="2818F94A" w:rsidR="00E01968" w:rsidRPr="00AE09B8" w:rsidRDefault="00347E00" w:rsidP="00897D42">
            <w:pPr>
              <w:rPr>
                <w:rFonts w:ascii="Verdana" w:eastAsia="Verdana" w:hAnsi="Verdana"/>
                <w:spacing w:val="0"/>
                <w:szCs w:val="18"/>
              </w:rPr>
            </w:pPr>
            <w:r w:rsidRPr="00AE09B8">
              <w:rPr>
                <w:rFonts w:ascii="Verdana" w:eastAsia="Verdana" w:hAnsi="Verdana"/>
                <w:spacing w:val="0"/>
                <w:szCs w:val="18"/>
              </w:rPr>
              <w:t>Operati</w:t>
            </w:r>
            <w:r w:rsidR="00D228FA">
              <w:rPr>
                <w:rFonts w:ascii="Verdana" w:eastAsia="Verdana" w:hAnsi="Verdana"/>
                <w:spacing w:val="0"/>
                <w:szCs w:val="18"/>
              </w:rPr>
              <w:t>ng expenditure</w:t>
            </w:r>
            <w:r w:rsidRPr="00AE09B8">
              <w:rPr>
                <w:rFonts w:ascii="Verdana" w:eastAsia="Verdana" w:hAnsi="Verdana"/>
                <w:spacing w:val="0"/>
                <w:szCs w:val="18"/>
              </w:rPr>
              <w:t xml:space="preserve"> step change</w:t>
            </w:r>
            <w:r w:rsidR="00A02D57" w:rsidRPr="00AE09B8">
              <w:rPr>
                <w:rFonts w:ascii="Verdana" w:eastAsia="Verdana" w:hAnsi="Verdana"/>
                <w:spacing w:val="0"/>
                <w:szCs w:val="18"/>
              </w:rPr>
              <w:t xml:space="preserve"> to </w:t>
            </w:r>
            <w:r w:rsidR="00E23A05" w:rsidRPr="00AE09B8">
              <w:rPr>
                <w:rFonts w:ascii="Verdana" w:eastAsia="Verdana" w:hAnsi="Verdana"/>
                <w:spacing w:val="0"/>
                <w:szCs w:val="18"/>
              </w:rPr>
              <w:t>achieve</w:t>
            </w:r>
            <w:r w:rsidR="00A02D57" w:rsidRPr="00AE09B8">
              <w:rPr>
                <w:rFonts w:ascii="Verdana" w:eastAsia="Verdana" w:hAnsi="Verdana"/>
                <w:spacing w:val="0"/>
                <w:szCs w:val="18"/>
              </w:rPr>
              <w:t xml:space="preserve"> </w:t>
            </w:r>
            <w:r w:rsidR="00E23A05" w:rsidRPr="00AE09B8">
              <w:rPr>
                <w:rFonts w:ascii="Verdana" w:eastAsia="Verdana" w:hAnsi="Verdana"/>
                <w:spacing w:val="0"/>
                <w:szCs w:val="18"/>
              </w:rPr>
              <w:t>Traditional</w:t>
            </w:r>
            <w:r w:rsidR="00A02D57" w:rsidRPr="00AE09B8">
              <w:rPr>
                <w:rFonts w:ascii="Verdana" w:eastAsia="Verdana" w:hAnsi="Verdana"/>
                <w:spacing w:val="0"/>
                <w:szCs w:val="18"/>
              </w:rPr>
              <w:t xml:space="preserve"> Owners water objectives</w:t>
            </w:r>
            <w:r w:rsidR="00FA4B89" w:rsidRPr="00AE09B8">
              <w:rPr>
                <w:rFonts w:ascii="Verdana" w:eastAsia="Verdana" w:hAnsi="Verdana"/>
                <w:spacing w:val="0"/>
                <w:szCs w:val="18"/>
              </w:rPr>
              <w:t xml:space="preserve"> </w:t>
            </w:r>
            <w:r w:rsidR="00FA4B89" w:rsidRPr="00D142FF">
              <w:rPr>
                <w:rFonts w:ascii="Verdana" w:eastAsia="Verdana" w:hAnsi="Verdana"/>
                <w:b w:val="0"/>
                <w:spacing w:val="0"/>
                <w:szCs w:val="18"/>
              </w:rPr>
              <w:t>($4m OPEX)</w:t>
            </w:r>
          </w:p>
        </w:tc>
      </w:tr>
    </w:tbl>
    <w:p w14:paraId="5CADF87C" w14:textId="3A542884" w:rsidR="00C8081A" w:rsidRDefault="00C8081A" w:rsidP="00115C49">
      <w:pPr>
        <w:rPr>
          <w:sz w:val="20"/>
          <w:szCs w:val="20"/>
        </w:rPr>
      </w:pPr>
      <w:r w:rsidRPr="00132BC5">
        <w:rPr>
          <w:sz w:val="20"/>
          <w:szCs w:val="20"/>
        </w:rPr>
        <w:lastRenderedPageBreak/>
        <w:t>*</w:t>
      </w:r>
      <w:r>
        <w:rPr>
          <w:sz w:val="20"/>
          <w:szCs w:val="20"/>
        </w:rPr>
        <w:t>Applicable</w:t>
      </w:r>
      <w:r w:rsidRPr="00132BC5">
        <w:rPr>
          <w:sz w:val="20"/>
          <w:szCs w:val="20"/>
        </w:rPr>
        <w:t xml:space="preserv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73125E">
        <w:rPr>
          <w:sz w:val="20"/>
          <w:szCs w:val="20"/>
        </w:rPr>
        <w:t>investment and expenditure</w:t>
      </w:r>
      <w:r>
        <w:rPr>
          <w:sz w:val="20"/>
          <w:szCs w:val="20"/>
        </w:rPr>
        <w:t xml:space="preserve"> consider our customer outcomes and are aligned to ensure measures are achievable. </w:t>
      </w:r>
    </w:p>
    <w:p w14:paraId="2CFE5664" w14:textId="77777777" w:rsidR="00B36F33" w:rsidRDefault="00B36F33" w:rsidP="00115C49">
      <w:pPr>
        <w:rPr>
          <w:sz w:val="20"/>
          <w:szCs w:val="20"/>
        </w:rPr>
      </w:pPr>
    </w:p>
    <w:p w14:paraId="61560D25" w14:textId="00E106F9" w:rsidR="009E3F0B" w:rsidRPr="00FB40BA" w:rsidRDefault="00FB40BA" w:rsidP="0050713B">
      <w:pPr>
        <w:pStyle w:val="BoxedQuote"/>
        <w:rPr>
          <w:b/>
          <w:bCs/>
        </w:rPr>
      </w:pPr>
      <w:r w:rsidRPr="00FB40BA">
        <w:rPr>
          <w:b/>
          <w:bCs/>
        </w:rPr>
        <w:t xml:space="preserve">Supporting documents for </w:t>
      </w:r>
      <w:r w:rsidR="00FE6985">
        <w:rPr>
          <w:b/>
          <w:bCs/>
        </w:rPr>
        <w:t>Outcomes</w:t>
      </w:r>
      <w:r w:rsidRPr="00FB40BA">
        <w:rPr>
          <w:b/>
          <w:bCs/>
        </w:rPr>
        <w:t>:</w:t>
      </w:r>
      <w:r w:rsidR="0017345B" w:rsidRPr="00FB40BA">
        <w:rPr>
          <w:b/>
          <w:bCs/>
        </w:rPr>
        <w:t xml:space="preserve"> </w:t>
      </w:r>
    </w:p>
    <w:p w14:paraId="7FAD94E3" w14:textId="77777777" w:rsidR="00D2092B" w:rsidRDefault="00D2092B" w:rsidP="00D2092B">
      <w:pPr>
        <w:pStyle w:val="BoxedBullet"/>
      </w:pPr>
      <w:r>
        <w:t xml:space="preserve">Focus group feedback </w:t>
      </w:r>
      <w:proofErr w:type="gramStart"/>
      <w:r>
        <w:t>report</w:t>
      </w:r>
      <w:proofErr w:type="gramEnd"/>
      <w:r>
        <w:t xml:space="preserve"> </w:t>
      </w:r>
    </w:p>
    <w:p w14:paraId="643E5C2D" w14:textId="77777777" w:rsidR="00D2092B" w:rsidRDefault="00D2092B" w:rsidP="00D2092B">
      <w:pPr>
        <w:pStyle w:val="BoxedBullet"/>
      </w:pPr>
      <w:r>
        <w:t xml:space="preserve">Exploration </w:t>
      </w:r>
      <w:r w:rsidR="0068419B">
        <w:t xml:space="preserve">stage </w:t>
      </w:r>
      <w:r>
        <w:t xml:space="preserve">report </w:t>
      </w:r>
    </w:p>
    <w:p w14:paraId="4763186B" w14:textId="77777777" w:rsidR="00D2092B" w:rsidRDefault="00D2092B" w:rsidP="00D2092B">
      <w:pPr>
        <w:pStyle w:val="BoxedBullet"/>
      </w:pPr>
      <w:r>
        <w:t xml:space="preserve">Valuation stage report </w:t>
      </w:r>
    </w:p>
    <w:p w14:paraId="5ABDF50A" w14:textId="77777777" w:rsidR="00D2092B" w:rsidRDefault="00D2092B" w:rsidP="00D2092B">
      <w:pPr>
        <w:pStyle w:val="BoxedBullet"/>
      </w:pPr>
      <w:r>
        <w:t>Deliberative panel report</w:t>
      </w:r>
    </w:p>
    <w:p w14:paraId="5A7D2F83" w14:textId="77777777" w:rsidR="00D2092B" w:rsidRDefault="0068419B" w:rsidP="00D2092B">
      <w:pPr>
        <w:pStyle w:val="BoxedBullet"/>
      </w:pPr>
      <w:r>
        <w:t>Deliberative panel r</w:t>
      </w:r>
      <w:r w:rsidR="00D2092B">
        <w:t xml:space="preserve">ecall day </w:t>
      </w:r>
      <w:proofErr w:type="gramStart"/>
      <w:r w:rsidR="00D2092B">
        <w:t>report</w:t>
      </w:r>
      <w:proofErr w:type="gramEnd"/>
    </w:p>
    <w:p w14:paraId="0F94A62F" w14:textId="77777777" w:rsidR="00D2092B" w:rsidRDefault="00D2092B" w:rsidP="00D2092B">
      <w:pPr>
        <w:pStyle w:val="BoxedBullet"/>
      </w:pPr>
      <w:r>
        <w:t xml:space="preserve">Customer forum summary report </w:t>
      </w:r>
    </w:p>
    <w:p w14:paraId="15465972" w14:textId="77777777" w:rsidR="00B36F33" w:rsidRDefault="00D2092B" w:rsidP="00115C49">
      <w:pPr>
        <w:pStyle w:val="BoxedBullet"/>
      </w:pPr>
      <w:r>
        <w:t xml:space="preserve">Confirmation </w:t>
      </w:r>
      <w:r w:rsidR="0068419B">
        <w:t xml:space="preserve">stage </w:t>
      </w:r>
      <w:r>
        <w:t xml:space="preserve">report </w:t>
      </w:r>
    </w:p>
    <w:p w14:paraId="451B4ADF" w14:textId="5285E24B" w:rsidR="00C8081A" w:rsidRDefault="00E527F4" w:rsidP="00E527F4">
      <w:pPr>
        <w:pStyle w:val="BoxedBullet"/>
        <w:sectPr w:rsidR="00C8081A" w:rsidSect="008C1A38">
          <w:pgSz w:w="16838" w:h="11906" w:code="9"/>
          <w:pgMar w:top="1134" w:right="1134" w:bottom="1134" w:left="1134" w:header="709" w:footer="652" w:gutter="0"/>
          <w:cols w:space="708"/>
          <w:docGrid w:linePitch="360"/>
        </w:sectPr>
      </w:pPr>
      <w:r>
        <w:t>P</w:t>
      </w:r>
      <w:r w:rsidR="0073125E">
        <w:t xml:space="preserve">rice </w:t>
      </w:r>
      <w:r>
        <w:t>S</w:t>
      </w:r>
      <w:r w:rsidR="0073125E">
        <w:t>ubmission</w:t>
      </w:r>
      <w:r>
        <w:t xml:space="preserve"> Customer Outcome handbook </w:t>
      </w:r>
    </w:p>
    <w:p w14:paraId="7259D955" w14:textId="5D4C9471" w:rsidR="00BF1AF8" w:rsidRPr="00865246" w:rsidRDefault="00BF1AF8" w:rsidP="00D63DB3">
      <w:pPr>
        <w:pStyle w:val="Heading2"/>
      </w:pPr>
      <w:bookmarkStart w:id="95" w:name="_Toc146004863"/>
      <w:bookmarkStart w:id="96" w:name="_Toc146004751"/>
      <w:bookmarkStart w:id="97" w:name="_Toc146746697"/>
      <w:r w:rsidRPr="00865246">
        <w:lastRenderedPageBreak/>
        <w:t xml:space="preserve">Service </w:t>
      </w:r>
      <w:r w:rsidR="00520387">
        <w:t>s</w:t>
      </w:r>
      <w:r w:rsidRPr="00865246">
        <w:t>tandards</w:t>
      </w:r>
      <w:bookmarkEnd w:id="95"/>
      <w:bookmarkEnd w:id="96"/>
      <w:bookmarkEnd w:id="97"/>
      <w:r w:rsidRPr="00865246">
        <w:t> </w:t>
      </w:r>
    </w:p>
    <w:p w14:paraId="7BF37A4A" w14:textId="0CBBCC33" w:rsidR="00BF1AF8" w:rsidRDefault="00BF1AF8" w:rsidP="00BF1AF8">
      <w:r>
        <w:t>Service standards specify the minimum level of service a customer can expect to receive from us.</w:t>
      </w:r>
      <w:r w:rsidR="00EF4E9D">
        <w:t xml:space="preserve"> </w:t>
      </w:r>
    </w:p>
    <w:p w14:paraId="46A75A66" w14:textId="31D832FA" w:rsidR="00BF1AF8" w:rsidRDefault="009E5B45" w:rsidP="00BF1AF8">
      <w:r>
        <w:t xml:space="preserve">Our deliberative panel recommended that we maintain our current level of unplanned outages. Based on this recommendation, </w:t>
      </w:r>
      <w:r w:rsidR="00072258">
        <w:t>w</w:t>
      </w:r>
      <w:r w:rsidR="00BF1AF8">
        <w:t xml:space="preserve">e propose a revised set of annual targets for 2024-2028 </w:t>
      </w:r>
      <w:r w:rsidR="00520387">
        <w:t>based on</w:t>
      </w:r>
      <w:r w:rsidR="00BF1AF8">
        <w:t xml:space="preserve"> </w:t>
      </w:r>
      <w:r w:rsidR="00730ECE">
        <w:t xml:space="preserve">GWW </w:t>
      </w:r>
      <w:r w:rsidR="00520387">
        <w:t>three</w:t>
      </w:r>
      <w:r w:rsidR="00BF1AF8">
        <w:t xml:space="preserve">-year </w:t>
      </w:r>
      <w:r w:rsidR="00730ECE">
        <w:t>average</w:t>
      </w:r>
      <w:r w:rsidR="00BF1AF8">
        <w:t xml:space="preserve"> performance (20</w:t>
      </w:r>
      <w:r w:rsidR="00BF0896">
        <w:t>20</w:t>
      </w:r>
      <w:r w:rsidR="00BF1AF8">
        <w:t>-</w:t>
      </w:r>
      <w:r w:rsidR="00BF1AF8" w:rsidRPr="00760CC3">
        <w:t>23)</w:t>
      </w:r>
      <w:r w:rsidR="00760CC3" w:rsidRPr="00760CC3">
        <w:t xml:space="preserve">. </w:t>
      </w:r>
      <w:r w:rsidR="00DE7DCF" w:rsidRPr="00760CC3">
        <w:fldChar w:fldCharType="begin"/>
      </w:r>
      <w:r w:rsidR="00DE7DCF" w:rsidRPr="00760CC3">
        <w:instrText xml:space="preserve"> REF _Ref143093906 \h </w:instrText>
      </w:r>
      <w:r w:rsidR="009D1011" w:rsidRPr="00760CC3">
        <w:instrText xml:space="preserve"> \* MERGEFORMAT </w:instrText>
      </w:r>
      <w:r w:rsidR="00DE7DCF" w:rsidRPr="00760CC3">
        <w:fldChar w:fldCharType="separate"/>
      </w:r>
      <w:r w:rsidR="003B42C6" w:rsidRPr="003B42C6">
        <w:rPr>
          <w:b/>
        </w:rPr>
        <w:t>Table</w:t>
      </w:r>
      <w:r w:rsidR="003B42C6" w:rsidRPr="003B42C6" w:rsidDel="00DE7DCF">
        <w:rPr>
          <w:b/>
        </w:rPr>
        <w:t xml:space="preserve"> </w:t>
      </w:r>
      <w:r w:rsidR="003B42C6">
        <w:rPr>
          <w:b/>
          <w:bCs/>
          <w:noProof/>
        </w:rPr>
        <w:t>9</w:t>
      </w:r>
      <w:r w:rsidR="00DE7DCF" w:rsidRPr="00760CC3">
        <w:fldChar w:fldCharType="end"/>
      </w:r>
      <w:r w:rsidR="00DE7DCF">
        <w:t xml:space="preserve"> </w:t>
      </w:r>
      <w:r w:rsidR="00BF1AF8">
        <w:t xml:space="preserve">includes the recently updated Customer Service Code and amendments to three customer service code indicators. </w:t>
      </w:r>
    </w:p>
    <w:p w14:paraId="2FE9E479" w14:textId="50B7A897" w:rsidR="002900E9" w:rsidRDefault="00BF1AF8" w:rsidP="00BF1AF8">
      <w:r>
        <w:t xml:space="preserve">Where our </w:t>
      </w:r>
      <w:r w:rsidR="00730ECE">
        <w:t xml:space="preserve">GWW </w:t>
      </w:r>
      <w:r w:rsidR="00520387">
        <w:t>three</w:t>
      </w:r>
      <w:r>
        <w:t xml:space="preserve">-year average performance outperformed either CWW or WW historical targets, we </w:t>
      </w:r>
      <w:r w:rsidR="002D37C9">
        <w:t>propose to maintain</w:t>
      </w:r>
      <w:r>
        <w:t xml:space="preserve"> the minimum </w:t>
      </w:r>
      <w:r w:rsidR="00730ECE">
        <w:t>existing level of service</w:t>
      </w:r>
      <w:r>
        <w:t xml:space="preserve">. Where our </w:t>
      </w:r>
      <w:r w:rsidR="00520387">
        <w:t>three</w:t>
      </w:r>
      <w:r>
        <w:t xml:space="preserve">-year average performance was </w:t>
      </w:r>
      <w:r w:rsidR="002D37C9">
        <w:t>between</w:t>
      </w:r>
      <w:r>
        <w:t xml:space="preserve"> CWW or WW </w:t>
      </w:r>
      <w:r w:rsidR="00E101E6">
        <w:t xml:space="preserve">existing level of service or </w:t>
      </w:r>
      <w:r w:rsidR="002D37C9">
        <w:t xml:space="preserve">did not meet either </w:t>
      </w:r>
      <w:r w:rsidR="00E101E6">
        <w:t>level of service</w:t>
      </w:r>
      <w:r>
        <w:t xml:space="preserve">, we set the target equal to our </w:t>
      </w:r>
      <w:r w:rsidR="008A5120">
        <w:t>three</w:t>
      </w:r>
      <w:r w:rsidR="0073125E">
        <w:t>-</w:t>
      </w:r>
      <w:r w:rsidR="008A5120">
        <w:t xml:space="preserve">year average </w:t>
      </w:r>
      <w:r>
        <w:t>performance</w:t>
      </w:r>
      <w:r w:rsidR="008A5120">
        <w:t xml:space="preserve">. </w:t>
      </w:r>
    </w:p>
    <w:p w14:paraId="4F5F1A73" w14:textId="457F975E" w:rsidR="00BF1AF8" w:rsidRPr="00B37BC9" w:rsidRDefault="00BF1AF8" w:rsidP="00BF1AF8">
      <w:pPr>
        <w:pStyle w:val="Caption"/>
      </w:pPr>
      <w:bookmarkStart w:id="98" w:name="_Ref143093906"/>
      <w:r w:rsidRPr="00024821">
        <w:rPr>
          <w:b/>
          <w:bCs/>
        </w:rPr>
        <w:t>Table</w:t>
      </w:r>
      <w:r w:rsidRPr="00024821" w:rsidDel="00DE7DCF">
        <w:rPr>
          <w:b/>
          <w:bCs/>
        </w:rPr>
        <w:t xml:space="preserve"> </w:t>
      </w:r>
      <w:r w:rsidRPr="00024821">
        <w:rPr>
          <w:b/>
          <w:bCs/>
        </w:rPr>
        <w:fldChar w:fldCharType="begin"/>
      </w:r>
      <w:r w:rsidRPr="00024821">
        <w:rPr>
          <w:b/>
          <w:bCs/>
        </w:rPr>
        <w:instrText>SEQ Table \* ARABIC</w:instrText>
      </w:r>
      <w:r w:rsidRPr="00024821">
        <w:rPr>
          <w:b/>
          <w:bCs/>
        </w:rPr>
        <w:fldChar w:fldCharType="separate"/>
      </w:r>
      <w:r w:rsidR="003B42C6">
        <w:rPr>
          <w:b/>
          <w:bCs/>
          <w:noProof/>
        </w:rPr>
        <w:t>9</w:t>
      </w:r>
      <w:r w:rsidRPr="00024821">
        <w:rPr>
          <w:b/>
          <w:bCs/>
        </w:rPr>
        <w:fldChar w:fldCharType="end"/>
      </w:r>
      <w:bookmarkEnd w:id="98"/>
      <w:r>
        <w:t xml:space="preserve"> Proposed serv</w:t>
      </w:r>
      <w:r w:rsidR="008F1665">
        <w:t>ic</w:t>
      </w:r>
      <w:r>
        <w:t>e standards 2024-28</w:t>
      </w:r>
    </w:p>
    <w:tbl>
      <w:tblPr>
        <w:tblStyle w:val="GWWShadedtable"/>
        <w:tblW w:w="0" w:type="auto"/>
        <w:tblLayout w:type="fixed"/>
        <w:tblLook w:val="04A0" w:firstRow="1" w:lastRow="0" w:firstColumn="1" w:lastColumn="0" w:noHBand="0" w:noVBand="1"/>
      </w:tblPr>
      <w:tblGrid>
        <w:gridCol w:w="4528"/>
        <w:gridCol w:w="1698"/>
        <w:gridCol w:w="1854"/>
        <w:gridCol w:w="1542"/>
      </w:tblGrid>
      <w:tr w:rsidR="00BF1AF8" w:rsidRPr="009F0ED4" w14:paraId="447F5007" w14:textId="77777777" w:rsidTr="003D43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8" w:type="dxa"/>
            <w:vMerge w:val="restart"/>
            <w:hideMark/>
          </w:tcPr>
          <w:p w14:paraId="0E867B2E" w14:textId="77777777" w:rsidR="00BF1AF8" w:rsidRPr="009F0ED4" w:rsidRDefault="00BF1AF8" w:rsidP="00543D01">
            <w:pPr>
              <w:ind w:left="127"/>
              <w:rPr>
                <w:b w:val="0"/>
                <w:bCs/>
                <w:szCs w:val="18"/>
              </w:rPr>
            </w:pPr>
            <w:r w:rsidRPr="009F0ED4">
              <w:rPr>
                <w:bCs/>
                <w:szCs w:val="18"/>
              </w:rPr>
              <w:t>Service standards </w:t>
            </w:r>
          </w:p>
        </w:tc>
        <w:tc>
          <w:tcPr>
            <w:tcW w:w="3552" w:type="dxa"/>
            <w:gridSpan w:val="2"/>
            <w:vAlign w:val="center"/>
            <w:hideMark/>
          </w:tcPr>
          <w:p w14:paraId="58305F8A" w14:textId="77777777" w:rsidR="00BF1AF8" w:rsidRPr="009F0ED4" w:rsidRDefault="00BF1AF8" w:rsidP="000E6D24">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Current target</w:t>
            </w:r>
          </w:p>
        </w:tc>
        <w:tc>
          <w:tcPr>
            <w:tcW w:w="1542" w:type="dxa"/>
            <w:vAlign w:val="center"/>
            <w:hideMark/>
          </w:tcPr>
          <w:p w14:paraId="52CE0414" w14:textId="3A6F7813" w:rsidR="00BF1AF8" w:rsidRPr="009F0ED4" w:rsidRDefault="00BF1AF8" w:rsidP="000E6D24">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Proposed target</w:t>
            </w:r>
          </w:p>
        </w:tc>
      </w:tr>
      <w:tr w:rsidR="00BF1AF8" w:rsidRPr="009F0ED4" w14:paraId="0EC73C4D" w14:textId="77777777" w:rsidTr="003D43E1">
        <w:trPr>
          <w:trHeight w:val="20"/>
        </w:trPr>
        <w:tc>
          <w:tcPr>
            <w:cnfStyle w:val="001000000000" w:firstRow="0" w:lastRow="0" w:firstColumn="1" w:lastColumn="0" w:oddVBand="0" w:evenVBand="0" w:oddHBand="0" w:evenHBand="0" w:firstRowFirstColumn="0" w:firstRowLastColumn="0" w:lastRowFirstColumn="0" w:lastRowLastColumn="0"/>
            <w:tcW w:w="4528" w:type="dxa"/>
            <w:vMerge/>
            <w:shd w:val="clear" w:color="auto" w:fill="1A206C" w:themeFill="text2"/>
            <w:hideMark/>
          </w:tcPr>
          <w:p w14:paraId="632DF16F" w14:textId="77777777" w:rsidR="00BF1AF8" w:rsidRPr="009F0ED4" w:rsidRDefault="00BF1AF8">
            <w:pPr>
              <w:rPr>
                <w:b w:val="0"/>
                <w:bCs/>
                <w:szCs w:val="18"/>
              </w:rPr>
            </w:pPr>
          </w:p>
        </w:tc>
        <w:tc>
          <w:tcPr>
            <w:tcW w:w="1698" w:type="dxa"/>
            <w:shd w:val="clear" w:color="auto" w:fill="1A206C" w:themeFill="text2"/>
            <w:vAlign w:val="center"/>
            <w:hideMark/>
          </w:tcPr>
          <w:p w14:paraId="749427CE" w14:textId="5CBFA163" w:rsidR="00BF1AF8" w:rsidRPr="009F0ED4" w:rsidRDefault="00E101E6"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Central</w:t>
            </w:r>
            <w:r w:rsidR="00BF1AF8" w:rsidRPr="009F0ED4">
              <w:rPr>
                <w:b/>
                <w:bCs/>
                <w:szCs w:val="18"/>
              </w:rPr>
              <w:t xml:space="preserve"> </w:t>
            </w:r>
            <w:r w:rsidRPr="009F0ED4">
              <w:rPr>
                <w:b/>
                <w:bCs/>
                <w:szCs w:val="18"/>
              </w:rPr>
              <w:t>region</w:t>
            </w:r>
          </w:p>
        </w:tc>
        <w:tc>
          <w:tcPr>
            <w:tcW w:w="1854" w:type="dxa"/>
            <w:shd w:val="clear" w:color="auto" w:fill="1A206C" w:themeFill="text2"/>
            <w:vAlign w:val="center"/>
            <w:hideMark/>
          </w:tcPr>
          <w:p w14:paraId="72C80D08" w14:textId="0A8688AF" w:rsidR="00BF1AF8" w:rsidRPr="009F0ED4" w:rsidRDefault="00BF1AF8"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Western region</w:t>
            </w:r>
          </w:p>
        </w:tc>
        <w:tc>
          <w:tcPr>
            <w:tcW w:w="1542" w:type="dxa"/>
            <w:shd w:val="clear" w:color="auto" w:fill="1A206C" w:themeFill="text2"/>
            <w:vAlign w:val="center"/>
            <w:hideMark/>
          </w:tcPr>
          <w:p w14:paraId="7FA8EE34" w14:textId="7FC147BF" w:rsidR="00BF1AF8" w:rsidRPr="009F0ED4" w:rsidRDefault="00E101E6"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GWW</w:t>
            </w:r>
          </w:p>
        </w:tc>
      </w:tr>
      <w:tr w:rsidR="00BF1AF8" w:rsidRPr="009F0ED4" w14:paraId="02A5C79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4"/>
            <w:vAlign w:val="center"/>
            <w:hideMark/>
          </w:tcPr>
          <w:p w14:paraId="0C610FBF" w14:textId="6CC25433" w:rsidR="00BF1AF8" w:rsidRPr="009F0ED4" w:rsidRDefault="00BF1AF8" w:rsidP="00612D45">
            <w:pPr>
              <w:ind w:left="127"/>
              <w:rPr>
                <w:b w:val="0"/>
                <w:bCs/>
                <w:szCs w:val="18"/>
              </w:rPr>
            </w:pPr>
            <w:r w:rsidRPr="009F0ED4">
              <w:rPr>
                <w:bCs/>
                <w:szCs w:val="18"/>
              </w:rPr>
              <w:t>Water service standards</w:t>
            </w:r>
          </w:p>
        </w:tc>
      </w:tr>
      <w:tr w:rsidR="00BF1AF8" w:rsidRPr="009F0ED4" w14:paraId="66F96DE2"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2CE69DFC" w14:textId="77777777" w:rsidR="00BF1AF8" w:rsidRPr="004D70B1" w:rsidRDefault="00BF1AF8" w:rsidP="00612D45">
            <w:pPr>
              <w:ind w:left="127"/>
              <w:rPr>
                <w:b w:val="0"/>
                <w:szCs w:val="18"/>
              </w:rPr>
            </w:pPr>
            <w:r w:rsidRPr="004D70B1">
              <w:rPr>
                <w:b w:val="0"/>
                <w:szCs w:val="18"/>
              </w:rPr>
              <w:t>Customers experiencing more than five unplanned water supply interruptions in any 12-month period   </w:t>
            </w:r>
          </w:p>
        </w:tc>
        <w:tc>
          <w:tcPr>
            <w:tcW w:w="1698" w:type="dxa"/>
            <w:vAlign w:val="center"/>
            <w:hideMark/>
          </w:tcPr>
          <w:p w14:paraId="264793E2" w14:textId="73D720AF"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854" w:type="dxa"/>
            <w:vAlign w:val="center"/>
            <w:hideMark/>
          </w:tcPr>
          <w:p w14:paraId="23010C96" w14:textId="1F0DDAFA"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542" w:type="dxa"/>
            <w:vAlign w:val="center"/>
            <w:hideMark/>
          </w:tcPr>
          <w:p w14:paraId="7A4C94E7" w14:textId="719676F8"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4D139804"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9F95CA2" w14:textId="77777777" w:rsidR="00BF1AF8" w:rsidRPr="004D70B1" w:rsidRDefault="00BF1AF8" w:rsidP="00612D45">
            <w:pPr>
              <w:ind w:left="127"/>
              <w:rPr>
                <w:b w:val="0"/>
                <w:szCs w:val="18"/>
              </w:rPr>
            </w:pPr>
            <w:r w:rsidRPr="004D70B1">
              <w:rPr>
                <w:b w:val="0"/>
                <w:szCs w:val="18"/>
              </w:rPr>
              <w:t>Maximum number of unplanned water supply interruptions a customer may experience in any 12-month period </w:t>
            </w:r>
          </w:p>
        </w:tc>
        <w:tc>
          <w:tcPr>
            <w:tcW w:w="1698" w:type="dxa"/>
            <w:vAlign w:val="center"/>
            <w:hideMark/>
          </w:tcPr>
          <w:p w14:paraId="3E636B0C" w14:textId="345EF33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070E8E0B" w14:textId="39A661C6"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546BF7F0" w14:textId="3F01B10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5 interruptions</w:t>
            </w:r>
          </w:p>
        </w:tc>
      </w:tr>
      <w:tr w:rsidR="00BF1AF8" w:rsidRPr="009F0ED4" w14:paraId="46F58C84"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3BBA587" w14:textId="77777777" w:rsidR="00BF1AF8" w:rsidRPr="004D70B1" w:rsidRDefault="00BF1AF8" w:rsidP="00612D45">
            <w:pPr>
              <w:ind w:left="127"/>
              <w:rPr>
                <w:b w:val="0"/>
                <w:szCs w:val="18"/>
              </w:rPr>
            </w:pPr>
            <w:r w:rsidRPr="004D70B1">
              <w:rPr>
                <w:b w:val="0"/>
                <w:szCs w:val="18"/>
              </w:rPr>
              <w:t>Average time taken to attend priority 1 bursts and leaks </w:t>
            </w:r>
          </w:p>
        </w:tc>
        <w:tc>
          <w:tcPr>
            <w:tcW w:w="1698" w:type="dxa"/>
            <w:vAlign w:val="center"/>
            <w:hideMark/>
          </w:tcPr>
          <w:p w14:paraId="50C9D7E0" w14:textId="3EF08FE4"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32 minutes</w:t>
            </w:r>
          </w:p>
        </w:tc>
        <w:tc>
          <w:tcPr>
            <w:tcW w:w="1854" w:type="dxa"/>
            <w:vAlign w:val="center"/>
            <w:hideMark/>
          </w:tcPr>
          <w:p w14:paraId="6A6B902D" w14:textId="2DCCE2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c>
          <w:tcPr>
            <w:tcW w:w="1542" w:type="dxa"/>
            <w:vAlign w:val="center"/>
            <w:hideMark/>
          </w:tcPr>
          <w:p w14:paraId="3B870C74" w14:textId="2818B165"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r>
      <w:tr w:rsidR="00BF1AF8" w:rsidRPr="009F0ED4" w14:paraId="2CD1FFB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551C7DA4" w14:textId="77777777" w:rsidR="00BF1AF8" w:rsidRPr="004D70B1" w:rsidRDefault="00BF1AF8" w:rsidP="00612D45">
            <w:pPr>
              <w:ind w:left="127"/>
              <w:rPr>
                <w:b w:val="0"/>
                <w:szCs w:val="18"/>
              </w:rPr>
            </w:pPr>
            <w:r w:rsidRPr="004D70B1">
              <w:rPr>
                <w:b w:val="0"/>
                <w:szCs w:val="18"/>
              </w:rPr>
              <w:t>Average time taken to attend priority 2 bursts and leaks </w:t>
            </w:r>
          </w:p>
        </w:tc>
        <w:tc>
          <w:tcPr>
            <w:tcW w:w="1698" w:type="dxa"/>
            <w:vAlign w:val="center"/>
            <w:hideMark/>
          </w:tcPr>
          <w:p w14:paraId="410CE6AD" w14:textId="565A3214"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40 minutes</w:t>
            </w:r>
          </w:p>
        </w:tc>
        <w:tc>
          <w:tcPr>
            <w:tcW w:w="1854" w:type="dxa"/>
            <w:vAlign w:val="center"/>
            <w:hideMark/>
          </w:tcPr>
          <w:p w14:paraId="26FA5C7B" w14:textId="5D40008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60 minutes</w:t>
            </w:r>
          </w:p>
        </w:tc>
        <w:tc>
          <w:tcPr>
            <w:tcW w:w="1542" w:type="dxa"/>
            <w:vAlign w:val="center"/>
            <w:hideMark/>
          </w:tcPr>
          <w:p w14:paraId="6DBAA828" w14:textId="7B6238E0" w:rsidR="00BF1AF8" w:rsidRPr="009F0ED4" w:rsidRDefault="00AD0DED"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90</w:t>
            </w:r>
            <w:r w:rsidR="00BF1AF8" w:rsidRPr="009F0ED4">
              <w:rPr>
                <w:szCs w:val="18"/>
              </w:rPr>
              <w:t xml:space="preserve"> minutes</w:t>
            </w:r>
          </w:p>
        </w:tc>
      </w:tr>
      <w:tr w:rsidR="00BF1AF8" w:rsidRPr="009F0ED4" w14:paraId="599A873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F4AF834" w14:textId="77777777" w:rsidR="00BF1AF8" w:rsidRPr="004D70B1" w:rsidRDefault="00BF1AF8" w:rsidP="00612D45">
            <w:pPr>
              <w:ind w:left="127"/>
              <w:rPr>
                <w:b w:val="0"/>
                <w:szCs w:val="18"/>
              </w:rPr>
            </w:pPr>
            <w:r w:rsidRPr="004D70B1">
              <w:rPr>
                <w:b w:val="0"/>
                <w:szCs w:val="18"/>
              </w:rPr>
              <w:t>Average time taken to attend priority 3 bursts and leaks </w:t>
            </w:r>
          </w:p>
        </w:tc>
        <w:tc>
          <w:tcPr>
            <w:tcW w:w="1698" w:type="dxa"/>
            <w:vAlign w:val="center"/>
            <w:hideMark/>
          </w:tcPr>
          <w:p w14:paraId="4A20A0A2" w14:textId="022CDBC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252 minutes</w:t>
            </w:r>
          </w:p>
        </w:tc>
        <w:tc>
          <w:tcPr>
            <w:tcW w:w="1854" w:type="dxa"/>
            <w:vAlign w:val="center"/>
            <w:hideMark/>
          </w:tcPr>
          <w:p w14:paraId="60BF341A" w14:textId="0DF8BC5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1440 minutes</w:t>
            </w:r>
          </w:p>
        </w:tc>
        <w:tc>
          <w:tcPr>
            <w:tcW w:w="1542" w:type="dxa"/>
            <w:vAlign w:val="center"/>
            <w:hideMark/>
          </w:tcPr>
          <w:p w14:paraId="223EADB4" w14:textId="1A5CFA12" w:rsidR="00BF1AF8" w:rsidRPr="009F0ED4" w:rsidRDefault="005E2EC9"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315</w:t>
            </w:r>
            <w:r w:rsidR="00BF1AF8" w:rsidRPr="009F0ED4">
              <w:rPr>
                <w:szCs w:val="18"/>
              </w:rPr>
              <w:t xml:space="preserve"> minutes</w:t>
            </w:r>
          </w:p>
        </w:tc>
      </w:tr>
      <w:tr w:rsidR="00BF1AF8" w:rsidRPr="009F0ED4" w14:paraId="3DCD9FD8"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184224FF" w14:textId="77777777" w:rsidR="00BF1AF8" w:rsidRPr="004D70B1" w:rsidRDefault="00BF1AF8" w:rsidP="00612D45">
            <w:pPr>
              <w:ind w:left="127"/>
              <w:rPr>
                <w:b w:val="0"/>
                <w:szCs w:val="18"/>
              </w:rPr>
            </w:pPr>
            <w:r w:rsidRPr="004D70B1">
              <w:rPr>
                <w:b w:val="0"/>
                <w:szCs w:val="18"/>
              </w:rPr>
              <w:t>Average time taken to restore customers’ water supply – planned </w:t>
            </w:r>
          </w:p>
        </w:tc>
        <w:tc>
          <w:tcPr>
            <w:tcW w:w="1698" w:type="dxa"/>
            <w:vAlign w:val="center"/>
            <w:hideMark/>
          </w:tcPr>
          <w:p w14:paraId="3C920036" w14:textId="7BF2471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c>
          <w:tcPr>
            <w:tcW w:w="1854" w:type="dxa"/>
            <w:vAlign w:val="center"/>
            <w:hideMark/>
          </w:tcPr>
          <w:p w14:paraId="481EEC96" w14:textId="189D892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126 minutes</w:t>
            </w:r>
          </w:p>
        </w:tc>
        <w:tc>
          <w:tcPr>
            <w:tcW w:w="1542" w:type="dxa"/>
            <w:vAlign w:val="center"/>
            <w:hideMark/>
          </w:tcPr>
          <w:p w14:paraId="65670F94" w14:textId="6EA2A01C"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r>
      <w:tr w:rsidR="00BF1AF8" w:rsidRPr="009F0ED4" w14:paraId="39822F0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1479FDB5" w14:textId="77777777" w:rsidR="00BF1AF8" w:rsidRPr="004D70B1" w:rsidRDefault="00BF1AF8" w:rsidP="00612D45">
            <w:pPr>
              <w:ind w:left="127"/>
              <w:rPr>
                <w:b w:val="0"/>
                <w:szCs w:val="18"/>
              </w:rPr>
            </w:pPr>
            <w:r w:rsidRPr="004D70B1">
              <w:rPr>
                <w:b w:val="0"/>
                <w:szCs w:val="18"/>
              </w:rPr>
              <w:t>Average time taken to restore customers’ water supply – unplanned </w:t>
            </w:r>
          </w:p>
        </w:tc>
        <w:tc>
          <w:tcPr>
            <w:tcW w:w="1698" w:type="dxa"/>
            <w:vAlign w:val="center"/>
            <w:hideMark/>
          </w:tcPr>
          <w:p w14:paraId="2706D33C" w14:textId="6FE54C4D"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133 minutes</w:t>
            </w:r>
          </w:p>
        </w:tc>
        <w:tc>
          <w:tcPr>
            <w:tcW w:w="1854" w:type="dxa"/>
            <w:vAlign w:val="center"/>
            <w:hideMark/>
          </w:tcPr>
          <w:p w14:paraId="4BE26D67" w14:textId="4AAD292C"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240 minutes</w:t>
            </w:r>
          </w:p>
        </w:tc>
        <w:tc>
          <w:tcPr>
            <w:tcW w:w="1542" w:type="dxa"/>
            <w:vAlign w:val="center"/>
            <w:hideMark/>
          </w:tcPr>
          <w:p w14:paraId="488BE2A2" w14:textId="701158E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150 minutes</w:t>
            </w:r>
          </w:p>
        </w:tc>
      </w:tr>
      <w:tr w:rsidR="00BF1AF8" w:rsidRPr="009F0ED4" w14:paraId="75038176"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5251FE26" w14:textId="77777777" w:rsidR="00BF1AF8" w:rsidRPr="004D70B1" w:rsidRDefault="00BF1AF8" w:rsidP="00612D45">
            <w:pPr>
              <w:ind w:left="127"/>
              <w:rPr>
                <w:b w:val="0"/>
                <w:szCs w:val="18"/>
              </w:rPr>
            </w:pPr>
            <w:r w:rsidRPr="004D70B1">
              <w:rPr>
                <w:b w:val="0"/>
                <w:szCs w:val="18"/>
              </w:rPr>
              <w:lastRenderedPageBreak/>
              <w:t>Minimum water pressure or flow rate a customer should receive  </w:t>
            </w:r>
          </w:p>
        </w:tc>
        <w:tc>
          <w:tcPr>
            <w:tcW w:w="1698" w:type="dxa"/>
            <w:vAlign w:val="center"/>
            <w:hideMark/>
          </w:tcPr>
          <w:p w14:paraId="2E8FC7E8" w14:textId="648D2AB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5CF4C96D" w14:textId="16AC14A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35E032A4" w14:textId="62A04B2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20 L/minute (for 20 mm meters)</w:t>
            </w:r>
          </w:p>
        </w:tc>
      </w:tr>
      <w:tr w:rsidR="00BF1AF8" w:rsidRPr="009F0ED4" w14:paraId="35AE3CFF"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4"/>
            <w:vAlign w:val="center"/>
            <w:hideMark/>
          </w:tcPr>
          <w:p w14:paraId="228A7B70" w14:textId="7625213C" w:rsidR="00BF1AF8" w:rsidRPr="009F0ED4" w:rsidRDefault="00BF1AF8" w:rsidP="00612D45">
            <w:pPr>
              <w:ind w:left="127"/>
              <w:rPr>
                <w:b w:val="0"/>
                <w:bCs/>
                <w:szCs w:val="18"/>
              </w:rPr>
            </w:pPr>
            <w:r w:rsidRPr="009F0ED4">
              <w:rPr>
                <w:bCs/>
                <w:szCs w:val="18"/>
              </w:rPr>
              <w:t>Sewerage service standards</w:t>
            </w:r>
          </w:p>
        </w:tc>
      </w:tr>
      <w:tr w:rsidR="00BF1AF8" w:rsidRPr="009F0ED4" w14:paraId="35316083"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866DD26" w14:textId="77777777" w:rsidR="00BF1AF8" w:rsidRPr="004D70B1" w:rsidRDefault="00BF1AF8" w:rsidP="00612D45">
            <w:pPr>
              <w:ind w:left="127"/>
              <w:rPr>
                <w:b w:val="0"/>
                <w:szCs w:val="18"/>
              </w:rPr>
            </w:pPr>
            <w:r w:rsidRPr="004D70B1">
              <w:rPr>
                <w:b w:val="0"/>
                <w:szCs w:val="18"/>
              </w:rPr>
              <w:t>Customers receiving more than 3 sewer blockages in the year </w:t>
            </w:r>
          </w:p>
        </w:tc>
        <w:tc>
          <w:tcPr>
            <w:tcW w:w="1698" w:type="dxa"/>
            <w:vAlign w:val="center"/>
            <w:hideMark/>
          </w:tcPr>
          <w:p w14:paraId="1D3EE4D5" w14:textId="5105246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6 customers</w:t>
            </w:r>
          </w:p>
        </w:tc>
        <w:tc>
          <w:tcPr>
            <w:tcW w:w="1854" w:type="dxa"/>
            <w:vAlign w:val="center"/>
            <w:hideMark/>
          </w:tcPr>
          <w:p w14:paraId="10DD73C2" w14:textId="4D51934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542" w:type="dxa"/>
            <w:vAlign w:val="center"/>
            <w:hideMark/>
          </w:tcPr>
          <w:p w14:paraId="1AAE8BAE" w14:textId="72065D0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17C84973"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42505450" w14:textId="77777777" w:rsidR="00BF1AF8" w:rsidRPr="004D70B1" w:rsidRDefault="00BF1AF8" w:rsidP="00612D45">
            <w:pPr>
              <w:ind w:left="127"/>
              <w:rPr>
                <w:b w:val="0"/>
                <w:szCs w:val="18"/>
              </w:rPr>
            </w:pPr>
            <w:r w:rsidRPr="004D70B1">
              <w:rPr>
                <w:b w:val="0"/>
                <w:szCs w:val="18"/>
              </w:rPr>
              <w:t>Maximum number of sewer blockages a customer may experience in any 12-month period </w:t>
            </w:r>
          </w:p>
        </w:tc>
        <w:tc>
          <w:tcPr>
            <w:tcW w:w="1698" w:type="dxa"/>
            <w:vAlign w:val="center"/>
            <w:hideMark/>
          </w:tcPr>
          <w:p w14:paraId="1EBF48EC" w14:textId="34EA6BF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2B5D40A1" w14:textId="203BB24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3385317D" w14:textId="2D330A56"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 interruptions</w:t>
            </w:r>
          </w:p>
        </w:tc>
      </w:tr>
      <w:tr w:rsidR="00BF1AF8" w:rsidRPr="009F0ED4" w14:paraId="51DD1BE0"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9B68DBA" w14:textId="77777777" w:rsidR="00BF1AF8" w:rsidRPr="004D70B1" w:rsidRDefault="00BF1AF8" w:rsidP="00612D45">
            <w:pPr>
              <w:ind w:left="127"/>
              <w:rPr>
                <w:b w:val="0"/>
                <w:szCs w:val="18"/>
              </w:rPr>
            </w:pPr>
            <w:r w:rsidRPr="004D70B1">
              <w:rPr>
                <w:b w:val="0"/>
                <w:szCs w:val="18"/>
              </w:rPr>
              <w:t>Average time taken to attend sewer spills  </w:t>
            </w:r>
          </w:p>
        </w:tc>
        <w:tc>
          <w:tcPr>
            <w:tcW w:w="1698" w:type="dxa"/>
            <w:vMerge w:val="restart"/>
            <w:vAlign w:val="center"/>
            <w:hideMark/>
          </w:tcPr>
          <w:p w14:paraId="6B680750" w14:textId="1A205618"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31 minutes</w:t>
            </w:r>
          </w:p>
        </w:tc>
        <w:tc>
          <w:tcPr>
            <w:tcW w:w="1854" w:type="dxa"/>
            <w:vAlign w:val="center"/>
            <w:hideMark/>
          </w:tcPr>
          <w:p w14:paraId="10ED73E3" w14:textId="659389D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c>
          <w:tcPr>
            <w:tcW w:w="1542" w:type="dxa"/>
            <w:vMerge w:val="restart"/>
            <w:vAlign w:val="center"/>
            <w:hideMark/>
          </w:tcPr>
          <w:p w14:paraId="00838DA1" w14:textId="681B127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r>
      <w:tr w:rsidR="00BF1AF8" w:rsidRPr="009F0ED4" w14:paraId="43824B2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2A8337AB" w14:textId="77777777" w:rsidR="00BF1AF8" w:rsidRPr="004D70B1" w:rsidRDefault="00BF1AF8" w:rsidP="00612D45">
            <w:pPr>
              <w:ind w:left="127"/>
              <w:rPr>
                <w:b w:val="0"/>
                <w:szCs w:val="18"/>
              </w:rPr>
            </w:pPr>
            <w:r w:rsidRPr="004D70B1">
              <w:rPr>
                <w:b w:val="0"/>
                <w:szCs w:val="18"/>
              </w:rPr>
              <w:t>Average time taken to attend blockages </w:t>
            </w:r>
          </w:p>
        </w:tc>
        <w:tc>
          <w:tcPr>
            <w:tcW w:w="1698" w:type="dxa"/>
            <w:vMerge/>
            <w:vAlign w:val="center"/>
            <w:hideMark/>
          </w:tcPr>
          <w:p w14:paraId="06FB7184" w14:textId="777777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p>
        </w:tc>
        <w:tc>
          <w:tcPr>
            <w:tcW w:w="1854" w:type="dxa"/>
            <w:vAlign w:val="center"/>
            <w:hideMark/>
          </w:tcPr>
          <w:p w14:paraId="773E98FC" w14:textId="71A0E6AD"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60 minutes</w:t>
            </w:r>
          </w:p>
        </w:tc>
        <w:tc>
          <w:tcPr>
            <w:tcW w:w="1542" w:type="dxa"/>
            <w:vMerge/>
            <w:vAlign w:val="center"/>
            <w:hideMark/>
          </w:tcPr>
          <w:p w14:paraId="377FF90D" w14:textId="777777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p>
        </w:tc>
      </w:tr>
      <w:tr w:rsidR="00BF1AF8" w:rsidRPr="009F0ED4" w14:paraId="4660453B"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889F26D" w14:textId="77777777" w:rsidR="00BF1AF8" w:rsidRPr="004D70B1" w:rsidRDefault="00BF1AF8" w:rsidP="00612D45">
            <w:pPr>
              <w:ind w:left="127"/>
              <w:rPr>
                <w:b w:val="0"/>
                <w:szCs w:val="18"/>
              </w:rPr>
            </w:pPr>
            <w:r w:rsidRPr="004D70B1">
              <w:rPr>
                <w:b w:val="0"/>
                <w:szCs w:val="18"/>
              </w:rPr>
              <w:t>Average time taken to rectify a sewer blockage </w:t>
            </w:r>
          </w:p>
        </w:tc>
        <w:tc>
          <w:tcPr>
            <w:tcW w:w="1698" w:type="dxa"/>
            <w:vAlign w:val="center"/>
            <w:hideMark/>
          </w:tcPr>
          <w:p w14:paraId="5F2648F1" w14:textId="44BE6D9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c>
          <w:tcPr>
            <w:tcW w:w="1854" w:type="dxa"/>
            <w:vAlign w:val="center"/>
            <w:hideMark/>
          </w:tcPr>
          <w:p w14:paraId="5AC91D71" w14:textId="587E0ABF"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47 minutes</w:t>
            </w:r>
          </w:p>
        </w:tc>
        <w:tc>
          <w:tcPr>
            <w:tcW w:w="1542" w:type="dxa"/>
            <w:vAlign w:val="center"/>
            <w:hideMark/>
          </w:tcPr>
          <w:p w14:paraId="707B545C" w14:textId="766F2EA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150 minutes</w:t>
            </w:r>
          </w:p>
        </w:tc>
      </w:tr>
      <w:tr w:rsidR="00BF1AF8" w:rsidRPr="009F0ED4" w14:paraId="56B897A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64CD35A" w14:textId="77777777" w:rsidR="00BF1AF8" w:rsidRPr="004D70B1" w:rsidRDefault="00BF1AF8" w:rsidP="00612D45">
            <w:pPr>
              <w:ind w:left="127"/>
              <w:rPr>
                <w:b w:val="0"/>
                <w:szCs w:val="18"/>
              </w:rPr>
            </w:pPr>
            <w:r w:rsidRPr="004D70B1">
              <w:rPr>
                <w:b w:val="0"/>
                <w:szCs w:val="18"/>
              </w:rPr>
              <w:t>Percentage of spills contained within five hours </w:t>
            </w:r>
          </w:p>
        </w:tc>
        <w:tc>
          <w:tcPr>
            <w:tcW w:w="1698" w:type="dxa"/>
            <w:vAlign w:val="center"/>
            <w:hideMark/>
          </w:tcPr>
          <w:p w14:paraId="7C552B9D" w14:textId="225CD04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c>
          <w:tcPr>
            <w:tcW w:w="1854" w:type="dxa"/>
            <w:vAlign w:val="center"/>
            <w:hideMark/>
          </w:tcPr>
          <w:p w14:paraId="6A77130E" w14:textId="5DADE12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c>
          <w:tcPr>
            <w:tcW w:w="1542" w:type="dxa"/>
            <w:vAlign w:val="center"/>
            <w:hideMark/>
          </w:tcPr>
          <w:p w14:paraId="7522E503" w14:textId="72A4181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3A1F1E49"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29DD8EE" w14:textId="77777777" w:rsidR="00BF1AF8" w:rsidRPr="004D70B1" w:rsidRDefault="00BF1AF8" w:rsidP="00612D45">
            <w:pPr>
              <w:ind w:left="127"/>
              <w:rPr>
                <w:b w:val="0"/>
                <w:szCs w:val="18"/>
              </w:rPr>
            </w:pPr>
            <w:r w:rsidRPr="004D70B1">
              <w:rPr>
                <w:b w:val="0"/>
                <w:szCs w:val="18"/>
              </w:rPr>
              <w:t>Maximum time taken to contain a sewer spill </w:t>
            </w:r>
          </w:p>
        </w:tc>
        <w:tc>
          <w:tcPr>
            <w:tcW w:w="1698" w:type="dxa"/>
            <w:vAlign w:val="center"/>
            <w:hideMark/>
          </w:tcPr>
          <w:p w14:paraId="7C97C2FA" w14:textId="1C3E2D8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651FEA94" w14:textId="1864C2C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147726FB" w14:textId="6C8FF02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300 minutes</w:t>
            </w:r>
          </w:p>
        </w:tc>
      </w:tr>
    </w:tbl>
    <w:p w14:paraId="1C3D4EC9" w14:textId="4449FAF8" w:rsidR="00F27FCE" w:rsidRDefault="00422087" w:rsidP="00BE0045">
      <w:pPr>
        <w:sectPr w:rsidR="00F27FCE" w:rsidSect="008C1A38">
          <w:pgSz w:w="11906" w:h="16838" w:code="9"/>
          <w:pgMar w:top="1134" w:right="1134" w:bottom="1134" w:left="1134" w:header="709" w:footer="652" w:gutter="0"/>
          <w:cols w:space="708"/>
          <w:docGrid w:linePitch="360"/>
        </w:sectPr>
      </w:pPr>
      <w:r w:rsidRPr="00422087">
        <w:t>These service standards are reflective of our collective 3-year average performance.</w:t>
      </w:r>
    </w:p>
    <w:p w14:paraId="4109492F" w14:textId="0944A83F" w:rsidR="009F50DD" w:rsidRPr="000E1C8B" w:rsidRDefault="009F50DD" w:rsidP="00D63DB3">
      <w:pPr>
        <w:pStyle w:val="Heading2"/>
      </w:pPr>
      <w:bookmarkStart w:id="99" w:name="_Toc146004864"/>
      <w:bookmarkStart w:id="100" w:name="_Toc146004752"/>
      <w:bookmarkStart w:id="101" w:name="_Toc146746698"/>
      <w:r w:rsidRPr="000E1C8B">
        <w:lastRenderedPageBreak/>
        <w:t xml:space="preserve">Guaranteed </w:t>
      </w:r>
      <w:r w:rsidR="00520387" w:rsidRPr="000E1C8B">
        <w:t>s</w:t>
      </w:r>
      <w:r w:rsidRPr="000E1C8B">
        <w:t xml:space="preserve">ervice </w:t>
      </w:r>
      <w:proofErr w:type="gramStart"/>
      <w:r w:rsidR="00520387" w:rsidRPr="000E1C8B">
        <w:t>l</w:t>
      </w:r>
      <w:r w:rsidRPr="000E1C8B">
        <w:t>evel</w:t>
      </w:r>
      <w:r w:rsidR="000E1C8B" w:rsidRPr="000E1C8B">
        <w:t>s</w:t>
      </w:r>
      <w:bookmarkEnd w:id="99"/>
      <w:bookmarkEnd w:id="100"/>
      <w:bookmarkEnd w:id="101"/>
      <w:proofErr w:type="gramEnd"/>
    </w:p>
    <w:p w14:paraId="7430E6C1" w14:textId="29FB5E70" w:rsidR="00B37BC9" w:rsidRDefault="00B37BC9" w:rsidP="00B37BC9">
      <w:r>
        <w:t xml:space="preserve">We recognise the vital role our services play in the lives of our customers and the impact any disruption of these services may cause. </w:t>
      </w:r>
    </w:p>
    <w:p w14:paraId="131166D6" w14:textId="1C808806" w:rsidR="00B37BC9" w:rsidRDefault="00B37BC9" w:rsidP="00B37BC9">
      <w:r>
        <w:t xml:space="preserve">We have proposed a refreshed </w:t>
      </w:r>
      <w:r w:rsidR="00A31497">
        <w:t>G</w:t>
      </w:r>
      <w:r>
        <w:t xml:space="preserve">uaranteed </w:t>
      </w:r>
      <w:r w:rsidR="00A31497">
        <w:t>S</w:t>
      </w:r>
      <w:r>
        <w:t xml:space="preserve">ervice </w:t>
      </w:r>
      <w:r w:rsidR="00A31497">
        <w:t>L</w:t>
      </w:r>
      <w:r>
        <w:t xml:space="preserve">evel </w:t>
      </w:r>
      <w:r w:rsidR="00520387">
        <w:t xml:space="preserve">(GSL) </w:t>
      </w:r>
      <w:r>
        <w:t xml:space="preserve">scheme that specifies the customer experiences we will guarantee, and the rebate </w:t>
      </w:r>
      <w:r w:rsidR="00520387">
        <w:t xml:space="preserve">we will </w:t>
      </w:r>
      <w:r>
        <w:t>appl</w:t>
      </w:r>
      <w:r w:rsidR="00520387">
        <w:t>y</w:t>
      </w:r>
      <w:r>
        <w:t xml:space="preserve"> to a customer’s next bill when these </w:t>
      </w:r>
      <w:r w:rsidR="00520387">
        <w:t xml:space="preserve">service levels </w:t>
      </w:r>
      <w:r>
        <w:t xml:space="preserve">are not met </w:t>
      </w:r>
      <w:r w:rsidR="0036604D">
        <w:t>during</w:t>
      </w:r>
      <w:r>
        <w:t xml:space="preserve"> the 2024-2028 period.  </w:t>
      </w:r>
    </w:p>
    <w:p w14:paraId="1DA2E8CD" w14:textId="77777777" w:rsidR="00B37BC9" w:rsidRDefault="00B37BC9" w:rsidP="005B69CD">
      <w:pPr>
        <w:pStyle w:val="Heading3"/>
      </w:pPr>
      <w:r w:rsidRPr="006B7435">
        <w:t>How we engaged our customers</w:t>
      </w:r>
    </w:p>
    <w:p w14:paraId="0DC9B7C6" w14:textId="1FE919BF" w:rsidR="00B37BC9" w:rsidRPr="008E27A1" w:rsidRDefault="00B37BC9" w:rsidP="00B37BC9">
      <w:r w:rsidRPr="008E27A1">
        <w:t xml:space="preserve">To ensure we are delivering services </w:t>
      </w:r>
      <w:r w:rsidR="00D8510D">
        <w:t>that meet</w:t>
      </w:r>
      <w:r w:rsidRPr="008E27A1">
        <w:t xml:space="preserve"> our customers’ expectations and values</w:t>
      </w:r>
      <w:r w:rsidR="00520387">
        <w:t>,</w:t>
      </w:r>
      <w:r w:rsidRPr="008E27A1">
        <w:t xml:space="preserve"> we set up a customer forum in May 2023</w:t>
      </w:r>
      <w:r w:rsidR="00520387">
        <w:t>. The forum helped</w:t>
      </w:r>
      <w:r w:rsidRPr="008E27A1">
        <w:t xml:space="preserve"> </w:t>
      </w:r>
      <w:r w:rsidR="00DA0C0F">
        <w:t xml:space="preserve">us </w:t>
      </w:r>
      <w:r w:rsidRPr="008E27A1">
        <w:t xml:space="preserve">develop </w:t>
      </w:r>
      <w:r w:rsidR="00DA0C0F">
        <w:t>outcomes</w:t>
      </w:r>
      <w:r w:rsidRPr="008E27A1">
        <w:t xml:space="preserve">, </w:t>
      </w:r>
      <w:r w:rsidR="00392D52" w:rsidRPr="008E27A1">
        <w:t>experiences,</w:t>
      </w:r>
      <w:r w:rsidRPr="008E27A1">
        <w:t xml:space="preserve"> and measures to show accountability to our customers over the regulatory period.  </w:t>
      </w:r>
    </w:p>
    <w:p w14:paraId="0E9BDC5B" w14:textId="506E20C3" w:rsidR="00B37BC9" w:rsidRPr="008E27A1" w:rsidRDefault="00B37BC9" w:rsidP="00B37BC9">
      <w:r w:rsidRPr="008E27A1">
        <w:t xml:space="preserve">Customers were asked which </w:t>
      </w:r>
      <w:r w:rsidR="00E34301">
        <w:t>outcomes</w:t>
      </w:r>
      <w:r w:rsidRPr="008E27A1">
        <w:t xml:space="preserve"> and experiences</w:t>
      </w:r>
      <w:r w:rsidR="00DA0C0F">
        <w:t xml:space="preserve">, </w:t>
      </w:r>
      <w:r w:rsidR="00632D5D">
        <w:t>if</w:t>
      </w:r>
      <w:r w:rsidR="00DA0C0F">
        <w:t xml:space="preserve"> not met, would </w:t>
      </w:r>
      <w:r w:rsidRPr="008E27A1">
        <w:t xml:space="preserve">require a rebate </w:t>
      </w:r>
      <w:r w:rsidR="00632D5D">
        <w:t>and what would be the</w:t>
      </w:r>
      <w:r w:rsidRPr="008E27A1">
        <w:t xml:space="preserve"> appropriate rebate to apply. </w:t>
      </w:r>
      <w:r w:rsidR="00632D5D">
        <w:t>They</w:t>
      </w:r>
      <w:r w:rsidR="00632D5D" w:rsidRPr="008E27A1">
        <w:t xml:space="preserve"> </w:t>
      </w:r>
      <w:r w:rsidRPr="008E27A1">
        <w:t xml:space="preserve">were also asked if there was anything missing from the </w:t>
      </w:r>
      <w:r w:rsidR="00632D5D">
        <w:t>outcomes</w:t>
      </w:r>
      <w:r w:rsidRPr="008E27A1">
        <w:t xml:space="preserve"> and experiences that would warrant a rebate. </w:t>
      </w:r>
    </w:p>
    <w:p w14:paraId="0C615618" w14:textId="13A54406" w:rsidR="00B37BC9" w:rsidRPr="008E27A1" w:rsidRDefault="00B37BC9" w:rsidP="00B37BC9">
      <w:r w:rsidRPr="008E27A1">
        <w:t>We check</w:t>
      </w:r>
      <w:r w:rsidR="00310211">
        <w:t>ed</w:t>
      </w:r>
      <w:r w:rsidRPr="008E27A1">
        <w:t xml:space="preserve"> our customer advisory group comfort with the refreshed </w:t>
      </w:r>
      <w:r w:rsidR="00632D5D">
        <w:t>GSL</w:t>
      </w:r>
      <w:r w:rsidRPr="008E27A1">
        <w:t xml:space="preserve"> scheme. </w:t>
      </w:r>
    </w:p>
    <w:p w14:paraId="0D3091B1" w14:textId="77777777" w:rsidR="00B37BC9" w:rsidRDefault="00B37BC9" w:rsidP="005B69CD">
      <w:pPr>
        <w:pStyle w:val="Heading3"/>
      </w:pPr>
      <w:r w:rsidRPr="008A4F50">
        <w:t>Our proposal and amendments</w:t>
      </w:r>
    </w:p>
    <w:p w14:paraId="1B51E4E8" w14:textId="4902C590" w:rsidR="00B37BC9" w:rsidRDefault="00B37BC9" w:rsidP="00B37BC9">
      <w:r>
        <w:t xml:space="preserve">We heard </w:t>
      </w:r>
      <w:r w:rsidR="00205D6D">
        <w:t xml:space="preserve">from </w:t>
      </w:r>
      <w:r>
        <w:t xml:space="preserve">our </w:t>
      </w:r>
      <w:r w:rsidR="00DE4739">
        <w:t xml:space="preserve">deliberative </w:t>
      </w:r>
      <w:r>
        <w:t xml:space="preserve">panel that: </w:t>
      </w:r>
    </w:p>
    <w:p w14:paraId="2FC75533" w14:textId="126CBE79" w:rsidR="00B37BC9" w:rsidRDefault="00632D5D">
      <w:pPr>
        <w:pStyle w:val="ListBullet"/>
        <w:numPr>
          <w:ilvl w:val="0"/>
          <w:numId w:val="112"/>
        </w:numPr>
      </w:pPr>
      <w:r>
        <w:t>a</w:t>
      </w:r>
      <w:r w:rsidR="00773AAD">
        <w:t>ligning</w:t>
      </w:r>
      <w:r w:rsidR="00B37BC9">
        <w:t xml:space="preserve"> service levels between regional and urban customers was important </w:t>
      </w:r>
      <w:r w:rsidR="00C61AFF">
        <w:t xml:space="preserve">and that we should </w:t>
      </w:r>
      <w:r w:rsidR="00B37BC9">
        <w:t xml:space="preserve">address </w:t>
      </w:r>
      <w:r w:rsidR="00C61AFF">
        <w:t xml:space="preserve">the </w:t>
      </w:r>
      <w:r w:rsidR="00B37BC9">
        <w:t>highest risk areas first (</w:t>
      </w:r>
      <w:r>
        <w:t>R</w:t>
      </w:r>
      <w:r w:rsidR="00B37BC9">
        <w:t xml:space="preserve">ecommendations 2.3 </w:t>
      </w:r>
      <w:r>
        <w:t xml:space="preserve">and </w:t>
      </w:r>
      <w:r w:rsidR="00B37BC9">
        <w:t xml:space="preserve">2.5) </w:t>
      </w:r>
    </w:p>
    <w:p w14:paraId="0D1C52DB" w14:textId="3985A855" w:rsidR="00B37BC9" w:rsidRDefault="00632D5D">
      <w:pPr>
        <w:pStyle w:val="ListBullet"/>
        <w:numPr>
          <w:ilvl w:val="0"/>
          <w:numId w:val="112"/>
        </w:numPr>
      </w:pPr>
      <w:r>
        <w:t>u</w:t>
      </w:r>
      <w:r w:rsidR="00B37BC9">
        <w:t>nplanned disruptions were important and needed to be managed in a timely and proactive manner (</w:t>
      </w:r>
      <w:r>
        <w:t>R</w:t>
      </w:r>
      <w:r w:rsidR="00B37BC9">
        <w:t xml:space="preserve">ecommendation 1.1) </w:t>
      </w:r>
    </w:p>
    <w:p w14:paraId="12A3606C" w14:textId="58F841D1" w:rsidR="00B37BC9" w:rsidRDefault="00632D5D">
      <w:pPr>
        <w:pStyle w:val="ListBullet"/>
        <w:numPr>
          <w:ilvl w:val="0"/>
          <w:numId w:val="112"/>
        </w:numPr>
      </w:pPr>
      <w:r>
        <w:t>m</w:t>
      </w:r>
      <w:r w:rsidR="00B37BC9">
        <w:t xml:space="preserve">ore funding </w:t>
      </w:r>
      <w:r w:rsidR="00E329C8">
        <w:t xml:space="preserve">should be </w:t>
      </w:r>
      <w:r w:rsidR="00B37BC9">
        <w:t xml:space="preserve">allocated (from managing unplanned disruptions) to communication </w:t>
      </w:r>
      <w:r w:rsidR="00E329C8">
        <w:t xml:space="preserve">with </w:t>
      </w:r>
      <w:r w:rsidR="00B37BC9">
        <w:t xml:space="preserve">customers </w:t>
      </w:r>
      <w:r w:rsidR="00091496">
        <w:t xml:space="preserve">to inform them </w:t>
      </w:r>
      <w:r w:rsidR="00B37BC9">
        <w:t>of disruptions early (</w:t>
      </w:r>
      <w:r>
        <w:t>R</w:t>
      </w:r>
      <w:r w:rsidR="00B37BC9">
        <w:t>ecommendation 5.1)</w:t>
      </w:r>
      <w:r>
        <w:t>.</w:t>
      </w:r>
      <w:r w:rsidR="00B37BC9">
        <w:t xml:space="preserve">  </w:t>
      </w:r>
    </w:p>
    <w:p w14:paraId="20B6BFF1" w14:textId="508F0ABC" w:rsidR="00B37BC9" w:rsidRDefault="00B37BC9" w:rsidP="00B37BC9">
      <w:r>
        <w:t xml:space="preserve">Broadly, these recommendations tell us </w:t>
      </w:r>
      <w:r w:rsidR="00632D5D">
        <w:t xml:space="preserve">that </w:t>
      </w:r>
      <w:r>
        <w:t xml:space="preserve">customers understand </w:t>
      </w:r>
      <w:r w:rsidR="00632D5D">
        <w:t xml:space="preserve">that </w:t>
      </w:r>
      <w:r>
        <w:t xml:space="preserve">disruptions </w:t>
      </w:r>
      <w:r w:rsidR="00632D5D">
        <w:t>will</w:t>
      </w:r>
      <w:r>
        <w:t xml:space="preserve"> occur when we </w:t>
      </w:r>
      <w:r w:rsidR="0039688F">
        <w:t>improve the system</w:t>
      </w:r>
      <w:r w:rsidR="006B4133">
        <w:t>; however</w:t>
      </w:r>
      <w:r w:rsidR="0039688F">
        <w:t xml:space="preserve">, </w:t>
      </w:r>
      <w:r w:rsidR="006B4133">
        <w:t>they</w:t>
      </w:r>
      <w:r>
        <w:t xml:space="preserve"> </w:t>
      </w:r>
      <w:r w:rsidR="00993E94">
        <w:t xml:space="preserve">prefer </w:t>
      </w:r>
      <w:r w:rsidR="00FA366A">
        <w:t xml:space="preserve">fewer </w:t>
      </w:r>
      <w:r>
        <w:t xml:space="preserve">unplanned </w:t>
      </w:r>
      <w:r w:rsidR="00781A69">
        <w:t>interruptions</w:t>
      </w:r>
      <w:r w:rsidR="00175D2F">
        <w:t xml:space="preserve">. </w:t>
      </w:r>
      <w:r w:rsidR="006B4133">
        <w:t>They</w:t>
      </w:r>
      <w:r w:rsidR="00BD414F">
        <w:t xml:space="preserve"> would prefer that </w:t>
      </w:r>
      <w:r w:rsidR="009C798D">
        <w:t xml:space="preserve">interruptions </w:t>
      </w:r>
      <w:r>
        <w:t xml:space="preserve">were planned </w:t>
      </w:r>
      <w:r w:rsidR="009C798D">
        <w:t xml:space="preserve">and well communicated </w:t>
      </w:r>
      <w:r>
        <w:t xml:space="preserve">and occurred in a way that was most convenient to them. </w:t>
      </w:r>
    </w:p>
    <w:p w14:paraId="1DEE3694" w14:textId="7DF7BE72" w:rsidR="00B37BC9" w:rsidRDefault="00B37BC9" w:rsidP="00B37BC9">
      <w:r>
        <w:t xml:space="preserve">We have incorporated this feedback </w:t>
      </w:r>
      <w:r w:rsidR="00640CE1">
        <w:t xml:space="preserve">into our </w:t>
      </w:r>
      <w:r>
        <w:t>GSLs with two minor amendments</w:t>
      </w:r>
      <w:r w:rsidR="007D77CC">
        <w:t xml:space="preserve">, </w:t>
      </w:r>
      <w:r>
        <w:t>exclud</w:t>
      </w:r>
      <w:r w:rsidR="007D77CC">
        <w:t>ing</w:t>
      </w:r>
      <w:r>
        <w:t xml:space="preserve"> planned interruptions in the total number of interruptions and </w:t>
      </w:r>
      <w:r w:rsidR="00DC0ACF">
        <w:t xml:space="preserve">removing the reference to </w:t>
      </w:r>
      <w:r w:rsidR="00772A70">
        <w:t xml:space="preserve">resolving </w:t>
      </w:r>
      <w:r w:rsidR="00DC0ACF">
        <w:t xml:space="preserve">planned </w:t>
      </w:r>
      <w:r>
        <w:t xml:space="preserve">interruptions in timely manner. Customers will be guaranteed that we will only undertake planned works in a time most convenient to them (outside of peak hours) and that we will inform them as early as possible of planned works. </w:t>
      </w:r>
    </w:p>
    <w:p w14:paraId="56B07DD1" w14:textId="34FB29F3" w:rsidR="00B37BC9" w:rsidRDefault="00B37BC9" w:rsidP="00B37BC9">
      <w:r>
        <w:t xml:space="preserve">We have increased </w:t>
      </w:r>
      <w:r w:rsidR="0050298F">
        <w:t xml:space="preserve">the value of GSL </w:t>
      </w:r>
      <w:r>
        <w:t xml:space="preserve">payments to customers to </w:t>
      </w:r>
      <w:r w:rsidR="00747ABA">
        <w:t xml:space="preserve">reflect </w:t>
      </w:r>
      <w:r>
        <w:t>inflation since 2018.</w:t>
      </w:r>
    </w:p>
    <w:p w14:paraId="4BD7A1A7" w14:textId="77777777" w:rsidR="00B37BC9" w:rsidRPr="005D7E15" w:rsidRDefault="00B37BC9" w:rsidP="003A1AD6">
      <w:pPr>
        <w:pStyle w:val="Heading4"/>
      </w:pPr>
      <w:r w:rsidRPr="005D7E15">
        <w:t>Water quality GSL</w:t>
      </w:r>
    </w:p>
    <w:p w14:paraId="2A615EA2" w14:textId="2BAEF3B7" w:rsidR="00B37BC9" w:rsidRDefault="00B37BC9" w:rsidP="00CD15D1">
      <w:r>
        <w:t xml:space="preserve">We heard from our customers that they expect consistent high quality and safe drinking water. Any </w:t>
      </w:r>
      <w:r w:rsidR="00B533E2">
        <w:t xml:space="preserve">water quality </w:t>
      </w:r>
      <w:r>
        <w:t>incident, regardless of cause, is seen as an interruption</w:t>
      </w:r>
      <w:r w:rsidR="00612E6F">
        <w:t xml:space="preserve"> and </w:t>
      </w:r>
      <w:r w:rsidR="00715E6E">
        <w:t xml:space="preserve">breach </w:t>
      </w:r>
      <w:r w:rsidR="001F49B9">
        <w:t xml:space="preserve">of </w:t>
      </w:r>
      <w:r w:rsidR="00715E6E">
        <w:t xml:space="preserve">a core public health service </w:t>
      </w:r>
      <w:r w:rsidR="007471A6">
        <w:t>a</w:t>
      </w:r>
      <w:r w:rsidR="00612E6F">
        <w:t>nd safe drinking water should be guaranteed</w:t>
      </w:r>
      <w:r w:rsidR="00DD444F">
        <w:t>.</w:t>
      </w:r>
      <w:r w:rsidR="00612E6F">
        <w:t xml:space="preserve"> </w:t>
      </w:r>
    </w:p>
    <w:p w14:paraId="747833F5" w14:textId="32F5E12B" w:rsidR="00B37BC9" w:rsidRDefault="00B37BC9" w:rsidP="00B37BC9">
      <w:r>
        <w:lastRenderedPageBreak/>
        <w:t xml:space="preserve">Following water quality incidents in 2021, we have worked with </w:t>
      </w:r>
      <w:proofErr w:type="gramStart"/>
      <w:r>
        <w:t>South East</w:t>
      </w:r>
      <w:proofErr w:type="gramEnd"/>
      <w:r>
        <w:t xml:space="preserve"> Water, Yarra Valley Water and Melbourne Water to achieve a consistent Melbourne-wide approach for a GSL for water quality events.  </w:t>
      </w:r>
    </w:p>
    <w:p w14:paraId="426E264E" w14:textId="77777777" w:rsidR="00B37BC9" w:rsidRDefault="00B37BC9" w:rsidP="00B37BC9">
      <w:r>
        <w:t xml:space="preserve">We propose to adopt the Melbourne-wide approach for water quality for our customers. </w:t>
      </w:r>
    </w:p>
    <w:p w14:paraId="6B1D925D" w14:textId="5CC65DFF" w:rsidR="00B37BC9" w:rsidRDefault="00B37BC9" w:rsidP="00B37BC9">
      <w:r>
        <w:t>Overall</w:t>
      </w:r>
      <w:r w:rsidR="006B4133">
        <w:t>,</w:t>
      </w:r>
      <w:r>
        <w:t xml:space="preserve"> customers in the </w:t>
      </w:r>
      <w:r w:rsidR="00DC0952">
        <w:t xml:space="preserve">region previously served by </w:t>
      </w:r>
      <w:r>
        <w:t>CWW will see no material change to their GSL scheme</w:t>
      </w:r>
      <w:r w:rsidR="00DC0952">
        <w:t>,</w:t>
      </w:r>
      <w:r>
        <w:t xml:space="preserve"> </w:t>
      </w:r>
      <w:r w:rsidR="006B4133">
        <w:t xml:space="preserve">except for </w:t>
      </w:r>
      <w:r>
        <w:t xml:space="preserve">the increase </w:t>
      </w:r>
      <w:r w:rsidR="006B4133">
        <w:t xml:space="preserve">in </w:t>
      </w:r>
      <w:r>
        <w:t xml:space="preserve">rebate amount and new Melbourne-wide water quality GSL. Customers in the </w:t>
      </w:r>
      <w:r w:rsidR="00DC0952">
        <w:t xml:space="preserve">region previously served by </w:t>
      </w:r>
      <w:r>
        <w:t>WW will see a significant increase in GSL scheme offers and rebate amount</w:t>
      </w:r>
      <w:r w:rsidR="00940461">
        <w:t>s</w:t>
      </w:r>
      <w:r w:rsidR="009B1B85">
        <w:t xml:space="preserve"> </w:t>
      </w:r>
      <w:proofErr w:type="gramStart"/>
      <w:r w:rsidR="009B1B85">
        <w:t>as a result of</w:t>
      </w:r>
      <w:proofErr w:type="gramEnd"/>
      <w:r w:rsidR="009B1B85">
        <w:t xml:space="preserve"> this harmonisation</w:t>
      </w:r>
      <w:r>
        <w:t xml:space="preserve">. </w:t>
      </w:r>
    </w:p>
    <w:p w14:paraId="6884E9F3" w14:textId="293CDE97" w:rsidR="00B37BC9" w:rsidRDefault="00B37BC9" w:rsidP="00B37BC9">
      <w:r>
        <w:t xml:space="preserve">We propose the following </w:t>
      </w:r>
      <w:r w:rsidR="008A203A">
        <w:t>GSLs</w:t>
      </w:r>
      <w:r>
        <w:t xml:space="preserve"> and rebates from 1 July 2024</w:t>
      </w:r>
      <w:r w:rsidR="004E6F04">
        <w:t xml:space="preserve"> in </w:t>
      </w:r>
      <w:r w:rsidR="00192BA1">
        <w:fldChar w:fldCharType="begin"/>
      </w:r>
      <w:r w:rsidR="00192BA1">
        <w:instrText xml:space="preserve"> REF _Ref146352885 \h </w:instrText>
      </w:r>
      <w:r w:rsidR="00192BA1">
        <w:fldChar w:fldCharType="separate"/>
      </w:r>
      <w:r w:rsidR="003B42C6" w:rsidRPr="00E32F2F">
        <w:rPr>
          <w:b/>
          <w:bCs/>
        </w:rPr>
        <w:t xml:space="preserve">Table </w:t>
      </w:r>
      <w:r w:rsidR="003B42C6">
        <w:rPr>
          <w:b/>
          <w:bCs/>
          <w:noProof/>
        </w:rPr>
        <w:t>10</w:t>
      </w:r>
      <w:r w:rsidR="00192BA1">
        <w:fldChar w:fldCharType="end"/>
      </w:r>
      <w:r w:rsidR="00BF63B8">
        <w:t>.</w:t>
      </w:r>
    </w:p>
    <w:p w14:paraId="4E100C55" w14:textId="57F392D4" w:rsidR="00B37BC9" w:rsidRPr="00126A69" w:rsidRDefault="00B37BC9" w:rsidP="00B37BC9">
      <w:pPr>
        <w:pStyle w:val="Caption"/>
      </w:pPr>
      <w:bookmarkStart w:id="102" w:name="_Ref146352885"/>
      <w:r w:rsidRPr="00E32F2F">
        <w:rPr>
          <w:b/>
          <w:bCs/>
        </w:rPr>
        <w:t xml:space="preserve">Table </w:t>
      </w:r>
      <w:r w:rsidRPr="00E32F2F">
        <w:rPr>
          <w:b/>
          <w:bCs/>
        </w:rPr>
        <w:fldChar w:fldCharType="begin"/>
      </w:r>
      <w:r w:rsidRPr="00E32F2F">
        <w:rPr>
          <w:b/>
          <w:bCs/>
        </w:rPr>
        <w:instrText>SEQ Table \* ARABIC</w:instrText>
      </w:r>
      <w:r w:rsidRPr="00E32F2F">
        <w:rPr>
          <w:b/>
          <w:bCs/>
        </w:rPr>
        <w:fldChar w:fldCharType="separate"/>
      </w:r>
      <w:r w:rsidR="003B42C6">
        <w:rPr>
          <w:b/>
          <w:bCs/>
          <w:noProof/>
        </w:rPr>
        <w:t>10</w:t>
      </w:r>
      <w:r w:rsidRPr="00E32F2F">
        <w:rPr>
          <w:b/>
          <w:bCs/>
        </w:rPr>
        <w:fldChar w:fldCharType="end"/>
      </w:r>
      <w:bookmarkEnd w:id="102"/>
      <w:r>
        <w:rPr>
          <w:noProof/>
        </w:rPr>
        <w:t xml:space="preserve"> Proposed GSL scheme 2024-28</w:t>
      </w:r>
      <w:r w:rsidR="00BF63B8">
        <w:rPr>
          <w:noProof/>
        </w:rPr>
        <w:t xml:space="preserve"> </w:t>
      </w:r>
      <w:r w:rsidR="00BF63B8" w:rsidRPr="00BF63B8">
        <w:rPr>
          <w:noProof/>
        </w:rPr>
        <w:t>($, nominal)</w:t>
      </w:r>
      <w:r w:rsidR="00A46670">
        <w:rPr>
          <w:noProof/>
        </w:rPr>
        <w:t xml:space="preserve"> </w:t>
      </w:r>
    </w:p>
    <w:tbl>
      <w:tblPr>
        <w:tblStyle w:val="GWWShadedtable"/>
        <w:tblW w:w="0" w:type="auto"/>
        <w:tblLayout w:type="fixed"/>
        <w:tblLook w:val="04A0" w:firstRow="1" w:lastRow="0" w:firstColumn="1" w:lastColumn="0" w:noHBand="0" w:noVBand="1"/>
      </w:tblPr>
      <w:tblGrid>
        <w:gridCol w:w="1649"/>
        <w:gridCol w:w="1986"/>
        <w:gridCol w:w="1986"/>
        <w:gridCol w:w="1921"/>
        <w:gridCol w:w="65"/>
        <w:gridCol w:w="2015"/>
      </w:tblGrid>
      <w:tr w:rsidR="00B37BC9" w:rsidRPr="009F0ED4" w14:paraId="4D6BA3CE" w14:textId="77777777" w:rsidTr="005164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tcBorders>
              <w:top w:val="single" w:sz="8" w:space="0" w:color="1A206C" w:themeColor="text2"/>
              <w:bottom w:val="nil"/>
            </w:tcBorders>
            <w:hideMark/>
          </w:tcPr>
          <w:p w14:paraId="58B5F8C9" w14:textId="77777777" w:rsidR="00B37BC9" w:rsidRPr="009F0ED4" w:rsidRDefault="00B37BC9" w:rsidP="00830B8F">
            <w:pPr>
              <w:rPr>
                <w:b w:val="0"/>
                <w:bCs/>
                <w:szCs w:val="18"/>
              </w:rPr>
            </w:pPr>
            <w:r w:rsidRPr="009F0ED4">
              <w:rPr>
                <w:bCs/>
                <w:szCs w:val="18"/>
              </w:rPr>
              <w:t>Theme </w:t>
            </w:r>
          </w:p>
        </w:tc>
        <w:tc>
          <w:tcPr>
            <w:tcW w:w="3972" w:type="dxa"/>
            <w:gridSpan w:val="2"/>
            <w:tcBorders>
              <w:top w:val="single" w:sz="8" w:space="0" w:color="1A206C" w:themeColor="text2"/>
              <w:bottom w:val="nil"/>
            </w:tcBorders>
            <w:vAlign w:val="center"/>
            <w:hideMark/>
          </w:tcPr>
          <w:p w14:paraId="5816240A" w14:textId="00C4B09F" w:rsidR="00B37BC9" w:rsidRPr="009F0ED4"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Current GSL</w:t>
            </w:r>
            <w:r w:rsidR="002271DB" w:rsidRPr="009F0ED4">
              <w:rPr>
                <w:bCs/>
                <w:szCs w:val="18"/>
              </w:rPr>
              <w:t>s</w:t>
            </w:r>
          </w:p>
        </w:tc>
        <w:tc>
          <w:tcPr>
            <w:tcW w:w="1921" w:type="dxa"/>
            <w:tcBorders>
              <w:top w:val="single" w:sz="8" w:space="0" w:color="1A206C" w:themeColor="text2"/>
              <w:bottom w:val="nil"/>
            </w:tcBorders>
            <w:vAlign w:val="center"/>
            <w:hideMark/>
          </w:tcPr>
          <w:p w14:paraId="6471787C" w14:textId="617F100A" w:rsidR="00B37BC9" w:rsidRPr="009F0ED4"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Proposed GSL</w:t>
            </w:r>
            <w:r w:rsidR="002271DB" w:rsidRPr="009F0ED4">
              <w:rPr>
                <w:bCs/>
                <w:szCs w:val="18"/>
              </w:rPr>
              <w:t>s</w:t>
            </w:r>
          </w:p>
        </w:tc>
        <w:tc>
          <w:tcPr>
            <w:tcW w:w="2080" w:type="dxa"/>
            <w:gridSpan w:val="2"/>
            <w:tcBorders>
              <w:top w:val="single" w:sz="8" w:space="0" w:color="1A206C" w:themeColor="text2"/>
              <w:bottom w:val="nil"/>
            </w:tcBorders>
            <w:vAlign w:val="center"/>
            <w:hideMark/>
          </w:tcPr>
          <w:p w14:paraId="5F64015A" w14:textId="77777777" w:rsidR="00F975AA"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 xml:space="preserve">Proposed GSL </w:t>
            </w:r>
            <w:proofErr w:type="gramStart"/>
            <w:r w:rsidRPr="009F0ED4">
              <w:rPr>
                <w:bCs/>
                <w:szCs w:val="18"/>
              </w:rPr>
              <w:t>amount</w:t>
            </w:r>
            <w:proofErr w:type="gramEnd"/>
            <w:r w:rsidR="009603FB">
              <w:rPr>
                <w:bCs/>
                <w:szCs w:val="18"/>
              </w:rPr>
              <w:t xml:space="preserve"> </w:t>
            </w:r>
          </w:p>
          <w:p w14:paraId="7028199E" w14:textId="200CB79F" w:rsidR="00B37BC9" w:rsidRPr="009F0ED4" w:rsidRDefault="00B37BC9" w:rsidP="00AC6B2A">
            <w:pPr>
              <w:cnfStyle w:val="100000000000" w:firstRow="1" w:lastRow="0" w:firstColumn="0" w:lastColumn="0" w:oddVBand="0" w:evenVBand="0" w:oddHBand="0" w:evenHBand="0" w:firstRowFirstColumn="0" w:firstRowLastColumn="0" w:lastRowFirstColumn="0" w:lastRowLastColumn="0"/>
              <w:rPr>
                <w:b w:val="0"/>
                <w:bCs/>
                <w:szCs w:val="18"/>
              </w:rPr>
            </w:pPr>
          </w:p>
        </w:tc>
      </w:tr>
      <w:tr w:rsidR="00B37BC9" w:rsidRPr="009F0ED4" w14:paraId="4F86CB07"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1649" w:type="dxa"/>
            <w:vMerge/>
            <w:tcBorders>
              <w:top w:val="nil"/>
              <w:bottom w:val="single" w:sz="8" w:space="0" w:color="1A206C" w:themeColor="text2"/>
            </w:tcBorders>
            <w:shd w:val="clear" w:color="auto" w:fill="1A206C" w:themeFill="text2"/>
            <w:hideMark/>
          </w:tcPr>
          <w:p w14:paraId="3577F4C5" w14:textId="77777777" w:rsidR="00B37BC9" w:rsidRPr="009F0ED4" w:rsidRDefault="00B37BC9" w:rsidP="00830B8F">
            <w:pPr>
              <w:rPr>
                <w:b w:val="0"/>
                <w:bCs/>
                <w:szCs w:val="18"/>
              </w:rPr>
            </w:pPr>
          </w:p>
        </w:tc>
        <w:tc>
          <w:tcPr>
            <w:tcW w:w="1986" w:type="dxa"/>
            <w:tcBorders>
              <w:top w:val="nil"/>
              <w:bottom w:val="single" w:sz="8" w:space="0" w:color="1A206C" w:themeColor="text2"/>
            </w:tcBorders>
            <w:shd w:val="clear" w:color="auto" w:fill="1A206C" w:themeFill="text2"/>
            <w:vAlign w:val="center"/>
            <w:hideMark/>
          </w:tcPr>
          <w:p w14:paraId="55F608B9" w14:textId="1D967A46" w:rsidR="00B37BC9" w:rsidRPr="00C264D7" w:rsidRDefault="00B37BC9"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Central region</w:t>
            </w:r>
          </w:p>
        </w:tc>
        <w:tc>
          <w:tcPr>
            <w:tcW w:w="1986" w:type="dxa"/>
            <w:tcBorders>
              <w:top w:val="nil"/>
              <w:bottom w:val="single" w:sz="8" w:space="0" w:color="1A206C" w:themeColor="text2"/>
            </w:tcBorders>
            <w:shd w:val="clear" w:color="auto" w:fill="1A206C" w:themeFill="text2"/>
            <w:vAlign w:val="center"/>
            <w:hideMark/>
          </w:tcPr>
          <w:p w14:paraId="5AB99545" w14:textId="30DD9258" w:rsidR="00B37BC9" w:rsidRPr="00C264D7" w:rsidRDefault="00B37BC9"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Western region</w:t>
            </w:r>
          </w:p>
        </w:tc>
        <w:tc>
          <w:tcPr>
            <w:tcW w:w="4001" w:type="dxa"/>
            <w:gridSpan w:val="3"/>
            <w:tcBorders>
              <w:top w:val="nil"/>
              <w:bottom w:val="single" w:sz="8" w:space="0" w:color="1A206C" w:themeColor="text2"/>
            </w:tcBorders>
            <w:shd w:val="clear" w:color="auto" w:fill="1A206C" w:themeFill="text2"/>
            <w:vAlign w:val="center"/>
            <w:hideMark/>
          </w:tcPr>
          <w:p w14:paraId="1CA05FC5" w14:textId="6A8A5C83" w:rsidR="00B37BC9" w:rsidRPr="00C264D7" w:rsidRDefault="00310211"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GWW</w:t>
            </w:r>
          </w:p>
        </w:tc>
      </w:tr>
      <w:tr w:rsidR="00B37BC9" w:rsidRPr="009F0ED4" w14:paraId="69AA0AA4"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8" w:space="0" w:color="1A206C" w:themeColor="text2"/>
              <w:bottom w:val="single" w:sz="8" w:space="0" w:color="1A206C" w:themeColor="text2"/>
            </w:tcBorders>
            <w:hideMark/>
          </w:tcPr>
          <w:p w14:paraId="0127A9CF" w14:textId="3C55CF54" w:rsidR="00B37BC9" w:rsidRPr="009F0ED4" w:rsidRDefault="00B37BC9" w:rsidP="00830B8F">
            <w:pPr>
              <w:rPr>
                <w:b w:val="0"/>
                <w:bCs/>
                <w:szCs w:val="18"/>
              </w:rPr>
            </w:pPr>
            <w:r w:rsidRPr="009F0ED4">
              <w:rPr>
                <w:bCs/>
                <w:szCs w:val="18"/>
              </w:rPr>
              <w:t>Guaranteed service levels – water service</w:t>
            </w:r>
          </w:p>
        </w:tc>
      </w:tr>
      <w:tr w:rsidR="00B37BC9" w:rsidRPr="009F0ED4" w14:paraId="423DF868"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tcBorders>
              <w:top w:val="single" w:sz="8" w:space="0" w:color="1A206C" w:themeColor="text2"/>
            </w:tcBorders>
            <w:shd w:val="clear" w:color="auto" w:fill="FFFFFF" w:themeFill="background1"/>
            <w:hideMark/>
          </w:tcPr>
          <w:p w14:paraId="3B67285F" w14:textId="6EE14FD0" w:rsidR="00B37BC9" w:rsidRPr="00B30955" w:rsidRDefault="00B37BC9" w:rsidP="00830B8F">
            <w:pPr>
              <w:rPr>
                <w:b w:val="0"/>
                <w:szCs w:val="18"/>
              </w:rPr>
            </w:pPr>
            <w:r w:rsidRPr="00B30955">
              <w:rPr>
                <w:b w:val="0"/>
                <w:szCs w:val="18"/>
              </w:rPr>
              <w:t xml:space="preserve">Limiting high </w:t>
            </w:r>
            <w:r w:rsidR="00146CC3">
              <w:rPr>
                <w:b w:val="0"/>
                <w:szCs w:val="18"/>
              </w:rPr>
              <w:t>number</w:t>
            </w:r>
            <w:r w:rsidRPr="00B30955">
              <w:rPr>
                <w:b w:val="0"/>
                <w:szCs w:val="18"/>
              </w:rPr>
              <w:t xml:space="preserve"> of interruptions </w:t>
            </w:r>
          </w:p>
        </w:tc>
        <w:tc>
          <w:tcPr>
            <w:tcW w:w="1986" w:type="dxa"/>
            <w:tcBorders>
              <w:top w:val="single" w:sz="8" w:space="0" w:color="1A206C" w:themeColor="text2"/>
            </w:tcBorders>
            <w:vAlign w:val="center"/>
            <w:hideMark/>
          </w:tcPr>
          <w:p w14:paraId="7F848DF0" w14:textId="02EC2D5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unplanned water supply interruptions within any 12-month period</w:t>
            </w:r>
          </w:p>
        </w:tc>
        <w:tc>
          <w:tcPr>
            <w:tcW w:w="1986" w:type="dxa"/>
            <w:tcBorders>
              <w:top w:val="single" w:sz="8" w:space="0" w:color="1A206C" w:themeColor="text2"/>
            </w:tcBorders>
            <w:vAlign w:val="center"/>
            <w:hideMark/>
          </w:tcPr>
          <w:p w14:paraId="1B4630B1" w14:textId="3995462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Merge w:val="restart"/>
            <w:tcBorders>
              <w:top w:val="single" w:sz="8" w:space="0" w:color="1A206C" w:themeColor="text2"/>
            </w:tcBorders>
            <w:vAlign w:val="center"/>
            <w:hideMark/>
          </w:tcPr>
          <w:p w14:paraId="6EC6BD8E" w14:textId="2EB0A88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unplanned water supply interruptions within any 12-month period</w:t>
            </w:r>
          </w:p>
        </w:tc>
        <w:tc>
          <w:tcPr>
            <w:tcW w:w="2015" w:type="dxa"/>
            <w:vMerge w:val="restart"/>
            <w:tcBorders>
              <w:top w:val="single" w:sz="8" w:space="0" w:color="1A206C" w:themeColor="text2"/>
            </w:tcBorders>
            <w:vAlign w:val="center"/>
            <w:hideMark/>
          </w:tcPr>
          <w:p w14:paraId="5962E6D2" w14:textId="4A3D03A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$250</w:t>
            </w:r>
          </w:p>
        </w:tc>
      </w:tr>
      <w:tr w:rsidR="00B37BC9" w:rsidRPr="009F0ED4" w14:paraId="6D63CD6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5E6F79C2" w14:textId="77777777" w:rsidR="00B37BC9" w:rsidRPr="00B30955" w:rsidRDefault="00B37BC9" w:rsidP="00830B8F">
            <w:pPr>
              <w:rPr>
                <w:b w:val="0"/>
                <w:szCs w:val="18"/>
              </w:rPr>
            </w:pPr>
          </w:p>
        </w:tc>
        <w:tc>
          <w:tcPr>
            <w:tcW w:w="1986" w:type="dxa"/>
            <w:vAlign w:val="center"/>
            <w:hideMark/>
          </w:tcPr>
          <w:p w14:paraId="759EE85B" w14:textId="21C2E12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6C44E5F0" w14:textId="4C43B4A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water supply interruptions within any 12-month period</w:t>
            </w:r>
          </w:p>
        </w:tc>
        <w:tc>
          <w:tcPr>
            <w:tcW w:w="1986" w:type="dxa"/>
            <w:gridSpan w:val="2"/>
            <w:vMerge/>
            <w:vAlign w:val="center"/>
            <w:hideMark/>
          </w:tcPr>
          <w:p w14:paraId="2A362432"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c>
          <w:tcPr>
            <w:tcW w:w="2015" w:type="dxa"/>
            <w:vMerge/>
            <w:vAlign w:val="center"/>
            <w:hideMark/>
          </w:tcPr>
          <w:p w14:paraId="7A175D50"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r>
      <w:tr w:rsidR="00B37BC9" w:rsidRPr="009F0ED4" w14:paraId="611D50BD"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28CB043E" w14:textId="77777777" w:rsidR="00B37BC9" w:rsidRPr="00B30955" w:rsidRDefault="00B37BC9" w:rsidP="00830B8F">
            <w:pPr>
              <w:rPr>
                <w:b w:val="0"/>
                <w:szCs w:val="18"/>
              </w:rPr>
            </w:pPr>
          </w:p>
        </w:tc>
        <w:tc>
          <w:tcPr>
            <w:tcW w:w="1986" w:type="dxa"/>
            <w:vAlign w:val="center"/>
            <w:hideMark/>
          </w:tcPr>
          <w:p w14:paraId="0F6E77B2" w14:textId="5C76930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unplanned water supply interruptions within any 12-month period</w:t>
            </w:r>
          </w:p>
        </w:tc>
        <w:tc>
          <w:tcPr>
            <w:tcW w:w="1986" w:type="dxa"/>
            <w:vAlign w:val="center"/>
            <w:hideMark/>
          </w:tcPr>
          <w:p w14:paraId="1BF2B1D8" w14:textId="4BF3795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89D7E90" w14:textId="5683CE5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unplanned water supply interruptions within any 12-month period</w:t>
            </w:r>
          </w:p>
        </w:tc>
        <w:tc>
          <w:tcPr>
            <w:tcW w:w="2015" w:type="dxa"/>
            <w:vAlign w:val="center"/>
            <w:hideMark/>
          </w:tcPr>
          <w:p w14:paraId="5D0D4502" w14:textId="199076A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5A67592C"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3CAF5BE5" w14:textId="77777777" w:rsidR="00B37BC9" w:rsidRPr="00B30955" w:rsidRDefault="00B37BC9" w:rsidP="00830B8F">
            <w:pPr>
              <w:rPr>
                <w:b w:val="0"/>
                <w:szCs w:val="18"/>
              </w:rPr>
            </w:pPr>
            <w:r w:rsidRPr="00B30955">
              <w:rPr>
                <w:b w:val="0"/>
                <w:szCs w:val="18"/>
              </w:rPr>
              <w:t>Resolving interruptions in an appropriate timeframe </w:t>
            </w:r>
          </w:p>
        </w:tc>
        <w:tc>
          <w:tcPr>
            <w:tcW w:w="1986" w:type="dxa"/>
            <w:vAlign w:val="center"/>
            <w:hideMark/>
          </w:tcPr>
          <w:p w14:paraId="2E6535FC" w14:textId="5624358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Unplanned water supply interruption not restored within 5 hours of notification</w:t>
            </w:r>
          </w:p>
        </w:tc>
        <w:tc>
          <w:tcPr>
            <w:tcW w:w="1986" w:type="dxa"/>
            <w:vAlign w:val="center"/>
            <w:hideMark/>
          </w:tcPr>
          <w:p w14:paraId="7BD4DD8F" w14:textId="4626BF4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Merge w:val="restart"/>
            <w:vAlign w:val="center"/>
            <w:hideMark/>
          </w:tcPr>
          <w:p w14:paraId="3044AF10" w14:textId="5785FAD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Unplanned water supply interruption not restored within 5 hours of notification</w:t>
            </w:r>
          </w:p>
        </w:tc>
        <w:tc>
          <w:tcPr>
            <w:tcW w:w="2015" w:type="dxa"/>
            <w:vMerge w:val="restart"/>
            <w:vAlign w:val="center"/>
            <w:hideMark/>
          </w:tcPr>
          <w:p w14:paraId="55FCB2E2" w14:textId="49F3D17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2D3896B6"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49D4DB5A" w14:textId="77777777" w:rsidR="00B37BC9" w:rsidRPr="009F0ED4" w:rsidRDefault="00B37BC9" w:rsidP="00830B8F">
            <w:pPr>
              <w:rPr>
                <w:b w:val="0"/>
                <w:bCs/>
                <w:szCs w:val="18"/>
              </w:rPr>
            </w:pPr>
          </w:p>
        </w:tc>
        <w:tc>
          <w:tcPr>
            <w:tcW w:w="1986" w:type="dxa"/>
            <w:vAlign w:val="center"/>
            <w:hideMark/>
          </w:tcPr>
          <w:p w14:paraId="05EFFAE5" w14:textId="29B8464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6278C595" w14:textId="1D6E0A6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longer than notification given</w:t>
            </w:r>
          </w:p>
        </w:tc>
        <w:tc>
          <w:tcPr>
            <w:tcW w:w="1986" w:type="dxa"/>
            <w:gridSpan w:val="2"/>
            <w:vMerge/>
            <w:vAlign w:val="center"/>
            <w:hideMark/>
          </w:tcPr>
          <w:p w14:paraId="4E40CD47"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c>
          <w:tcPr>
            <w:tcW w:w="2015" w:type="dxa"/>
            <w:vMerge/>
            <w:vAlign w:val="center"/>
            <w:hideMark/>
          </w:tcPr>
          <w:p w14:paraId="27100911"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r>
      <w:tr w:rsidR="00B37BC9" w:rsidRPr="009F0ED4" w14:paraId="6604322F"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6EFA8D2B" w14:textId="77777777" w:rsidR="00B37BC9" w:rsidRPr="009F0ED4" w:rsidRDefault="00B37BC9" w:rsidP="00830B8F">
            <w:pPr>
              <w:rPr>
                <w:b w:val="0"/>
                <w:bCs/>
                <w:szCs w:val="18"/>
              </w:rPr>
            </w:pPr>
          </w:p>
        </w:tc>
        <w:tc>
          <w:tcPr>
            <w:tcW w:w="1986" w:type="dxa"/>
            <w:vAlign w:val="center"/>
            <w:hideMark/>
          </w:tcPr>
          <w:p w14:paraId="1D06AEA6" w14:textId="2191289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1986" w:type="dxa"/>
            <w:vAlign w:val="center"/>
            <w:hideMark/>
          </w:tcPr>
          <w:p w14:paraId="2466CBE1" w14:textId="58CF24A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1986" w:type="dxa"/>
            <w:gridSpan w:val="2"/>
            <w:vAlign w:val="center"/>
            <w:hideMark/>
          </w:tcPr>
          <w:p w14:paraId="16A84BB6" w14:textId="1DBD5DC1"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2015" w:type="dxa"/>
            <w:vAlign w:val="center"/>
            <w:hideMark/>
          </w:tcPr>
          <w:p w14:paraId="516D37D8" w14:textId="04C2751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71BFF8A4"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4A061150" w14:textId="77777777" w:rsidR="00B37BC9" w:rsidRPr="00B439B5" w:rsidRDefault="00B37BC9" w:rsidP="00830B8F">
            <w:pPr>
              <w:rPr>
                <w:b w:val="0"/>
                <w:szCs w:val="18"/>
              </w:rPr>
            </w:pPr>
            <w:r w:rsidRPr="00B439B5">
              <w:rPr>
                <w:b w:val="0"/>
                <w:szCs w:val="18"/>
              </w:rPr>
              <w:t>Notifying customers early </w:t>
            </w:r>
          </w:p>
        </w:tc>
        <w:tc>
          <w:tcPr>
            <w:tcW w:w="1986" w:type="dxa"/>
            <w:vAlign w:val="center"/>
            <w:hideMark/>
          </w:tcPr>
          <w:p w14:paraId="65D2F48A" w14:textId="331344E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Failure to give at least 2 business days’ notice of a planned water supply interruption</w:t>
            </w:r>
          </w:p>
        </w:tc>
        <w:tc>
          <w:tcPr>
            <w:tcW w:w="1986" w:type="dxa"/>
            <w:vAlign w:val="center"/>
            <w:hideMark/>
          </w:tcPr>
          <w:p w14:paraId="68FC4119" w14:textId="05483A2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305A5CA9" w14:textId="3EEC906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Failure to give at least 2 business days’ notice of a planned water supply interruption</w:t>
            </w:r>
          </w:p>
        </w:tc>
        <w:tc>
          <w:tcPr>
            <w:tcW w:w="2015" w:type="dxa"/>
            <w:vAlign w:val="center"/>
            <w:hideMark/>
          </w:tcPr>
          <w:p w14:paraId="15A18D8C" w14:textId="146CF19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7925EF9C"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6CB2A20A" w14:textId="77777777" w:rsidR="00B37BC9" w:rsidRPr="00B439B5" w:rsidRDefault="00B37BC9" w:rsidP="00830B8F">
            <w:pPr>
              <w:rPr>
                <w:b w:val="0"/>
                <w:szCs w:val="18"/>
              </w:rPr>
            </w:pPr>
            <w:r w:rsidRPr="00B439B5">
              <w:rPr>
                <w:b w:val="0"/>
                <w:szCs w:val="18"/>
              </w:rPr>
              <w:t>High quality and safe drinking water </w:t>
            </w:r>
          </w:p>
        </w:tc>
        <w:tc>
          <w:tcPr>
            <w:tcW w:w="1986" w:type="dxa"/>
            <w:vAlign w:val="center"/>
            <w:hideMark/>
          </w:tcPr>
          <w:p w14:paraId="1BFF3A38" w14:textId="327D522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29692F11" w14:textId="0CC648C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33F65E9" w14:textId="2DE328F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 water quality advisory notice is issued</w:t>
            </w:r>
          </w:p>
        </w:tc>
        <w:tc>
          <w:tcPr>
            <w:tcW w:w="2015" w:type="dxa"/>
            <w:vAlign w:val="center"/>
            <w:hideMark/>
          </w:tcPr>
          <w:p w14:paraId="7235611A" w14:textId="7EA6DB9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Affecting &lt;50 customers: $5000 community rebate</w:t>
            </w:r>
          </w:p>
          <w:p w14:paraId="04DB0AE6" w14:textId="624471C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p w14:paraId="623DD51F" w14:textId="76CE95D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Affecting 50 or more customers: $10,000 community rebate per impacted postcode</w:t>
            </w:r>
          </w:p>
        </w:tc>
      </w:tr>
      <w:tr w:rsidR="00B37BC9" w:rsidRPr="00F54D75" w14:paraId="4B5A52BB"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hideMark/>
          </w:tcPr>
          <w:p w14:paraId="3F661C59" w14:textId="42FF9079" w:rsidR="00B37BC9" w:rsidRPr="00F54D75" w:rsidRDefault="00B37BC9" w:rsidP="00830B8F">
            <w:pPr>
              <w:rPr>
                <w:bCs/>
                <w:szCs w:val="18"/>
              </w:rPr>
            </w:pPr>
            <w:r w:rsidRPr="00F54D75">
              <w:rPr>
                <w:bCs/>
                <w:szCs w:val="18"/>
              </w:rPr>
              <w:t>Guaranteed service levels – sewerage service</w:t>
            </w:r>
          </w:p>
        </w:tc>
      </w:tr>
      <w:tr w:rsidR="00B37BC9" w:rsidRPr="009F0ED4" w14:paraId="512F3515"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6324A5F3" w14:textId="6A79FEA8" w:rsidR="00B37BC9" w:rsidRPr="00254154" w:rsidRDefault="00B37BC9" w:rsidP="00830B8F">
            <w:pPr>
              <w:rPr>
                <w:b w:val="0"/>
                <w:szCs w:val="18"/>
              </w:rPr>
            </w:pPr>
            <w:r w:rsidRPr="00254154">
              <w:rPr>
                <w:b w:val="0"/>
                <w:szCs w:val="18"/>
              </w:rPr>
              <w:t xml:space="preserve">Limiting high </w:t>
            </w:r>
            <w:r w:rsidR="00146CC3">
              <w:rPr>
                <w:b w:val="0"/>
                <w:szCs w:val="18"/>
              </w:rPr>
              <w:t>number</w:t>
            </w:r>
            <w:r w:rsidRPr="00254154">
              <w:rPr>
                <w:b w:val="0"/>
                <w:szCs w:val="18"/>
              </w:rPr>
              <w:t xml:space="preserve"> of interruptions </w:t>
            </w:r>
          </w:p>
        </w:tc>
        <w:tc>
          <w:tcPr>
            <w:tcW w:w="1986" w:type="dxa"/>
            <w:vAlign w:val="center"/>
            <w:hideMark/>
          </w:tcPr>
          <w:p w14:paraId="0FFF4933" w14:textId="7BF5ADB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1986" w:type="dxa"/>
            <w:vAlign w:val="center"/>
            <w:hideMark/>
          </w:tcPr>
          <w:p w14:paraId="4FA7EEE9" w14:textId="1B1753C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1986" w:type="dxa"/>
            <w:gridSpan w:val="2"/>
            <w:vAlign w:val="center"/>
            <w:hideMark/>
          </w:tcPr>
          <w:p w14:paraId="78854220" w14:textId="68F6AA06"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2015" w:type="dxa"/>
            <w:vAlign w:val="center"/>
            <w:hideMark/>
          </w:tcPr>
          <w:p w14:paraId="2B46AB87" w14:textId="59E59E1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314CBBF0"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1B1434B5" w14:textId="77777777" w:rsidR="00B37BC9" w:rsidRPr="00254154" w:rsidRDefault="00B37BC9" w:rsidP="00830B8F">
            <w:pPr>
              <w:rPr>
                <w:b w:val="0"/>
                <w:szCs w:val="18"/>
              </w:rPr>
            </w:pPr>
            <w:r w:rsidRPr="00254154">
              <w:rPr>
                <w:b w:val="0"/>
                <w:szCs w:val="18"/>
              </w:rPr>
              <w:t>Resolving interruptions in an appropriate timeframe </w:t>
            </w:r>
          </w:p>
        </w:tc>
        <w:tc>
          <w:tcPr>
            <w:tcW w:w="1986" w:type="dxa"/>
            <w:vAlign w:val="center"/>
            <w:hideMark/>
          </w:tcPr>
          <w:p w14:paraId="7136C191" w14:textId="58EFBAF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Sewer blockages not restored within 5 hours of notification</w:t>
            </w:r>
          </w:p>
        </w:tc>
        <w:tc>
          <w:tcPr>
            <w:tcW w:w="1986" w:type="dxa"/>
            <w:vAlign w:val="center"/>
            <w:hideMark/>
          </w:tcPr>
          <w:p w14:paraId="5CACD242" w14:textId="7FE570C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6D0B0E1B" w14:textId="202529B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Sewer blockages not restored within 5 hours of notification</w:t>
            </w:r>
          </w:p>
        </w:tc>
        <w:tc>
          <w:tcPr>
            <w:tcW w:w="2015" w:type="dxa"/>
            <w:vAlign w:val="center"/>
            <w:hideMark/>
          </w:tcPr>
          <w:p w14:paraId="5C2923BC" w14:textId="4CBEF33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4BE0EE3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67D2BB74" w14:textId="77777777" w:rsidR="00B37BC9" w:rsidRPr="00254154" w:rsidRDefault="00B37BC9" w:rsidP="00830B8F">
            <w:pPr>
              <w:rPr>
                <w:b w:val="0"/>
                <w:szCs w:val="18"/>
              </w:rPr>
            </w:pPr>
          </w:p>
        </w:tc>
        <w:tc>
          <w:tcPr>
            <w:tcW w:w="1986" w:type="dxa"/>
            <w:vAlign w:val="center"/>
            <w:hideMark/>
          </w:tcPr>
          <w:p w14:paraId="1A6E461B" w14:textId="5485E16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not contained within 5 hours of notification</w:t>
            </w:r>
          </w:p>
        </w:tc>
        <w:tc>
          <w:tcPr>
            <w:tcW w:w="1986" w:type="dxa"/>
            <w:vAlign w:val="center"/>
            <w:hideMark/>
          </w:tcPr>
          <w:p w14:paraId="1384420B" w14:textId="2F25AE8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53E6575E" w14:textId="53A6012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not contained within 5 hours of notification</w:t>
            </w:r>
          </w:p>
        </w:tc>
        <w:tc>
          <w:tcPr>
            <w:tcW w:w="2015" w:type="dxa"/>
            <w:vAlign w:val="center"/>
            <w:hideMark/>
          </w:tcPr>
          <w:p w14:paraId="46B293E7" w14:textId="2288372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27430903"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0F1EAF83" w14:textId="77777777" w:rsidR="00B37BC9" w:rsidRPr="00254154" w:rsidRDefault="00B37BC9" w:rsidP="00830B8F">
            <w:pPr>
              <w:rPr>
                <w:b w:val="0"/>
                <w:szCs w:val="18"/>
              </w:rPr>
            </w:pPr>
            <w:r w:rsidRPr="00254154">
              <w:rPr>
                <w:b w:val="0"/>
                <w:szCs w:val="18"/>
              </w:rPr>
              <w:t>No spills within your home </w:t>
            </w:r>
          </w:p>
        </w:tc>
        <w:tc>
          <w:tcPr>
            <w:tcW w:w="1986" w:type="dxa"/>
            <w:vAlign w:val="center"/>
            <w:hideMark/>
          </w:tcPr>
          <w:p w14:paraId="273FE2AC" w14:textId="5EB7924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w:t>
            </w:r>
          </w:p>
        </w:tc>
        <w:tc>
          <w:tcPr>
            <w:tcW w:w="1986" w:type="dxa"/>
            <w:vAlign w:val="center"/>
            <w:hideMark/>
          </w:tcPr>
          <w:p w14:paraId="58E7AF28" w14:textId="43747F5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B378718" w14:textId="674637F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w:t>
            </w:r>
          </w:p>
        </w:tc>
        <w:tc>
          <w:tcPr>
            <w:tcW w:w="2015" w:type="dxa"/>
            <w:vAlign w:val="center"/>
            <w:hideMark/>
          </w:tcPr>
          <w:p w14:paraId="2C467D56" w14:textId="0BDE1F9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$1,200</w:t>
            </w:r>
          </w:p>
        </w:tc>
      </w:tr>
      <w:tr w:rsidR="00B37BC9" w:rsidRPr="009F0ED4" w14:paraId="09CB745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51BD777A" w14:textId="77777777" w:rsidR="00B37BC9" w:rsidRPr="009F0ED4" w:rsidRDefault="00B37BC9" w:rsidP="00830B8F">
            <w:pPr>
              <w:rPr>
                <w:b w:val="0"/>
                <w:bCs/>
                <w:szCs w:val="18"/>
              </w:rPr>
            </w:pPr>
          </w:p>
        </w:tc>
        <w:tc>
          <w:tcPr>
            <w:tcW w:w="1986" w:type="dxa"/>
            <w:vAlign w:val="center"/>
            <w:hideMark/>
          </w:tcPr>
          <w:p w14:paraId="6C9D76C8" w14:textId="636F301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1986" w:type="dxa"/>
            <w:vAlign w:val="center"/>
            <w:hideMark/>
          </w:tcPr>
          <w:p w14:paraId="6FE2D356" w14:textId="3B9581D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1986" w:type="dxa"/>
            <w:gridSpan w:val="2"/>
            <w:vAlign w:val="center"/>
            <w:hideMark/>
          </w:tcPr>
          <w:p w14:paraId="6BD26DAB" w14:textId="71A386A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2015" w:type="dxa"/>
            <w:vAlign w:val="center"/>
            <w:hideMark/>
          </w:tcPr>
          <w:p w14:paraId="02C63AD3" w14:textId="297265B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$3,500</w:t>
            </w:r>
          </w:p>
        </w:tc>
      </w:tr>
      <w:tr w:rsidR="00B37BC9" w:rsidRPr="009F0ED4" w14:paraId="147AF72A"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hideMark/>
          </w:tcPr>
          <w:p w14:paraId="5D39FBBA" w14:textId="61564C52" w:rsidR="00B37BC9" w:rsidRPr="009F0ED4" w:rsidRDefault="00B37BC9" w:rsidP="00830B8F">
            <w:pPr>
              <w:rPr>
                <w:b w:val="0"/>
                <w:bCs/>
                <w:szCs w:val="18"/>
              </w:rPr>
            </w:pPr>
            <w:r w:rsidRPr="009F0ED4">
              <w:rPr>
                <w:bCs/>
                <w:szCs w:val="18"/>
              </w:rPr>
              <w:t>Guaranteed service levels – Other</w:t>
            </w:r>
          </w:p>
        </w:tc>
      </w:tr>
      <w:tr w:rsidR="00B37BC9" w:rsidRPr="009F0ED4" w14:paraId="2D834E1E"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4C68C054" w14:textId="77777777" w:rsidR="00B37BC9" w:rsidRPr="00F54D75" w:rsidRDefault="00B37BC9" w:rsidP="00830B8F">
            <w:pPr>
              <w:rPr>
                <w:b w:val="0"/>
                <w:szCs w:val="18"/>
              </w:rPr>
            </w:pPr>
            <w:r w:rsidRPr="00F54D75">
              <w:rPr>
                <w:b w:val="0"/>
                <w:szCs w:val="18"/>
              </w:rPr>
              <w:t xml:space="preserve">Taking reasonable endeavours when </w:t>
            </w:r>
            <w:proofErr w:type="gramStart"/>
            <w:r w:rsidRPr="00F54D75">
              <w:rPr>
                <w:b w:val="0"/>
                <w:szCs w:val="18"/>
              </w:rPr>
              <w:t>taking action</w:t>
            </w:r>
            <w:proofErr w:type="gramEnd"/>
            <w:r w:rsidRPr="00F54D75">
              <w:rPr>
                <w:b w:val="0"/>
                <w:szCs w:val="18"/>
              </w:rPr>
              <w:t> </w:t>
            </w:r>
          </w:p>
        </w:tc>
        <w:tc>
          <w:tcPr>
            <w:tcW w:w="5893" w:type="dxa"/>
            <w:gridSpan w:val="3"/>
            <w:vAlign w:val="center"/>
            <w:hideMark/>
          </w:tcPr>
          <w:p w14:paraId="69A72796" w14:textId="24B46F8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 xml:space="preserve">Restricting the water supply of, or taking legal action against, a residential customer prior to taking reasonable endeavours (as defined by the ESC) to contact the customer and provide information about help that is available if the customer is </w:t>
            </w:r>
            <w:proofErr w:type="gramStart"/>
            <w:r w:rsidRPr="009F0ED4">
              <w:rPr>
                <w:szCs w:val="18"/>
              </w:rPr>
              <w:t>experiencing difficulty</w:t>
            </w:r>
            <w:proofErr w:type="gramEnd"/>
            <w:r w:rsidRPr="009F0ED4">
              <w:rPr>
                <w:szCs w:val="18"/>
              </w:rPr>
              <w:t xml:space="preserve"> paying.</w:t>
            </w:r>
          </w:p>
        </w:tc>
        <w:tc>
          <w:tcPr>
            <w:tcW w:w="2080" w:type="dxa"/>
            <w:gridSpan w:val="2"/>
            <w:vAlign w:val="center"/>
            <w:hideMark/>
          </w:tcPr>
          <w:p w14:paraId="4CA693DC" w14:textId="392840C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$350</w:t>
            </w:r>
          </w:p>
        </w:tc>
      </w:tr>
    </w:tbl>
    <w:p w14:paraId="76213D13" w14:textId="77777777" w:rsidR="00B37BC9" w:rsidRPr="00B37BC9" w:rsidRDefault="00B37BC9" w:rsidP="00F54D75">
      <w:pPr>
        <w:shd w:val="clear" w:color="auto" w:fill="FFFFFF" w:themeFill="background1"/>
      </w:pPr>
    </w:p>
    <w:p w14:paraId="0DEC4598" w14:textId="6419E342" w:rsidR="00066A69" w:rsidRPr="008A41A1" w:rsidRDefault="000568DD" w:rsidP="008A41A1">
      <w:pPr>
        <w:pStyle w:val="Heading1"/>
      </w:pPr>
      <w:bookmarkStart w:id="103" w:name="_Ref145919703"/>
      <w:bookmarkStart w:id="104" w:name="_Ref145928051"/>
      <w:bookmarkStart w:id="105" w:name="_Toc146004865"/>
      <w:bookmarkStart w:id="106" w:name="_Toc146004753"/>
      <w:bookmarkStart w:id="107" w:name="_Toc146746699"/>
      <w:r w:rsidRPr="008A41A1">
        <w:lastRenderedPageBreak/>
        <w:t xml:space="preserve">Investment </w:t>
      </w:r>
      <w:r w:rsidR="001615C0" w:rsidRPr="008A41A1">
        <w:t>and expenditure</w:t>
      </w:r>
      <w:r w:rsidR="007B0857" w:rsidRPr="008A41A1">
        <w:t xml:space="preserve"> to deliver</w:t>
      </w:r>
      <w:r w:rsidRPr="008A41A1">
        <w:t xml:space="preserve"> </w:t>
      </w:r>
      <w:r w:rsidR="00792FE0" w:rsidRPr="008A41A1">
        <w:t xml:space="preserve">customer </w:t>
      </w:r>
      <w:proofErr w:type="gramStart"/>
      <w:r w:rsidR="00035C60" w:rsidRPr="008A41A1">
        <w:t>outcomes</w:t>
      </w:r>
      <w:bookmarkEnd w:id="103"/>
      <w:bookmarkEnd w:id="104"/>
      <w:bookmarkEnd w:id="105"/>
      <w:bookmarkEnd w:id="106"/>
      <w:bookmarkEnd w:id="107"/>
      <w:proofErr w:type="gramEnd"/>
    </w:p>
    <w:p w14:paraId="3F99C2A6" w14:textId="6FF5F7B0" w:rsidR="00780D36" w:rsidRDefault="006E0843" w:rsidP="00CD15D1">
      <w:r w:rsidRPr="006E0843">
        <w:t xml:space="preserve">Our engagement has shown us how much our customers are willing to pay for the services they receive. Our customers endorsed five new customers outcomes, with experiences and performance measures </w:t>
      </w:r>
      <w:r w:rsidR="00EF7AC6">
        <w:t>for</w:t>
      </w:r>
      <w:r w:rsidRPr="006E0843">
        <w:t xml:space="preserve"> which we are accountable. At each stage of our engagement program, we have updated our investment and expenditure plans to reflect customer sentiment and expectations. Our major commitments support delivery of our customer outcomes and the experiences that define them. The diagram below shows how our customer outcomes and experiences will be delivered through investment and expenditure during the 2024-28 regulatory period</w:t>
      </w:r>
      <w:r>
        <w:t>.</w:t>
      </w:r>
    </w:p>
    <w:p w14:paraId="3AD2B99A" w14:textId="45280BB8" w:rsidR="00DE0422" w:rsidRDefault="00DE0422" w:rsidP="00780D36"/>
    <w:p w14:paraId="6B7380FC" w14:textId="56603C9C" w:rsidR="000562BD" w:rsidRDefault="00044D58" w:rsidP="00780D36">
      <w:r>
        <w:rPr>
          <w:noProof/>
        </w:rPr>
        <w:lastRenderedPageBreak/>
        <w:drawing>
          <wp:inline distT="0" distB="0" distL="0" distR="0" wp14:anchorId="6B77B391" wp14:editId="368A14EF">
            <wp:extent cx="6486787" cy="9171305"/>
            <wp:effectExtent l="0" t="0" r="0" b="0"/>
            <wp:docPr id="730749636" name="Picture 730749636" descr="This is an infographic with two boxes. Box one title is “Safe and resilient water services” which includes sub header titles “experiences: Water that is there when you turn on the tap; Water that tastes great, is high quality; always safe to drink and Your sewerage service works without interruptions or blockages”. Next to the experience sub header is a sub header titled “commitment delivering benefits to customers” with eight dot points underneath “ Pipelines, pump stations, tanks and minor works to improve capacity, resilience, reliability and water quality in Macedon Ranges, Sunbury, Diggers Rest and Bulla;  New storage tanks to ensure reliable water supply for growth areas in Sunbury; Plan asset management to target areas at greatest risk of interruptions; Asset Delivery Organisation Review (ADOR) to support delivery of infrastructure to ensure resilience to growth and climate change; New water filtration plant to provide safe drinking water and meet demand in Romsey; Drinking water quality roadmap to improve water quality for all customers; New 700m sewer in CBD to support growth and minimise risk of sewer spills and structural failure and Improve our capacity to deliver sewerage system infrastructure”.   &#10;The box two title is “When things go wrong we fix them” which also includes the sub header titles “Experiences' and 'Commitments delivering benefits to customers'. The experiences are: Our water and sewerage maintenance crews are responsive and efficient if disruptions happen; we provide excellent customer services when you contact us; with our partners, we improve the wellbeing of our communities by providing alternative water to irrigate public green spaces and we support the financial resilience of our communities and help you if you're having payment difficulties”. Under the subheading &quot;commitments delivering benefits to customers” are the following five bullet points “Modernise platforms, processes and data capabilities to support billing and collection services, meet industry standards for communication, and improve customer experience; New billing and collections system to give customers choice in the way we communicate with them and access to a self-service online portal; Upgrade and consolidate digital systems that monitor, record and report on asset condition, providing rapid response to issues and supporting preventative maintenance; Improve asset and works capability, geospatial capability and SCADA technology to improve communication with customers, community and industry partners and Maintain service levels (call response and resolution) from our customer call centre and dedicated business customer teams.&quot;&#10;&#10;This infographic continues on the following page and is captioned separately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6" name="Picture 730749636" descr="This is an infographic with two boxes. Box one title is “Safe and resilient water services” which includes sub header titles “experiences: Water that is there when you turn on the tap; Water that tastes great, is high quality; always safe to drink and Your sewerage service works without interruptions or blockages”. Next to the experience sub header is a sub header titled “commitment delivering benefits to customers” with eight dot points underneath “ Pipelines, pump stations, tanks and minor works to improve capacity, resilience, reliability and water quality in Macedon Ranges, Sunbury, Diggers Rest and Bulla;  New storage tanks to ensure reliable water supply for growth areas in Sunbury; Plan asset management to target areas at greatest risk of interruptions; Asset Delivery Organisation Review (ADOR) to support delivery of infrastructure to ensure resilience to growth and climate change; New water filtration plant to provide safe drinking water and meet demand in Romsey; Drinking water quality roadmap to improve water quality for all customers; New 700m sewer in CBD to support growth and minimise risk of sewer spills and structural failure and Improve our capacity to deliver sewerage system infrastructure”.   &#10;The box two title is “When things go wrong we fix them” which also includes the sub header titles “Experiences' and 'Commitments delivering benefits to customers'. The experiences are: Our water and sewerage maintenance crews are responsive and efficient if disruptions happen; we provide excellent customer services when you contact us; with our partners, we improve the wellbeing of our communities by providing alternative water to irrigate public green spaces and we support the financial resilience of our communities and help you if you're having payment difficulties”. Under the subheading &quot;commitments delivering benefits to customers” are the following five bullet points “Modernise platforms, processes and data capabilities to support billing and collection services, meet industry standards for communication, and improve customer experience; New billing and collections system to give customers choice in the way we communicate with them and access to a self-service online portal; Upgrade and consolidate digital systems that monitor, record and report on asset condition, providing rapid response to issues and supporting preventative maintenance; Improve asset and works capability, geospatial capability and SCADA technology to improve communication with customers, community and industry partners and Maintain service levels (call response and resolution) from our customer call centre and dedicated business customer teams.&quot;&#10;&#10;This infographic continues on the following page and is captioned separately there. "/>
                    <pic:cNvPicPr/>
                  </pic:nvPicPr>
                  <pic:blipFill>
                    <a:blip r:embed="rId40">
                      <a:extLst>
                        <a:ext uri="{28A0092B-C50C-407E-A947-70E740481C1C}">
                          <a14:useLocalDpi xmlns:a14="http://schemas.microsoft.com/office/drawing/2010/main" val="0"/>
                        </a:ext>
                      </a:extLst>
                    </a:blip>
                    <a:stretch>
                      <a:fillRect/>
                    </a:stretch>
                  </pic:blipFill>
                  <pic:spPr>
                    <a:xfrm>
                      <a:off x="0" y="0"/>
                      <a:ext cx="6494117" cy="9181669"/>
                    </a:xfrm>
                    <a:prstGeom prst="rect">
                      <a:avLst/>
                    </a:prstGeom>
                  </pic:spPr>
                </pic:pic>
              </a:graphicData>
            </a:graphic>
          </wp:inline>
        </w:drawing>
      </w:r>
      <w:r w:rsidR="005F55AB">
        <w:t xml:space="preserve"> </w:t>
      </w:r>
      <w:r w:rsidR="000562BD">
        <w:br w:type="page"/>
      </w:r>
    </w:p>
    <w:p w14:paraId="6D42A4F1" w14:textId="5B0B2B1B" w:rsidR="000562BD" w:rsidRDefault="00E23C72" w:rsidP="00780D36">
      <w:r>
        <w:rPr>
          <w:noProof/>
        </w:rPr>
        <w:lastRenderedPageBreak/>
        <w:drawing>
          <wp:inline distT="0" distB="0" distL="0" distR="0" wp14:anchorId="568183BF" wp14:editId="3D6FB91A">
            <wp:extent cx="6256383" cy="8845550"/>
            <wp:effectExtent l="0" t="0" r="0" b="0"/>
            <wp:docPr id="730749637" name="Picture 730749637" descr="This is a continuation of the same infographic with two more boxes. Box one (the third in total) is titled “We support our diverse communities and customers.“ Under the experiences subheading it has the following: With our partners, we improve the wellbeing of our communities by providing alternative water to irrigate public green spaces and If our customers are having payment difficulties, we provide support’.  Next to the experience sub header is a sub header titled “commitment delivering benefits to customers” with four dot points underneath as follows: “Invest in additional alternative water schemes to support social and environmental benefits by irrigating public green spaces and reducing our reliance on catchment water; Advocate for a greener, more liveable west by leading programs such as Greening the West and Werribee Zoo and Wyndham open space alternative water projects; Dedicate extra resources to identify customers who are having difficulty paying bills and provide tailored services; Increase funding for customer support services, including referrals, payment plans, matched payments and water efficiency assistance programs”.&#10;The box two (four overall) title is “We enable growth and help business thrive” which includes sub header titles “experiences; We provide excellent customer service when you contact us; We support agriculture with the right recycled water products for your needs; Developers and applicants find us easy, timely and consistent to do business with to get new customers connected”. Next to the experience sub header is a sub header titled “commitment delivering benefits to customers” with seven dot points underneath “Continue to provide dedicated business customer teams to service customers’ specific needs; Include small businesses in our customer support program to ensure all our community thrives.; Implement new customer communication management system so customers can select from a range of methods to engage with us; Provide alternative water at a level of quality that meets the needs of agricultural customers; Supply Western Irrigation Network customers with alternative water from Bacchus Marsh and Melton treatment plants; Engage with developers to understand their preferences for doing business with us; Dedicate resources to ensure applications are processed in a timely manner”.&#10;&#10;The fifth box is on the following page, captioned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7" name="Picture 730749637" descr="This is a continuation of the same infographic with two more boxes. Box one (the third in total) is titled “We support our diverse communities and customers.“ Under the experiences subheading it has the following: With our partners, we improve the wellbeing of our communities by providing alternative water to irrigate public green spaces and If our customers are having payment difficulties, we provide support’.  Next to the experience sub header is a sub header titled “commitment delivering benefits to customers” with four dot points underneath as follows: “Invest in additional alternative water schemes to support social and environmental benefits by irrigating public green spaces and reducing our reliance on catchment water; Advocate for a greener, more liveable west by leading programs such as Greening the West and Werribee Zoo and Wyndham open space alternative water projects; Dedicate extra resources to identify customers who are having difficulty paying bills and provide tailored services; Increase funding for customer support services, including referrals, payment plans, matched payments and water efficiency assistance programs”.&#10;The box two (four overall) title is “We enable growth and help business thrive” which includes sub header titles “experiences; We provide excellent customer service when you contact us; We support agriculture with the right recycled water products for your needs; Developers and applicants find us easy, timely and consistent to do business with to get new customers connected”. Next to the experience sub header is a sub header titled “commitment delivering benefits to customers” with seven dot points underneath “Continue to provide dedicated business customer teams to service customers’ specific needs; Include small businesses in our customer support program to ensure all our community thrives.; Implement new customer communication management system so customers can select from a range of methods to engage with us; Provide alternative water at a level of quality that meets the needs of agricultural customers; Supply Western Irrigation Network customers with alternative water from Bacchus Marsh and Melton treatment plants; Engage with developers to understand their preferences for doing business with us; Dedicate resources to ensure applications are processed in a timely manner”.&#10;&#10;The fifth box is on the following page, captioned separately."/>
                    <pic:cNvPicPr/>
                  </pic:nvPicPr>
                  <pic:blipFill>
                    <a:blip r:embed="rId41">
                      <a:extLst>
                        <a:ext uri="{28A0092B-C50C-407E-A947-70E740481C1C}">
                          <a14:useLocalDpi xmlns:a14="http://schemas.microsoft.com/office/drawing/2010/main" val="0"/>
                        </a:ext>
                      </a:extLst>
                    </a:blip>
                    <a:stretch>
                      <a:fillRect/>
                    </a:stretch>
                  </pic:blipFill>
                  <pic:spPr>
                    <a:xfrm>
                      <a:off x="0" y="0"/>
                      <a:ext cx="6264699" cy="8857308"/>
                    </a:xfrm>
                    <a:prstGeom prst="rect">
                      <a:avLst/>
                    </a:prstGeom>
                  </pic:spPr>
                </pic:pic>
              </a:graphicData>
            </a:graphic>
          </wp:inline>
        </w:drawing>
      </w:r>
    </w:p>
    <w:p w14:paraId="094AD047" w14:textId="7375923D" w:rsidR="00313CA0" w:rsidRDefault="009A57FE" w:rsidP="00780D36">
      <w:r>
        <w:br w:type="page"/>
      </w:r>
    </w:p>
    <w:p w14:paraId="00782FDE" w14:textId="5E236A43" w:rsidR="009A57FE" w:rsidRDefault="00480A6A" w:rsidP="00780D36">
      <w:r>
        <w:rPr>
          <w:noProof/>
        </w:rPr>
        <w:lastRenderedPageBreak/>
        <w:drawing>
          <wp:inline distT="0" distB="0" distL="0" distR="0" wp14:anchorId="3C8B53DB" wp14:editId="3000654A">
            <wp:extent cx="6426604" cy="9086215"/>
            <wp:effectExtent l="0" t="0" r="0" b="0"/>
            <wp:docPr id="730749638" name="Picture 730749638" descr="This is a continuation of the same infographic with one box (the fifth in total), titled “Heal and care for Country”. It includes under the first sub header titles “experiences&quot;: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Next to the experience sub header is a sub header titled “commitment delivering benefits to customers” with ten dot points underneath “Major upgrade to Woodend Recycled Water Plant to improve waterway health and compliance with GED and EPA licence conditions; New recycled water treatment facility in Gisborne to provide environmental benefits, cater for growth, support waterway health, and comply with EPA licence; New water filtration plant to provide safe drinking water and meet demand in Romsey; Engage with Traditional Owners and communities near our inland treatment plants to understand waterway values.; Develop and implement revised GWW net zero 2030 pathway; Explore and develop extra solar installation opportunities; Participate in securing carbon offsets for the water sector (VicWater Carbon Offsets Working Group) (funds not recovered through this price submission); Engage meaningfully with Traditional Owners and First Nations people supported by increased resources for policy and partnership objectives; Deliver on our Reconciliation Action Plan actions and Submit a project proposal to return water to Traditional Owners (as outlined in Central and Gippsland Region Sustainable Water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8" name="Picture 730749638" descr="This is a continuation of the same infographic with one box (the fifth in total), titled “Heal and care for Country”. It includes under the first sub header titles “experiences&quot;: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Next to the experience sub header is a sub header titled “commitment delivering benefits to customers” with ten dot points underneath “Major upgrade to Woodend Recycled Water Plant to improve waterway health and compliance with GED and EPA licence conditions; New recycled water treatment facility in Gisborne to provide environmental benefits, cater for growth, support waterway health, and comply with EPA licence; New water filtration plant to provide safe drinking water and meet demand in Romsey; Engage with Traditional Owners and communities near our inland treatment plants to understand waterway values.; Develop and implement revised GWW net zero 2030 pathway; Explore and develop extra solar installation opportunities; Participate in securing carbon offsets for the water sector (VicWater Carbon Offsets Working Group) (funds not recovered through this price submission); Engage meaningfully with Traditional Owners and First Nations people supported by increased resources for policy and partnership objectives; Deliver on our Reconciliation Action Plan actions and Submit a project proposal to return water to Traditional Owners (as outlined in Central and Gippsland Region Sustainable Water Strategy)”.  "/>
                    <pic:cNvPicPr/>
                  </pic:nvPicPr>
                  <pic:blipFill>
                    <a:blip r:embed="rId42">
                      <a:extLst>
                        <a:ext uri="{28A0092B-C50C-407E-A947-70E740481C1C}">
                          <a14:useLocalDpi xmlns:a14="http://schemas.microsoft.com/office/drawing/2010/main" val="0"/>
                        </a:ext>
                      </a:extLst>
                    </a:blip>
                    <a:stretch>
                      <a:fillRect/>
                    </a:stretch>
                  </pic:blipFill>
                  <pic:spPr>
                    <a:xfrm>
                      <a:off x="0" y="0"/>
                      <a:ext cx="6434684" cy="9097638"/>
                    </a:xfrm>
                    <a:prstGeom prst="rect">
                      <a:avLst/>
                    </a:prstGeom>
                  </pic:spPr>
                </pic:pic>
              </a:graphicData>
            </a:graphic>
          </wp:inline>
        </w:drawing>
      </w:r>
      <w:r w:rsidR="009A57FE">
        <w:br w:type="page"/>
      </w:r>
    </w:p>
    <w:p w14:paraId="51B86C1C" w14:textId="0C7EFC89" w:rsidR="006B12CD" w:rsidRDefault="006B12CD" w:rsidP="00D63DB3">
      <w:pPr>
        <w:pStyle w:val="Heading2"/>
      </w:pPr>
      <w:bookmarkStart w:id="108" w:name="_Ref145926832"/>
      <w:bookmarkStart w:id="109" w:name="_Toc146004866"/>
      <w:bookmarkStart w:id="110" w:name="_Toc146004754"/>
      <w:bookmarkStart w:id="111" w:name="_Toc146746700"/>
      <w:r w:rsidRPr="00E805DA">
        <w:lastRenderedPageBreak/>
        <w:t xml:space="preserve">Capital </w:t>
      </w:r>
      <w:proofErr w:type="gramStart"/>
      <w:r w:rsidRPr="00E805DA">
        <w:t>expenditure</w:t>
      </w:r>
      <w:bookmarkEnd w:id="108"/>
      <w:bookmarkEnd w:id="109"/>
      <w:bookmarkEnd w:id="110"/>
      <w:bookmarkEnd w:id="111"/>
      <w:proofErr w:type="gramEnd"/>
    </w:p>
    <w:p w14:paraId="285F340D" w14:textId="72AC64C3" w:rsidR="00DE6DF4" w:rsidRDefault="00DC2F11" w:rsidP="00DE6DF4">
      <w:pPr>
        <w:pStyle w:val="BoxedQuoteHeading"/>
      </w:pPr>
      <w:r>
        <w:t>Summary</w:t>
      </w:r>
    </w:p>
    <w:p w14:paraId="675C9732" w14:textId="73F1DB89" w:rsidR="00DE6DF4" w:rsidRDefault="003B6812" w:rsidP="000204B3">
      <w:pPr>
        <w:pStyle w:val="BoxedBullet"/>
      </w:pPr>
      <w:r w:rsidRPr="003B6812">
        <w:t>Capital expenditure of $1.7</w:t>
      </w:r>
      <w:r w:rsidR="00F118B6">
        <w:t>2</w:t>
      </w:r>
      <w:r w:rsidRPr="003B6812">
        <w:t xml:space="preserve"> billion is proposed for 2023-24 to 2027-28 </w:t>
      </w:r>
    </w:p>
    <w:p w14:paraId="662151C2" w14:textId="7B5DD90F" w:rsidR="00DE6DF4" w:rsidRDefault="00DE6DF4" w:rsidP="00DE6DF4">
      <w:pPr>
        <w:pStyle w:val="BoxedBullet"/>
      </w:pPr>
      <w:r>
        <w:t xml:space="preserve">Our capital </w:t>
      </w:r>
      <w:r w:rsidR="009C6793" w:rsidRPr="003B6812">
        <w:t>expenditure</w:t>
      </w:r>
      <w:r>
        <w:t xml:space="preserve"> is increasing to reduce risk, improve compliance with regulatory obligations, and deliver on our customer outcomes.</w:t>
      </w:r>
    </w:p>
    <w:p w14:paraId="274A79E9" w14:textId="5F373554" w:rsidR="00DE6DF4" w:rsidRDefault="00DE6DF4" w:rsidP="00DE6DF4">
      <w:pPr>
        <w:pStyle w:val="BoxedBullet"/>
      </w:pPr>
      <w:r>
        <w:t xml:space="preserve">We have carefully considered what the business has been able to deliver in the past and </w:t>
      </w:r>
      <w:r w:rsidR="00A80297">
        <w:t>proposed</w:t>
      </w:r>
      <w:r>
        <w:t xml:space="preserve"> capital </w:t>
      </w:r>
      <w:r w:rsidR="00741613">
        <w:t>expenditure</w:t>
      </w:r>
      <w:r>
        <w:t xml:space="preserve"> </w:t>
      </w:r>
      <w:r w:rsidR="00A80297">
        <w:t>that is</w:t>
      </w:r>
      <w:r>
        <w:t xml:space="preserve"> deliverable within the next regulatory period.</w:t>
      </w:r>
    </w:p>
    <w:p w14:paraId="6F33B1D7" w14:textId="6BB61F0B" w:rsidR="00DE6DF4" w:rsidRDefault="002D3BB4" w:rsidP="004E51F7">
      <w:pPr>
        <w:pStyle w:val="BoxedBullet"/>
      </w:pPr>
      <w:r>
        <w:t>O</w:t>
      </w:r>
      <w:r w:rsidR="00DE6DF4">
        <w:t xml:space="preserve">ur biggest investment areas </w:t>
      </w:r>
      <w:r>
        <w:t xml:space="preserve">are </w:t>
      </w:r>
      <w:r w:rsidR="00DE6DF4">
        <w:t>in:</w:t>
      </w:r>
    </w:p>
    <w:p w14:paraId="2D3A68E9" w14:textId="5AD0BE0D" w:rsidR="00DE6DF4" w:rsidRDefault="00D6610A" w:rsidP="00DE6DF4">
      <w:pPr>
        <w:pStyle w:val="BoxedBullet2"/>
      </w:pPr>
      <w:r>
        <w:t>n</w:t>
      </w:r>
      <w:r w:rsidR="00DE6DF4">
        <w:t>ew water and se</w:t>
      </w:r>
      <w:r w:rsidR="004E51F7">
        <w:t>werage</w:t>
      </w:r>
      <w:r w:rsidR="00DE6DF4">
        <w:t xml:space="preserve"> infrastructure to support </w:t>
      </w:r>
      <w:proofErr w:type="gramStart"/>
      <w:r w:rsidR="00DE6DF4">
        <w:t>growth</w:t>
      </w:r>
      <w:proofErr w:type="gramEnd"/>
    </w:p>
    <w:p w14:paraId="34D78A63" w14:textId="3DE88672" w:rsidR="00DE6DF4" w:rsidRDefault="00D6610A" w:rsidP="00DE6DF4">
      <w:pPr>
        <w:pStyle w:val="BoxedBullet2"/>
      </w:pPr>
      <w:r>
        <w:t>w</w:t>
      </w:r>
      <w:r w:rsidR="00DE6DF4">
        <w:t>ater and sew</w:t>
      </w:r>
      <w:r w:rsidR="004E51F7">
        <w:t>age</w:t>
      </w:r>
      <w:r w:rsidR="00DE6DF4">
        <w:t xml:space="preserve"> treatment</w:t>
      </w:r>
    </w:p>
    <w:p w14:paraId="4BE4C657" w14:textId="68754970" w:rsidR="00DE6DF4" w:rsidRDefault="00D6610A" w:rsidP="00DE6DF4">
      <w:pPr>
        <w:pStyle w:val="BoxedBullet2"/>
      </w:pPr>
      <w:r>
        <w:t>w</w:t>
      </w:r>
      <w:r w:rsidR="00DE6DF4">
        <w:t>ater main renewals</w:t>
      </w:r>
      <w:r>
        <w:t>.</w:t>
      </w:r>
    </w:p>
    <w:p w14:paraId="536529A2" w14:textId="78664EA1" w:rsidR="002C644B" w:rsidRPr="004536E6" w:rsidRDefault="00C43113" w:rsidP="00DE6DF4">
      <w:pPr>
        <w:pStyle w:val="BoxedBullet"/>
      </w:pPr>
      <w:r w:rsidRPr="004536E6">
        <w:t>Investment in a</w:t>
      </w:r>
      <w:r w:rsidR="00DE6DF4" w:rsidRPr="004536E6">
        <w:t>sset monitoring systems and information technologies</w:t>
      </w:r>
      <w:r w:rsidR="002B1752" w:rsidRPr="004536E6">
        <w:t>:</w:t>
      </w:r>
    </w:p>
    <w:p w14:paraId="6F2363C5" w14:textId="667F2688" w:rsidR="001C6565" w:rsidRDefault="002B1752" w:rsidP="00DA4950">
      <w:pPr>
        <w:pStyle w:val="BoxedBullet2"/>
      </w:pPr>
      <w:r>
        <w:t>p</w:t>
      </w:r>
      <w:r w:rsidR="001C6565">
        <w:t xml:space="preserve">rovide better asset data and improve </w:t>
      </w:r>
      <w:proofErr w:type="gramStart"/>
      <w:r w:rsidR="001C6565">
        <w:t>communications</w:t>
      </w:r>
      <w:proofErr w:type="gramEnd"/>
    </w:p>
    <w:p w14:paraId="093D431D" w14:textId="163A4E01" w:rsidR="001C6565" w:rsidRDefault="002B1752" w:rsidP="00DA4950">
      <w:pPr>
        <w:pStyle w:val="BoxedBullet2"/>
      </w:pPr>
      <w:r>
        <w:t>i</w:t>
      </w:r>
      <w:r w:rsidR="001C6565">
        <w:t xml:space="preserve">mprove customer experience </w:t>
      </w:r>
      <w:proofErr w:type="gramStart"/>
      <w:r w:rsidR="001C6565">
        <w:t>platforms</w:t>
      </w:r>
      <w:proofErr w:type="gramEnd"/>
    </w:p>
    <w:p w14:paraId="5F03CF29" w14:textId="798BC037" w:rsidR="00DA4950" w:rsidRDefault="002B1752" w:rsidP="00DA4950">
      <w:pPr>
        <w:pStyle w:val="BoxedBullet2"/>
      </w:pPr>
      <w:r>
        <w:t>s</w:t>
      </w:r>
      <w:r w:rsidR="001C6565">
        <w:t xml:space="preserve">trengthen data </w:t>
      </w:r>
      <w:proofErr w:type="gramStart"/>
      <w:r w:rsidR="001C6565">
        <w:t>security</w:t>
      </w:r>
      <w:proofErr w:type="gramEnd"/>
    </w:p>
    <w:p w14:paraId="6B47A52D" w14:textId="61CE120F" w:rsidR="002B1752" w:rsidRDefault="00835377" w:rsidP="00DA4950">
      <w:pPr>
        <w:pStyle w:val="BoxedBullet2"/>
      </w:pPr>
      <w:r>
        <w:t xml:space="preserve">digital business enabling </w:t>
      </w:r>
      <w:proofErr w:type="gramStart"/>
      <w:r>
        <w:t>functions</w:t>
      </w:r>
      <w:proofErr w:type="gramEnd"/>
    </w:p>
    <w:p w14:paraId="2299D14C" w14:textId="6B035D7F" w:rsidR="00DE6DF4" w:rsidRDefault="00DE6DF4" w:rsidP="00DE6DF4">
      <w:pPr>
        <w:pStyle w:val="BoxedBullet"/>
      </w:pPr>
      <w:r>
        <w:t xml:space="preserve">We are </w:t>
      </w:r>
      <w:r w:rsidR="00434288">
        <w:t>undertaking</w:t>
      </w:r>
      <w:r>
        <w:t xml:space="preserve"> an asset delivery </w:t>
      </w:r>
      <w:r w:rsidR="00D6610A">
        <w:t xml:space="preserve">transformation </w:t>
      </w:r>
      <w:r>
        <w:t xml:space="preserve">program </w:t>
      </w:r>
      <w:r w:rsidR="00260819" w:rsidRPr="00260819">
        <w:t>which will increase our capability uplift to create efficiencies in the management and delivery of our capital program</w:t>
      </w:r>
      <w:r>
        <w:t>.</w:t>
      </w:r>
    </w:p>
    <w:p w14:paraId="038C927D" w14:textId="77777777" w:rsidR="00E42145" w:rsidRDefault="00E42145" w:rsidP="00B115CB">
      <w:r w:rsidRPr="00E42145">
        <w:t xml:space="preserve">Our proposed capital program for 2023-24 to 2027-28 will deliver trusted water services for our communities now and in the future and is key in </w:t>
      </w:r>
      <w:r w:rsidRPr="00BF54D8">
        <w:t>delivering Sustainable Development Goal 6: Clean Water and Sanitation.</w:t>
      </w:r>
      <w:r w:rsidRPr="00E42145">
        <w:t xml:space="preserve"> </w:t>
      </w:r>
    </w:p>
    <w:p w14:paraId="57B78E8E" w14:textId="34465A9A" w:rsidR="006C5D9C" w:rsidRDefault="00E42145" w:rsidP="00B115CB">
      <w:r w:rsidRPr="00E42145">
        <w:t xml:space="preserve">Our proposed capital program for 2023-24 to 2027-28 will address key risks and </w:t>
      </w:r>
      <w:r w:rsidR="001D75DC">
        <w:t>ensur</w:t>
      </w:r>
      <w:r w:rsidR="0054648A">
        <w:t>es</w:t>
      </w:r>
      <w:r w:rsidR="001D75DC">
        <w:t xml:space="preserve"> reliable </w:t>
      </w:r>
      <w:r w:rsidRPr="00E42145">
        <w:t xml:space="preserve">delivery of water supply, sewage treatment and retail services. In an environment of high growth and climate change, we have chosen to address key risks to public health, service delivery and the environment. </w:t>
      </w:r>
      <w:r w:rsidRPr="00BF54D8">
        <w:t>This is supplemented with programs that will support continuous improvement</w:t>
      </w:r>
      <w:r w:rsidR="00421D73" w:rsidRPr="00BF54D8">
        <w:t>,</w:t>
      </w:r>
      <w:r w:rsidRPr="00BF54D8">
        <w:t xml:space="preserve"> provide better understanding of risk</w:t>
      </w:r>
      <w:r w:rsidR="00421D73" w:rsidRPr="00BF54D8">
        <w:t xml:space="preserve">, </w:t>
      </w:r>
      <w:r w:rsidR="00ED69BE" w:rsidRPr="00BF54D8">
        <w:t>enable more</w:t>
      </w:r>
      <w:r w:rsidRPr="00BF54D8">
        <w:t xml:space="preserve"> efficient delivery of our capital programs in the future</w:t>
      </w:r>
      <w:r w:rsidR="007648E1" w:rsidRPr="00BF54D8">
        <w:t>. Our proposed program</w:t>
      </w:r>
      <w:r w:rsidRPr="00BF54D8">
        <w:t xml:space="preserve"> aligns </w:t>
      </w:r>
      <w:r w:rsidR="00574C8D" w:rsidRPr="00BF54D8">
        <w:t>with</w:t>
      </w:r>
      <w:r w:rsidRPr="00BF54D8">
        <w:t xml:space="preserve"> what customers told us is important.</w:t>
      </w:r>
    </w:p>
    <w:p w14:paraId="1C9FAF88" w14:textId="34BAFA4A" w:rsidR="00BB33D7" w:rsidRDefault="009C05FA" w:rsidP="00F34E0C">
      <w:pPr>
        <w:spacing w:before="0" w:after="160" w:line="259" w:lineRule="auto"/>
      </w:pPr>
      <w:r>
        <w:br w:type="page"/>
      </w:r>
    </w:p>
    <w:p w14:paraId="2B18423E" w14:textId="530C5EDA" w:rsidR="006B12CD" w:rsidRDefault="006B12CD" w:rsidP="005B69CD">
      <w:pPr>
        <w:pStyle w:val="Heading3"/>
      </w:pPr>
      <w:r>
        <w:lastRenderedPageBreak/>
        <w:t xml:space="preserve">Capital program prioritisation </w:t>
      </w:r>
      <w:proofErr w:type="gramStart"/>
      <w:r>
        <w:t>process</w:t>
      </w:r>
      <w:proofErr w:type="gramEnd"/>
    </w:p>
    <w:p w14:paraId="7A765AD4" w14:textId="6C7C4897" w:rsidR="00381681" w:rsidRDefault="00381681" w:rsidP="00381681">
      <w:r>
        <w:t>GWW inherited two distinct capital programs with different investment priorities from the two legacy businesses, which our 2024 price submission align</w:t>
      </w:r>
      <w:r w:rsidR="0063392A">
        <w:t>s</w:t>
      </w:r>
      <w:r>
        <w:t xml:space="preserve">. The differences and impacts on our capital program management and delivery </w:t>
      </w:r>
      <w:r w:rsidR="00174A00">
        <w:t>are</w:t>
      </w:r>
      <w:r>
        <w:t xml:space="preserve"> outlined in </w:t>
      </w:r>
      <w:r w:rsidR="003D05B8">
        <w:t>S</w:t>
      </w:r>
      <w:r>
        <w:t>ection</w:t>
      </w:r>
      <w:r w:rsidR="005E15F2">
        <w:t xml:space="preserve"> 1.3</w:t>
      </w:r>
      <w:r w:rsidR="00612A59">
        <w:fldChar w:fldCharType="begin"/>
      </w:r>
      <w:r w:rsidR="00612A59">
        <w:instrText xml:space="preserve"> REF _Ref146637274 \r \h </w:instrText>
      </w:r>
      <w:r w:rsidR="0069425C">
        <w:fldChar w:fldCharType="separate"/>
      </w:r>
      <w:r w:rsidR="00612A59">
        <w:fldChar w:fldCharType="end"/>
      </w:r>
      <w:r>
        <w:t xml:space="preserve">. </w:t>
      </w:r>
    </w:p>
    <w:p w14:paraId="5CA5EEA7" w14:textId="7CA3F768" w:rsidR="00127240" w:rsidRDefault="00381681" w:rsidP="00381681">
      <w:r>
        <w:t xml:space="preserve">GWW has been refining its long-term capital program since integration in 2021. Through our prioritisation process we collated information from both </w:t>
      </w:r>
      <w:r w:rsidR="007E593A">
        <w:t xml:space="preserve">legacy </w:t>
      </w:r>
      <w:r w:rsidR="00D857DB">
        <w:t xml:space="preserve">businesses </w:t>
      </w:r>
      <w:r>
        <w:t>capital programs to create a holistic understanding of risks</w:t>
      </w:r>
      <w:r w:rsidR="009B11E0">
        <w:t xml:space="preserve"> and</w:t>
      </w:r>
      <w:r>
        <w:t xml:space="preserve"> priorities</w:t>
      </w:r>
      <w:r w:rsidR="009B11E0">
        <w:t>.</w:t>
      </w:r>
    </w:p>
    <w:p w14:paraId="71862CAE" w14:textId="258445FE" w:rsidR="006B12CD" w:rsidRDefault="006B12CD" w:rsidP="00381681">
      <w:r>
        <w:t>GWW has</w:t>
      </w:r>
      <w:r w:rsidDel="00EA5C31">
        <w:t xml:space="preserve"> </w:t>
      </w:r>
      <w:r>
        <w:t>undertaken an enterprise</w:t>
      </w:r>
      <w:r w:rsidR="44F1B542">
        <w:t>-</w:t>
      </w:r>
      <w:r>
        <w:t>level prioritisation process focused on addressing operational risks, as outlined in our risk management framework. The impacts to GWW, our customers and wider environment of not delivering each project or program ha</w:t>
      </w:r>
      <w:r w:rsidR="009B11E0">
        <w:t>s</w:t>
      </w:r>
      <w:r>
        <w:t xml:space="preserve"> been considered. </w:t>
      </w:r>
    </w:p>
    <w:p w14:paraId="436CF9C2" w14:textId="4AA2821A" w:rsidR="006B12CD" w:rsidRDefault="006B12CD" w:rsidP="006B12CD">
      <w:r>
        <w:t xml:space="preserve">Each investment was assessed against </w:t>
      </w:r>
      <w:r w:rsidR="00B03789">
        <w:t xml:space="preserve">GWW’s risk management framework </w:t>
      </w:r>
      <w:r w:rsidR="00513679">
        <w:t xml:space="preserve">categories </w:t>
      </w:r>
      <w:r w:rsidR="00D35F00">
        <w:t>(</w:t>
      </w:r>
      <w:r w:rsidR="00B03789">
        <w:t xml:space="preserve">outlined </w:t>
      </w:r>
      <w:r w:rsidR="0010303B">
        <w:t xml:space="preserve">in </w:t>
      </w:r>
      <w:r w:rsidR="004449DC">
        <w:t>S</w:t>
      </w:r>
      <w:r w:rsidR="0010303B">
        <w:t xml:space="preserve">ection </w:t>
      </w:r>
      <w:r w:rsidR="00CE78E7">
        <w:t>10</w:t>
      </w:r>
      <w:r w:rsidR="00D35F00">
        <w:t>)</w:t>
      </w:r>
      <w:r w:rsidR="00B03789">
        <w:t xml:space="preserve"> </w:t>
      </w:r>
      <w:r>
        <w:t xml:space="preserve">and </w:t>
      </w:r>
      <w:r w:rsidR="00796B37">
        <w:t xml:space="preserve">assigned a </w:t>
      </w:r>
      <w:r>
        <w:t xml:space="preserve">score </w:t>
      </w:r>
      <w:r w:rsidR="00D45B56">
        <w:t xml:space="preserve">based on total </w:t>
      </w:r>
      <w:r w:rsidR="008D2B6D">
        <w:t>risk</w:t>
      </w:r>
      <w:r w:rsidR="008256E7">
        <w:t xml:space="preserve"> if the investment </w:t>
      </w:r>
      <w:r w:rsidR="005A278F">
        <w:t>did not go ahead</w:t>
      </w:r>
      <w:r w:rsidR="00303827">
        <w:t xml:space="preserve">. </w:t>
      </w:r>
      <w:r w:rsidR="008D2B6D">
        <w:t xml:space="preserve">This </w:t>
      </w:r>
      <w:r w:rsidR="00F940D4">
        <w:t xml:space="preserve">was an </w:t>
      </w:r>
      <w:r>
        <w:t>effective risk-based prioritisation of the capital plan</w:t>
      </w:r>
      <w:r w:rsidR="008D2B6D">
        <w:t xml:space="preserve"> </w:t>
      </w:r>
      <w:r w:rsidR="006425A8">
        <w:t>even when comparing different types of investment</w:t>
      </w:r>
      <w:r>
        <w:t>.</w:t>
      </w:r>
    </w:p>
    <w:p w14:paraId="46B66CB4" w14:textId="48534E00" w:rsidR="006B12CD" w:rsidRDefault="006B12CD" w:rsidP="006B12CD">
      <w:r>
        <w:t xml:space="preserve">In addition to capital risk assessments, GWW used the following principles to determine the areas of investment and the overall size </w:t>
      </w:r>
      <w:r w:rsidR="0052568E">
        <w:t>and value</w:t>
      </w:r>
      <w:r w:rsidR="006B63C5">
        <w:t xml:space="preserve"> </w:t>
      </w:r>
      <w:r>
        <w:t>of the capital program:</w:t>
      </w:r>
    </w:p>
    <w:p w14:paraId="5F751E70" w14:textId="0C25E649" w:rsidR="006B12CD" w:rsidRDefault="006B12CD">
      <w:pPr>
        <w:pStyle w:val="ListBullet"/>
        <w:numPr>
          <w:ilvl w:val="0"/>
          <w:numId w:val="150"/>
        </w:numPr>
      </w:pPr>
      <w:r>
        <w:t>Delivering stable bills for our customers</w:t>
      </w:r>
      <w:r w:rsidR="0036ACE6">
        <w:t>.</w:t>
      </w:r>
    </w:p>
    <w:p w14:paraId="2B1DA1DB" w14:textId="4BBB420A" w:rsidR="006B12CD" w:rsidRDefault="006B12CD">
      <w:pPr>
        <w:pStyle w:val="ListBullet"/>
        <w:numPr>
          <w:ilvl w:val="0"/>
          <w:numId w:val="150"/>
        </w:numPr>
      </w:pPr>
      <w:r>
        <w:t>Investments must be justified as prudent and efficient</w:t>
      </w:r>
      <w:r w:rsidR="0CA54A6D">
        <w:t>.</w:t>
      </w:r>
    </w:p>
    <w:p w14:paraId="2AD70901" w14:textId="3F546897" w:rsidR="006B12CD" w:rsidRDefault="006B12CD">
      <w:pPr>
        <w:pStyle w:val="ListBullet"/>
        <w:numPr>
          <w:ilvl w:val="0"/>
          <w:numId w:val="150"/>
        </w:numPr>
      </w:pPr>
      <w:r>
        <w:t>The capital works need to be delivered within the regulatory period</w:t>
      </w:r>
      <w:r w:rsidR="00DA16A6">
        <w:t xml:space="preserve"> and cannot reasonably be deferred</w:t>
      </w:r>
      <w:r w:rsidR="5C99E0FA">
        <w:t>.</w:t>
      </w:r>
    </w:p>
    <w:p w14:paraId="168138EB" w14:textId="7386E553" w:rsidR="006B12CD" w:rsidRDefault="006B12CD">
      <w:pPr>
        <w:pStyle w:val="ListBullet"/>
        <w:numPr>
          <w:ilvl w:val="0"/>
          <w:numId w:val="150"/>
        </w:numPr>
      </w:pPr>
      <w:r>
        <w:t>The scale of the program is deliverable given the current external and internal environments</w:t>
      </w:r>
      <w:r w:rsidR="70C6DAF1">
        <w:t>.</w:t>
      </w:r>
      <w:r>
        <w:t xml:space="preserve"> </w:t>
      </w:r>
    </w:p>
    <w:p w14:paraId="767142C5" w14:textId="20F44CCD" w:rsidR="006B12CD" w:rsidRDefault="006B12CD">
      <w:pPr>
        <w:pStyle w:val="ListBullet"/>
        <w:numPr>
          <w:ilvl w:val="0"/>
          <w:numId w:val="150"/>
        </w:numPr>
      </w:pPr>
      <w:r>
        <w:t xml:space="preserve">We </w:t>
      </w:r>
      <w:r w:rsidR="002710B9">
        <w:t xml:space="preserve">will </w:t>
      </w:r>
      <w:r>
        <w:t>not seek to recover costs for transfer assets that may be delivered by other businesses</w:t>
      </w:r>
      <w:r w:rsidR="4BBC5F94">
        <w:t>.</w:t>
      </w:r>
      <w:r>
        <w:t xml:space="preserve"> </w:t>
      </w:r>
    </w:p>
    <w:p w14:paraId="7EF61996" w14:textId="32C30785" w:rsidR="00127240" w:rsidRDefault="006B12CD">
      <w:pPr>
        <w:pStyle w:val="ListBullet"/>
        <w:numPr>
          <w:ilvl w:val="0"/>
          <w:numId w:val="150"/>
        </w:numPr>
      </w:pPr>
      <w:r>
        <w:t>Investments</w:t>
      </w:r>
      <w:r w:rsidR="006B63C5">
        <w:t xml:space="preserve"> </w:t>
      </w:r>
      <w:r>
        <w:t>support delivery of price submission customer outcomes and align with deliberative panel recommendations.</w:t>
      </w:r>
    </w:p>
    <w:p w14:paraId="15C7BE45" w14:textId="2D0A4B43" w:rsidR="00A71966" w:rsidRDefault="00A71966" w:rsidP="00127240">
      <w:r w:rsidRPr="00A71966">
        <w:t>GWW used a bottom-up build for the capital program with a</w:t>
      </w:r>
      <w:r w:rsidR="006B63C5">
        <w:t>n overall</w:t>
      </w:r>
      <w:r w:rsidRPr="00A71966">
        <w:t xml:space="preserve"> ceiling based on maintaining affordability in our bills. Our planned investments are prudent and efficient, address the highest risks first and allow GWW to keep bills affordable for our customers.</w:t>
      </w:r>
    </w:p>
    <w:p w14:paraId="642EA194" w14:textId="4AFEB079" w:rsidR="006B12CD" w:rsidRDefault="006B12CD" w:rsidP="005B69CD">
      <w:pPr>
        <w:pStyle w:val="Heading3"/>
      </w:pPr>
      <w:r>
        <w:t xml:space="preserve">Capital program </w:t>
      </w:r>
      <w:proofErr w:type="gramStart"/>
      <w:r>
        <w:t>overview</w:t>
      </w:r>
      <w:proofErr w:type="gramEnd"/>
      <w:r>
        <w:t xml:space="preserve"> </w:t>
      </w:r>
    </w:p>
    <w:p w14:paraId="6BF9A33F" w14:textId="62158E1C" w:rsidR="006B12CD" w:rsidRDefault="00F54CCD" w:rsidP="006B12CD">
      <w:r w:rsidRPr="00F54CCD">
        <w:t xml:space="preserve">Capital expenditure of $1.72 billion is proposed for the period 2023-24 to 2027-28. The process improvements implemented through the Asset Delivery Organisational Review program </w:t>
      </w:r>
      <w:r w:rsidR="00C06C24">
        <w:t xml:space="preserve">will </w:t>
      </w:r>
      <w:r w:rsidRPr="00F54CCD">
        <w:t xml:space="preserve">ensure that the capital </w:t>
      </w:r>
      <w:r w:rsidR="00A856CA">
        <w:t>expenditure</w:t>
      </w:r>
      <w:r w:rsidRPr="00F54CCD">
        <w:t xml:space="preserve"> proposed </w:t>
      </w:r>
      <w:r w:rsidR="00DA16A6">
        <w:t>is</w:t>
      </w:r>
      <w:r w:rsidRPr="00F54CCD">
        <w:t xml:space="preserve"> deliverable within the next regulatory period. Our capital program management and delivery for the previous regulatory period is detail</w:t>
      </w:r>
      <w:r w:rsidR="00400B6A">
        <w:t>ed</w:t>
      </w:r>
      <w:r w:rsidRPr="00F54CCD">
        <w:t xml:space="preserve"> in </w:t>
      </w:r>
      <w:r w:rsidR="0043704B">
        <w:t>S</w:t>
      </w:r>
      <w:r w:rsidR="00CE78E7">
        <w:t>ection</w:t>
      </w:r>
      <w:r w:rsidR="00DA39C3">
        <w:t xml:space="preserve"> 8.4.</w:t>
      </w:r>
    </w:p>
    <w:p w14:paraId="5A186566" w14:textId="6E2EBA30" w:rsidR="00E70F8E" w:rsidRDefault="00381B45" w:rsidP="006B12CD">
      <w:r w:rsidRPr="00381B45">
        <w:t xml:space="preserve">Our capital </w:t>
      </w:r>
      <w:r w:rsidR="00A856CA">
        <w:t>expenditure</w:t>
      </w:r>
      <w:r w:rsidRPr="00381B45">
        <w:t xml:space="preserve"> </w:t>
      </w:r>
      <w:r w:rsidR="00A856CA">
        <w:t>is</w:t>
      </w:r>
      <w:r w:rsidRPr="00381B45">
        <w:t xml:space="preserve"> predominantly driven by growth ($843 million), with renewals also forming a large component ($532 million). Improvements and Compliance make up the smallest portion of our overall capital </w:t>
      </w:r>
      <w:r w:rsidR="00A856CA">
        <w:t xml:space="preserve">expenditure </w:t>
      </w:r>
      <w:r w:rsidRPr="00381B45">
        <w:t>($347 million)</w:t>
      </w:r>
      <w:r w:rsidR="009A5C78">
        <w:t>.</w:t>
      </w:r>
      <w:r w:rsidR="004F6A9C" w:rsidRPr="004F6A9C">
        <w:t xml:space="preserve"> </w:t>
      </w:r>
      <w:r w:rsidR="00A23D0B">
        <w:fldChar w:fldCharType="begin"/>
      </w:r>
      <w:r w:rsidR="00A23D0B">
        <w:instrText xml:space="preserve"> REF _Ref146550050 \h </w:instrText>
      </w:r>
      <w:r w:rsidR="00A23D0B">
        <w:fldChar w:fldCharType="separate"/>
      </w:r>
      <w:r w:rsidR="003B42C6" w:rsidRPr="004F0D12">
        <w:rPr>
          <w:b/>
        </w:rPr>
        <w:t>Fig</w:t>
      </w:r>
      <w:r w:rsidR="003B42C6" w:rsidRPr="00A23D0B">
        <w:rPr>
          <w:b/>
        </w:rPr>
        <w:t xml:space="preserve">ure </w:t>
      </w:r>
      <w:r w:rsidR="003B42C6">
        <w:rPr>
          <w:b/>
          <w:noProof/>
        </w:rPr>
        <w:t>4</w:t>
      </w:r>
      <w:r w:rsidR="00A23D0B">
        <w:fldChar w:fldCharType="end"/>
      </w:r>
      <w:r w:rsidR="00A23D0B">
        <w:t xml:space="preserve"> </w:t>
      </w:r>
      <w:r w:rsidR="004F6A9C">
        <w:t xml:space="preserve">and </w:t>
      </w:r>
      <w:r w:rsidR="009D1011">
        <w:fldChar w:fldCharType="begin"/>
      </w:r>
      <w:r w:rsidR="009D1011">
        <w:instrText xml:space="preserve"> REF _Ref145334236 \h </w:instrText>
      </w:r>
      <w:r w:rsidR="009D1011">
        <w:fldChar w:fldCharType="separate"/>
      </w:r>
      <w:r w:rsidR="003B42C6" w:rsidRPr="7EC4CD2A">
        <w:rPr>
          <w:b/>
          <w:bCs/>
        </w:rPr>
        <w:t xml:space="preserve">Table </w:t>
      </w:r>
      <w:r w:rsidR="003B42C6">
        <w:rPr>
          <w:b/>
          <w:bCs/>
          <w:noProof/>
        </w:rPr>
        <w:t>11</w:t>
      </w:r>
      <w:r w:rsidR="009D1011">
        <w:fldChar w:fldCharType="end"/>
      </w:r>
      <w:r w:rsidR="009D1011">
        <w:t xml:space="preserve"> </w:t>
      </w:r>
      <w:r w:rsidR="004F6A9C">
        <w:t>show the breakdown of the capital program into cost drivers.</w:t>
      </w:r>
    </w:p>
    <w:p w14:paraId="6A3CD7C4" w14:textId="572977EE" w:rsidR="003F414B" w:rsidRPr="003F414B" w:rsidRDefault="003F414B" w:rsidP="003F414B">
      <w:bookmarkStart w:id="112" w:name="_Ref143513718"/>
      <w:bookmarkStart w:id="113" w:name="_Toc145498141"/>
    </w:p>
    <w:p w14:paraId="76C91716" w14:textId="60A11419" w:rsidR="00F01102" w:rsidRDefault="00F75FD3" w:rsidP="00127240">
      <w:pPr>
        <w:pStyle w:val="Caption"/>
      </w:pPr>
      <w:bookmarkStart w:id="114" w:name="_Ref146550050"/>
      <w:r>
        <w:rPr>
          <w:b/>
          <w:noProof/>
        </w:rPr>
        <w:lastRenderedPageBreak/>
        <w:drawing>
          <wp:inline distT="0" distB="0" distL="0" distR="0" wp14:anchorId="0D0BCCD4" wp14:editId="61AF11D0">
            <wp:extent cx="6127115" cy="3127375"/>
            <wp:effectExtent l="0" t="0" r="6985" b="0"/>
            <wp:docPr id="15" name="Picture 15" descr="Bar Graph showing spend in millions from FY24 to FY28. Each bar is broken down into Growth, Improvements/Compliance and Renewals.  The years with breakdowns are: FY24: 149, 90, 96. FY25: 182, 75, 114. FY26: 168, 76, 106. FY27: 186, 62, 111. FY28: 158, 45,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Graph showing spend in millions from FY24 to FY28. Each bar is broken down into Growth, Improvements/Compliance and Renewals.  The years with breakdowns are: FY24: 149, 90, 96. FY25: 182, 75, 114. FY26: 168, 76, 106. FY27: 186, 62, 111. FY28: 158, 45,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7115" cy="3127375"/>
                    </a:xfrm>
                    <a:prstGeom prst="rect">
                      <a:avLst/>
                    </a:prstGeom>
                    <a:noFill/>
                  </pic:spPr>
                </pic:pic>
              </a:graphicData>
            </a:graphic>
          </wp:inline>
        </w:drawing>
      </w:r>
      <w:r w:rsidR="006B12CD" w:rsidRPr="004F0D12">
        <w:rPr>
          <w:b/>
        </w:rPr>
        <w:t>Fig</w:t>
      </w:r>
      <w:r w:rsidR="006B12CD" w:rsidRPr="00A23D0B">
        <w:rPr>
          <w:b/>
        </w:rPr>
        <w:t xml:space="preserve">ure </w:t>
      </w:r>
      <w:r w:rsidR="006B12CD" w:rsidRPr="00A23D0B">
        <w:rPr>
          <w:b/>
        </w:rPr>
        <w:fldChar w:fldCharType="begin"/>
      </w:r>
      <w:r w:rsidR="006B12CD" w:rsidRPr="00A23D0B">
        <w:rPr>
          <w:b/>
        </w:rPr>
        <w:instrText>SEQ Figure \* ARABIC</w:instrText>
      </w:r>
      <w:r w:rsidR="006B12CD" w:rsidRPr="00A23D0B">
        <w:rPr>
          <w:b/>
        </w:rPr>
        <w:fldChar w:fldCharType="separate"/>
      </w:r>
      <w:r w:rsidR="003B42C6">
        <w:rPr>
          <w:b/>
          <w:noProof/>
        </w:rPr>
        <w:t>4</w:t>
      </w:r>
      <w:r w:rsidR="006B12CD" w:rsidRPr="00A23D0B">
        <w:rPr>
          <w:b/>
        </w:rPr>
        <w:fldChar w:fldCharType="end"/>
      </w:r>
      <w:bookmarkEnd w:id="112"/>
      <w:bookmarkEnd w:id="114"/>
      <w:r w:rsidR="006B12CD">
        <w:t xml:space="preserve"> Capital program breakdown by cost driver </w:t>
      </w:r>
      <w:bookmarkStart w:id="115" w:name="_Hlk145677092"/>
      <w:r w:rsidR="006B12CD">
        <w:t>(</w:t>
      </w:r>
      <w:r w:rsidR="003501A3">
        <w:t>$million,</w:t>
      </w:r>
      <w:r w:rsidR="006B12CD">
        <w:t xml:space="preserve"> </w:t>
      </w:r>
      <w:r w:rsidR="00FB7398">
        <w:t>202</w:t>
      </w:r>
      <w:r w:rsidR="006B12CD">
        <w:t>3</w:t>
      </w:r>
      <w:r w:rsidR="00FB7398">
        <w:t>-</w:t>
      </w:r>
      <w:r w:rsidR="006B12CD">
        <w:t>24)</w:t>
      </w:r>
      <w:bookmarkEnd w:id="113"/>
      <w:bookmarkEnd w:id="115"/>
    </w:p>
    <w:p w14:paraId="162AE150" w14:textId="72B7CF86" w:rsidR="00883D5C" w:rsidRDefault="00883D5C" w:rsidP="00CD15D1">
      <w:pPr>
        <w:pStyle w:val="Caption"/>
      </w:pPr>
      <w:bookmarkStart w:id="116" w:name="_Ref145334236"/>
      <w:r w:rsidRPr="7EC4CD2A">
        <w:rPr>
          <w:b/>
          <w:bCs/>
        </w:rPr>
        <w:t xml:space="preserve">Table </w:t>
      </w:r>
      <w:r w:rsidRPr="7EC4CD2A">
        <w:rPr>
          <w:b/>
          <w:bCs/>
        </w:rPr>
        <w:fldChar w:fldCharType="begin"/>
      </w:r>
      <w:r w:rsidRPr="7EC4CD2A">
        <w:rPr>
          <w:b/>
          <w:bCs/>
        </w:rPr>
        <w:instrText>SEQ Table \* ARABIC</w:instrText>
      </w:r>
      <w:r w:rsidRPr="7EC4CD2A">
        <w:rPr>
          <w:b/>
          <w:bCs/>
        </w:rPr>
        <w:fldChar w:fldCharType="separate"/>
      </w:r>
      <w:r w:rsidR="003B42C6">
        <w:rPr>
          <w:b/>
          <w:bCs/>
          <w:noProof/>
        </w:rPr>
        <w:t>11</w:t>
      </w:r>
      <w:r w:rsidRPr="7EC4CD2A">
        <w:rPr>
          <w:b/>
          <w:bCs/>
        </w:rPr>
        <w:fldChar w:fldCharType="end"/>
      </w:r>
      <w:bookmarkEnd w:id="116"/>
      <w:r>
        <w:t xml:space="preserve"> </w:t>
      </w:r>
      <w:r w:rsidR="000C072B">
        <w:t xml:space="preserve">Capital </w:t>
      </w:r>
      <w:r w:rsidR="00A856CA">
        <w:t>expenditure</w:t>
      </w:r>
      <w:r>
        <w:t xml:space="preserve"> by </w:t>
      </w:r>
      <w:r w:rsidR="00146CC3">
        <w:t>c</w:t>
      </w:r>
      <w:r>
        <w:t xml:space="preserve">ost </w:t>
      </w:r>
      <w:r w:rsidR="00146CC3">
        <w:t>d</w:t>
      </w:r>
      <w:r w:rsidR="008C611F">
        <w:t>river (</w:t>
      </w:r>
      <w:r w:rsidR="00F96512">
        <w:t>$million, 2023-24)</w:t>
      </w:r>
    </w:p>
    <w:tbl>
      <w:tblPr>
        <w:tblStyle w:val="GWWDefaulttable"/>
        <w:tblW w:w="5000" w:type="pct"/>
        <w:tblLook w:val="04A0" w:firstRow="1" w:lastRow="0" w:firstColumn="1" w:lastColumn="0" w:noHBand="0" w:noVBand="1"/>
      </w:tblPr>
      <w:tblGrid>
        <w:gridCol w:w="2179"/>
        <w:gridCol w:w="1244"/>
        <w:gridCol w:w="1243"/>
        <w:gridCol w:w="1243"/>
        <w:gridCol w:w="1243"/>
        <w:gridCol w:w="1243"/>
        <w:gridCol w:w="1243"/>
      </w:tblGrid>
      <w:tr w:rsidR="00292F18" w14:paraId="4BDA4677" w14:textId="77777777" w:rsidTr="004E4F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0" w:type="pct"/>
          </w:tcPr>
          <w:p w14:paraId="74023BEF" w14:textId="5FB2E0D7" w:rsidR="00292F18" w:rsidRPr="00F86166" w:rsidRDefault="00292F18" w:rsidP="00292F18">
            <w:pPr>
              <w:keepNext/>
              <w:keepLines/>
            </w:pPr>
            <w:r w:rsidRPr="00F86166">
              <w:t>Cost Driver</w:t>
            </w:r>
          </w:p>
        </w:tc>
        <w:tc>
          <w:tcPr>
            <w:tcW w:w="645" w:type="pct"/>
            <w:vAlign w:val="center"/>
          </w:tcPr>
          <w:p w14:paraId="14C24234" w14:textId="2A024FE0" w:rsidR="00292F18" w:rsidRPr="00F86166" w:rsidRDefault="00292F18" w:rsidP="00B573EB">
            <w:pPr>
              <w:keepNext/>
              <w:keepLines/>
              <w:jc w:val="right"/>
              <w:cnfStyle w:val="100000000000" w:firstRow="1" w:lastRow="0" w:firstColumn="0" w:lastColumn="0" w:oddVBand="0" w:evenVBand="0" w:oddHBand="0" w:evenHBand="0" w:firstRowFirstColumn="0" w:firstRowLastColumn="0" w:lastRowFirstColumn="0" w:lastRowLastColumn="0"/>
            </w:pPr>
            <w:r w:rsidRPr="00551B02">
              <w:t>2023-24</w:t>
            </w:r>
          </w:p>
        </w:tc>
        <w:tc>
          <w:tcPr>
            <w:tcW w:w="645" w:type="pct"/>
            <w:vAlign w:val="center"/>
          </w:tcPr>
          <w:p w14:paraId="7B727A76" w14:textId="7CC0DAA3"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2024-25</w:t>
            </w:r>
          </w:p>
        </w:tc>
        <w:tc>
          <w:tcPr>
            <w:tcW w:w="645" w:type="pct"/>
            <w:vAlign w:val="center"/>
          </w:tcPr>
          <w:p w14:paraId="71D0FC32" w14:textId="7E9730C1"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2025-26</w:t>
            </w:r>
          </w:p>
        </w:tc>
        <w:tc>
          <w:tcPr>
            <w:tcW w:w="645" w:type="pct"/>
            <w:vAlign w:val="center"/>
          </w:tcPr>
          <w:p w14:paraId="796809C4" w14:textId="05E4FCBA"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2026-27</w:t>
            </w:r>
          </w:p>
        </w:tc>
        <w:tc>
          <w:tcPr>
            <w:tcW w:w="645" w:type="pct"/>
            <w:vAlign w:val="center"/>
          </w:tcPr>
          <w:p w14:paraId="274B8AEF" w14:textId="2F1B1C10"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2027-28</w:t>
            </w:r>
          </w:p>
        </w:tc>
        <w:tc>
          <w:tcPr>
            <w:tcW w:w="645" w:type="pct"/>
            <w:vAlign w:val="center"/>
          </w:tcPr>
          <w:p w14:paraId="181DA780" w14:textId="20CCEB7F" w:rsidR="00292F18" w:rsidRPr="00192862"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192862">
              <w:t>Total</w:t>
            </w:r>
          </w:p>
        </w:tc>
      </w:tr>
      <w:tr w:rsidR="003820F3" w14:paraId="2185F5D3"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74E92647" w14:textId="40B3ADC7" w:rsidR="003820F3" w:rsidRPr="00C0416D" w:rsidRDefault="003820F3" w:rsidP="003820F3">
            <w:pPr>
              <w:keepNext/>
              <w:keepLines/>
              <w:rPr>
                <w:b w:val="0"/>
              </w:rPr>
            </w:pPr>
            <w:r w:rsidRPr="00E04053">
              <w:rPr>
                <w:b w:val="0"/>
              </w:rPr>
              <w:t>Growth</w:t>
            </w:r>
          </w:p>
        </w:tc>
        <w:tc>
          <w:tcPr>
            <w:tcW w:w="645" w:type="pct"/>
            <w:vAlign w:val="center"/>
          </w:tcPr>
          <w:p w14:paraId="2F6E5EF7" w14:textId="5164205B"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148.72</w:t>
            </w:r>
          </w:p>
        </w:tc>
        <w:tc>
          <w:tcPr>
            <w:tcW w:w="645" w:type="pct"/>
            <w:vAlign w:val="center"/>
          </w:tcPr>
          <w:p w14:paraId="383DF63C" w14:textId="15093104"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182.44</w:t>
            </w:r>
          </w:p>
        </w:tc>
        <w:tc>
          <w:tcPr>
            <w:tcW w:w="645" w:type="pct"/>
            <w:vAlign w:val="center"/>
          </w:tcPr>
          <w:p w14:paraId="3C1C20BB" w14:textId="48DEE106"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167.71</w:t>
            </w:r>
          </w:p>
        </w:tc>
        <w:tc>
          <w:tcPr>
            <w:tcW w:w="645" w:type="pct"/>
            <w:vAlign w:val="center"/>
          </w:tcPr>
          <w:p w14:paraId="1E2083F9" w14:textId="1BD038A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185.61</w:t>
            </w:r>
          </w:p>
        </w:tc>
        <w:tc>
          <w:tcPr>
            <w:tcW w:w="645" w:type="pct"/>
            <w:vAlign w:val="center"/>
          </w:tcPr>
          <w:p w14:paraId="6073995C" w14:textId="143DF78A"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158.35</w:t>
            </w:r>
          </w:p>
        </w:tc>
        <w:tc>
          <w:tcPr>
            <w:tcW w:w="645" w:type="pct"/>
            <w:vAlign w:val="center"/>
          </w:tcPr>
          <w:p w14:paraId="4DCF3736" w14:textId="59AC0753"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842.83</w:t>
            </w:r>
          </w:p>
        </w:tc>
      </w:tr>
      <w:tr w:rsidR="003820F3" w14:paraId="07946300"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44657523" w14:textId="7A09042A" w:rsidR="003820F3" w:rsidRPr="00C0416D" w:rsidRDefault="003820F3" w:rsidP="003820F3">
            <w:pPr>
              <w:keepNext/>
              <w:keepLines/>
              <w:rPr>
                <w:b w:val="0"/>
              </w:rPr>
            </w:pPr>
            <w:r w:rsidRPr="00E04053">
              <w:rPr>
                <w:b w:val="0"/>
              </w:rPr>
              <w:t>Improvements/</w:t>
            </w:r>
            <w:r w:rsidR="00CD6D2F">
              <w:rPr>
                <w:b w:val="0"/>
              </w:rPr>
              <w:br/>
            </w:r>
            <w:r w:rsidRPr="00E04053">
              <w:rPr>
                <w:b w:val="0"/>
              </w:rPr>
              <w:t>Compliance</w:t>
            </w:r>
          </w:p>
        </w:tc>
        <w:tc>
          <w:tcPr>
            <w:tcW w:w="645" w:type="pct"/>
            <w:vAlign w:val="center"/>
          </w:tcPr>
          <w:p w14:paraId="034B9776" w14:textId="55B16EBD"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89.68</w:t>
            </w:r>
          </w:p>
        </w:tc>
        <w:tc>
          <w:tcPr>
            <w:tcW w:w="645" w:type="pct"/>
            <w:vAlign w:val="center"/>
          </w:tcPr>
          <w:p w14:paraId="05FE31E2" w14:textId="6FD186C5"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74.71</w:t>
            </w:r>
          </w:p>
        </w:tc>
        <w:tc>
          <w:tcPr>
            <w:tcW w:w="645" w:type="pct"/>
            <w:vAlign w:val="center"/>
          </w:tcPr>
          <w:p w14:paraId="03CC5E6F" w14:textId="3E12E697"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75.55</w:t>
            </w:r>
          </w:p>
        </w:tc>
        <w:tc>
          <w:tcPr>
            <w:tcW w:w="645" w:type="pct"/>
            <w:vAlign w:val="center"/>
          </w:tcPr>
          <w:p w14:paraId="524F7CB0" w14:textId="060D835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61.79</w:t>
            </w:r>
          </w:p>
        </w:tc>
        <w:tc>
          <w:tcPr>
            <w:tcW w:w="645" w:type="pct"/>
            <w:vAlign w:val="center"/>
          </w:tcPr>
          <w:p w14:paraId="4E6F5B9C" w14:textId="62458B9C"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45.05</w:t>
            </w:r>
          </w:p>
        </w:tc>
        <w:tc>
          <w:tcPr>
            <w:tcW w:w="645" w:type="pct"/>
            <w:vAlign w:val="center"/>
          </w:tcPr>
          <w:p w14:paraId="211A434B" w14:textId="0F800CD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346.77</w:t>
            </w:r>
          </w:p>
        </w:tc>
      </w:tr>
      <w:tr w:rsidR="003820F3" w14:paraId="77D64E69"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2D8BE3F2" w14:textId="32F1599B" w:rsidR="003820F3" w:rsidRPr="00C0416D" w:rsidRDefault="003820F3" w:rsidP="003820F3">
            <w:pPr>
              <w:keepNext/>
              <w:keepLines/>
              <w:rPr>
                <w:b w:val="0"/>
              </w:rPr>
            </w:pPr>
            <w:r w:rsidRPr="00E04053">
              <w:rPr>
                <w:b w:val="0"/>
              </w:rPr>
              <w:t>Renewals</w:t>
            </w:r>
          </w:p>
        </w:tc>
        <w:tc>
          <w:tcPr>
            <w:tcW w:w="645" w:type="pct"/>
            <w:vAlign w:val="center"/>
          </w:tcPr>
          <w:p w14:paraId="6AB48CA9" w14:textId="5A779E25"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95.96</w:t>
            </w:r>
          </w:p>
        </w:tc>
        <w:tc>
          <w:tcPr>
            <w:tcW w:w="645" w:type="pct"/>
            <w:vAlign w:val="center"/>
          </w:tcPr>
          <w:p w14:paraId="2B850FC1" w14:textId="66524F72"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113.71</w:t>
            </w:r>
          </w:p>
        </w:tc>
        <w:tc>
          <w:tcPr>
            <w:tcW w:w="645" w:type="pct"/>
            <w:vAlign w:val="center"/>
          </w:tcPr>
          <w:p w14:paraId="2ABA2938" w14:textId="757705D9"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105.51</w:t>
            </w:r>
          </w:p>
        </w:tc>
        <w:tc>
          <w:tcPr>
            <w:tcW w:w="645" w:type="pct"/>
            <w:vAlign w:val="center"/>
          </w:tcPr>
          <w:p w14:paraId="42CC1579" w14:textId="0DEA0682"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110.52</w:t>
            </w:r>
          </w:p>
        </w:tc>
        <w:tc>
          <w:tcPr>
            <w:tcW w:w="645" w:type="pct"/>
            <w:vAlign w:val="center"/>
          </w:tcPr>
          <w:p w14:paraId="2A608B6A" w14:textId="67EACD4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106.11</w:t>
            </w:r>
          </w:p>
        </w:tc>
        <w:tc>
          <w:tcPr>
            <w:tcW w:w="645" w:type="pct"/>
            <w:vAlign w:val="center"/>
          </w:tcPr>
          <w:p w14:paraId="54D12DC9" w14:textId="7DD9C83D"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531.81</w:t>
            </w:r>
          </w:p>
        </w:tc>
      </w:tr>
      <w:tr w:rsidR="003820F3" w:rsidRPr="00192862" w14:paraId="65B8D7A8"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41F8ADCB" w14:textId="681A1EB1" w:rsidR="003820F3" w:rsidRPr="00192862" w:rsidRDefault="003820F3" w:rsidP="003820F3">
            <w:pPr>
              <w:keepNext/>
              <w:keepLines/>
            </w:pPr>
            <w:r w:rsidRPr="00192862">
              <w:t>Total</w:t>
            </w:r>
          </w:p>
        </w:tc>
        <w:tc>
          <w:tcPr>
            <w:tcW w:w="645" w:type="pct"/>
            <w:vAlign w:val="center"/>
          </w:tcPr>
          <w:p w14:paraId="7C300CD3" w14:textId="08D103D1" w:rsidR="003820F3" w:rsidRPr="00192862" w:rsidRDefault="003820F3" w:rsidP="00B573EB">
            <w:pPr>
              <w:jc w:val="right"/>
              <w:cnfStyle w:val="000000000000" w:firstRow="0" w:lastRow="0" w:firstColumn="0" w:lastColumn="0" w:oddVBand="0" w:evenVBand="0" w:oddHBand="0" w:evenHBand="0" w:firstRowFirstColumn="0" w:firstRowLastColumn="0" w:lastRowFirstColumn="0" w:lastRowLastColumn="0"/>
              <w:rPr>
                <w:b/>
              </w:rPr>
            </w:pPr>
            <w:r w:rsidRPr="00192862">
              <w:rPr>
                <w:b/>
              </w:rPr>
              <w:t>334.35</w:t>
            </w:r>
          </w:p>
        </w:tc>
        <w:tc>
          <w:tcPr>
            <w:tcW w:w="645" w:type="pct"/>
            <w:vAlign w:val="center"/>
          </w:tcPr>
          <w:p w14:paraId="5A68F0D0" w14:textId="7AF98F4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370.86</w:t>
            </w:r>
          </w:p>
        </w:tc>
        <w:tc>
          <w:tcPr>
            <w:tcW w:w="645" w:type="pct"/>
            <w:vAlign w:val="center"/>
          </w:tcPr>
          <w:p w14:paraId="06EB46A4" w14:textId="7CEDEE2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348.77</w:t>
            </w:r>
          </w:p>
        </w:tc>
        <w:tc>
          <w:tcPr>
            <w:tcW w:w="645" w:type="pct"/>
            <w:vAlign w:val="center"/>
          </w:tcPr>
          <w:p w14:paraId="0B01A459" w14:textId="1B25731A"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357.92</w:t>
            </w:r>
          </w:p>
        </w:tc>
        <w:tc>
          <w:tcPr>
            <w:tcW w:w="645" w:type="pct"/>
            <w:vAlign w:val="center"/>
          </w:tcPr>
          <w:p w14:paraId="590AA899" w14:textId="2E34A2F2"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309.52</w:t>
            </w:r>
          </w:p>
        </w:tc>
        <w:tc>
          <w:tcPr>
            <w:tcW w:w="645" w:type="pct"/>
            <w:vAlign w:val="center"/>
          </w:tcPr>
          <w:p w14:paraId="08F2CD40" w14:textId="44BB75A0"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1721.42</w:t>
            </w:r>
          </w:p>
        </w:tc>
      </w:tr>
    </w:tbl>
    <w:p w14:paraId="2466A8D7" w14:textId="77777777" w:rsidR="00B573EB" w:rsidRDefault="00B573EB" w:rsidP="00340FC6"/>
    <w:p w14:paraId="131C841F" w14:textId="1B5E3F95" w:rsidR="00340FC6" w:rsidRDefault="00340FC6" w:rsidP="00340FC6">
      <w:r>
        <w:t xml:space="preserve">The Asset Delivery Organisational Review has identified a considerable work program that will build our capacity and capability to deliver the infrastructure required over the next decade. GWW is </w:t>
      </w:r>
      <w:r w:rsidR="00971D56">
        <w:t xml:space="preserve">currently </w:t>
      </w:r>
      <w:r>
        <w:t>implementi</w:t>
      </w:r>
      <w:r w:rsidR="00971D56">
        <w:t>ng</w:t>
      </w:r>
      <w:r>
        <w:t xml:space="preserve"> </w:t>
      </w:r>
      <w:r w:rsidR="00F11FB7">
        <w:t>recommendations from</w:t>
      </w:r>
      <w:r>
        <w:t xml:space="preserve"> the Asset Delivery Organisational Review and many uplift initiatives will be delivered over the next 12 months. In </w:t>
      </w:r>
      <w:r w:rsidR="00D26E9E">
        <w:t>the 2023-24 to 2027-28 period</w:t>
      </w:r>
      <w:r>
        <w:t xml:space="preserve"> and the subsequent regulatory period we expect to see improvements in the delivery of our capital programs.</w:t>
      </w:r>
    </w:p>
    <w:p w14:paraId="57ABB065" w14:textId="77777777" w:rsidR="00E95A6B" w:rsidRDefault="00A418F2" w:rsidP="00A418F2">
      <w:r>
        <w:t xml:space="preserve">Investments in infrastructure critical to reducing risk and improving environmental compliance </w:t>
      </w:r>
      <w:r w:rsidRPr="005938B0">
        <w:t>form the foundation of our proposed capital plan</w:t>
      </w:r>
      <w:r>
        <w:t xml:space="preserve">. </w:t>
      </w:r>
      <w:r w:rsidRPr="005938B0">
        <w:t>Our largest investment areas are our Sewer and Water Growth programs driven by the requirement to service new growth in one of Australia’s fastest growing regions</w:t>
      </w:r>
      <w:r w:rsidR="00EC62F0">
        <w:t xml:space="preserve">. </w:t>
      </w:r>
    </w:p>
    <w:p w14:paraId="6812C343" w14:textId="6C9FC35F" w:rsidR="00A418F2" w:rsidRDefault="00EC62F0" w:rsidP="00A418F2">
      <w:r>
        <w:t xml:space="preserve">These investments </w:t>
      </w:r>
      <w:r w:rsidR="005B249B">
        <w:t>will support customer outcome 1</w:t>
      </w:r>
      <w:r w:rsidR="00A52D13">
        <w:t xml:space="preserve">, safe and resilient water services, and </w:t>
      </w:r>
      <w:r w:rsidR="00A418F2" w:rsidRPr="005938B0">
        <w:t xml:space="preserve">customer outcome </w:t>
      </w:r>
      <w:r w:rsidR="00A52D13">
        <w:t>3, w</w:t>
      </w:r>
      <w:r w:rsidR="00A418F2" w:rsidRPr="005938B0">
        <w:t xml:space="preserve">e enable growth and help businesses to thrive. We also recognise the </w:t>
      </w:r>
      <w:r w:rsidR="00E67AC5">
        <w:t xml:space="preserve">previously </w:t>
      </w:r>
      <w:r w:rsidR="007A703E">
        <w:t xml:space="preserve">constrained </w:t>
      </w:r>
      <w:r w:rsidR="007D50AD">
        <w:t xml:space="preserve">investment </w:t>
      </w:r>
      <w:r w:rsidR="00A418F2" w:rsidRPr="005938B0">
        <w:t>in the western region and ag</w:t>
      </w:r>
      <w:r w:rsidR="008959A1">
        <w:t>e</w:t>
      </w:r>
      <w:r w:rsidR="00A418F2" w:rsidRPr="005938B0">
        <w:t xml:space="preserve">ing infrastructure in the </w:t>
      </w:r>
      <w:r w:rsidR="00E67AC5">
        <w:t>central region</w:t>
      </w:r>
      <w:r w:rsidR="00A418F2" w:rsidRPr="005938B0">
        <w:t xml:space="preserve">. </w:t>
      </w:r>
      <w:r w:rsidR="00BD5358">
        <w:t>A</w:t>
      </w:r>
      <w:r w:rsidR="00BD5358" w:rsidRPr="005938B0">
        <w:t xml:space="preserve"> key focus area is investment in our water and </w:t>
      </w:r>
      <w:r w:rsidR="00BD5358" w:rsidRPr="005938B0">
        <w:lastRenderedPageBreak/>
        <w:t xml:space="preserve">sewer treatment growth and renewals programs </w:t>
      </w:r>
      <w:r w:rsidR="005764FD">
        <w:t>t</w:t>
      </w:r>
      <w:r w:rsidR="00A418F2" w:rsidRPr="005938B0">
        <w:t xml:space="preserve">o comply with </w:t>
      </w:r>
      <w:r w:rsidR="00790DCD">
        <w:t xml:space="preserve">our </w:t>
      </w:r>
      <w:r w:rsidR="00882F79">
        <w:t>g</w:t>
      </w:r>
      <w:r w:rsidR="00790DCD">
        <w:t xml:space="preserve">eneral </w:t>
      </w:r>
      <w:r w:rsidR="00882F79">
        <w:t>e</w:t>
      </w:r>
      <w:r w:rsidR="00790DCD">
        <w:t xml:space="preserve">nvironmental </w:t>
      </w:r>
      <w:r w:rsidR="00882F79">
        <w:t>d</w:t>
      </w:r>
      <w:r w:rsidR="00790DCD">
        <w:t>uty (</w:t>
      </w:r>
      <w:r w:rsidR="00A418F2" w:rsidRPr="005938B0">
        <w:t>GED</w:t>
      </w:r>
      <w:r w:rsidR="00790DCD">
        <w:t>)</w:t>
      </w:r>
      <w:r w:rsidR="00A418F2" w:rsidRPr="005938B0">
        <w:t xml:space="preserve"> </w:t>
      </w:r>
      <w:r w:rsidR="00995114">
        <w:t xml:space="preserve">under the </w:t>
      </w:r>
      <w:r w:rsidR="00995114">
        <w:rPr>
          <w:i/>
          <w:iCs/>
        </w:rPr>
        <w:t xml:space="preserve">Environment Protection Act 2017 (Vic) </w:t>
      </w:r>
      <w:r w:rsidR="00A418F2" w:rsidRPr="005938B0">
        <w:t xml:space="preserve">and </w:t>
      </w:r>
      <w:r w:rsidR="00995114">
        <w:t>Environment Protection Authority Victoria (</w:t>
      </w:r>
      <w:r w:rsidR="00A418F2" w:rsidRPr="005938B0">
        <w:t>EPA</w:t>
      </w:r>
      <w:r w:rsidR="00995114">
        <w:t>)</w:t>
      </w:r>
      <w:r w:rsidR="00A418F2" w:rsidRPr="005938B0">
        <w:t xml:space="preserve"> </w:t>
      </w:r>
      <w:r w:rsidR="004A5F4F">
        <w:t xml:space="preserve">licence </w:t>
      </w:r>
      <w:r w:rsidR="00A418F2" w:rsidRPr="005938B0">
        <w:t>requirements and have the capacity to service growth.</w:t>
      </w:r>
    </w:p>
    <w:p w14:paraId="32D9CA77" w14:textId="044B6400" w:rsidR="00A418F2" w:rsidRDefault="00A418F2" w:rsidP="00A418F2">
      <w:r w:rsidRPr="005938B0">
        <w:t xml:space="preserve">Our investments in consolidating and improving asset monitoring systems and operational technology will </w:t>
      </w:r>
      <w:r w:rsidR="003B42C4">
        <w:t xml:space="preserve">provide </w:t>
      </w:r>
      <w:r w:rsidRPr="005938B0">
        <w:t>better asset data. This will optimise the timing of future infrastructure</w:t>
      </w:r>
      <w:r w:rsidR="00677FB3">
        <w:t xml:space="preserve">, improve </w:t>
      </w:r>
      <w:r w:rsidR="00982593">
        <w:t xml:space="preserve">our ability to predict faults before they occur, and respond quickly when they do. It will also </w:t>
      </w:r>
      <w:r w:rsidRPr="005938B0">
        <w:t>improve customer service and communication particularly around unplanned disruptions</w:t>
      </w:r>
      <w:r>
        <w:t xml:space="preserve">.  </w:t>
      </w:r>
    </w:p>
    <w:p w14:paraId="11C4B926" w14:textId="254D5F59" w:rsidR="00340FC6" w:rsidRDefault="00340FC6" w:rsidP="00340FC6">
      <w:r>
        <w:t xml:space="preserve">The capital program includes the infrastructure uplift required to bring together a regional urban and a metropolitan water corporation with different functions, processes and asset management regimes and practices. It considers the diversity of our customers and the </w:t>
      </w:r>
      <w:r w:rsidR="00A873FA">
        <w:t xml:space="preserve">current </w:t>
      </w:r>
      <w:r>
        <w:t>different levels of service within our</w:t>
      </w:r>
      <w:r w:rsidR="00E33A84">
        <w:t xml:space="preserve"> service</w:t>
      </w:r>
      <w:r>
        <w:t xml:space="preserve"> region. Tied to this is the need to service growth in what is Australia’s fastest growing region. </w:t>
      </w:r>
    </w:p>
    <w:p w14:paraId="42FFAB24" w14:textId="24DC3B4D" w:rsidR="00340FC6" w:rsidRDefault="00340FC6" w:rsidP="00340FC6">
      <w:r>
        <w:t>The investment proposed (</w:t>
      </w:r>
      <w:r w:rsidR="00D6798E">
        <w:t>$</w:t>
      </w:r>
      <w:r>
        <w:t>1.7</w:t>
      </w:r>
      <w:r w:rsidR="00D6798E">
        <w:t xml:space="preserve"> billion</w:t>
      </w:r>
      <w:r>
        <w:t>) for the period 2023-24 to 2027-28 is higher than the sum of investments proposed by the former CWW and WW in their previous price submissions. The increase is due to:</w:t>
      </w:r>
    </w:p>
    <w:p w14:paraId="655550BA" w14:textId="08500898" w:rsidR="00340FC6" w:rsidRDefault="00D6798E">
      <w:pPr>
        <w:pStyle w:val="ListBullet"/>
        <w:numPr>
          <w:ilvl w:val="0"/>
          <w:numId w:val="66"/>
        </w:numPr>
      </w:pPr>
      <w:r>
        <w:t>c</w:t>
      </w:r>
      <w:r w:rsidR="00340FC6">
        <w:t xml:space="preserve">ustomer growth in the </w:t>
      </w:r>
      <w:r>
        <w:t>w</w:t>
      </w:r>
      <w:r w:rsidR="00340FC6">
        <w:t xml:space="preserve">estern region being higher than </w:t>
      </w:r>
      <w:proofErr w:type="gramStart"/>
      <w:r w:rsidR="00340FC6">
        <w:t>anticipated</w:t>
      </w:r>
      <w:proofErr w:type="gramEnd"/>
    </w:p>
    <w:p w14:paraId="1506E8CF" w14:textId="24EF8F0E" w:rsidR="00340FC6" w:rsidRDefault="00D6798E">
      <w:pPr>
        <w:pStyle w:val="ListBullet"/>
        <w:numPr>
          <w:ilvl w:val="0"/>
          <w:numId w:val="66"/>
        </w:numPr>
      </w:pPr>
      <w:r>
        <w:t>p</w:t>
      </w:r>
      <w:r w:rsidR="00340FC6">
        <w:t xml:space="preserve">revious underestimation of the investment required to service growth in the western </w:t>
      </w:r>
      <w:proofErr w:type="gramStart"/>
      <w:r w:rsidR="00340FC6">
        <w:t>region</w:t>
      </w:r>
      <w:proofErr w:type="gramEnd"/>
    </w:p>
    <w:p w14:paraId="451DFCA1" w14:textId="3050200E" w:rsidR="00340FC6" w:rsidRDefault="00D6798E">
      <w:pPr>
        <w:pStyle w:val="ListBullet"/>
        <w:numPr>
          <w:ilvl w:val="0"/>
          <w:numId w:val="66"/>
        </w:numPr>
      </w:pPr>
      <w:r>
        <w:t>h</w:t>
      </w:r>
      <w:r w:rsidR="00340FC6">
        <w:t xml:space="preserve">igher level of risk held in the </w:t>
      </w:r>
      <w:r>
        <w:t>w</w:t>
      </w:r>
      <w:r w:rsidR="00340FC6">
        <w:t>estern region, which has resulted in regulatory breaches</w:t>
      </w:r>
      <w:r>
        <w:t>.</w:t>
      </w:r>
      <w:r w:rsidR="00340FC6">
        <w:t xml:space="preserve"> </w:t>
      </w:r>
    </w:p>
    <w:p w14:paraId="3CA7A338" w14:textId="0B9F9209" w:rsidR="007D1079" w:rsidRPr="00476449" w:rsidRDefault="00340FC6" w:rsidP="006B12CD">
      <w:r>
        <w:t xml:space="preserve">Our commitment to providing safe, </w:t>
      </w:r>
      <w:proofErr w:type="gramStart"/>
      <w:r>
        <w:t>reliable</w:t>
      </w:r>
      <w:proofErr w:type="gramEnd"/>
      <w:r>
        <w:t xml:space="preserve"> and </w:t>
      </w:r>
      <w:r w:rsidR="00DA16A6">
        <w:t xml:space="preserve">resilient </w:t>
      </w:r>
      <w:r>
        <w:t xml:space="preserve">services to our customers is evident in the program, </w:t>
      </w:r>
      <w:r w:rsidR="008E0355">
        <w:t>we do this through the</w:t>
      </w:r>
      <w:r>
        <w:t xml:space="preserve"> mitigation of critical risks, addressing pressing growth requirements and delivering on our customer outcomes.</w:t>
      </w:r>
    </w:p>
    <w:p w14:paraId="10DE0BFC" w14:textId="3A818A6C" w:rsidR="006B12CD" w:rsidRPr="001A6CE1" w:rsidRDefault="006B12CD" w:rsidP="006B12CD">
      <w:r w:rsidRPr="001A6CE1">
        <w:t xml:space="preserve">Business cases have been prepared for all major projects and </w:t>
      </w:r>
      <w:r>
        <w:t>programs</w:t>
      </w:r>
      <w:r w:rsidRPr="001A6CE1">
        <w:t xml:space="preserve"> and include detailed analysis of the </w:t>
      </w:r>
      <w:r w:rsidR="00C61259">
        <w:t>investment</w:t>
      </w:r>
      <w:r w:rsidRPr="001A6CE1">
        <w:t>, including:</w:t>
      </w:r>
    </w:p>
    <w:p w14:paraId="317E841C" w14:textId="61C4F78E" w:rsidR="006B12CD" w:rsidRPr="001A6CE1" w:rsidRDefault="006B12CD">
      <w:pPr>
        <w:pStyle w:val="ListBullet"/>
        <w:numPr>
          <w:ilvl w:val="0"/>
          <w:numId w:val="67"/>
        </w:numPr>
      </w:pPr>
      <w:r w:rsidRPr="001A6CE1">
        <w:t xml:space="preserve">an outline of the problem to be </w:t>
      </w:r>
      <w:proofErr w:type="gramStart"/>
      <w:r w:rsidRPr="001A6CE1">
        <w:t>addressed</w:t>
      </w:r>
      <w:proofErr w:type="gramEnd"/>
    </w:p>
    <w:p w14:paraId="5D9EFD89" w14:textId="63AE8C4E" w:rsidR="006B12CD" w:rsidRPr="001A6CE1" w:rsidRDefault="006B12CD">
      <w:pPr>
        <w:pStyle w:val="ListBullet"/>
        <w:numPr>
          <w:ilvl w:val="0"/>
          <w:numId w:val="67"/>
        </w:numPr>
      </w:pPr>
      <w:r w:rsidRPr="001A6CE1">
        <w:t xml:space="preserve">the expected benefits </w:t>
      </w:r>
      <w:r w:rsidR="00464DB8">
        <w:t>the investment will deliver</w:t>
      </w:r>
      <w:r w:rsidR="00753745">
        <w:t xml:space="preserve"> for </w:t>
      </w:r>
      <w:proofErr w:type="gramStart"/>
      <w:r w:rsidR="00753745">
        <w:t>customers</w:t>
      </w:r>
      <w:proofErr w:type="gramEnd"/>
    </w:p>
    <w:p w14:paraId="37716908" w14:textId="05ACC033" w:rsidR="006B12CD" w:rsidRPr="001A6CE1" w:rsidRDefault="006B12CD">
      <w:pPr>
        <w:pStyle w:val="ListBullet"/>
        <w:numPr>
          <w:ilvl w:val="0"/>
          <w:numId w:val="67"/>
        </w:numPr>
      </w:pPr>
      <w:r w:rsidRPr="001A6CE1">
        <w:t>the options that were considered and justification for the option</w:t>
      </w:r>
      <w:r w:rsidR="00753745">
        <w:t xml:space="preserve"> </w:t>
      </w:r>
      <w:proofErr w:type="gramStart"/>
      <w:r w:rsidR="00464DB8">
        <w:t>selected</w:t>
      </w:r>
      <w:proofErr w:type="gramEnd"/>
    </w:p>
    <w:p w14:paraId="14D71FD7" w14:textId="459CA12B" w:rsidR="006B12CD" w:rsidRPr="001A6CE1" w:rsidRDefault="006B12CD">
      <w:pPr>
        <w:pStyle w:val="ListBullet"/>
        <w:numPr>
          <w:ilvl w:val="0"/>
          <w:numId w:val="67"/>
        </w:numPr>
      </w:pPr>
      <w:r w:rsidRPr="001A6CE1">
        <w:t>details of the risk assessment. </w:t>
      </w:r>
    </w:p>
    <w:p w14:paraId="549EBDAB" w14:textId="3C7D5CF1" w:rsidR="000F63E7" w:rsidRDefault="008629AD" w:rsidP="006B12CD">
      <w:r>
        <w:fldChar w:fldCharType="begin"/>
      </w:r>
      <w:r>
        <w:instrText xml:space="preserve"> REF _Ref145922219 \n \h </w:instrText>
      </w:r>
      <w:r w:rsidR="0069425C">
        <w:fldChar w:fldCharType="separate"/>
      </w:r>
      <w:r>
        <w:fldChar w:fldCharType="end"/>
      </w:r>
      <w:r w:rsidR="00D6798E">
        <w:t xml:space="preserve"> </w:t>
      </w:r>
      <w:r w:rsidR="009B1129">
        <w:t xml:space="preserve">provides a </w:t>
      </w:r>
      <w:r w:rsidR="009B1129" w:rsidRPr="00F9237D">
        <w:t>summary</w:t>
      </w:r>
      <w:r w:rsidR="006B12CD" w:rsidRPr="00091B02">
        <w:t xml:space="preserve"> </w:t>
      </w:r>
      <w:r w:rsidR="430519A0">
        <w:t xml:space="preserve">of the </w:t>
      </w:r>
      <w:r w:rsidR="006B12CD" w:rsidRPr="00091B02">
        <w:t>top 10 business cases.</w:t>
      </w:r>
      <w:r w:rsidR="006B12CD" w:rsidRPr="001A6CE1">
        <w:t xml:space="preserve"> The total expenditure of the top 10 major projects is </w:t>
      </w:r>
      <w:r w:rsidR="00C66FBB">
        <w:t>$</w:t>
      </w:r>
      <w:r w:rsidR="000F63E7">
        <w:t xml:space="preserve">379.4 </w:t>
      </w:r>
      <w:r w:rsidR="00C66FBB">
        <w:t>m</w:t>
      </w:r>
      <w:r w:rsidR="000F63E7">
        <w:t>illion</w:t>
      </w:r>
      <w:r w:rsidR="00D6798E">
        <w:t>,</w:t>
      </w:r>
      <w:r w:rsidR="00C66FBB">
        <w:t xml:space="preserve"> which is</w:t>
      </w:r>
      <w:r w:rsidR="006B12CD" w:rsidRPr="001A6CE1">
        <w:t xml:space="preserve"> </w:t>
      </w:r>
      <w:r w:rsidR="006B12CD" w:rsidRPr="00091B02">
        <w:t>22%</w:t>
      </w:r>
      <w:r w:rsidR="006B12CD" w:rsidRPr="001A6CE1">
        <w:t xml:space="preserve"> of the planned capital expenditure over the </w:t>
      </w:r>
      <w:r w:rsidR="00464DB8">
        <w:t>2023-24 to 2027-28 period</w:t>
      </w:r>
      <w:r w:rsidR="006B12CD" w:rsidRPr="001A6CE1">
        <w:t>.</w:t>
      </w:r>
    </w:p>
    <w:p w14:paraId="1BED3CF8" w14:textId="4FCDB869" w:rsidR="006B12CD" w:rsidRDefault="006C2610" w:rsidP="006C2610">
      <w:pPr>
        <w:pStyle w:val="Caption"/>
      </w:pPr>
      <w:r w:rsidRPr="00103072">
        <w:rPr>
          <w:b/>
          <w:bCs/>
        </w:rPr>
        <w:t xml:space="preserve">Table </w:t>
      </w:r>
      <w:r w:rsidRPr="00103072">
        <w:rPr>
          <w:b/>
          <w:bCs/>
        </w:rPr>
        <w:fldChar w:fldCharType="begin"/>
      </w:r>
      <w:r w:rsidRPr="00103072">
        <w:rPr>
          <w:b/>
          <w:bCs/>
        </w:rPr>
        <w:instrText>SEQ Table \* ARABIC</w:instrText>
      </w:r>
      <w:r w:rsidRPr="00103072">
        <w:rPr>
          <w:b/>
          <w:bCs/>
        </w:rPr>
        <w:fldChar w:fldCharType="separate"/>
      </w:r>
      <w:r w:rsidR="003B42C6">
        <w:rPr>
          <w:b/>
          <w:bCs/>
          <w:noProof/>
        </w:rPr>
        <w:t>12</w:t>
      </w:r>
      <w:r w:rsidRPr="00103072">
        <w:rPr>
          <w:b/>
          <w:bCs/>
        </w:rPr>
        <w:fldChar w:fldCharType="end"/>
      </w:r>
      <w:r w:rsidR="00F96D0C">
        <w:t xml:space="preserve"> Overview of top 10 major projects ($million, 2023-24)</w:t>
      </w:r>
    </w:p>
    <w:tbl>
      <w:tblPr>
        <w:tblStyle w:val="GWWDefaulttable"/>
        <w:tblW w:w="5000" w:type="pct"/>
        <w:tblLook w:val="04A0" w:firstRow="1" w:lastRow="0" w:firstColumn="1" w:lastColumn="0" w:noHBand="0" w:noVBand="1"/>
      </w:tblPr>
      <w:tblGrid>
        <w:gridCol w:w="2409"/>
        <w:gridCol w:w="2409"/>
        <w:gridCol w:w="2410"/>
        <w:gridCol w:w="2410"/>
      </w:tblGrid>
      <w:tr w:rsidR="004D7736" w:rsidRPr="004D7736" w14:paraId="45ED971D" w14:textId="77777777" w:rsidTr="0010307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E07703C" w14:textId="77777777" w:rsidR="004D7736" w:rsidRPr="00B4244A" w:rsidRDefault="004D7736" w:rsidP="007D60B7">
            <w:pPr>
              <w:rPr>
                <w:szCs w:val="18"/>
              </w:rPr>
            </w:pPr>
            <w:r w:rsidRPr="00B4244A">
              <w:rPr>
                <w:szCs w:val="18"/>
              </w:rPr>
              <w:t>Project</w:t>
            </w:r>
          </w:p>
        </w:tc>
        <w:tc>
          <w:tcPr>
            <w:tcW w:w="1250" w:type="pct"/>
            <w:vAlign w:val="center"/>
          </w:tcPr>
          <w:p w14:paraId="3E698C82" w14:textId="77777777"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Project summary</w:t>
            </w:r>
          </w:p>
        </w:tc>
        <w:tc>
          <w:tcPr>
            <w:tcW w:w="1250" w:type="pct"/>
            <w:vAlign w:val="center"/>
          </w:tcPr>
          <w:p w14:paraId="7240217A" w14:textId="77777777"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Risk being addressed</w:t>
            </w:r>
          </w:p>
        </w:tc>
        <w:tc>
          <w:tcPr>
            <w:tcW w:w="1250" w:type="pct"/>
            <w:vAlign w:val="center"/>
          </w:tcPr>
          <w:p w14:paraId="215145C0" w14:textId="337398EB"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Total capital (</w:t>
            </w:r>
            <w:r w:rsidR="007D60B7" w:rsidRPr="00B4244A">
              <w:rPr>
                <w:szCs w:val="18"/>
              </w:rPr>
              <w:t>2023-</w:t>
            </w:r>
            <w:r w:rsidRPr="00B4244A">
              <w:rPr>
                <w:szCs w:val="18"/>
              </w:rPr>
              <w:t xml:space="preserve">24 to </w:t>
            </w:r>
            <w:r w:rsidR="007D60B7" w:rsidRPr="00B4244A">
              <w:rPr>
                <w:szCs w:val="18"/>
              </w:rPr>
              <w:t>2027-</w:t>
            </w:r>
            <w:r w:rsidRPr="00B4244A">
              <w:rPr>
                <w:szCs w:val="18"/>
              </w:rPr>
              <w:t>28)</w:t>
            </w:r>
          </w:p>
        </w:tc>
      </w:tr>
      <w:tr w:rsidR="004D7736" w:rsidRPr="004D7736" w14:paraId="5DE8789B"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46CB0E7F" w14:textId="77777777" w:rsidR="004D7736" w:rsidRPr="00B4244A" w:rsidRDefault="004D7736" w:rsidP="004D7736">
            <w:pPr>
              <w:rPr>
                <w:b w:val="0"/>
                <w:szCs w:val="18"/>
              </w:rPr>
            </w:pPr>
            <w:r w:rsidRPr="00B4244A">
              <w:rPr>
                <w:b w:val="0"/>
                <w:szCs w:val="18"/>
              </w:rPr>
              <w:t>Improving waterway health in Woodend</w:t>
            </w:r>
          </w:p>
        </w:tc>
        <w:tc>
          <w:tcPr>
            <w:tcW w:w="1250" w:type="pct"/>
          </w:tcPr>
          <w:p w14:paraId="76F80B9B"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Major upgrade to Woodend RWP treatment assets based on outcomes of the 2022 Woodend RWP Master Plan</w:t>
            </w:r>
          </w:p>
        </w:tc>
        <w:tc>
          <w:tcPr>
            <w:tcW w:w="1250" w:type="pct"/>
          </w:tcPr>
          <w:p w14:paraId="24E2219C" w14:textId="71B3945D"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Compliance with GED and EPA licen</w:t>
            </w:r>
            <w:r w:rsidR="00624305">
              <w:rPr>
                <w:szCs w:val="18"/>
              </w:rPr>
              <w:t>c</w:t>
            </w:r>
            <w:r w:rsidRPr="00B4244A">
              <w:rPr>
                <w:szCs w:val="18"/>
              </w:rPr>
              <w:t>e conditions</w:t>
            </w:r>
          </w:p>
        </w:tc>
        <w:tc>
          <w:tcPr>
            <w:tcW w:w="1250" w:type="pct"/>
          </w:tcPr>
          <w:p w14:paraId="12303185" w14:textId="24F1B9B8"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58.</w:t>
            </w:r>
            <w:r w:rsidR="00F92C51">
              <w:rPr>
                <w:szCs w:val="18"/>
              </w:rPr>
              <w:t>39</w:t>
            </w:r>
          </w:p>
        </w:tc>
      </w:tr>
      <w:tr w:rsidR="004D7736" w:rsidRPr="004D7736" w14:paraId="6435D7AE"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A67C27A" w14:textId="77777777" w:rsidR="004D7736" w:rsidRPr="00B4244A" w:rsidRDefault="004D7736" w:rsidP="004D7736">
            <w:pPr>
              <w:rPr>
                <w:b w:val="0"/>
                <w:szCs w:val="18"/>
              </w:rPr>
            </w:pPr>
            <w:r w:rsidRPr="00B4244A">
              <w:rPr>
                <w:b w:val="0"/>
                <w:szCs w:val="18"/>
              </w:rPr>
              <w:lastRenderedPageBreak/>
              <w:t>Improving water supply reliability in the Macedon Ranges</w:t>
            </w:r>
          </w:p>
        </w:tc>
        <w:tc>
          <w:tcPr>
            <w:tcW w:w="1250" w:type="pct"/>
          </w:tcPr>
          <w:p w14:paraId="399C98F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 xml:space="preserve">Pipelines, pump stations, </w:t>
            </w:r>
            <w:proofErr w:type="gramStart"/>
            <w:r w:rsidRPr="00B4244A">
              <w:rPr>
                <w:szCs w:val="18"/>
              </w:rPr>
              <w:t>tanks</w:t>
            </w:r>
            <w:proofErr w:type="gramEnd"/>
            <w:r w:rsidRPr="00B4244A">
              <w:rPr>
                <w:szCs w:val="18"/>
              </w:rPr>
              <w:t xml:space="preserve"> and minor works to improve capacity, resilience and water quality</w:t>
            </w:r>
          </w:p>
        </w:tc>
        <w:tc>
          <w:tcPr>
            <w:tcW w:w="1250" w:type="pct"/>
          </w:tcPr>
          <w:p w14:paraId="47A4082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 xml:space="preserve">Insufficient water supply to </w:t>
            </w:r>
            <w:proofErr w:type="spellStart"/>
            <w:r w:rsidRPr="00B4244A">
              <w:rPr>
                <w:szCs w:val="18"/>
              </w:rPr>
              <w:t>Rosslynne</w:t>
            </w:r>
            <w:proofErr w:type="spellEnd"/>
            <w:r w:rsidRPr="00B4244A">
              <w:rPr>
                <w:szCs w:val="18"/>
              </w:rPr>
              <w:t>, precents water restrictions/loss of supply (approx. 15k customers)</w:t>
            </w:r>
          </w:p>
        </w:tc>
        <w:tc>
          <w:tcPr>
            <w:tcW w:w="1250" w:type="pct"/>
          </w:tcPr>
          <w:p w14:paraId="7AD8A4C3" w14:textId="6C3731C2"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55.</w:t>
            </w:r>
            <w:r w:rsidR="00F92C51">
              <w:rPr>
                <w:szCs w:val="18"/>
              </w:rPr>
              <w:t>87</w:t>
            </w:r>
          </w:p>
        </w:tc>
      </w:tr>
      <w:tr w:rsidR="004D7736" w:rsidRPr="004D7736" w14:paraId="7F4C0C6B"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00A01E62" w14:textId="77777777" w:rsidR="004D7736" w:rsidRPr="00B4244A" w:rsidRDefault="004D7736" w:rsidP="004D7736">
            <w:pPr>
              <w:rPr>
                <w:b w:val="0"/>
                <w:szCs w:val="18"/>
              </w:rPr>
            </w:pPr>
            <w:r w:rsidRPr="00B4244A">
              <w:rPr>
                <w:b w:val="0"/>
                <w:szCs w:val="18"/>
              </w:rPr>
              <w:t>Supporting CBD growth with better sewer capacity</w:t>
            </w:r>
          </w:p>
        </w:tc>
        <w:tc>
          <w:tcPr>
            <w:tcW w:w="1250" w:type="pct"/>
          </w:tcPr>
          <w:p w14:paraId="19BA45DC"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700m of sewer that services the entire flows of CBD. Stage 4 of the CBD Sewer Strategy approved in 2018</w:t>
            </w:r>
          </w:p>
        </w:tc>
        <w:tc>
          <w:tcPr>
            <w:tcW w:w="1250" w:type="pct"/>
          </w:tcPr>
          <w:p w14:paraId="1A16BB8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Sewer spills in Spencer St/Flinders St/Wurundjeri Way in the CBD due to insufficient capacity or structural failure</w:t>
            </w:r>
          </w:p>
        </w:tc>
        <w:tc>
          <w:tcPr>
            <w:tcW w:w="1250" w:type="pct"/>
          </w:tcPr>
          <w:p w14:paraId="7523F3C7" w14:textId="5A99855F"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46.4</w:t>
            </w:r>
            <w:r w:rsidR="00F92C51">
              <w:rPr>
                <w:szCs w:val="18"/>
              </w:rPr>
              <w:t>5</w:t>
            </w:r>
          </w:p>
        </w:tc>
      </w:tr>
      <w:tr w:rsidR="004D7736" w:rsidRPr="004D7736" w14:paraId="6063CBA9"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2385557E" w14:textId="77777777" w:rsidR="004D7736" w:rsidRPr="00B4244A" w:rsidRDefault="004D7736" w:rsidP="004D7736">
            <w:pPr>
              <w:rPr>
                <w:b w:val="0"/>
                <w:szCs w:val="18"/>
              </w:rPr>
            </w:pPr>
            <w:r w:rsidRPr="00B4244A">
              <w:rPr>
                <w:b w:val="0"/>
                <w:szCs w:val="18"/>
              </w:rPr>
              <w:t>Modernisation of customer experience and data capability</w:t>
            </w:r>
          </w:p>
        </w:tc>
        <w:tc>
          <w:tcPr>
            <w:tcW w:w="1250" w:type="pct"/>
          </w:tcPr>
          <w:p w14:paraId="4D2D768C" w14:textId="3A3CF3DE"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Moderni</w:t>
            </w:r>
            <w:r w:rsidR="00EE44E4">
              <w:rPr>
                <w:szCs w:val="18"/>
              </w:rPr>
              <w:t>s</w:t>
            </w:r>
            <w:r w:rsidRPr="00B4244A">
              <w:rPr>
                <w:szCs w:val="18"/>
              </w:rPr>
              <w:t>ation of GWW’s customer experience platforms, processes and data capabilities that support GWW’s billing and collection services</w:t>
            </w:r>
          </w:p>
        </w:tc>
        <w:tc>
          <w:tcPr>
            <w:tcW w:w="1250" w:type="pct"/>
          </w:tcPr>
          <w:p w14:paraId="6429C667"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Ability to meet Water industry Standards for communication with customers. Manual data management across two different systems creating risk of errors and non-compliance</w:t>
            </w:r>
          </w:p>
        </w:tc>
        <w:tc>
          <w:tcPr>
            <w:tcW w:w="1250" w:type="pct"/>
          </w:tcPr>
          <w:p w14:paraId="31AD4CB0" w14:textId="28A8B6E0"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37.</w:t>
            </w:r>
            <w:r w:rsidR="00F92C51">
              <w:rPr>
                <w:szCs w:val="18"/>
              </w:rPr>
              <w:t>47</w:t>
            </w:r>
          </w:p>
        </w:tc>
      </w:tr>
      <w:tr w:rsidR="004D7736" w:rsidRPr="004D7736" w14:paraId="6DAB6D84"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6F88F66C" w14:textId="77777777" w:rsidR="004D7736" w:rsidRPr="00B4244A" w:rsidRDefault="004D7736" w:rsidP="004D7736">
            <w:pPr>
              <w:rPr>
                <w:b w:val="0"/>
                <w:szCs w:val="18"/>
              </w:rPr>
            </w:pPr>
            <w:r w:rsidRPr="00B4244A">
              <w:rPr>
                <w:b w:val="0"/>
                <w:szCs w:val="18"/>
              </w:rPr>
              <w:t>Water security for Sunbury and the western region</w:t>
            </w:r>
          </w:p>
        </w:tc>
        <w:tc>
          <w:tcPr>
            <w:tcW w:w="1250" w:type="pct"/>
          </w:tcPr>
          <w:p w14:paraId="746279E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A pipeline and weather pump station to ensure provision of a reliable and secure drinking water supply for Sunbury, Diggers Rest and Bulla</w:t>
            </w:r>
          </w:p>
        </w:tc>
        <w:tc>
          <w:tcPr>
            <w:tcW w:w="1250" w:type="pct"/>
          </w:tcPr>
          <w:p w14:paraId="00EA9544" w14:textId="6304EFBA"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Unable to meet peak demands in Sunbury by 2026. Remove single source of supply risk from Shepherds Lane pump station</w:t>
            </w:r>
          </w:p>
        </w:tc>
        <w:tc>
          <w:tcPr>
            <w:tcW w:w="1250" w:type="pct"/>
          </w:tcPr>
          <w:p w14:paraId="426D142A" w14:textId="0FD3C25D"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36.3</w:t>
            </w:r>
            <w:r w:rsidR="00974299">
              <w:rPr>
                <w:szCs w:val="18"/>
              </w:rPr>
              <w:t>1</w:t>
            </w:r>
          </w:p>
        </w:tc>
      </w:tr>
      <w:tr w:rsidR="004D7736" w:rsidRPr="004D7736" w14:paraId="5D199039"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64955996" w14:textId="77777777" w:rsidR="004D7736" w:rsidRPr="00B4244A" w:rsidRDefault="004D7736" w:rsidP="004D7736">
            <w:pPr>
              <w:rPr>
                <w:b w:val="0"/>
                <w:szCs w:val="18"/>
              </w:rPr>
            </w:pPr>
            <w:r w:rsidRPr="00B4244A">
              <w:rPr>
                <w:b w:val="0"/>
                <w:szCs w:val="18"/>
              </w:rPr>
              <w:t>Providing sewer services to our growth regions</w:t>
            </w:r>
          </w:p>
        </w:tc>
        <w:tc>
          <w:tcPr>
            <w:tcW w:w="1250" w:type="pct"/>
          </w:tcPr>
          <w:p w14:paraId="509ABA6A"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 xml:space="preserve">EMU Creek Branch Sewer Main &amp; Sunbury Rd outfall sewer. </w:t>
            </w:r>
            <w:r w:rsidRPr="00B4244A">
              <w:rPr>
                <w:szCs w:val="18"/>
              </w:rPr>
              <w:t>Construction of 3.5km of 525/600 pipe along Melbourne-Lancefield Rd</w:t>
            </w:r>
          </w:p>
          <w:p w14:paraId="5AEE561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p>
        </w:tc>
        <w:tc>
          <w:tcPr>
            <w:tcW w:w="1250" w:type="pct"/>
          </w:tcPr>
          <w:p w14:paraId="046890B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Insufficient capacity in sewer network resulting in spills. Large numbers of new customers serviced by education as sewer does not have capacity. </w:t>
            </w:r>
          </w:p>
        </w:tc>
        <w:tc>
          <w:tcPr>
            <w:tcW w:w="1250" w:type="pct"/>
          </w:tcPr>
          <w:p w14:paraId="3A83607E" w14:textId="20ACE107"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34.2</w:t>
            </w:r>
            <w:r w:rsidR="00974299">
              <w:rPr>
                <w:szCs w:val="18"/>
              </w:rPr>
              <w:t>5</w:t>
            </w:r>
          </w:p>
        </w:tc>
      </w:tr>
      <w:tr w:rsidR="004D7736" w:rsidRPr="004D7736" w14:paraId="464677B7"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8BEBB5E" w14:textId="77777777" w:rsidR="004D7736" w:rsidRPr="00B4244A" w:rsidRDefault="004D7736" w:rsidP="004D7736">
            <w:pPr>
              <w:rPr>
                <w:b w:val="0"/>
                <w:szCs w:val="18"/>
              </w:rPr>
            </w:pPr>
            <w:r w:rsidRPr="00B4244A">
              <w:rPr>
                <w:b w:val="0"/>
                <w:szCs w:val="18"/>
              </w:rPr>
              <w:t>Supporting waterway health in Gisborne</w:t>
            </w:r>
          </w:p>
        </w:tc>
        <w:tc>
          <w:tcPr>
            <w:tcW w:w="1250" w:type="pct"/>
          </w:tcPr>
          <w:p w14:paraId="0826C4C4" w14:textId="090EDBAB"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 xml:space="preserve">New 3.65 </w:t>
            </w:r>
            <w:r w:rsidR="00877BF3" w:rsidRPr="00B4244A">
              <w:rPr>
                <w:szCs w:val="18"/>
                <w:lang w:val="en-US"/>
              </w:rPr>
              <w:t xml:space="preserve">ML </w:t>
            </w:r>
            <w:r w:rsidRPr="00B4244A">
              <w:rPr>
                <w:szCs w:val="18"/>
                <w:lang w:val="en-US"/>
              </w:rPr>
              <w:t>per day recycled water treatment facility that will provide environmental benefits and cater for growth</w:t>
            </w:r>
          </w:p>
        </w:tc>
        <w:tc>
          <w:tcPr>
            <w:tcW w:w="1250" w:type="pct"/>
          </w:tcPr>
          <w:p w14:paraId="01569794" w14:textId="1EFE683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Compliance with Gisborne RWP volumetric discharge license</w:t>
            </w:r>
          </w:p>
        </w:tc>
        <w:tc>
          <w:tcPr>
            <w:tcW w:w="1250" w:type="pct"/>
          </w:tcPr>
          <w:p w14:paraId="7201B33F" w14:textId="6DA3D2BD"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29.9</w:t>
            </w:r>
            <w:r w:rsidR="00974299">
              <w:rPr>
                <w:szCs w:val="18"/>
              </w:rPr>
              <w:t>0</w:t>
            </w:r>
          </w:p>
        </w:tc>
      </w:tr>
      <w:tr w:rsidR="004D7736" w:rsidRPr="004D7736" w14:paraId="36312676"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186B8837" w14:textId="77777777" w:rsidR="004D7736" w:rsidRPr="00B4244A" w:rsidRDefault="004D7736" w:rsidP="004D7736">
            <w:pPr>
              <w:rPr>
                <w:b w:val="0"/>
                <w:szCs w:val="18"/>
              </w:rPr>
            </w:pPr>
            <w:r w:rsidRPr="00B4244A">
              <w:rPr>
                <w:b w:val="0"/>
                <w:szCs w:val="18"/>
              </w:rPr>
              <w:t>Water supply reliability for Sunbury</w:t>
            </w:r>
          </w:p>
        </w:tc>
        <w:tc>
          <w:tcPr>
            <w:tcW w:w="1250" w:type="pct"/>
          </w:tcPr>
          <w:p w14:paraId="70556C8F"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Constructing new Water Storage Tanks to service growth areas in Sunbury</w:t>
            </w:r>
          </w:p>
        </w:tc>
        <w:tc>
          <w:tcPr>
            <w:tcW w:w="1250" w:type="pct"/>
          </w:tcPr>
          <w:p w14:paraId="1832AE33"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Lack of minimum Water supply pressure and water volume during peak demands in Sunbury</w:t>
            </w:r>
          </w:p>
        </w:tc>
        <w:tc>
          <w:tcPr>
            <w:tcW w:w="1250" w:type="pct"/>
          </w:tcPr>
          <w:p w14:paraId="6B51A4EE" w14:textId="6F9968B3"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29.0</w:t>
            </w:r>
            <w:r w:rsidR="00974299">
              <w:rPr>
                <w:szCs w:val="18"/>
              </w:rPr>
              <w:t>4</w:t>
            </w:r>
          </w:p>
        </w:tc>
      </w:tr>
      <w:tr w:rsidR="004D7736" w:rsidRPr="004D7736" w14:paraId="1B7D659C"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169D5B34" w14:textId="77777777" w:rsidR="004D7736" w:rsidRPr="00B4244A" w:rsidRDefault="004D7736" w:rsidP="004D7736">
            <w:pPr>
              <w:rPr>
                <w:b w:val="0"/>
                <w:szCs w:val="18"/>
                <w:lang w:val="en-US"/>
              </w:rPr>
            </w:pPr>
            <w:r w:rsidRPr="00B4244A">
              <w:rPr>
                <w:b w:val="0"/>
                <w:szCs w:val="18"/>
                <w:lang w:val="en-US"/>
              </w:rPr>
              <w:lastRenderedPageBreak/>
              <w:t>Safe drinking water in Romsey</w:t>
            </w:r>
          </w:p>
        </w:tc>
        <w:tc>
          <w:tcPr>
            <w:tcW w:w="1250" w:type="pct"/>
          </w:tcPr>
          <w:p w14:paraId="2DC0A7AB"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New Water Filtration Plant to provide drinking water to existing Romsey Township water network, replacing existing plant</w:t>
            </w:r>
          </w:p>
        </w:tc>
        <w:tc>
          <w:tcPr>
            <w:tcW w:w="1250" w:type="pct"/>
          </w:tcPr>
          <w:p w14:paraId="52ED136D"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Inadequate plant capacity to always meet demand. Current plant at the end of life and already unable to meet demand during high demand periods</w:t>
            </w:r>
          </w:p>
        </w:tc>
        <w:tc>
          <w:tcPr>
            <w:tcW w:w="1250" w:type="pct"/>
          </w:tcPr>
          <w:p w14:paraId="6C0F214D" w14:textId="0770A538"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27.8</w:t>
            </w:r>
            <w:r w:rsidR="00974299">
              <w:rPr>
                <w:szCs w:val="18"/>
                <w:lang w:val="en-US"/>
              </w:rPr>
              <w:t>3</w:t>
            </w:r>
          </w:p>
        </w:tc>
      </w:tr>
      <w:tr w:rsidR="004D7736" w:rsidRPr="004D7736" w14:paraId="431949B4"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4AFD509" w14:textId="77777777" w:rsidR="004D7736" w:rsidRPr="00B4244A" w:rsidRDefault="004D7736" w:rsidP="004D7736">
            <w:pPr>
              <w:rPr>
                <w:b w:val="0"/>
                <w:szCs w:val="18"/>
                <w:lang w:val="en-US"/>
              </w:rPr>
            </w:pPr>
            <w:r w:rsidRPr="00B4244A">
              <w:rPr>
                <w:b w:val="0"/>
                <w:szCs w:val="18"/>
                <w:lang w:val="en-US"/>
              </w:rPr>
              <w:t>Supporting waterway health and growth in Romsey</w:t>
            </w:r>
          </w:p>
        </w:tc>
        <w:tc>
          <w:tcPr>
            <w:tcW w:w="1250" w:type="pct"/>
          </w:tcPr>
          <w:p w14:paraId="588C790F"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Plant upgrade required to ensure compliance. New primary and secondary lagoons to be added, inlet works improvement required. </w:t>
            </w:r>
          </w:p>
          <w:p w14:paraId="200D1688"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p>
        </w:tc>
        <w:tc>
          <w:tcPr>
            <w:tcW w:w="1250" w:type="pct"/>
          </w:tcPr>
          <w:p w14:paraId="2118E6F3" w14:textId="79F66A31"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Plant has more capacity to meet growth in Romsey catchment and produces water quality sufficient to manage volumes through reuse of recycled water</w:t>
            </w:r>
          </w:p>
        </w:tc>
        <w:tc>
          <w:tcPr>
            <w:tcW w:w="1250" w:type="pct"/>
          </w:tcPr>
          <w:p w14:paraId="5360C959" w14:textId="3CB91F76"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23.</w:t>
            </w:r>
            <w:r w:rsidR="00974299">
              <w:rPr>
                <w:szCs w:val="18"/>
                <w:lang w:val="en-US"/>
              </w:rPr>
              <w:t>87</w:t>
            </w:r>
          </w:p>
        </w:tc>
      </w:tr>
    </w:tbl>
    <w:p w14:paraId="1251B702" w14:textId="77777777" w:rsidR="00043852" w:rsidRDefault="00043852" w:rsidP="006B12CD"/>
    <w:p w14:paraId="39B606A0" w14:textId="488247F9" w:rsidR="00570F6C" w:rsidRDefault="00043852" w:rsidP="006B12CD">
      <w:r w:rsidRPr="00043852">
        <w:t>Our capital expenditure program for the period 2023-24 to 2027-28 is grouped into investment portfolios that consist of the top 10 projects</w:t>
      </w:r>
      <w:r w:rsidR="00A259C0">
        <w:t xml:space="preserve"> and</w:t>
      </w:r>
      <w:r w:rsidRPr="00043852">
        <w:t xml:space="preserve"> capital work programs</w:t>
      </w:r>
      <w:r w:rsidR="007F721F">
        <w:t xml:space="preserve">. </w:t>
      </w:r>
      <w:r w:rsidR="009B3F0A">
        <w:fldChar w:fldCharType="begin"/>
      </w:r>
      <w:r w:rsidR="009B3F0A">
        <w:instrText xml:space="preserve"> REF _Ref143764657 \h </w:instrText>
      </w:r>
      <w:r w:rsidR="009B3F0A">
        <w:fldChar w:fldCharType="separate"/>
      </w:r>
      <w:r w:rsidR="003B42C6" w:rsidRPr="004D6C32">
        <w:rPr>
          <w:b/>
        </w:rPr>
        <w:t xml:space="preserve">Table </w:t>
      </w:r>
      <w:r w:rsidR="003B42C6">
        <w:rPr>
          <w:b/>
          <w:noProof/>
        </w:rPr>
        <w:t>13</w:t>
      </w:r>
      <w:r w:rsidR="009B3F0A">
        <w:fldChar w:fldCharType="end"/>
      </w:r>
      <w:r w:rsidR="009B3F0A">
        <w:t xml:space="preserve"> </w:t>
      </w:r>
      <w:r w:rsidRPr="00043852">
        <w:t>provides a summary of our major investment portfolios for the 2023-24 to 2027-28 period.</w:t>
      </w:r>
      <w:r w:rsidR="008B43E1">
        <w:t xml:space="preserve"> </w:t>
      </w:r>
    </w:p>
    <w:p w14:paraId="5E1B12A7" w14:textId="3C39A39B" w:rsidR="006B12CD" w:rsidRDefault="006B12CD" w:rsidP="006B12CD">
      <w:pPr>
        <w:pStyle w:val="Caption"/>
      </w:pPr>
      <w:bookmarkStart w:id="117" w:name="_Ref143764657"/>
      <w:r w:rsidRPr="004D6C32">
        <w:rPr>
          <w:b/>
        </w:rPr>
        <w:t xml:space="preserve">Table </w:t>
      </w:r>
      <w:r w:rsidRPr="004D6C32">
        <w:rPr>
          <w:b/>
        </w:rPr>
        <w:fldChar w:fldCharType="begin"/>
      </w:r>
      <w:r w:rsidRPr="004D6C32">
        <w:rPr>
          <w:b/>
        </w:rPr>
        <w:instrText>SEQ Table \* ARABIC</w:instrText>
      </w:r>
      <w:r w:rsidRPr="004D6C32">
        <w:rPr>
          <w:b/>
        </w:rPr>
        <w:fldChar w:fldCharType="separate"/>
      </w:r>
      <w:r w:rsidR="003B42C6">
        <w:rPr>
          <w:b/>
          <w:noProof/>
        </w:rPr>
        <w:t>13</w:t>
      </w:r>
      <w:r w:rsidRPr="004D6C32">
        <w:rPr>
          <w:b/>
        </w:rPr>
        <w:fldChar w:fldCharType="end"/>
      </w:r>
      <w:bookmarkEnd w:id="117"/>
      <w:r>
        <w:t xml:space="preserve"> Major investments by portfolio</w:t>
      </w:r>
      <w:r w:rsidR="00C842C4">
        <w:t xml:space="preserve"> </w:t>
      </w:r>
      <w:r w:rsidR="00C842C4" w:rsidRPr="00C842C4">
        <w:t xml:space="preserve">($million, 2023-24)  </w:t>
      </w:r>
      <w:r w:rsidR="00C842C4">
        <w:t xml:space="preserve"> </w:t>
      </w:r>
      <w:r>
        <w:t xml:space="preserve">  </w:t>
      </w:r>
    </w:p>
    <w:tbl>
      <w:tblPr>
        <w:tblStyle w:val="GWWDefaulttable"/>
        <w:tblW w:w="9638" w:type="dxa"/>
        <w:tblLook w:val="04A0" w:firstRow="1" w:lastRow="0" w:firstColumn="1" w:lastColumn="0" w:noHBand="0" w:noVBand="1"/>
      </w:tblPr>
      <w:tblGrid>
        <w:gridCol w:w="1701"/>
        <w:gridCol w:w="2985"/>
        <w:gridCol w:w="1757"/>
        <w:gridCol w:w="1664"/>
        <w:gridCol w:w="1531"/>
      </w:tblGrid>
      <w:tr w:rsidR="00471F74" w:rsidRPr="009F0ED4" w14:paraId="47BF467B" w14:textId="77777777" w:rsidTr="00AB3E0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FA7833C" w14:textId="77777777" w:rsidR="006B12CD" w:rsidRPr="009F0ED4" w:rsidRDefault="006B12CD" w:rsidP="009F0ED4">
            <w:r w:rsidRPr="009F0ED4">
              <w:t>Investment portfolios</w:t>
            </w:r>
          </w:p>
        </w:tc>
        <w:tc>
          <w:tcPr>
            <w:tcW w:w="2985" w:type="dxa"/>
            <w:vAlign w:val="center"/>
          </w:tcPr>
          <w:p w14:paraId="68626438" w14:textId="732AA77D" w:rsidR="006B12CD" w:rsidRPr="009F0ED4" w:rsidRDefault="006B12CD" w:rsidP="009F0ED4">
            <w:pPr>
              <w:cnfStyle w:val="100000000000" w:firstRow="1" w:lastRow="0" w:firstColumn="0" w:lastColumn="0" w:oddVBand="0" w:evenVBand="0" w:oddHBand="0" w:evenHBand="0" w:firstRowFirstColumn="0" w:firstRowLastColumn="0" w:lastRowFirstColumn="0" w:lastRowLastColumn="0"/>
            </w:pPr>
            <w:r w:rsidRPr="009F0ED4">
              <w:t xml:space="preserve">What the portfolio will deliver </w:t>
            </w:r>
            <w:r w:rsidR="00F15FA8" w:rsidRPr="009F0ED4">
              <w:t>for customers</w:t>
            </w:r>
          </w:p>
        </w:tc>
        <w:tc>
          <w:tcPr>
            <w:tcW w:w="1757" w:type="dxa"/>
            <w:vAlign w:val="center"/>
          </w:tcPr>
          <w:p w14:paraId="21ABA6DD" w14:textId="23688CEC" w:rsidR="006B12CD" w:rsidRPr="009F0ED4" w:rsidRDefault="006B12CD" w:rsidP="00AB3E0B">
            <w:pPr>
              <w:cnfStyle w:val="100000000000" w:firstRow="1" w:lastRow="0" w:firstColumn="0" w:lastColumn="0" w:oddVBand="0" w:evenVBand="0" w:oddHBand="0" w:evenHBand="0" w:firstRowFirstColumn="0" w:firstRowLastColumn="0" w:lastRowFirstColumn="0" w:lastRowLastColumn="0"/>
            </w:pPr>
            <w:r w:rsidRPr="009F0ED4">
              <w:t>Top 10 projects</w:t>
            </w:r>
          </w:p>
        </w:tc>
        <w:tc>
          <w:tcPr>
            <w:tcW w:w="1664" w:type="dxa"/>
            <w:vAlign w:val="center"/>
          </w:tcPr>
          <w:p w14:paraId="512D430D" w14:textId="2C651CC4" w:rsidR="006B12CD" w:rsidRPr="009F0ED4" w:rsidRDefault="007215DF" w:rsidP="00AB3E0B">
            <w:pPr>
              <w:cnfStyle w:val="100000000000" w:firstRow="1" w:lastRow="0" w:firstColumn="0" w:lastColumn="0" w:oddVBand="0" w:evenVBand="0" w:oddHBand="0" w:evenHBand="0" w:firstRowFirstColumn="0" w:firstRowLastColumn="0" w:lastRowFirstColumn="0" w:lastRowLastColumn="0"/>
            </w:pPr>
            <w:r w:rsidRPr="009F0ED4">
              <w:t xml:space="preserve">Remaining </w:t>
            </w:r>
            <w:r w:rsidR="00780D5B">
              <w:t>c</w:t>
            </w:r>
            <w:r w:rsidR="006B12CD" w:rsidRPr="009F0ED4">
              <w:t>apital programs</w:t>
            </w:r>
          </w:p>
        </w:tc>
        <w:tc>
          <w:tcPr>
            <w:tcW w:w="1531" w:type="dxa"/>
            <w:vAlign w:val="center"/>
          </w:tcPr>
          <w:p w14:paraId="50723099" w14:textId="1EF69DA1" w:rsidR="006B12CD" w:rsidRPr="009F0ED4" w:rsidRDefault="006B12CD" w:rsidP="00AB3E0B">
            <w:pPr>
              <w:cnfStyle w:val="100000000000" w:firstRow="1" w:lastRow="0" w:firstColumn="0" w:lastColumn="0" w:oddVBand="0" w:evenVBand="0" w:oddHBand="0" w:evenHBand="0" w:firstRowFirstColumn="0" w:firstRowLastColumn="0" w:lastRowFirstColumn="0" w:lastRowLastColumn="0"/>
            </w:pPr>
            <w:r w:rsidRPr="009F0ED4">
              <w:t>Total</w:t>
            </w:r>
          </w:p>
        </w:tc>
      </w:tr>
      <w:tr w:rsidR="00471F74" w:rsidRPr="009F0ED4" w14:paraId="08EE10D8" w14:textId="77777777" w:rsidTr="004E4FBD">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0FFFC1EA" w14:textId="402C1017" w:rsidR="006B12CD" w:rsidRPr="00963166" w:rsidRDefault="006B12CD" w:rsidP="009F0ED4">
            <w:pPr>
              <w:rPr>
                <w:b w:val="0"/>
              </w:rPr>
            </w:pPr>
            <w:r w:rsidRPr="00963166">
              <w:rPr>
                <w:b w:val="0"/>
              </w:rPr>
              <w:t xml:space="preserve">Network </w:t>
            </w:r>
            <w:r w:rsidR="115F1C4D" w:rsidRPr="00963166">
              <w:rPr>
                <w:b w:val="0"/>
              </w:rPr>
              <w:t>g</w:t>
            </w:r>
            <w:r w:rsidRPr="00963166">
              <w:rPr>
                <w:b w:val="0"/>
              </w:rPr>
              <w:t>rowth</w:t>
            </w:r>
          </w:p>
        </w:tc>
        <w:tc>
          <w:tcPr>
            <w:tcW w:w="2985" w:type="dxa"/>
          </w:tcPr>
          <w:p w14:paraId="61BEF0B1" w14:textId="2F28E418"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High</w:t>
            </w:r>
            <w:r w:rsidR="007C5C3A" w:rsidRPr="009F0ED4">
              <w:t xml:space="preserve"> growth</w:t>
            </w:r>
            <w:r w:rsidR="006E1A91" w:rsidRPr="009F0ED4">
              <w:t xml:space="preserve"> areas </w:t>
            </w:r>
            <w:r w:rsidR="007C5C3A" w:rsidRPr="009F0ED4">
              <w:t xml:space="preserve">will have the capacity in their water and sewer network </w:t>
            </w:r>
            <w:r w:rsidR="00561508" w:rsidRPr="009F0ED4">
              <w:t>that meet service standards</w:t>
            </w:r>
            <w:r w:rsidR="006B12CD" w:rsidRPr="009F0ED4">
              <w:t> </w:t>
            </w:r>
          </w:p>
        </w:tc>
        <w:tc>
          <w:tcPr>
            <w:tcW w:w="1757" w:type="dxa"/>
          </w:tcPr>
          <w:p w14:paraId="7524A976" w14:textId="066FD910" w:rsidR="006B12CD" w:rsidRPr="009F0ED4" w:rsidRDefault="008929A3"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20</w:t>
            </w:r>
            <w:r>
              <w:t>1.91</w:t>
            </w:r>
          </w:p>
        </w:tc>
        <w:tc>
          <w:tcPr>
            <w:tcW w:w="1664" w:type="dxa"/>
          </w:tcPr>
          <w:p w14:paraId="1A861B0A" w14:textId="5EB92D9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386</w:t>
            </w:r>
            <w:r w:rsidR="008929A3">
              <w:t>.10</w:t>
            </w:r>
          </w:p>
        </w:tc>
        <w:tc>
          <w:tcPr>
            <w:tcW w:w="1531" w:type="dxa"/>
          </w:tcPr>
          <w:p w14:paraId="25C81C2F" w14:textId="04C99162" w:rsidR="006B12CD" w:rsidRPr="009F0ED4" w:rsidRDefault="006B12CD" w:rsidP="004E4FBD">
            <w:pPr>
              <w:jc w:val="right"/>
              <w:cnfStyle w:val="000000000000" w:firstRow="0" w:lastRow="0" w:firstColumn="0" w:lastColumn="0" w:oddVBand="0" w:evenVBand="0" w:oddHBand="0" w:evenHBand="0" w:firstRowFirstColumn="0" w:firstRowLastColumn="0" w:lastRowFirstColumn="0" w:lastRowLastColumn="0"/>
            </w:pPr>
            <w:r w:rsidRPr="009F0ED4">
              <w:t>588</w:t>
            </w:r>
            <w:r w:rsidR="008D2428">
              <w:t>.0</w:t>
            </w:r>
          </w:p>
        </w:tc>
      </w:tr>
      <w:tr w:rsidR="00471F74" w:rsidRPr="009F0ED4" w14:paraId="3F4E0EF1" w14:textId="77777777" w:rsidTr="004E4FBD">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3008D2CF" w14:textId="77777777" w:rsidR="006B12CD" w:rsidRPr="00963166" w:rsidRDefault="006B12CD" w:rsidP="009F0ED4">
            <w:pPr>
              <w:rPr>
                <w:b w:val="0"/>
              </w:rPr>
            </w:pPr>
            <w:r w:rsidRPr="00963166">
              <w:rPr>
                <w:b w:val="0"/>
              </w:rPr>
              <w:t>Reliability</w:t>
            </w:r>
          </w:p>
        </w:tc>
        <w:tc>
          <w:tcPr>
            <w:tcW w:w="2985" w:type="dxa"/>
          </w:tcPr>
          <w:p w14:paraId="5D8C2CB5" w14:textId="63B59427"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 xml:space="preserve">Customers across GWW’s service area will have a reliable water and sewer network that meets service standards. High consequence water and sewer assets are being renewed in a sustainable way. </w:t>
            </w:r>
          </w:p>
        </w:tc>
        <w:tc>
          <w:tcPr>
            <w:tcW w:w="1757" w:type="dxa"/>
          </w:tcPr>
          <w:p w14:paraId="659C0FF7" w14:textId="2C83791A"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w:t>
            </w:r>
          </w:p>
        </w:tc>
        <w:tc>
          <w:tcPr>
            <w:tcW w:w="1664" w:type="dxa"/>
          </w:tcPr>
          <w:p w14:paraId="2F1D6C5F" w14:textId="16EB877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480</w:t>
            </w:r>
            <w:r w:rsidR="008929A3">
              <w:t>.06</w:t>
            </w:r>
          </w:p>
        </w:tc>
        <w:tc>
          <w:tcPr>
            <w:tcW w:w="1531" w:type="dxa"/>
          </w:tcPr>
          <w:p w14:paraId="16D332BC" w14:textId="01E829B1" w:rsidR="006B12CD" w:rsidRPr="009F0ED4" w:rsidRDefault="006B12CD" w:rsidP="004E4FBD">
            <w:pPr>
              <w:jc w:val="right"/>
              <w:cnfStyle w:val="000000000000" w:firstRow="0" w:lastRow="0" w:firstColumn="0" w:lastColumn="0" w:oddVBand="0" w:evenVBand="0" w:oddHBand="0" w:evenHBand="0" w:firstRowFirstColumn="0" w:firstRowLastColumn="0" w:lastRowFirstColumn="0" w:lastRowLastColumn="0"/>
            </w:pPr>
            <w:r w:rsidRPr="009F0ED4">
              <w:t>480</w:t>
            </w:r>
            <w:r w:rsidR="008D2428">
              <w:t>.06</w:t>
            </w:r>
          </w:p>
        </w:tc>
      </w:tr>
      <w:tr w:rsidR="00471F74" w:rsidRPr="009F0ED4" w14:paraId="4AD8A73D"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30A019AE" w14:textId="5494483B" w:rsidR="006B12CD" w:rsidRPr="00963166" w:rsidRDefault="006B12CD" w:rsidP="009F0ED4">
            <w:pPr>
              <w:rPr>
                <w:b w:val="0"/>
              </w:rPr>
            </w:pPr>
            <w:r w:rsidRPr="00963166">
              <w:rPr>
                <w:b w:val="0"/>
              </w:rPr>
              <w:t xml:space="preserve">Sewage and </w:t>
            </w:r>
            <w:r w:rsidR="733C3D7E" w:rsidRPr="00963166">
              <w:rPr>
                <w:b w:val="0"/>
              </w:rPr>
              <w:t>w</w:t>
            </w:r>
            <w:r w:rsidRPr="00963166">
              <w:rPr>
                <w:b w:val="0"/>
              </w:rPr>
              <w:t xml:space="preserve">ater </w:t>
            </w:r>
            <w:r w:rsidR="326EE165" w:rsidRPr="00963166">
              <w:rPr>
                <w:b w:val="0"/>
              </w:rPr>
              <w:t>t</w:t>
            </w:r>
            <w:r w:rsidRPr="00963166">
              <w:rPr>
                <w:b w:val="0"/>
              </w:rPr>
              <w:t xml:space="preserve">reatment </w:t>
            </w:r>
          </w:p>
        </w:tc>
        <w:tc>
          <w:tcPr>
            <w:tcW w:w="2985" w:type="dxa"/>
          </w:tcPr>
          <w:p w14:paraId="0905F1CB" w14:textId="000DA36B"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 xml:space="preserve">Water treatment plants have the capacity and reliability to meet customer demands. Sewer treatment plants have the capacity and reliability to </w:t>
            </w:r>
            <w:r w:rsidR="00E01FBA" w:rsidRPr="009F0ED4">
              <w:t xml:space="preserve">manage risks to environment and human health. </w:t>
            </w:r>
            <w:r w:rsidRPr="009F0ED4">
              <w:t xml:space="preserve"> </w:t>
            </w:r>
            <w:r w:rsidR="006B12CD" w:rsidRPr="009F0ED4">
              <w:t> </w:t>
            </w:r>
          </w:p>
        </w:tc>
        <w:tc>
          <w:tcPr>
            <w:tcW w:w="1757" w:type="dxa"/>
          </w:tcPr>
          <w:p w14:paraId="4419BA75" w14:textId="2072659F" w:rsidR="006B12CD" w:rsidRPr="009F0ED4" w:rsidRDefault="008929A3"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1</w:t>
            </w:r>
            <w:r>
              <w:t>39.98</w:t>
            </w:r>
          </w:p>
        </w:tc>
        <w:tc>
          <w:tcPr>
            <w:tcW w:w="1664" w:type="dxa"/>
          </w:tcPr>
          <w:p w14:paraId="2A12FFCF" w14:textId="4808E97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187</w:t>
            </w:r>
            <w:r w:rsidR="008929A3">
              <w:t>.32</w:t>
            </w:r>
          </w:p>
        </w:tc>
        <w:tc>
          <w:tcPr>
            <w:tcW w:w="1531" w:type="dxa"/>
          </w:tcPr>
          <w:p w14:paraId="35EC71DB" w14:textId="1CC0ADAF"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327</w:t>
            </w:r>
            <w:r w:rsidR="008D2428">
              <w:t>.30</w:t>
            </w:r>
          </w:p>
        </w:tc>
      </w:tr>
      <w:tr w:rsidR="00471F74" w:rsidRPr="009F0ED4" w14:paraId="0C43C695"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7494B057" w14:textId="77777777" w:rsidR="006B12CD" w:rsidRPr="00963166" w:rsidRDefault="006B12CD" w:rsidP="009F0ED4">
            <w:pPr>
              <w:rPr>
                <w:b w:val="0"/>
              </w:rPr>
            </w:pPr>
            <w:r w:rsidRPr="00963166">
              <w:rPr>
                <w:b w:val="0"/>
              </w:rPr>
              <w:lastRenderedPageBreak/>
              <w:t>Digital and customer focus</w:t>
            </w:r>
          </w:p>
        </w:tc>
        <w:tc>
          <w:tcPr>
            <w:tcW w:w="2985" w:type="dxa"/>
          </w:tcPr>
          <w:p w14:paraId="073DEA00" w14:textId="40090852" w:rsidR="006B12CD" w:rsidRPr="009F0ED4" w:rsidRDefault="006B12CD" w:rsidP="009F0ED4">
            <w:pPr>
              <w:cnfStyle w:val="000000000000" w:firstRow="0" w:lastRow="0" w:firstColumn="0" w:lastColumn="0" w:oddVBand="0" w:evenVBand="0" w:oddHBand="0" w:evenHBand="0" w:firstRowFirstColumn="0" w:firstRowLastColumn="0" w:lastRowFirstColumn="0" w:lastRowLastColumn="0"/>
            </w:pPr>
            <w:r w:rsidRPr="009F0ED4">
              <w:t>Improvements in customer experience and data security</w:t>
            </w:r>
            <w:r w:rsidR="000706C0">
              <w:t xml:space="preserve"> and</w:t>
            </w:r>
            <w:r w:rsidRPr="009F0ED4">
              <w:t> </w:t>
            </w:r>
            <w:r w:rsidR="00B414D8">
              <w:t>e</w:t>
            </w:r>
            <w:r w:rsidR="00B414D8" w:rsidRPr="00B414D8">
              <w:t>ssential digital solutions to enable core business functions.</w:t>
            </w:r>
          </w:p>
        </w:tc>
        <w:tc>
          <w:tcPr>
            <w:tcW w:w="1757" w:type="dxa"/>
          </w:tcPr>
          <w:p w14:paraId="6D46C728" w14:textId="7E1D3DEE"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37</w:t>
            </w:r>
            <w:r w:rsidR="00C84BA7">
              <w:t>.47</w:t>
            </w:r>
          </w:p>
        </w:tc>
        <w:tc>
          <w:tcPr>
            <w:tcW w:w="1664" w:type="dxa"/>
          </w:tcPr>
          <w:p w14:paraId="4F533C78" w14:textId="0C2D34E5"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129</w:t>
            </w:r>
            <w:r w:rsidR="008929A3">
              <w:t>.00</w:t>
            </w:r>
          </w:p>
        </w:tc>
        <w:tc>
          <w:tcPr>
            <w:tcW w:w="1531" w:type="dxa"/>
          </w:tcPr>
          <w:p w14:paraId="4743BA02" w14:textId="02F5CCA3"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166</w:t>
            </w:r>
            <w:r w:rsidR="008D2428">
              <w:t>.47</w:t>
            </w:r>
          </w:p>
        </w:tc>
      </w:tr>
      <w:tr w:rsidR="00471F74" w:rsidRPr="009F0ED4" w14:paraId="3BE33B4A"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1F25EC2A" w14:textId="31DE3F88" w:rsidR="006B12CD" w:rsidRPr="00963166" w:rsidRDefault="006B12CD" w:rsidP="009F0ED4">
            <w:pPr>
              <w:rPr>
                <w:b w:val="0"/>
              </w:rPr>
            </w:pPr>
            <w:r w:rsidRPr="00963166">
              <w:rPr>
                <w:b w:val="0"/>
              </w:rPr>
              <w:t xml:space="preserve">Asset </w:t>
            </w:r>
            <w:r w:rsidR="6EAACBD3" w:rsidRPr="00963166">
              <w:rPr>
                <w:b w:val="0"/>
              </w:rPr>
              <w:t>e</w:t>
            </w:r>
            <w:r w:rsidRPr="00963166">
              <w:rPr>
                <w:b w:val="0"/>
              </w:rPr>
              <w:t>cosystem</w:t>
            </w:r>
            <w:r w:rsidR="0016590F" w:rsidRPr="00963166">
              <w:rPr>
                <w:b w:val="0"/>
              </w:rPr>
              <w:t xml:space="preserve"> and monitoring</w:t>
            </w:r>
          </w:p>
        </w:tc>
        <w:tc>
          <w:tcPr>
            <w:tcW w:w="2985" w:type="dxa"/>
          </w:tcPr>
          <w:p w14:paraId="0CE1DD47" w14:textId="61E9C660" w:rsidR="006B12CD" w:rsidRPr="009F0ED4" w:rsidRDefault="0064211C" w:rsidP="009F0ED4">
            <w:pPr>
              <w:cnfStyle w:val="000000000000" w:firstRow="0" w:lastRow="0" w:firstColumn="0" w:lastColumn="0" w:oddVBand="0" w:evenVBand="0" w:oddHBand="0" w:evenHBand="0" w:firstRowFirstColumn="0" w:firstRowLastColumn="0" w:lastRowFirstColumn="0" w:lastRowLastColumn="0"/>
            </w:pPr>
            <w:r>
              <w:t xml:space="preserve">Improved communication to customers when operational issues occur. Better insight to </w:t>
            </w:r>
            <w:proofErr w:type="gramStart"/>
            <w:r>
              <w:t>more effectively target preventative maintenance programs</w:t>
            </w:r>
            <w:proofErr w:type="gramEnd"/>
            <w:r>
              <w:t>, delivering greater benefit to service reliability.</w:t>
            </w:r>
            <w:r w:rsidR="00F15FA8" w:rsidRPr="009F0ED4">
              <w:t xml:space="preserve"> </w:t>
            </w:r>
          </w:p>
        </w:tc>
        <w:tc>
          <w:tcPr>
            <w:tcW w:w="1757" w:type="dxa"/>
          </w:tcPr>
          <w:p w14:paraId="4FF2B459" w14:textId="77777777"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w:t>
            </w:r>
          </w:p>
        </w:tc>
        <w:tc>
          <w:tcPr>
            <w:tcW w:w="1664" w:type="dxa"/>
          </w:tcPr>
          <w:p w14:paraId="2CFDA615" w14:textId="067E1A74"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10</w:t>
            </w:r>
            <w:r w:rsidR="008929A3">
              <w:t>4.96</w:t>
            </w:r>
          </w:p>
        </w:tc>
        <w:tc>
          <w:tcPr>
            <w:tcW w:w="1531" w:type="dxa"/>
          </w:tcPr>
          <w:p w14:paraId="19D92EC0" w14:textId="703B7231"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10</w:t>
            </w:r>
            <w:r w:rsidR="008929A3">
              <w:t>4.96</w:t>
            </w:r>
          </w:p>
        </w:tc>
      </w:tr>
      <w:tr w:rsidR="00471F74" w:rsidRPr="009F0ED4" w14:paraId="44909DC7"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176660EC" w14:textId="77777777" w:rsidR="006B12CD" w:rsidRPr="00963166" w:rsidRDefault="006B12CD" w:rsidP="009F0ED4">
            <w:pPr>
              <w:rPr>
                <w:b w:val="0"/>
              </w:rPr>
            </w:pPr>
            <w:r w:rsidRPr="00963166">
              <w:rPr>
                <w:b w:val="0"/>
              </w:rPr>
              <w:t>Other</w:t>
            </w:r>
          </w:p>
        </w:tc>
        <w:tc>
          <w:tcPr>
            <w:tcW w:w="2985" w:type="dxa"/>
          </w:tcPr>
          <w:p w14:paraId="4DA10BCF" w14:textId="7ED72316" w:rsidR="006B12CD" w:rsidRPr="009F0ED4" w:rsidRDefault="00254755" w:rsidP="009F0ED4">
            <w:pPr>
              <w:cnfStyle w:val="000000000000" w:firstRow="0" w:lastRow="0" w:firstColumn="0" w:lastColumn="0" w:oddVBand="0" w:evenVBand="0" w:oddHBand="0" w:evenHBand="0" w:firstRowFirstColumn="0" w:firstRowLastColumn="0" w:lastRowFirstColumn="0" w:lastRowLastColumn="0"/>
            </w:pPr>
            <w:r w:rsidRPr="009B7185">
              <w:t>Improved local liveability outcomes through stormwater harvesting projects and reduced GWW GHG emissions</w:t>
            </w:r>
            <w:r>
              <w:t xml:space="preserve">. </w:t>
            </w:r>
            <w:proofErr w:type="gramStart"/>
            <w:r>
              <w:t>Plus</w:t>
            </w:r>
            <w:proofErr w:type="gramEnd"/>
            <w:r>
              <w:t xml:space="preserve"> the capitalisation of the Asset Delivery Organisation Review (ADOR) program</w:t>
            </w:r>
          </w:p>
        </w:tc>
        <w:tc>
          <w:tcPr>
            <w:tcW w:w="1757" w:type="dxa"/>
          </w:tcPr>
          <w:p w14:paraId="364EE861" w14:textId="5ADD7B59"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rsidRPr="009B7185">
              <w:t>-</w:t>
            </w:r>
          </w:p>
        </w:tc>
        <w:tc>
          <w:tcPr>
            <w:tcW w:w="1664" w:type="dxa"/>
          </w:tcPr>
          <w:p w14:paraId="0C35A576" w14:textId="0392D24A"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t>5</w:t>
            </w:r>
            <w:r w:rsidR="008929A3">
              <w:t>4.61</w:t>
            </w:r>
          </w:p>
        </w:tc>
        <w:tc>
          <w:tcPr>
            <w:tcW w:w="1531" w:type="dxa"/>
          </w:tcPr>
          <w:p w14:paraId="011959A4" w14:textId="36E439A9"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t>5</w:t>
            </w:r>
            <w:r w:rsidR="008929A3">
              <w:t>4.61</w:t>
            </w:r>
          </w:p>
        </w:tc>
      </w:tr>
    </w:tbl>
    <w:p w14:paraId="44E75935" w14:textId="77777777" w:rsidR="0044212A" w:rsidRDefault="0044212A" w:rsidP="00E92230">
      <w:pPr>
        <w:pStyle w:val="NoSpacing"/>
      </w:pPr>
    </w:p>
    <w:p w14:paraId="7C55AEDB" w14:textId="269832C2" w:rsidR="006B12CD" w:rsidRDefault="00F20E15" w:rsidP="005B69CD">
      <w:pPr>
        <w:pStyle w:val="Heading3"/>
      </w:pPr>
      <w:bookmarkStart w:id="118" w:name="_Ref146620927"/>
      <w:r>
        <w:t xml:space="preserve">Capital </w:t>
      </w:r>
      <w:proofErr w:type="gramStart"/>
      <w:r w:rsidR="00780D5B">
        <w:t>f</w:t>
      </w:r>
      <w:r>
        <w:t>orecasts</w:t>
      </w:r>
      <w:bookmarkEnd w:id="118"/>
      <w:proofErr w:type="gramEnd"/>
      <w:r>
        <w:t xml:space="preserve"> </w:t>
      </w:r>
    </w:p>
    <w:p w14:paraId="7125F6D8" w14:textId="77777777" w:rsidR="002F3918" w:rsidRDefault="002F3918" w:rsidP="002F3918">
      <w:r>
        <w:t xml:space="preserve">Projects and program costs have been based on P50 estimates prepared using: </w:t>
      </w:r>
    </w:p>
    <w:p w14:paraId="587BA0DF" w14:textId="5B12EF7B" w:rsidR="002F3918" w:rsidRDefault="002F3918">
      <w:pPr>
        <w:pStyle w:val="ListBullet"/>
        <w:numPr>
          <w:ilvl w:val="0"/>
          <w:numId w:val="69"/>
        </w:numPr>
      </w:pPr>
      <w:r>
        <w:t xml:space="preserve">unit rate tables </w:t>
      </w:r>
    </w:p>
    <w:p w14:paraId="19D77424" w14:textId="007A2052" w:rsidR="002F3918" w:rsidRDefault="002F3918">
      <w:pPr>
        <w:pStyle w:val="ListBullet"/>
        <w:numPr>
          <w:ilvl w:val="0"/>
          <w:numId w:val="69"/>
        </w:numPr>
      </w:pPr>
      <w:r>
        <w:t xml:space="preserve">past projects, first principle and supplier prices </w:t>
      </w:r>
    </w:p>
    <w:p w14:paraId="798F367B" w14:textId="3EEF91D0" w:rsidR="002F3918" w:rsidRDefault="00780D5B">
      <w:pPr>
        <w:pStyle w:val="ListBullet"/>
        <w:numPr>
          <w:ilvl w:val="0"/>
          <w:numId w:val="69"/>
        </w:numPr>
      </w:pPr>
      <w:r>
        <w:t>i</w:t>
      </w:r>
      <w:r w:rsidR="002F3918">
        <w:t xml:space="preserve">ndependent engineering consultants and contractors. </w:t>
      </w:r>
    </w:p>
    <w:p w14:paraId="062A0FBD" w14:textId="291F5FB0" w:rsidR="002F3918" w:rsidRDefault="002F3918" w:rsidP="002F3918">
      <w:r>
        <w:t>Volatility in the construction market has posed a significant challenge to all infrastructure</w:t>
      </w:r>
      <w:r w:rsidR="00780D5B">
        <w:t>-</w:t>
      </w:r>
      <w:r>
        <w:t>based organisations over the past five years. The Building Construction Index for Victoria and Heavy &amp; Civil Engineering Construction Index have had average annual increases of above 7% in the last five years. In 2023, the Building Construction Index for Victoria was 10.7% compared to CPI of 7%. Due to the current volatility in construction costs, w</w:t>
      </w:r>
      <w:r w:rsidR="00652960">
        <w:t>here we</w:t>
      </w:r>
      <w:r>
        <w:t xml:space="preserve"> have inflated future </w:t>
      </w:r>
      <w:proofErr w:type="gramStart"/>
      <w:r>
        <w:t>costs</w:t>
      </w:r>
      <w:proofErr w:type="gramEnd"/>
      <w:r w:rsidR="00FC2703">
        <w:t xml:space="preserve"> we have done so</w:t>
      </w:r>
      <w:r>
        <w:t xml:space="preserve"> using CPI, rather than the Building Construction Index. GWW will hold the risk of increases higher than CPI on behalf of our customers. </w:t>
      </w:r>
    </w:p>
    <w:p w14:paraId="16AA6D4D" w14:textId="300923C3" w:rsidR="002F3918" w:rsidRDefault="00263DFB" w:rsidP="002F3918">
      <w:r>
        <w:t>W</w:t>
      </w:r>
      <w:r w:rsidR="002F3918">
        <w:t>e have not inflated all future capital costs</w:t>
      </w:r>
      <w:r>
        <w:t xml:space="preserve">, </w:t>
      </w:r>
      <w:r w:rsidR="00861F68">
        <w:t>and</w:t>
      </w:r>
      <w:r>
        <w:t xml:space="preserve"> where we have inflated </w:t>
      </w:r>
      <w:proofErr w:type="gramStart"/>
      <w:r>
        <w:t>them</w:t>
      </w:r>
      <w:proofErr w:type="gramEnd"/>
      <w:r>
        <w:t xml:space="preserve"> </w:t>
      </w:r>
      <w:r w:rsidR="00861F68">
        <w:t xml:space="preserve">we’ve used CPI rather than the </w:t>
      </w:r>
      <w:r w:rsidR="009A7DDA">
        <w:t>construction index</w:t>
      </w:r>
      <w:r w:rsidR="002F3918">
        <w:t>. Rather, we have applied the following principles:</w:t>
      </w:r>
    </w:p>
    <w:p w14:paraId="232FD9D2" w14:textId="1C7469A2" w:rsidR="002F3918" w:rsidRDefault="002F3918">
      <w:pPr>
        <w:pStyle w:val="ListBullet"/>
        <w:numPr>
          <w:ilvl w:val="0"/>
          <w:numId w:val="68"/>
        </w:numPr>
      </w:pPr>
      <w:r>
        <w:t xml:space="preserve">Programs with an established delivery model were not adjusted for inflation even if the estimate was built using </w:t>
      </w:r>
      <w:proofErr w:type="gramStart"/>
      <w:r w:rsidR="00390EF4">
        <w:t>2022-23</w:t>
      </w:r>
      <w:r>
        <w:t xml:space="preserve"> unit</w:t>
      </w:r>
      <w:proofErr w:type="gramEnd"/>
      <w:r>
        <w:t xml:space="preserve"> rates or information.</w:t>
      </w:r>
    </w:p>
    <w:p w14:paraId="7DC425A0" w14:textId="5716451B" w:rsidR="002F3918" w:rsidRDefault="002F3918">
      <w:pPr>
        <w:pStyle w:val="ListBullet"/>
        <w:numPr>
          <w:ilvl w:val="0"/>
          <w:numId w:val="68"/>
        </w:numPr>
      </w:pPr>
      <w:r>
        <w:t>Projects under contract and in delivery not adjusted for inflation.</w:t>
      </w:r>
    </w:p>
    <w:p w14:paraId="68E4713F" w14:textId="0D799C3C" w:rsidR="002F3918" w:rsidRDefault="002F3918">
      <w:pPr>
        <w:pStyle w:val="ListBullet"/>
        <w:numPr>
          <w:ilvl w:val="0"/>
          <w:numId w:val="68"/>
        </w:numPr>
      </w:pPr>
      <w:r>
        <w:t>Cost updates later in the development of the capital plan were treated as Real $2</w:t>
      </w:r>
      <w:r w:rsidR="00780D5B">
        <w:t>02</w:t>
      </w:r>
      <w:r>
        <w:t>3</w:t>
      </w:r>
      <w:r w:rsidR="00780D5B">
        <w:t>-</w:t>
      </w:r>
      <w:r>
        <w:t>24 estimates, mainly applicable to IT investments.</w:t>
      </w:r>
    </w:p>
    <w:p w14:paraId="1ED95D1F" w14:textId="634D70EC" w:rsidR="002F3918" w:rsidRDefault="002F3918" w:rsidP="00F44825">
      <w:r>
        <w:lastRenderedPageBreak/>
        <w:t xml:space="preserve">Our non-infrastructure (IT) related capital </w:t>
      </w:r>
      <w:r w:rsidR="00A856CA">
        <w:t>expenditure</w:t>
      </w:r>
      <w:r>
        <w:t xml:space="preserve"> </w:t>
      </w:r>
      <w:r w:rsidR="00A856CA">
        <w:t>was</w:t>
      </w:r>
      <w:r>
        <w:t xml:space="preserve"> forecast using the following</w:t>
      </w:r>
      <w:r w:rsidR="00F44825">
        <w:t xml:space="preserve"> </w:t>
      </w:r>
      <w:r w:rsidR="00315626">
        <w:t>principles</w:t>
      </w:r>
      <w:r>
        <w:t>:</w:t>
      </w:r>
    </w:p>
    <w:p w14:paraId="13D642EF" w14:textId="42296825" w:rsidR="002F3918" w:rsidRDefault="002F3918">
      <w:pPr>
        <w:pStyle w:val="ListBullet"/>
        <w:numPr>
          <w:ilvl w:val="0"/>
          <w:numId w:val="68"/>
        </w:numPr>
      </w:pPr>
      <w:r>
        <w:t>The projects were first modelled into a detailed budget tracker using a bottom-up approach. Using the variables of scope, people and time, a detailed draft project cost estimate was created.</w:t>
      </w:r>
    </w:p>
    <w:p w14:paraId="1DD2880B" w14:textId="49E5F28A" w:rsidR="002F3918" w:rsidRDefault="002F3918">
      <w:pPr>
        <w:pStyle w:val="ListBullet"/>
        <w:numPr>
          <w:ilvl w:val="0"/>
          <w:numId w:val="68"/>
        </w:numPr>
      </w:pPr>
      <w:r>
        <w:t>These estimates were then validated in a series of cross-functional workshops that consisted of teams from technology and across the business, focusing on the business outcomes that were required.</w:t>
      </w:r>
      <w:r w:rsidR="00D32F3D">
        <w:t xml:space="preserve"> </w:t>
      </w:r>
      <w:r w:rsidR="00346CED">
        <w:t>W</w:t>
      </w:r>
      <w:r w:rsidR="00D32F3D">
        <w:t>orkshops considered the assumptions that needed to be factored into the estimates.</w:t>
      </w:r>
    </w:p>
    <w:p w14:paraId="40A0C0A9" w14:textId="2233246A" w:rsidR="00F20E15" w:rsidRPr="00F20E15" w:rsidRDefault="002F3918">
      <w:pPr>
        <w:pStyle w:val="ListBullet"/>
        <w:numPr>
          <w:ilvl w:val="0"/>
          <w:numId w:val="68"/>
        </w:numPr>
      </w:pPr>
      <w:r>
        <w:t xml:space="preserve">The estimates were validated through a series of further checks including using </w:t>
      </w:r>
      <w:r w:rsidR="00390EF4">
        <w:t>2022-23</w:t>
      </w:r>
      <w:r>
        <w:t xml:space="preserve"> cost baseline data for comparison and using real world costs from other water corporations who have delivered similar projects.</w:t>
      </w:r>
    </w:p>
    <w:p w14:paraId="1384E9CD" w14:textId="6D066003" w:rsidR="00F20E15" w:rsidRPr="00F20E15" w:rsidRDefault="0040672F" w:rsidP="005B69CD">
      <w:pPr>
        <w:pStyle w:val="Heading3"/>
      </w:pPr>
      <w:r>
        <w:t>Removal of u</w:t>
      </w:r>
      <w:r w:rsidR="00F20E15">
        <w:t>ncertain projects</w:t>
      </w:r>
    </w:p>
    <w:p w14:paraId="140E9748" w14:textId="63C98537" w:rsidR="00541D84" w:rsidRDefault="00541D84" w:rsidP="006B12CD">
      <w:r w:rsidRPr="00541D84">
        <w:t xml:space="preserve">Uncertain projects have been identified and excluded from upfront cost recovery in this period. This includes projects that are considered necessary but have not been fully scoped, costed and developed. We have identified large projects </w:t>
      </w:r>
      <w:r w:rsidR="003943F4">
        <w:t>that</w:t>
      </w:r>
      <w:r w:rsidRPr="00541D84">
        <w:t xml:space="preserve"> are ‘uncertain’ by the definition applied in the guidance paper and delayed these until the subsequent regulatory period to allow for better planning. GWW has adopted risk on behalf of customers by excluding these projects. If the projects become necessary within this regulatory period, we will not recover any costs until they are deemed prudent and efficient and rolled into the Regulatory Asset Base (RAB) at the end of this regulatory period.</w:t>
      </w:r>
    </w:p>
    <w:p w14:paraId="7E220F8D" w14:textId="28D25C5E" w:rsidR="006B12CD" w:rsidRDefault="006B12CD" w:rsidP="006B12CD">
      <w:r w:rsidRPr="00B42CE3">
        <w:t xml:space="preserve">These uncertain projects may still be delivered this regulatory period if their need is confirmed. </w:t>
      </w:r>
      <w:r w:rsidR="005C23E5">
        <w:fldChar w:fldCharType="begin"/>
      </w:r>
      <w:r w:rsidR="005C23E5">
        <w:instrText xml:space="preserve"> REF _Ref146029141 \h </w:instrText>
      </w:r>
      <w:r w:rsidR="005C23E5">
        <w:fldChar w:fldCharType="separate"/>
      </w:r>
      <w:r w:rsidR="003B42C6" w:rsidRPr="00C7532F">
        <w:rPr>
          <w:b/>
        </w:rPr>
        <w:t xml:space="preserve">Table </w:t>
      </w:r>
      <w:r w:rsidR="003B42C6">
        <w:rPr>
          <w:b/>
          <w:noProof/>
        </w:rPr>
        <w:t>14</w:t>
      </w:r>
      <w:r w:rsidR="005C23E5">
        <w:fldChar w:fldCharType="end"/>
      </w:r>
      <w:r w:rsidR="2474E01F">
        <w:t xml:space="preserve"> lists u</w:t>
      </w:r>
      <w:r w:rsidRPr="00B42CE3">
        <w:t xml:space="preserve">ncertain projects </w:t>
      </w:r>
      <w:r w:rsidR="00C841FD">
        <w:t>for which</w:t>
      </w:r>
      <w:r w:rsidR="00C841FD" w:rsidRPr="00B42CE3">
        <w:t xml:space="preserve"> </w:t>
      </w:r>
      <w:r w:rsidRPr="00B42CE3">
        <w:t>we will not recover revenue for this regulatory period</w:t>
      </w:r>
      <w:r w:rsidR="1D07AE3A">
        <w:t>.</w:t>
      </w:r>
    </w:p>
    <w:p w14:paraId="378D0EC0" w14:textId="06E085EC" w:rsidR="00944293" w:rsidRPr="00C725D3" w:rsidRDefault="00944293" w:rsidP="00944293">
      <w:pPr>
        <w:pStyle w:val="Caption"/>
        <w:rPr>
          <w:highlight w:val="yellow"/>
        </w:rPr>
      </w:pPr>
      <w:bookmarkStart w:id="119" w:name="_Ref146029141"/>
      <w:r w:rsidRPr="00C7532F">
        <w:rPr>
          <w:b/>
        </w:rPr>
        <w:t xml:space="preserve">Table </w:t>
      </w:r>
      <w:r w:rsidR="001F7221" w:rsidRPr="00C7532F">
        <w:rPr>
          <w:b/>
        </w:rPr>
        <w:fldChar w:fldCharType="begin"/>
      </w:r>
      <w:r w:rsidR="001F7221" w:rsidRPr="00C7532F">
        <w:rPr>
          <w:b/>
        </w:rPr>
        <w:instrText xml:space="preserve"> SEQ Table \* ARABIC </w:instrText>
      </w:r>
      <w:r w:rsidR="001F7221" w:rsidRPr="00C7532F">
        <w:rPr>
          <w:b/>
        </w:rPr>
        <w:fldChar w:fldCharType="separate"/>
      </w:r>
      <w:r w:rsidR="003B42C6">
        <w:rPr>
          <w:b/>
          <w:noProof/>
        </w:rPr>
        <w:t>14</w:t>
      </w:r>
      <w:r w:rsidR="001F7221" w:rsidRPr="00C7532F">
        <w:rPr>
          <w:b/>
        </w:rPr>
        <w:fldChar w:fldCharType="end"/>
      </w:r>
      <w:bookmarkEnd w:id="119"/>
      <w:r w:rsidR="00FD027D">
        <w:t xml:space="preserve"> Uncertain projects removed from the </w:t>
      </w:r>
      <w:r w:rsidR="00C7532F">
        <w:t>c</w:t>
      </w:r>
      <w:r w:rsidR="00FD027D">
        <w:t xml:space="preserve">apital </w:t>
      </w:r>
      <w:r w:rsidR="00C7532F">
        <w:t>p</w:t>
      </w:r>
      <w:r w:rsidR="00FD027D">
        <w:t>rogram</w:t>
      </w:r>
      <w:r w:rsidR="00892426">
        <w:t xml:space="preserve"> (</w:t>
      </w:r>
      <w:r w:rsidR="00892426" w:rsidRPr="00892426">
        <w:t>$million, 2023-24)</w:t>
      </w:r>
    </w:p>
    <w:tbl>
      <w:tblPr>
        <w:tblStyle w:val="GWWDefaulttable"/>
        <w:tblW w:w="5000" w:type="pct"/>
        <w:tblLook w:val="06A0" w:firstRow="1" w:lastRow="0" w:firstColumn="1" w:lastColumn="0" w:noHBand="1" w:noVBand="1"/>
      </w:tblPr>
      <w:tblGrid>
        <w:gridCol w:w="1551"/>
        <w:gridCol w:w="2566"/>
        <w:gridCol w:w="3757"/>
        <w:gridCol w:w="1764"/>
      </w:tblGrid>
      <w:tr w:rsidR="5526D999" w:rsidRPr="00E415E0" w14:paraId="10404ABF" w14:textId="0CF72FF7" w:rsidTr="00105C0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5" w:type="pct"/>
            <w:vAlign w:val="center"/>
          </w:tcPr>
          <w:p w14:paraId="6C2ED692" w14:textId="6CD3312F" w:rsidR="631D00FC" w:rsidRPr="00E415E0" w:rsidRDefault="631D00FC" w:rsidP="00105C02">
            <w:r w:rsidRPr="00E415E0">
              <w:t xml:space="preserve">Project </w:t>
            </w:r>
          </w:p>
        </w:tc>
        <w:tc>
          <w:tcPr>
            <w:tcW w:w="1331" w:type="pct"/>
            <w:vAlign w:val="center"/>
          </w:tcPr>
          <w:p w14:paraId="7D14D228" w14:textId="0F28E693" w:rsidR="631D00FC" w:rsidRPr="00E415E0" w:rsidRDefault="631D00FC" w:rsidP="00105C02">
            <w:pPr>
              <w:cnfStyle w:val="100000000000" w:firstRow="1" w:lastRow="0" w:firstColumn="0" w:lastColumn="0" w:oddVBand="0" w:evenVBand="0" w:oddHBand="0" w:evenHBand="0" w:firstRowFirstColumn="0" w:firstRowLastColumn="0" w:lastRowFirstColumn="0" w:lastRowLastColumn="0"/>
            </w:pPr>
            <w:r w:rsidRPr="00E415E0">
              <w:t xml:space="preserve">Scope </w:t>
            </w:r>
          </w:p>
        </w:tc>
        <w:tc>
          <w:tcPr>
            <w:tcW w:w="1949" w:type="pct"/>
            <w:vAlign w:val="center"/>
          </w:tcPr>
          <w:p w14:paraId="48F6C392" w14:textId="7B7B5662" w:rsidR="631D00FC" w:rsidRPr="00E415E0" w:rsidRDefault="631D00FC" w:rsidP="00105C02">
            <w:pPr>
              <w:cnfStyle w:val="100000000000" w:firstRow="1" w:lastRow="0" w:firstColumn="0" w:lastColumn="0" w:oddVBand="0" w:evenVBand="0" w:oddHBand="0" w:evenHBand="0" w:firstRowFirstColumn="0" w:firstRowLastColumn="0" w:lastRowFirstColumn="0" w:lastRowLastColumn="0"/>
            </w:pPr>
            <w:r w:rsidRPr="00E415E0">
              <w:t xml:space="preserve">Why we haven’t included in PS24 </w:t>
            </w:r>
          </w:p>
        </w:tc>
        <w:tc>
          <w:tcPr>
            <w:tcW w:w="916" w:type="pct"/>
            <w:vAlign w:val="center"/>
          </w:tcPr>
          <w:p w14:paraId="7AAD48A2" w14:textId="5C106C85" w:rsidR="00C10F16" w:rsidRPr="00C35B76" w:rsidRDefault="009313A2" w:rsidP="00105C02">
            <w:pPr>
              <w:cnfStyle w:val="100000000000" w:firstRow="1" w:lastRow="0" w:firstColumn="0" w:lastColumn="0" w:oddVBand="0" w:evenVBand="0" w:oddHBand="0" w:evenHBand="0" w:firstRowFirstColumn="0" w:firstRowLastColumn="0" w:lastRowFirstColumn="0" w:lastRowLastColumn="0"/>
            </w:pPr>
            <w:r>
              <w:t xml:space="preserve">Estimated order of magnitude cost </w:t>
            </w:r>
          </w:p>
        </w:tc>
      </w:tr>
      <w:tr w:rsidR="5526D999" w:rsidRPr="00E415E0" w14:paraId="4F98E285" w14:textId="74D40ADE"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5734B54F" w14:textId="0CC68751" w:rsidR="631D00FC" w:rsidRPr="00C7532F" w:rsidRDefault="631D00FC" w:rsidP="00E415E0">
            <w:pPr>
              <w:rPr>
                <w:b w:val="0"/>
              </w:rPr>
            </w:pPr>
            <w:proofErr w:type="spellStart"/>
            <w:r w:rsidRPr="00C7532F">
              <w:rPr>
                <w:b w:val="0"/>
              </w:rPr>
              <w:t>Brimbank</w:t>
            </w:r>
            <w:proofErr w:type="spellEnd"/>
            <w:r w:rsidRPr="00C7532F">
              <w:rPr>
                <w:b w:val="0"/>
              </w:rPr>
              <w:t xml:space="preserve"> Park </w:t>
            </w:r>
            <w:r w:rsidR="00780D5B" w:rsidRPr="00C7532F">
              <w:rPr>
                <w:b w:val="0"/>
              </w:rPr>
              <w:t>sewer pump station storage</w:t>
            </w:r>
            <w:r w:rsidRPr="00C7532F">
              <w:rPr>
                <w:b w:val="0"/>
              </w:rPr>
              <w:t xml:space="preserve"> </w:t>
            </w:r>
          </w:p>
        </w:tc>
        <w:tc>
          <w:tcPr>
            <w:tcW w:w="1331" w:type="pct"/>
          </w:tcPr>
          <w:p w14:paraId="7621A654" w14:textId="47C91B04"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To install underground storage at </w:t>
            </w:r>
            <w:proofErr w:type="spellStart"/>
            <w:r w:rsidRPr="00E415E0">
              <w:t>Brimbank</w:t>
            </w:r>
            <w:proofErr w:type="spellEnd"/>
            <w:r w:rsidRPr="00E415E0">
              <w:t xml:space="preserve"> Park Pump Station to support hydraulic compliance in </w:t>
            </w:r>
            <w:r w:rsidR="00223F0B" w:rsidRPr="00E415E0">
              <w:t xml:space="preserve">the </w:t>
            </w:r>
            <w:r w:rsidR="00C015D4" w:rsidRPr="00E415E0">
              <w:t xml:space="preserve">network which is currently limited by constraints </w:t>
            </w:r>
            <w:r w:rsidRPr="00E415E0">
              <w:t xml:space="preserve">in Melbourne Water’s </w:t>
            </w:r>
            <w:r w:rsidR="05B6ED18" w:rsidRPr="00E415E0">
              <w:t>(MW)</w:t>
            </w:r>
            <w:r w:rsidR="313648BE" w:rsidRPr="00E415E0">
              <w:t xml:space="preserve"> </w:t>
            </w:r>
            <w:r w:rsidRPr="00E415E0">
              <w:t xml:space="preserve">Maribyrnong River </w:t>
            </w:r>
            <w:r w:rsidR="63C82FD8" w:rsidRPr="00E415E0">
              <w:t>s</w:t>
            </w:r>
            <w:r w:rsidR="313648BE" w:rsidRPr="00E415E0">
              <w:t>ewer</w:t>
            </w:r>
            <w:r w:rsidR="65393E1E" w:rsidRPr="00E415E0">
              <w:t xml:space="preserve"> </w:t>
            </w:r>
            <w:r w:rsidR="1F08CAFC" w:rsidRPr="00E415E0">
              <w:t>m</w:t>
            </w:r>
            <w:r w:rsidRPr="00E415E0">
              <w:t xml:space="preserve">ain. </w:t>
            </w:r>
          </w:p>
        </w:tc>
        <w:tc>
          <w:tcPr>
            <w:tcW w:w="1949" w:type="pct"/>
          </w:tcPr>
          <w:p w14:paraId="0C9C221D" w14:textId="00F345DC" w:rsidR="003842BF"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GWW is working with MW to confirm the funding and delivery arrangements as the primary benefits delivered are compliance for MW.</w:t>
            </w:r>
          </w:p>
          <w:p w14:paraId="142423A8" w14:textId="13FDB138" w:rsidR="631D00FC" w:rsidRPr="00E415E0" w:rsidRDefault="003842BF" w:rsidP="00E415E0">
            <w:pPr>
              <w:cnfStyle w:val="000000000000" w:firstRow="0" w:lastRow="0" w:firstColumn="0" w:lastColumn="0" w:oddVBand="0" w:evenVBand="0" w:oddHBand="0" w:evenHBand="0" w:firstRowFirstColumn="0" w:firstRowLastColumn="0" w:lastRowFirstColumn="0" w:lastRowLastColumn="0"/>
            </w:pPr>
            <w:r w:rsidRPr="00E415E0">
              <w:t xml:space="preserve">This project will proceed in the regulatory period once the cost recovery mechanism has been confirmed. </w:t>
            </w:r>
            <w:r w:rsidR="631D00FC" w:rsidRPr="00E415E0">
              <w:t xml:space="preserve"> </w:t>
            </w:r>
          </w:p>
        </w:tc>
        <w:tc>
          <w:tcPr>
            <w:tcW w:w="916" w:type="pct"/>
          </w:tcPr>
          <w:p w14:paraId="45A104F8" w14:textId="4F033BB8" w:rsidR="00892426" w:rsidRDefault="00892426" w:rsidP="00C35B76">
            <w:pPr>
              <w:jc w:val="right"/>
              <w:cnfStyle w:val="000000000000" w:firstRow="0" w:lastRow="0" w:firstColumn="0" w:lastColumn="0" w:oddVBand="0" w:evenVBand="0" w:oddHBand="0" w:evenHBand="0" w:firstRowFirstColumn="0" w:firstRowLastColumn="0" w:lastRowFirstColumn="0" w:lastRowLastColumn="0"/>
            </w:pPr>
            <w:r>
              <w:t>11</w:t>
            </w:r>
          </w:p>
        </w:tc>
      </w:tr>
      <w:tr w:rsidR="5526D999" w:rsidRPr="00E415E0" w14:paraId="22152846" w14:textId="575089C5"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688ABAF7" w14:textId="421E1FCA" w:rsidR="631D00FC" w:rsidRPr="00C7532F" w:rsidRDefault="631D00FC" w:rsidP="00E415E0">
            <w:pPr>
              <w:rPr>
                <w:b w:val="0"/>
              </w:rPr>
            </w:pPr>
            <w:r w:rsidRPr="00C7532F">
              <w:rPr>
                <w:b w:val="0"/>
              </w:rPr>
              <w:t xml:space="preserve">Holden to Cottrell </w:t>
            </w:r>
            <w:r w:rsidR="00780D5B" w:rsidRPr="00C7532F">
              <w:rPr>
                <w:b w:val="0"/>
              </w:rPr>
              <w:t>transfer system</w:t>
            </w:r>
          </w:p>
        </w:tc>
        <w:tc>
          <w:tcPr>
            <w:tcW w:w="1331" w:type="pct"/>
          </w:tcPr>
          <w:p w14:paraId="6C01CB3F" w14:textId="77B1011F"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A </w:t>
            </w:r>
            <w:r w:rsidR="00C015D4" w:rsidRPr="00E415E0">
              <w:t>transfer system including large diameter pipelines, a pump station and tank site</w:t>
            </w:r>
            <w:r w:rsidRPr="00E415E0">
              <w:t xml:space="preserve"> that will increase the transfer capacity in </w:t>
            </w:r>
            <w:r w:rsidR="00C015D4" w:rsidRPr="00E415E0">
              <w:t xml:space="preserve">the </w:t>
            </w:r>
            <w:r w:rsidRPr="00E415E0">
              <w:t xml:space="preserve">Melton </w:t>
            </w:r>
            <w:r w:rsidR="00C015D4" w:rsidRPr="00E415E0">
              <w:t xml:space="preserve">Growth Area </w:t>
            </w:r>
            <w:r w:rsidRPr="00E415E0">
              <w:t xml:space="preserve">to meet the demands of growth. These </w:t>
            </w:r>
            <w:r w:rsidRPr="00E415E0">
              <w:lastRenderedPageBreak/>
              <w:t xml:space="preserve">assets provide </w:t>
            </w:r>
            <w:r w:rsidR="00201957" w:rsidRPr="00E415E0">
              <w:t>the required capacity and resilience to</w:t>
            </w:r>
            <w:r w:rsidRPr="00E415E0">
              <w:t xml:space="preserve"> supply t</w:t>
            </w:r>
            <w:r w:rsidR="00201957" w:rsidRPr="00E415E0">
              <w:t xml:space="preserve">he rapidly growing </w:t>
            </w:r>
            <w:r w:rsidRPr="00E415E0">
              <w:t>growth area</w:t>
            </w:r>
            <w:r w:rsidR="00201957" w:rsidRPr="00E415E0">
              <w:t>.</w:t>
            </w:r>
          </w:p>
        </w:tc>
        <w:tc>
          <w:tcPr>
            <w:tcW w:w="1949" w:type="pct"/>
          </w:tcPr>
          <w:p w14:paraId="7EC5CA27" w14:textId="1E97B829"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lastRenderedPageBreak/>
              <w:t xml:space="preserve">GWW is working with MW to confirm the accountabilities and funding mechanisms for building and operating transfer infrastructure within the Urban Growth Boundary. GWW will fund smaller growth upgrades required over the </w:t>
            </w:r>
            <w:r w:rsidR="2DE21F59" w:rsidRPr="00E415E0">
              <w:t>p</w:t>
            </w:r>
            <w:r w:rsidR="313648BE" w:rsidRPr="00E415E0">
              <w:t xml:space="preserve">rice </w:t>
            </w:r>
            <w:r w:rsidR="3191D0BE" w:rsidRPr="00E415E0">
              <w:t>s</w:t>
            </w:r>
            <w:r w:rsidR="313648BE" w:rsidRPr="00E415E0">
              <w:t xml:space="preserve">ubmission </w:t>
            </w:r>
            <w:r w:rsidR="72F0B6CB" w:rsidRPr="00E415E0">
              <w:t>p</w:t>
            </w:r>
            <w:r w:rsidRPr="00E415E0">
              <w:t xml:space="preserve">eriod to manage </w:t>
            </w:r>
            <w:r w:rsidRPr="00E415E0">
              <w:lastRenderedPageBreak/>
              <w:t xml:space="preserve">the supply risks while these accountabilities are refined. </w:t>
            </w:r>
          </w:p>
        </w:tc>
        <w:tc>
          <w:tcPr>
            <w:tcW w:w="916" w:type="pct"/>
          </w:tcPr>
          <w:p w14:paraId="23368CE9" w14:textId="3EC85672" w:rsidR="00344A0C" w:rsidRPr="00C35B76" w:rsidRDefault="00344A0C" w:rsidP="00C35B76">
            <w:pPr>
              <w:jc w:val="right"/>
              <w:cnfStyle w:val="000000000000" w:firstRow="0" w:lastRow="0" w:firstColumn="0" w:lastColumn="0" w:oddVBand="0" w:evenVBand="0" w:oddHBand="0" w:evenHBand="0" w:firstRowFirstColumn="0" w:firstRowLastColumn="0" w:lastRowFirstColumn="0" w:lastRowLastColumn="0"/>
            </w:pPr>
            <w:r w:rsidRPr="00C35B76">
              <w:lastRenderedPageBreak/>
              <w:t>&gt;100 over 10 years</w:t>
            </w:r>
          </w:p>
        </w:tc>
      </w:tr>
      <w:tr w:rsidR="5526D999" w:rsidRPr="00E415E0" w14:paraId="234F859D" w14:textId="4A446EAF"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79ED4B90" w14:textId="2DA0BE5E" w:rsidR="631D00FC" w:rsidRPr="00C7532F" w:rsidRDefault="00C10F16" w:rsidP="00E415E0">
            <w:pPr>
              <w:rPr>
                <w:b w:val="0"/>
              </w:rPr>
            </w:pPr>
            <w:r w:rsidRPr="00C7532F">
              <w:rPr>
                <w:b w:val="0"/>
                <w:bCs/>
              </w:rPr>
              <w:t>Merrimu</w:t>
            </w:r>
            <w:r w:rsidR="631D00FC" w:rsidRPr="00C7532F">
              <w:rPr>
                <w:b w:val="0"/>
              </w:rPr>
              <w:t xml:space="preserve"> Water Treatment Plant </w:t>
            </w:r>
            <w:r w:rsidR="332CB0C4" w:rsidRPr="00C7532F">
              <w:rPr>
                <w:b w:val="0"/>
              </w:rPr>
              <w:t>m</w:t>
            </w:r>
            <w:r w:rsidR="313648BE" w:rsidRPr="00C7532F">
              <w:rPr>
                <w:b w:val="0"/>
              </w:rPr>
              <w:t xml:space="preserve">ajor </w:t>
            </w:r>
            <w:r w:rsidR="44BDFAF9" w:rsidRPr="00C7532F">
              <w:rPr>
                <w:b w:val="0"/>
              </w:rPr>
              <w:t>u</w:t>
            </w:r>
            <w:r w:rsidR="631D00FC" w:rsidRPr="00C7532F">
              <w:rPr>
                <w:b w:val="0"/>
              </w:rPr>
              <w:t>pgrade</w:t>
            </w:r>
          </w:p>
        </w:tc>
        <w:tc>
          <w:tcPr>
            <w:tcW w:w="1331" w:type="pct"/>
          </w:tcPr>
          <w:p w14:paraId="5AE52B9A" w14:textId="6E063EE3"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The Merrimu Plant requires a major upgrade to increase the capacity, remove critical safety risks and improve the reliability of the plant to meet the demands of growth. </w:t>
            </w:r>
          </w:p>
        </w:tc>
        <w:tc>
          <w:tcPr>
            <w:tcW w:w="1949" w:type="pct"/>
          </w:tcPr>
          <w:p w14:paraId="06433BFB" w14:textId="1991F4F4" w:rsidR="000A4311" w:rsidRPr="000A4311" w:rsidRDefault="000A4311" w:rsidP="000A4311">
            <w:pPr>
              <w:cnfStyle w:val="000000000000" w:firstRow="0" w:lastRow="0" w:firstColumn="0" w:lastColumn="0" w:oddVBand="0" w:evenVBand="0" w:oddHBand="0" w:evenHBand="0" w:firstRowFirstColumn="0" w:firstRowLastColumn="0" w:lastRowFirstColumn="0" w:lastRowLastColumn="0"/>
            </w:pPr>
            <w:r w:rsidRPr="000A4311">
              <w:t>The Merrimu Master Plan has not been updated as there are uncertainties regarding the impacts of future supply augmentations. GWW has funded critical upgrades in this price submission ($16m</w:t>
            </w:r>
            <w:proofErr w:type="gramStart"/>
            <w:r w:rsidRPr="000A4311">
              <w:t>)</w:t>
            </w:r>
            <w:proofErr w:type="gramEnd"/>
            <w:r w:rsidRPr="000A4311">
              <w:t xml:space="preserve"> but the remaining costs of the major upgrades have been deferred until the Master Plan has been updated.  </w:t>
            </w:r>
          </w:p>
          <w:p w14:paraId="08C470AF" w14:textId="0A16116B" w:rsidR="631D00FC" w:rsidRPr="00E415E0" w:rsidRDefault="000A4311" w:rsidP="000A4311">
            <w:pPr>
              <w:cnfStyle w:val="000000000000" w:firstRow="0" w:lastRow="0" w:firstColumn="0" w:lastColumn="0" w:oddVBand="0" w:evenVBand="0" w:oddHBand="0" w:evenHBand="0" w:firstRowFirstColumn="0" w:firstRowLastColumn="0" w:lastRowFirstColumn="0" w:lastRowLastColumn="0"/>
            </w:pPr>
            <w:r w:rsidRPr="000A4311">
              <w:t xml:space="preserve">The deferral of this expenditure creates a risk to the reliability of the plant to meet customer demand. This will be managed through operational controls and prioritising </w:t>
            </w:r>
            <w:r w:rsidR="00A856CA" w:rsidRPr="00A24BC0">
              <w:t xml:space="preserve">capital </w:t>
            </w:r>
            <w:r w:rsidR="00A856CA">
              <w:t xml:space="preserve">expenditure </w:t>
            </w:r>
            <w:r w:rsidRPr="000A4311">
              <w:t>as required.</w:t>
            </w:r>
          </w:p>
        </w:tc>
        <w:tc>
          <w:tcPr>
            <w:tcW w:w="916" w:type="pct"/>
          </w:tcPr>
          <w:p w14:paraId="4EBB6944" w14:textId="1D090AE1"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t>42</w:t>
            </w:r>
          </w:p>
        </w:tc>
      </w:tr>
      <w:tr w:rsidR="5526D999" w:rsidRPr="00E415E0" w14:paraId="01927302" w14:textId="0897849C"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526E4C62" w14:textId="5AD416AA" w:rsidR="631D00FC" w:rsidRPr="00C7532F" w:rsidRDefault="631D00FC" w:rsidP="00E415E0">
            <w:pPr>
              <w:rPr>
                <w:b w:val="0"/>
              </w:rPr>
            </w:pPr>
            <w:r w:rsidRPr="00C7532F">
              <w:rPr>
                <w:b w:val="0"/>
              </w:rPr>
              <w:t xml:space="preserve">Greek Hill </w:t>
            </w:r>
            <w:r w:rsidR="00780D5B" w:rsidRPr="00C7532F">
              <w:rPr>
                <w:b w:val="0"/>
              </w:rPr>
              <w:t>water transfer system</w:t>
            </w:r>
            <w:r w:rsidRPr="00C7532F">
              <w:rPr>
                <w:b w:val="0"/>
              </w:rPr>
              <w:t xml:space="preserve">  </w:t>
            </w:r>
          </w:p>
        </w:tc>
        <w:tc>
          <w:tcPr>
            <w:tcW w:w="1331" w:type="pct"/>
          </w:tcPr>
          <w:p w14:paraId="21C41B1E" w14:textId="07CD3FBA"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A series of tanks and pump stations that will increase the transfer capacity in Wyndham to meet the demands of growth. These assets provide a secondary source of transfer supply to growth areas which will be critical to water security. </w:t>
            </w:r>
          </w:p>
        </w:tc>
        <w:tc>
          <w:tcPr>
            <w:tcW w:w="1949" w:type="pct"/>
          </w:tcPr>
          <w:p w14:paraId="17F6E63E" w14:textId="59CB17F2"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GWW is </w:t>
            </w:r>
            <w:r w:rsidR="006F7F58" w:rsidRPr="00E415E0">
              <w:t xml:space="preserve">currently leasing an underutilised Barwon Water (BW) asset to defer this capital expenditure. </w:t>
            </w:r>
            <w:r w:rsidRPr="00E415E0">
              <w:t xml:space="preserve">GWW is working </w:t>
            </w:r>
            <w:r w:rsidR="006F7F58" w:rsidRPr="00E415E0">
              <w:t>with BW and MW</w:t>
            </w:r>
            <w:r w:rsidRPr="00E415E0">
              <w:t xml:space="preserve"> to </w:t>
            </w:r>
            <w:r w:rsidR="006F7F58" w:rsidRPr="00E415E0">
              <w:t>optimise</w:t>
            </w:r>
            <w:r w:rsidRPr="00E415E0">
              <w:t xml:space="preserve"> transfer infrastructure in the region before proceeding with asset delivery</w:t>
            </w:r>
            <w:r w:rsidR="006F7F58" w:rsidRPr="00E415E0">
              <w:t xml:space="preserve"> and confirming asset ownership</w:t>
            </w:r>
            <w:r w:rsidRPr="00E415E0">
              <w:t xml:space="preserve">.  </w:t>
            </w:r>
          </w:p>
        </w:tc>
        <w:tc>
          <w:tcPr>
            <w:tcW w:w="916" w:type="pct"/>
          </w:tcPr>
          <w:p w14:paraId="00DD72C7" w14:textId="460147C4"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t>42</w:t>
            </w:r>
          </w:p>
        </w:tc>
      </w:tr>
      <w:tr w:rsidR="5526D999" w:rsidRPr="00E415E0" w14:paraId="1EB71479" w14:textId="68CADA83"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38C39C72" w14:textId="0C73496A" w:rsidR="631D00FC" w:rsidRPr="00C7532F" w:rsidRDefault="631D00FC" w:rsidP="00E415E0">
            <w:pPr>
              <w:rPr>
                <w:b w:val="0"/>
              </w:rPr>
            </w:pPr>
            <w:r w:rsidRPr="00C7532F">
              <w:rPr>
                <w:b w:val="0"/>
              </w:rPr>
              <w:t xml:space="preserve">Melton Recycled Water Treatment Plant wet weather storage and </w:t>
            </w:r>
            <w:r w:rsidR="0167338C" w:rsidRPr="00C7532F">
              <w:rPr>
                <w:b w:val="0"/>
              </w:rPr>
              <w:t>b</w:t>
            </w:r>
            <w:r w:rsidR="313648BE" w:rsidRPr="00C7532F">
              <w:rPr>
                <w:b w:val="0"/>
              </w:rPr>
              <w:t xml:space="preserve">iosolids </w:t>
            </w:r>
            <w:r w:rsidR="487CB7DC" w:rsidRPr="00C7532F">
              <w:rPr>
                <w:b w:val="0"/>
              </w:rPr>
              <w:t>s</w:t>
            </w:r>
            <w:r w:rsidR="313648BE" w:rsidRPr="00C7532F">
              <w:rPr>
                <w:b w:val="0"/>
              </w:rPr>
              <w:t xml:space="preserve">olar </w:t>
            </w:r>
            <w:r w:rsidR="5597DDF2" w:rsidRPr="00C7532F">
              <w:rPr>
                <w:b w:val="0"/>
              </w:rPr>
              <w:t>d</w:t>
            </w:r>
            <w:r w:rsidRPr="00C7532F">
              <w:rPr>
                <w:b w:val="0"/>
              </w:rPr>
              <w:t xml:space="preserve">ryer </w:t>
            </w:r>
          </w:p>
        </w:tc>
        <w:tc>
          <w:tcPr>
            <w:tcW w:w="1331" w:type="pct"/>
          </w:tcPr>
          <w:p w14:paraId="1B33D61A" w14:textId="055E6E09"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Building additional storage at the front end of the plant to protect the treatment process during storm events and building facilities to dry biosolids from several GWW plants</w:t>
            </w:r>
            <w:r w:rsidR="2E9B7584" w:rsidRPr="00E415E0">
              <w:t xml:space="preserve"> in one central location</w:t>
            </w:r>
            <w:r w:rsidRPr="00E415E0">
              <w:t xml:space="preserve">. </w:t>
            </w:r>
          </w:p>
        </w:tc>
        <w:tc>
          <w:tcPr>
            <w:tcW w:w="1949" w:type="pct"/>
          </w:tcPr>
          <w:p w14:paraId="1D1276A2" w14:textId="6D0B2104" w:rsidR="0049406B" w:rsidRPr="0049406B" w:rsidRDefault="0049406B" w:rsidP="0049406B">
            <w:pPr>
              <w:cnfStyle w:val="000000000000" w:firstRow="0" w:lastRow="0" w:firstColumn="0" w:lastColumn="0" w:oddVBand="0" w:evenVBand="0" w:oddHBand="0" w:evenHBand="0" w:firstRowFirstColumn="0" w:firstRowLastColumn="0" w:lastRowFirstColumn="0" w:lastRowLastColumn="0"/>
            </w:pPr>
            <w:r w:rsidRPr="0049406B">
              <w:t xml:space="preserve">Melton </w:t>
            </w:r>
            <w:r w:rsidR="006D3A72">
              <w:t>Recycled Water plant</w:t>
            </w:r>
            <w:r w:rsidRPr="0049406B">
              <w:t xml:space="preserve"> will receive approximately $48m in growth upgrades in addition to recurring renewals and maintenance improvements in PS24. The large upgrades include additional bioreactors, inlet works improvements, primary sedimentation tank upgrades and increases in capacity for the Class A Plant. It is not feasible to deliver any further upgrades within the regulatory period and the wet weather storage and solar dryer are not as critical to compliance. GWW is also investigating alternative technologies for biosolids management that could be deployed instead of the solar dryer.</w:t>
            </w:r>
          </w:p>
          <w:p w14:paraId="4C73821E" w14:textId="069874EB" w:rsidR="631D00FC" w:rsidRPr="00E415E0" w:rsidRDefault="0049406B" w:rsidP="0049406B">
            <w:pPr>
              <w:cnfStyle w:val="000000000000" w:firstRow="0" w:lastRow="0" w:firstColumn="0" w:lastColumn="0" w:oddVBand="0" w:evenVBand="0" w:oddHBand="0" w:evenHBand="0" w:firstRowFirstColumn="0" w:firstRowLastColumn="0" w:lastRowFirstColumn="0" w:lastRowLastColumn="0"/>
            </w:pPr>
            <w:r w:rsidRPr="0049406B">
              <w:lastRenderedPageBreak/>
              <w:t xml:space="preserve">The deferral of this expenditure creates a risk to the </w:t>
            </w:r>
            <w:proofErr w:type="gramStart"/>
            <w:r w:rsidRPr="0049406B">
              <w:t>ability  plant</w:t>
            </w:r>
            <w:proofErr w:type="gramEnd"/>
            <w:r w:rsidRPr="0049406B">
              <w:t xml:space="preserve"> to manage the volume of biosolids generated from our operations. This will be managed through operational controls and prioritising </w:t>
            </w:r>
            <w:r w:rsidR="00A856CA" w:rsidRPr="00A24BC0">
              <w:t xml:space="preserve">capital </w:t>
            </w:r>
            <w:r w:rsidR="00A856CA">
              <w:t xml:space="preserve">expenditure </w:t>
            </w:r>
            <w:r w:rsidRPr="0049406B">
              <w:t>as required.</w:t>
            </w:r>
          </w:p>
        </w:tc>
        <w:tc>
          <w:tcPr>
            <w:tcW w:w="916" w:type="pct"/>
          </w:tcPr>
          <w:p w14:paraId="3FDC3969" w14:textId="479A06C4"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lastRenderedPageBreak/>
              <w:t>29</w:t>
            </w:r>
          </w:p>
        </w:tc>
      </w:tr>
    </w:tbl>
    <w:p w14:paraId="7BBB8822" w14:textId="77777777" w:rsidR="006B12CD" w:rsidRDefault="006B12CD" w:rsidP="005B69CD">
      <w:pPr>
        <w:pStyle w:val="Heading3"/>
      </w:pPr>
      <w:r>
        <w:t xml:space="preserve">Ongoing management of our capital program </w:t>
      </w:r>
    </w:p>
    <w:p w14:paraId="6462808D" w14:textId="27C907D4" w:rsidR="006B12CD" w:rsidRDefault="006D3A72" w:rsidP="003F23EC">
      <w:r>
        <w:t>The capital plan developed for this submission represents our best view of investments for the 2023-24 to 2027-28 period. However, throughout the period we</w:t>
      </w:r>
      <w:r w:rsidR="006B12CD" w:rsidRPr="26D3BC39">
        <w:t xml:space="preserve"> will actively manage our </w:t>
      </w:r>
      <w:r w:rsidR="00A856CA" w:rsidRPr="00A24BC0">
        <w:t xml:space="preserve">capital </w:t>
      </w:r>
      <w:r w:rsidR="00A856CA">
        <w:t xml:space="preserve">expenditure </w:t>
      </w:r>
      <w:r w:rsidR="006B12CD" w:rsidRPr="26D3BC39">
        <w:t>program by regularly reviewing and reallocating resources based on our strategic priorities, risk mitigation</w:t>
      </w:r>
      <w:r w:rsidR="006B12CD" w:rsidRPr="4A2CC2AC">
        <w:t xml:space="preserve">, </w:t>
      </w:r>
      <w:r w:rsidR="006B12CD" w:rsidRPr="26D3BC39">
        <w:t xml:space="preserve">asset performance, customer </w:t>
      </w:r>
      <w:r w:rsidR="006B12CD" w:rsidRPr="2ED6AEC2">
        <w:t>priorities</w:t>
      </w:r>
      <w:r w:rsidR="006B12CD" w:rsidRPr="26D3BC39">
        <w:t xml:space="preserve"> and environmental factors. </w:t>
      </w:r>
      <w:r w:rsidR="006B12CD">
        <w:t xml:space="preserve">We will refine and embed </w:t>
      </w:r>
      <w:r w:rsidR="003960C2">
        <w:t>the</w:t>
      </w:r>
      <w:r w:rsidR="006B12CD">
        <w:t xml:space="preserve"> enterprise prioritisation </w:t>
      </w:r>
      <w:r w:rsidR="003960C2">
        <w:t xml:space="preserve">approach </w:t>
      </w:r>
      <w:r w:rsidR="006B12CD">
        <w:t xml:space="preserve">used in this price submission to support decision making in the development of the annual corporate plan and business planning. </w:t>
      </w:r>
      <w:r w:rsidR="006B12CD" w:rsidRPr="26D3BC39">
        <w:t>As part of the annual planning process</w:t>
      </w:r>
      <w:r w:rsidR="006B12CD" w:rsidRPr="2ED6AEC2">
        <w:t>,</w:t>
      </w:r>
      <w:r w:rsidR="006B12CD" w:rsidRPr="26D3BC39">
        <w:t xml:space="preserve"> we will prioritise </w:t>
      </w:r>
      <w:r w:rsidR="00A856CA" w:rsidRPr="00A24BC0">
        <w:t xml:space="preserve">capital </w:t>
      </w:r>
      <w:r w:rsidR="00A856CA">
        <w:t xml:space="preserve">expenditure </w:t>
      </w:r>
      <w:r w:rsidR="006B12CD" w:rsidRPr="26D3BC39">
        <w:t xml:space="preserve">throughout the regulatory period to ensure we </w:t>
      </w:r>
      <w:r>
        <w:t>are investing</w:t>
      </w:r>
      <w:r w:rsidR="006B12CD" w:rsidRPr="26D3BC39">
        <w:t xml:space="preserve"> in areas that will deliver the most benefit to our customers. </w:t>
      </w:r>
    </w:p>
    <w:p w14:paraId="090A394D" w14:textId="3254C538" w:rsidR="003F23EC" w:rsidRDefault="003F23EC" w:rsidP="003F23EC">
      <w:pPr>
        <w:pStyle w:val="Heading4"/>
      </w:pPr>
      <w:r>
        <w:t xml:space="preserve">Capital </w:t>
      </w:r>
      <w:r w:rsidR="004E1518">
        <w:t>p</w:t>
      </w:r>
      <w:r>
        <w:t xml:space="preserve">rogram </w:t>
      </w:r>
      <w:proofErr w:type="gramStart"/>
      <w:r w:rsidR="004E1518">
        <w:t>g</w:t>
      </w:r>
      <w:r>
        <w:t>overnance</w:t>
      </w:r>
      <w:proofErr w:type="gramEnd"/>
      <w:r>
        <w:t xml:space="preserve"> </w:t>
      </w:r>
    </w:p>
    <w:p w14:paraId="03CCEE99" w14:textId="12B6D72D" w:rsidR="00FD06E2" w:rsidRPr="00302F92" w:rsidRDefault="00FD06E2" w:rsidP="00FD06E2">
      <w:r>
        <w:t xml:space="preserve">GWW has a defined governance structure to manage capital expenditure. The Business Investment Committee (BIC), made up of the </w:t>
      </w:r>
      <w:r w:rsidR="000E7F6E">
        <w:t>executive</w:t>
      </w:r>
      <w:r w:rsidR="004F442C">
        <w:t>s</w:t>
      </w:r>
      <w:r>
        <w:t>, manage all capital expenditure within the current financial year and future years. This committee meets monthly</w:t>
      </w:r>
      <w:r w:rsidR="008B343C">
        <w:t>.</w:t>
      </w:r>
      <w:r>
        <w:t xml:space="preserve"> </w:t>
      </w:r>
      <w:r w:rsidR="008B343C">
        <w:t>I</w:t>
      </w:r>
      <w:r w:rsidRPr="00302F92">
        <w:t>ts role is to:</w:t>
      </w:r>
    </w:p>
    <w:p w14:paraId="67EA13AF" w14:textId="7A8F56DB" w:rsidR="00FD06E2" w:rsidRPr="00302F92" w:rsidRDefault="000D796A">
      <w:pPr>
        <w:pStyle w:val="ListBullet"/>
        <w:numPr>
          <w:ilvl w:val="0"/>
          <w:numId w:val="113"/>
        </w:numPr>
      </w:pPr>
      <w:r>
        <w:t>r</w:t>
      </w:r>
      <w:r w:rsidR="00FD06E2" w:rsidRPr="00302F92">
        <w:t xml:space="preserve">eview the financial performance of the </w:t>
      </w:r>
      <w:proofErr w:type="gramStart"/>
      <w:r w:rsidR="00FD06E2" w:rsidRPr="00302F92">
        <w:t>business</w:t>
      </w:r>
      <w:proofErr w:type="gramEnd"/>
    </w:p>
    <w:p w14:paraId="1A0211F2" w14:textId="0A78BD0D" w:rsidR="00FD06E2" w:rsidRPr="00302F92" w:rsidRDefault="000D796A">
      <w:pPr>
        <w:pStyle w:val="ListBullet"/>
        <w:numPr>
          <w:ilvl w:val="0"/>
          <w:numId w:val="113"/>
        </w:numPr>
      </w:pPr>
      <w:r>
        <w:t>a</w:t>
      </w:r>
      <w:r w:rsidR="00FD06E2" w:rsidRPr="00302F92">
        <w:t xml:space="preserve">ssess and endorse annual capital budgets for </w:t>
      </w:r>
      <w:r w:rsidR="00EC6634">
        <w:t xml:space="preserve">the </w:t>
      </w:r>
      <w:r w:rsidR="00E95577">
        <w:t>c</w:t>
      </w:r>
      <w:r w:rsidR="00FD06E2" w:rsidRPr="00302F92">
        <w:t xml:space="preserve">orporate </w:t>
      </w:r>
      <w:proofErr w:type="gramStart"/>
      <w:r w:rsidR="00E95577">
        <w:t>p</w:t>
      </w:r>
      <w:r w:rsidR="00FD06E2" w:rsidRPr="00302F92">
        <w:t>lan</w:t>
      </w:r>
      <w:proofErr w:type="gramEnd"/>
      <w:r w:rsidR="00FD06E2" w:rsidRPr="00302F92">
        <w:t xml:space="preserve"> </w:t>
      </w:r>
    </w:p>
    <w:p w14:paraId="5C771D92" w14:textId="0BB6748F" w:rsidR="00FD06E2" w:rsidRPr="00302731" w:rsidRDefault="000D796A">
      <w:pPr>
        <w:pStyle w:val="ListBullet"/>
        <w:numPr>
          <w:ilvl w:val="0"/>
          <w:numId w:val="113"/>
        </w:numPr>
      </w:pPr>
      <w:r>
        <w:t>r</w:t>
      </w:r>
      <w:r w:rsidR="00FD06E2" w:rsidRPr="00302F92">
        <w:t xml:space="preserve">eview and </w:t>
      </w:r>
      <w:r w:rsidR="00480536">
        <w:t xml:space="preserve">endorse </w:t>
      </w:r>
      <w:r w:rsidR="00FD06E2" w:rsidRPr="00302F92">
        <w:t xml:space="preserve">projects </w:t>
      </w:r>
      <w:r w:rsidR="00B011C5">
        <w:t>for</w:t>
      </w:r>
      <w:r w:rsidR="00FD06E2" w:rsidRPr="00302F92">
        <w:t xml:space="preserve"> </w:t>
      </w:r>
      <w:r w:rsidR="0024578D">
        <w:t>b</w:t>
      </w:r>
      <w:r w:rsidR="00FD06E2" w:rsidRPr="00AD1EFA">
        <w:t>oard approval (</w:t>
      </w:r>
      <w:r w:rsidR="00C32F53">
        <w:t xml:space="preserve">projects greater than </w:t>
      </w:r>
      <w:r w:rsidR="00FD06E2" w:rsidRPr="00AD1EFA">
        <w:t>$5</w:t>
      </w:r>
      <w:r w:rsidR="00C32F53">
        <w:t xml:space="preserve"> </w:t>
      </w:r>
      <w:r w:rsidR="00FD06E2" w:rsidRPr="00AD1EFA">
        <w:t>m</w:t>
      </w:r>
      <w:r w:rsidR="00C32F53">
        <w:t>illion</w:t>
      </w:r>
      <w:r w:rsidR="00FD06E2" w:rsidRPr="00302731">
        <w:t xml:space="preserve">). </w:t>
      </w:r>
    </w:p>
    <w:p w14:paraId="60B64DC4" w14:textId="77777777" w:rsidR="00FD06E2" w:rsidRPr="00FD06E2" w:rsidRDefault="00FD06E2" w:rsidP="00B83EE6">
      <w:r w:rsidRPr="00FD06E2">
        <w:t xml:space="preserve">BIC is supported by the Asset Management Steering Committee (AMSC). The AMSC drives the implementation of GWW’s Asset Management Policy and Asset Management Maturity and provides recommendations to BIC on the risks and priorities of infrastructure investment. </w:t>
      </w:r>
    </w:p>
    <w:p w14:paraId="4CD24F57" w14:textId="77777777" w:rsidR="00FD06E2" w:rsidRDefault="00FD06E2" w:rsidP="00FD06E2">
      <w:r w:rsidRPr="00FD06E2">
        <w:t xml:space="preserve">The BIC </w:t>
      </w:r>
      <w:r w:rsidRPr="00302F92">
        <w:t>is</w:t>
      </w:r>
      <w:r w:rsidRPr="00FD06E2">
        <w:t xml:space="preserve"> also supported by</w:t>
      </w:r>
      <w:r>
        <w:t xml:space="preserve"> the IT Project Management Office (PMO) and the Infrastructure PMO. The Infrastructure PMO has been established to support the uplift in GWW’s ADOR Program and is driving the implementation of GWW’s Portfolio Project Management Framework (PPMF).   </w:t>
      </w:r>
    </w:p>
    <w:p w14:paraId="6B71475D" w14:textId="1530077F" w:rsidR="00BE2C05" w:rsidRDefault="00B7114F" w:rsidP="00B7114F">
      <w:pPr>
        <w:pStyle w:val="Heading4"/>
      </w:pPr>
      <w:r w:rsidRPr="00B7114F">
        <w:t xml:space="preserve">Capability and </w:t>
      </w:r>
      <w:r w:rsidR="00780D5B" w:rsidRPr="00B7114F">
        <w:t>capacity building</w:t>
      </w:r>
    </w:p>
    <w:p w14:paraId="726A3569" w14:textId="08387E43" w:rsidR="002922D0" w:rsidRDefault="002922D0" w:rsidP="002922D0">
      <w:r>
        <w:t>Looking to the future, we are enhancing our asset delivery maturity and addressing pain points across the asset delivery lifecycle. The Asset Delivery Organisational Review program will enable GWW to successfully deliver current programs, while establishing the foundations to scale for future growth. To support the delivery of our capital program we are implementing:</w:t>
      </w:r>
    </w:p>
    <w:p w14:paraId="77994D7B" w14:textId="4921C524" w:rsidR="004B7AB2" w:rsidRPr="00614954" w:rsidRDefault="002922D0">
      <w:pPr>
        <w:pStyle w:val="ListBullet"/>
        <w:numPr>
          <w:ilvl w:val="0"/>
          <w:numId w:val="114"/>
        </w:numPr>
      </w:pPr>
      <w:r w:rsidRPr="00614954">
        <w:lastRenderedPageBreak/>
        <w:t xml:space="preserve">A </w:t>
      </w:r>
      <w:r w:rsidR="004B7AB2" w:rsidRPr="00614954">
        <w:rPr>
          <w:rStyle w:val="ui-provider"/>
        </w:rPr>
        <w:t>PPMF that ensures consistent standards for upfront planning and risk identification, standardises cost estimation and business case development and increases project governance requirements</w:t>
      </w:r>
      <w:r w:rsidR="004B7AB2" w:rsidRPr="00614954">
        <w:t>.</w:t>
      </w:r>
    </w:p>
    <w:p w14:paraId="02DD06BD" w14:textId="349BDD50" w:rsidR="002922D0" w:rsidRPr="00614954" w:rsidRDefault="002922D0">
      <w:pPr>
        <w:pStyle w:val="ListBullet"/>
        <w:numPr>
          <w:ilvl w:val="0"/>
          <w:numId w:val="114"/>
        </w:numPr>
      </w:pPr>
      <w:r w:rsidRPr="00614954">
        <w:t>An Infrastructure PMO with cost estimation, scheduling and risk capabilities that will support GWW to deliver its program on time and on budget.</w:t>
      </w:r>
    </w:p>
    <w:p w14:paraId="745823F3" w14:textId="7227956A" w:rsidR="002922D0" w:rsidRPr="00614954" w:rsidRDefault="002922D0">
      <w:pPr>
        <w:pStyle w:val="ListBullet"/>
        <w:numPr>
          <w:ilvl w:val="0"/>
          <w:numId w:val="114"/>
        </w:numPr>
      </w:pPr>
      <w:r w:rsidRPr="00614954">
        <w:t>A centralised Procurement function with commercial and contract capabilities that will support GWW to deliver efficiencies in procurement and comply with State Government requirements.</w:t>
      </w:r>
    </w:p>
    <w:p w14:paraId="74681052" w14:textId="739C0774" w:rsidR="002922D0" w:rsidRPr="00614954" w:rsidRDefault="002922D0">
      <w:pPr>
        <w:pStyle w:val="ListBullet"/>
        <w:numPr>
          <w:ilvl w:val="0"/>
          <w:numId w:val="114"/>
        </w:numPr>
      </w:pPr>
      <w:r w:rsidRPr="00614954">
        <w:t xml:space="preserve">A dedicated Project Feasibility function that will lead business case development and improve the service need, </w:t>
      </w:r>
      <w:proofErr w:type="gramStart"/>
      <w:r w:rsidRPr="00614954">
        <w:t>risk</w:t>
      </w:r>
      <w:proofErr w:type="gramEnd"/>
      <w:r w:rsidRPr="00614954">
        <w:t xml:space="preserve"> and options analysis in business case development.  </w:t>
      </w:r>
    </w:p>
    <w:p w14:paraId="5747120C" w14:textId="779445EB" w:rsidR="002922D0" w:rsidRPr="00614954" w:rsidRDefault="002922D0">
      <w:pPr>
        <w:pStyle w:val="ListBullet"/>
        <w:numPr>
          <w:ilvl w:val="0"/>
          <w:numId w:val="114"/>
        </w:numPr>
      </w:pPr>
      <w:r w:rsidRPr="00614954">
        <w:t xml:space="preserve">Improved project management and project leadership through training, mentoring and additional support from enabling functions such as the PMO and </w:t>
      </w:r>
      <w:r w:rsidR="00F37EAA">
        <w:t>c</w:t>
      </w:r>
      <w:r w:rsidRPr="00614954">
        <w:t>entralised procurement functions.</w:t>
      </w:r>
    </w:p>
    <w:p w14:paraId="16FFD157" w14:textId="43819E43" w:rsidR="00541D84" w:rsidRDefault="002922D0" w:rsidP="002922D0">
      <w:r>
        <w:t xml:space="preserve">These improvements are being implemented in 2023 and will be in place to drive the implementation of the </w:t>
      </w:r>
      <w:r w:rsidR="002E5392">
        <w:t xml:space="preserve">2023-24 to 2027-28 </w:t>
      </w:r>
      <w:r>
        <w:t>capital program</w:t>
      </w:r>
      <w:r w:rsidR="002E5392">
        <w:t>.</w:t>
      </w:r>
    </w:p>
    <w:p w14:paraId="14A85293" w14:textId="3B402009" w:rsidR="00286AEA" w:rsidRPr="00286AEA" w:rsidRDefault="00C637F9" w:rsidP="00286AEA">
      <w:pPr>
        <w:pStyle w:val="BoxedBullet"/>
        <w:numPr>
          <w:ilvl w:val="0"/>
          <w:numId w:val="0"/>
        </w:numPr>
        <w:ind w:left="510" w:hanging="340"/>
        <w:rPr>
          <w:b/>
          <w:bCs/>
        </w:rPr>
      </w:pPr>
      <w:r>
        <w:rPr>
          <w:b/>
          <w:bCs/>
        </w:rPr>
        <w:t xml:space="preserve">Supporting documents for </w:t>
      </w:r>
      <w:r w:rsidR="00780D5B">
        <w:rPr>
          <w:b/>
          <w:bCs/>
        </w:rPr>
        <w:t>c</w:t>
      </w:r>
      <w:r w:rsidR="00286AEA" w:rsidRPr="00286AEA">
        <w:rPr>
          <w:b/>
          <w:bCs/>
        </w:rPr>
        <w:t>apital expenditure</w:t>
      </w:r>
      <w:r>
        <w:rPr>
          <w:b/>
          <w:bCs/>
        </w:rPr>
        <w:t>:</w:t>
      </w:r>
    </w:p>
    <w:p w14:paraId="18747C1D" w14:textId="6D07760C" w:rsidR="00286AEA" w:rsidRDefault="00286AEA" w:rsidP="00286AEA">
      <w:pPr>
        <w:pStyle w:val="BoxedBullet"/>
      </w:pPr>
      <w:r>
        <w:t xml:space="preserve">Outline of </w:t>
      </w:r>
      <w:r w:rsidR="00D16510">
        <w:t xml:space="preserve">capital program </w:t>
      </w:r>
      <w:r>
        <w:t>governance approach</w:t>
      </w:r>
    </w:p>
    <w:p w14:paraId="47CA2C8B" w14:textId="36E5ED50" w:rsidR="00286AEA" w:rsidRDefault="00286AEA" w:rsidP="00286AEA">
      <w:pPr>
        <w:pStyle w:val="BoxedBullet"/>
      </w:pPr>
      <w:r>
        <w:t>Strategic Asset Management Plan</w:t>
      </w:r>
    </w:p>
    <w:p w14:paraId="321B9954" w14:textId="2DCDF12D" w:rsidR="00286AEA" w:rsidRDefault="00286AEA" w:rsidP="00286AEA">
      <w:pPr>
        <w:pStyle w:val="BoxedBullet"/>
      </w:pPr>
      <w:r>
        <w:t xml:space="preserve">Capital prioritisation final </w:t>
      </w:r>
      <w:proofErr w:type="gramStart"/>
      <w:r>
        <w:t>report</w:t>
      </w:r>
      <w:proofErr w:type="gramEnd"/>
    </w:p>
    <w:p w14:paraId="67D5F445" w14:textId="7DD422FD" w:rsidR="00286AEA" w:rsidRDefault="00695C16" w:rsidP="00286AEA">
      <w:pPr>
        <w:pStyle w:val="BoxedBullet"/>
      </w:pPr>
      <w:r>
        <w:t xml:space="preserve">Price </w:t>
      </w:r>
      <w:r w:rsidR="0057266D">
        <w:t>s</w:t>
      </w:r>
      <w:r>
        <w:t xml:space="preserve">ubmission capital </w:t>
      </w:r>
      <w:r w:rsidR="00286AEA">
        <w:t xml:space="preserve">forecast  </w:t>
      </w:r>
    </w:p>
    <w:p w14:paraId="1608E338" w14:textId="29A97C63" w:rsidR="00286AEA" w:rsidRDefault="00286AEA" w:rsidP="00286AEA">
      <w:pPr>
        <w:pStyle w:val="BoxedBullet"/>
      </w:pPr>
      <w:r>
        <w:t xml:space="preserve">Asset Delivery Organisational Review Business case </w:t>
      </w:r>
    </w:p>
    <w:p w14:paraId="6E01A140" w14:textId="6615B68F" w:rsidR="00286AEA" w:rsidRDefault="00286AEA" w:rsidP="00286AEA">
      <w:pPr>
        <w:pStyle w:val="BoxedBullet"/>
      </w:pPr>
      <w:r>
        <w:t xml:space="preserve">Top 10 major business cases </w:t>
      </w:r>
    </w:p>
    <w:p w14:paraId="0AF00819" w14:textId="772976E0" w:rsidR="00FD67D9" w:rsidRPr="00374ACC" w:rsidRDefault="00286AEA" w:rsidP="00286AEA">
      <w:pPr>
        <w:pStyle w:val="BoxedBullet"/>
      </w:pPr>
      <w:r>
        <w:t xml:space="preserve">Program justification documentation  </w:t>
      </w:r>
      <w:r w:rsidR="00FD67D9">
        <w:br w:type="page"/>
      </w:r>
    </w:p>
    <w:p w14:paraId="50E6ED10" w14:textId="6AAD06F0" w:rsidR="00787FDC" w:rsidRDefault="006A4F33" w:rsidP="001674D3">
      <w:pPr>
        <w:pStyle w:val="Heading2"/>
        <w:rPr>
          <w:rStyle w:val="tabchar"/>
        </w:rPr>
      </w:pPr>
      <w:bookmarkStart w:id="120" w:name="_Ref144757593"/>
      <w:bookmarkStart w:id="121" w:name="_Toc146004867"/>
      <w:bookmarkStart w:id="122" w:name="_Toc146004755"/>
      <w:bookmarkStart w:id="123" w:name="_Toc146746701"/>
      <w:r w:rsidRPr="00736243">
        <w:lastRenderedPageBreak/>
        <w:t>Operating expenditure</w:t>
      </w:r>
      <w:bookmarkEnd w:id="120"/>
      <w:bookmarkEnd w:id="121"/>
      <w:bookmarkEnd w:id="122"/>
      <w:bookmarkEnd w:id="123"/>
    </w:p>
    <w:p w14:paraId="1368C028" w14:textId="24B142B8" w:rsidR="00E92230" w:rsidRDefault="00DC2F11" w:rsidP="009F0ED4">
      <w:pPr>
        <w:pStyle w:val="BoxedQuoteHeading"/>
      </w:pPr>
      <w:r>
        <w:t>Summary</w:t>
      </w:r>
    </w:p>
    <w:p w14:paraId="34A08A36" w14:textId="6CFECAB0" w:rsidR="00E92230" w:rsidRDefault="00621CDC" w:rsidP="00E92230">
      <w:pPr>
        <w:pStyle w:val="BoxedBullet"/>
      </w:pPr>
      <w:r>
        <w:t>A</w:t>
      </w:r>
      <w:r w:rsidR="00A56D14" w:rsidRPr="00A56D14">
        <w:t>verage controllable operating expenditure net efficiency of 0.19% per annum over the four years (2024-25 to 2027-28)</w:t>
      </w:r>
      <w:r w:rsidR="006A5BF1">
        <w:t xml:space="preserve"> is proposed</w:t>
      </w:r>
      <w:r w:rsidR="00A56D14" w:rsidRPr="00A56D14">
        <w:t>.</w:t>
      </w:r>
    </w:p>
    <w:p w14:paraId="0DE2FEA1" w14:textId="28F3AC13" w:rsidR="00E92230" w:rsidRDefault="00243589" w:rsidP="00E92230">
      <w:pPr>
        <w:pStyle w:val="BoxedBullet"/>
      </w:pPr>
      <w:r>
        <w:t>C</w:t>
      </w:r>
      <w:r w:rsidR="00363C62" w:rsidRPr="00363C62">
        <w:t xml:space="preserve">ost per connection </w:t>
      </w:r>
      <w:r>
        <w:t xml:space="preserve">will decline </w:t>
      </w:r>
      <w:r w:rsidR="00363C62" w:rsidRPr="00363C62">
        <w:t>from $341 in 2022-23 to $</w:t>
      </w:r>
      <w:r w:rsidR="006D51B5" w:rsidRPr="00363C62">
        <w:t>31</w:t>
      </w:r>
      <w:r w:rsidR="006D51B5">
        <w:t>0</w:t>
      </w:r>
      <w:r w:rsidR="006D51B5" w:rsidRPr="00363C62">
        <w:t xml:space="preserve"> </w:t>
      </w:r>
      <w:r w:rsidR="00363C62" w:rsidRPr="00363C62">
        <w:t>in 2027-28.</w:t>
      </w:r>
    </w:p>
    <w:p w14:paraId="5652838C" w14:textId="14E922ED" w:rsidR="00243589" w:rsidRDefault="00243589" w:rsidP="00E92230">
      <w:pPr>
        <w:pStyle w:val="BoxedBullet"/>
      </w:pPr>
      <w:r w:rsidRPr="00363C62">
        <w:t>Our total four-year prudent and efficient controllable operating expenditure is $8</w:t>
      </w:r>
      <w:r>
        <w:t>76</w:t>
      </w:r>
      <w:r w:rsidRPr="00363C62">
        <w:t>.</w:t>
      </w:r>
      <w:r>
        <w:t>1</w:t>
      </w:r>
      <w:r w:rsidRPr="00363C62">
        <w:t xml:space="preserve"> million</w:t>
      </w:r>
      <w:r w:rsidR="003E7402">
        <w:t>.</w:t>
      </w:r>
    </w:p>
    <w:p w14:paraId="08A2D2E1" w14:textId="1D11C414" w:rsidR="00911610" w:rsidRDefault="00911610" w:rsidP="00E92230">
      <w:pPr>
        <w:pStyle w:val="BoxedBullet"/>
      </w:pPr>
      <w:r w:rsidRPr="00911610">
        <w:t xml:space="preserve">Total non-controllable expenditure for the four-year period is $1,644.8 million. Bulk costs to Melbourne Water for water, sewerage and recycled water make up </w:t>
      </w:r>
      <w:proofErr w:type="gramStart"/>
      <w:r w:rsidRPr="00911610">
        <w:t>the majority of</w:t>
      </w:r>
      <w:proofErr w:type="gramEnd"/>
      <w:r w:rsidRPr="00911610">
        <w:t xml:space="preserve"> this cost, accounting for 59% of total operating expenditure.</w:t>
      </w:r>
    </w:p>
    <w:p w14:paraId="3E214329" w14:textId="25BC2973" w:rsidR="00801CA8" w:rsidRDefault="00E87B0E" w:rsidP="00E415E0">
      <w:pPr>
        <w:pStyle w:val="BoxedBullet"/>
      </w:pPr>
      <w:r w:rsidRPr="00E87B0E">
        <w:t>Our total forecast prudent and efficient operating expenditure is $2,</w:t>
      </w:r>
      <w:r w:rsidR="00EC7DCC" w:rsidRPr="00E87B0E">
        <w:t>5</w:t>
      </w:r>
      <w:r w:rsidR="00EC7DCC">
        <w:t>20</w:t>
      </w:r>
      <w:r w:rsidRPr="00E87B0E">
        <w:t>.</w:t>
      </w:r>
      <w:r w:rsidR="00EC7DCC">
        <w:t>9</w:t>
      </w:r>
      <w:r w:rsidRPr="00E87B0E">
        <w:t xml:space="preserve"> million over four years, which is an average of $63</w:t>
      </w:r>
      <w:r w:rsidR="00E937FE">
        <w:t>0</w:t>
      </w:r>
      <w:r w:rsidRPr="00E87B0E">
        <w:t>.</w:t>
      </w:r>
      <w:r w:rsidR="00E937FE">
        <w:t>2</w:t>
      </w:r>
      <w:r w:rsidR="00E937FE" w:rsidRPr="00E87B0E">
        <w:t xml:space="preserve"> </w:t>
      </w:r>
      <w:r w:rsidRPr="00E87B0E">
        <w:t>million per year.</w:t>
      </w:r>
    </w:p>
    <w:p w14:paraId="1FE10422" w14:textId="4B1EB8CC" w:rsidR="008C1EB2" w:rsidRDefault="008C1EB2" w:rsidP="008C1EB2">
      <w:r>
        <w:t xml:space="preserve">The integration of CWW and WW has fundamentally changed our operating circumstances and our operating expenditure. Integrating the two businesses has presented </w:t>
      </w:r>
      <w:proofErr w:type="gramStart"/>
      <w:r>
        <w:t>a number of</w:t>
      </w:r>
      <w:proofErr w:type="gramEnd"/>
      <w:r>
        <w:t xml:space="preserve"> scale and scope challenges due to </w:t>
      </w:r>
      <w:r w:rsidR="00825002">
        <w:t>system</w:t>
      </w:r>
      <w:r>
        <w:t xml:space="preserve"> complexity and the need to </w:t>
      </w:r>
      <w:r w:rsidR="00CC418E">
        <w:t>continue delivery of</w:t>
      </w:r>
      <w:r>
        <w:t xml:space="preserve"> efficient and sustainable water management and service provision.</w:t>
      </w:r>
      <w:r w:rsidR="001C3326">
        <w:t xml:space="preserve"> </w:t>
      </w:r>
      <w:r w:rsidR="005E7577">
        <w:fldChar w:fldCharType="begin"/>
      </w:r>
      <w:r w:rsidR="005E7577">
        <w:instrText xml:space="preserve"> REF _Ref145922772 \n \h </w:instrText>
      </w:r>
      <w:r w:rsidR="0069425C">
        <w:fldChar w:fldCharType="separate"/>
      </w:r>
      <w:r w:rsidR="005E7577">
        <w:fldChar w:fldCharType="end"/>
      </w:r>
      <w:r w:rsidR="00DA39C3">
        <w:t xml:space="preserve">Appendix H </w:t>
      </w:r>
      <w:r w:rsidR="001C3326">
        <w:t xml:space="preserve">includes detailed </w:t>
      </w:r>
      <w:r w:rsidR="005E7577">
        <w:t xml:space="preserve">information to support this </w:t>
      </w:r>
      <w:r w:rsidR="003F7672">
        <w:t>section</w:t>
      </w:r>
      <w:r w:rsidR="005E7577">
        <w:t xml:space="preserve">. </w:t>
      </w:r>
      <w:r>
        <w:t xml:space="preserve"> </w:t>
      </w:r>
    </w:p>
    <w:p w14:paraId="1668460D" w14:textId="54AD94C6" w:rsidR="008C1EB2" w:rsidRDefault="008C1EB2" w:rsidP="008C1EB2">
      <w:r>
        <w:t>In addition to costs associated with addressing these challenges and administering the long-term integration, we have had to manage the short-term operational cost impacts of the integration within the revenue allowances approved by the ESC in the CWW 2018 and WW 2020 price reviews. We have successfully absorb</w:t>
      </w:r>
      <w:r w:rsidR="002D51B6">
        <w:t>ed</w:t>
      </w:r>
      <w:r>
        <w:t xml:space="preserve"> these costs on behalf of our customers during the current regulatory period, and customers previously served by WW have paid considerably less than they would have without integration. </w:t>
      </w:r>
    </w:p>
    <w:p w14:paraId="0599FB5E" w14:textId="1EE79763" w:rsidR="00A26F15" w:rsidRDefault="001E5D53" w:rsidP="008C1EB2">
      <w:r>
        <w:t xml:space="preserve">With </w:t>
      </w:r>
      <w:proofErr w:type="gramStart"/>
      <w:r>
        <w:t>the majority of</w:t>
      </w:r>
      <w:proofErr w:type="gramEnd"/>
      <w:r>
        <w:t xml:space="preserve"> the costs related to integration behind us, we are now moving into a period of streamlining and refining our operations to deliver more benefits </w:t>
      </w:r>
      <w:r w:rsidR="00F34008">
        <w:t>to our customers. We are proposing an annual average efficiency of 3</w:t>
      </w:r>
      <w:r w:rsidR="003A4EA7">
        <w:t>%</w:t>
      </w:r>
      <w:r w:rsidR="00C84B8F">
        <w:t xml:space="preserve"> on controllable operating expenditure</w:t>
      </w:r>
      <w:r w:rsidR="00C22FA9">
        <w:t xml:space="preserve">, made up of efficiencies from integration, business transformation and economies of scale and scope. </w:t>
      </w:r>
      <w:r w:rsidR="003367BA">
        <w:t>This equate</w:t>
      </w:r>
      <w:r w:rsidR="00A3488B">
        <w:t xml:space="preserve">s to a net efficiency of 0.19% per annum. </w:t>
      </w:r>
    </w:p>
    <w:p w14:paraId="39540EF4" w14:textId="0C8A25CF" w:rsidR="008C1EB2" w:rsidRDefault="003A4EA7" w:rsidP="008C1EB2">
      <w:r>
        <w:t xml:space="preserve">Changes to our </w:t>
      </w:r>
      <w:r w:rsidR="008C1EB2">
        <w:t xml:space="preserve">operating expenditure over the current regulatory period (2018-19 to 2022-23) and our forecasts for </w:t>
      </w:r>
      <w:r w:rsidR="0034011B">
        <w:t xml:space="preserve">the </w:t>
      </w:r>
      <w:r w:rsidR="008C1EB2">
        <w:t xml:space="preserve">next regulatory period </w:t>
      </w:r>
      <w:r w:rsidR="009B779D">
        <w:t>are</w:t>
      </w:r>
      <w:r w:rsidR="008C1EB2">
        <w:t xml:space="preserve"> driven by four broad programs of work: </w:t>
      </w:r>
    </w:p>
    <w:p w14:paraId="68CE8340" w14:textId="7A67CD00" w:rsidR="008C1EB2" w:rsidRDefault="008C1EB2">
      <w:pPr>
        <w:pStyle w:val="ListBullet"/>
        <w:numPr>
          <w:ilvl w:val="0"/>
          <w:numId w:val="115"/>
        </w:numPr>
      </w:pPr>
      <w:r>
        <w:rPr>
          <w:b/>
        </w:rPr>
        <w:t xml:space="preserve">Costs associated with </w:t>
      </w:r>
      <w:r w:rsidRPr="00E02796">
        <w:rPr>
          <w:b/>
          <w:bCs/>
        </w:rPr>
        <w:t>integrat</w:t>
      </w:r>
      <w:r w:rsidR="00246968">
        <w:rPr>
          <w:b/>
          <w:bCs/>
        </w:rPr>
        <w:t>ing</w:t>
      </w:r>
      <w:r>
        <w:rPr>
          <w:b/>
          <w:bCs/>
        </w:rPr>
        <w:t xml:space="preserve"> CWW and WW:</w:t>
      </w:r>
      <w:r>
        <w:t xml:space="preserve"> These are the core operating costs needed to consolidate the systems, </w:t>
      </w:r>
      <w:proofErr w:type="gramStart"/>
      <w:r>
        <w:t>people</w:t>
      </w:r>
      <w:proofErr w:type="gramEnd"/>
      <w:r>
        <w:t xml:space="preserve"> and processes of the two entities to delivery </w:t>
      </w:r>
      <w:r w:rsidRPr="00590FBF">
        <w:t xml:space="preserve">integration </w:t>
      </w:r>
      <w:r w:rsidR="00622FE2">
        <w:t xml:space="preserve">and </w:t>
      </w:r>
      <w:r>
        <w:t>maintain CWW</w:t>
      </w:r>
      <w:r w:rsidR="009E515C">
        <w:t>’</w:t>
      </w:r>
      <w:r>
        <w:t>s and WW</w:t>
      </w:r>
      <w:r w:rsidR="009E515C">
        <w:t>’</w:t>
      </w:r>
      <w:r>
        <w:t>s level of service and water security.</w:t>
      </w:r>
    </w:p>
    <w:p w14:paraId="558E1B92" w14:textId="77777777" w:rsidR="008C1EB2" w:rsidRDefault="008C1EB2">
      <w:pPr>
        <w:pStyle w:val="ListBullet"/>
        <w:numPr>
          <w:ilvl w:val="0"/>
          <w:numId w:val="115"/>
        </w:numPr>
      </w:pPr>
      <w:r>
        <w:rPr>
          <w:b/>
          <w:bCs/>
        </w:rPr>
        <w:t>Costs associated with adding value and t</w:t>
      </w:r>
      <w:r w:rsidRPr="00590FBF">
        <w:rPr>
          <w:b/>
          <w:bCs/>
        </w:rPr>
        <w:t>ransform</w:t>
      </w:r>
      <w:r>
        <w:rPr>
          <w:b/>
          <w:bCs/>
        </w:rPr>
        <w:t>ing our operating expenditure</w:t>
      </w:r>
      <w:r w:rsidRPr="00590FBF">
        <w:rPr>
          <w:b/>
          <w:bCs/>
        </w:rPr>
        <w:t xml:space="preserve"> programs:</w:t>
      </w:r>
      <w:r>
        <w:t xml:space="preserve"> integration provides a unique opportunity to transform our business to deliver services differently and meet legislative and regulatory requirements more efficiently, for example:</w:t>
      </w:r>
    </w:p>
    <w:p w14:paraId="47C48A67" w14:textId="36E5044C" w:rsidR="00AF76F6" w:rsidRDefault="00F052B9">
      <w:pPr>
        <w:pStyle w:val="ListBullet2"/>
        <w:numPr>
          <w:ilvl w:val="1"/>
          <w:numId w:val="115"/>
        </w:numPr>
      </w:pPr>
      <w:r>
        <w:t>i</w:t>
      </w:r>
      <w:r w:rsidR="00AF76F6">
        <w:t xml:space="preserve">ncreased investment in </w:t>
      </w:r>
      <w:r w:rsidR="00AF76F6" w:rsidRPr="56353EB9">
        <w:rPr>
          <w:b/>
        </w:rPr>
        <w:t>safety</w:t>
      </w:r>
      <w:r w:rsidR="00AF76F6">
        <w:t xml:space="preserve"> transformation program </w:t>
      </w:r>
      <w:r w:rsidR="169BD7DD">
        <w:t>and systems and processes</w:t>
      </w:r>
      <w:r w:rsidR="00AF76F6">
        <w:t xml:space="preserve"> </w:t>
      </w:r>
      <w:r w:rsidR="54B832BE">
        <w:t xml:space="preserve">to support </w:t>
      </w:r>
      <w:r w:rsidR="00AF76F6">
        <w:t>our people in the field</w:t>
      </w:r>
      <w:r w:rsidR="1F91B88B">
        <w:t xml:space="preserve">, which was </w:t>
      </w:r>
      <w:r w:rsidR="00AF76F6">
        <w:t>identified as a key risk through the integration program</w:t>
      </w:r>
      <w:r w:rsidR="00E54C71">
        <w:t>.</w:t>
      </w:r>
    </w:p>
    <w:p w14:paraId="59FE6D81" w14:textId="65EAC492" w:rsidR="00AF76F6" w:rsidRDefault="3E1FD3BF">
      <w:pPr>
        <w:pStyle w:val="ListBullet2"/>
        <w:numPr>
          <w:ilvl w:val="1"/>
          <w:numId w:val="115"/>
        </w:numPr>
      </w:pPr>
      <w:r>
        <w:lastRenderedPageBreak/>
        <w:t>transforming</w:t>
      </w:r>
      <w:r w:rsidR="00AF76F6">
        <w:t xml:space="preserve"> </w:t>
      </w:r>
      <w:r w:rsidR="00AF76F6" w:rsidRPr="56353EB9">
        <w:rPr>
          <w:b/>
        </w:rPr>
        <w:t>customer services</w:t>
      </w:r>
      <w:r w:rsidR="00AF76F6">
        <w:t xml:space="preserve"> through COVID</w:t>
      </w:r>
      <w:r w:rsidR="003907E5">
        <w:t xml:space="preserve">-19 </w:t>
      </w:r>
      <w:r w:rsidR="00856A92">
        <w:t>pandemic</w:t>
      </w:r>
      <w:r w:rsidR="00E54C71">
        <w:t xml:space="preserve"> </w:t>
      </w:r>
      <w:r w:rsidR="00AF76F6">
        <w:t xml:space="preserve">and as we transform service delivery </w:t>
      </w:r>
      <w:r w:rsidR="00FD67D9">
        <w:t>to increase digital transactions.</w:t>
      </w:r>
    </w:p>
    <w:p w14:paraId="10BBD0C6" w14:textId="0A68E6A6" w:rsidR="00AF76F6" w:rsidRDefault="03BFF3E5">
      <w:pPr>
        <w:pStyle w:val="ListBullet2"/>
        <w:numPr>
          <w:ilvl w:val="1"/>
          <w:numId w:val="115"/>
        </w:numPr>
      </w:pPr>
      <w:r>
        <w:t>m</w:t>
      </w:r>
      <w:r w:rsidR="00AF76F6">
        <w:t xml:space="preserve">aintaining, </w:t>
      </w:r>
      <w:proofErr w:type="gramStart"/>
      <w:r w:rsidR="00AF76F6">
        <w:t>transforming</w:t>
      </w:r>
      <w:proofErr w:type="gramEnd"/>
      <w:r w:rsidR="00AF76F6">
        <w:t xml:space="preserve"> and optimising our </w:t>
      </w:r>
      <w:r w:rsidR="00AF76F6" w:rsidRPr="00E1444D">
        <w:rPr>
          <w:bCs/>
        </w:rPr>
        <w:t xml:space="preserve">asset </w:t>
      </w:r>
      <w:r w:rsidR="00B52728" w:rsidRPr="00E1444D">
        <w:rPr>
          <w:bCs/>
        </w:rPr>
        <w:t>delivery</w:t>
      </w:r>
      <w:r w:rsidR="00B52728">
        <w:rPr>
          <w:b/>
        </w:rPr>
        <w:t xml:space="preserve"> </w:t>
      </w:r>
      <w:r w:rsidR="00AF76F6">
        <w:t>processes (</w:t>
      </w:r>
      <w:r w:rsidR="004E1500" w:rsidRPr="004E1500">
        <w:t>Asset Delivery Organisational Review</w:t>
      </w:r>
      <w:r w:rsidR="00AF76F6">
        <w:t xml:space="preserve">) </w:t>
      </w:r>
      <w:r w:rsidR="00FD67D9">
        <w:t>to lower long</w:t>
      </w:r>
      <w:r w:rsidR="00A62DFA">
        <w:t>-</w:t>
      </w:r>
      <w:r w:rsidR="00FD67D9">
        <w:t xml:space="preserve">term operating costs. </w:t>
      </w:r>
      <w:r w:rsidR="00AF76F6">
        <w:t xml:space="preserve"> </w:t>
      </w:r>
    </w:p>
    <w:p w14:paraId="1044E66B" w14:textId="2F51D131" w:rsidR="00AF76F6" w:rsidRDefault="7E8D0545">
      <w:pPr>
        <w:pStyle w:val="ListBullet2"/>
        <w:numPr>
          <w:ilvl w:val="1"/>
          <w:numId w:val="115"/>
        </w:numPr>
      </w:pPr>
      <w:r>
        <w:t>exploring</w:t>
      </w:r>
      <w:r w:rsidR="00AF76F6">
        <w:t xml:space="preserve"> long</w:t>
      </w:r>
      <w:r w:rsidR="2C5CC679">
        <w:t>-</w:t>
      </w:r>
      <w:r w:rsidR="00AF76F6">
        <w:t xml:space="preserve">term solutions to manage </w:t>
      </w:r>
      <w:r w:rsidR="00AF76F6" w:rsidRPr="00590FBF">
        <w:rPr>
          <w:b/>
          <w:bCs/>
        </w:rPr>
        <w:t>compliance</w:t>
      </w:r>
      <w:r w:rsidR="00AF76F6">
        <w:t xml:space="preserve"> with our EPA licence and Drinking Water Standards</w:t>
      </w:r>
    </w:p>
    <w:p w14:paraId="3E4849F9" w14:textId="77777777" w:rsidR="00AF76F6" w:rsidRDefault="63115710">
      <w:pPr>
        <w:pStyle w:val="ListBullet2"/>
        <w:numPr>
          <w:ilvl w:val="1"/>
          <w:numId w:val="115"/>
        </w:numPr>
      </w:pPr>
      <w:r>
        <w:t>s</w:t>
      </w:r>
      <w:r w:rsidR="00AF76F6">
        <w:t xml:space="preserve">treamlining key </w:t>
      </w:r>
      <w:r w:rsidR="00AF76F6" w:rsidRPr="6EFC8998">
        <w:rPr>
          <w:b/>
        </w:rPr>
        <w:t>corporate functions</w:t>
      </w:r>
      <w:r w:rsidR="00AF76F6">
        <w:t xml:space="preserve"> to the new business model. </w:t>
      </w:r>
    </w:p>
    <w:p w14:paraId="764AAAA6" w14:textId="77777777" w:rsidR="008C1EB2" w:rsidRPr="00590FBF" w:rsidRDefault="008C1EB2">
      <w:pPr>
        <w:pStyle w:val="ListBullet"/>
        <w:numPr>
          <w:ilvl w:val="0"/>
          <w:numId w:val="115"/>
        </w:numPr>
      </w:pPr>
      <w:r w:rsidRPr="00590FBF">
        <w:rPr>
          <w:b/>
          <w:bCs/>
        </w:rPr>
        <w:t xml:space="preserve">Changes </w:t>
      </w:r>
      <w:r>
        <w:rPr>
          <w:b/>
          <w:bCs/>
        </w:rPr>
        <w:t>in</w:t>
      </w:r>
      <w:r w:rsidRPr="00590FBF">
        <w:rPr>
          <w:b/>
          <w:bCs/>
        </w:rPr>
        <w:t xml:space="preserve"> obligations:</w:t>
      </w:r>
      <w:r>
        <w:t xml:space="preserve"> these are costs that are not directly related to integration and are due to regulatory, policy and legislative changes.</w:t>
      </w:r>
    </w:p>
    <w:p w14:paraId="2981904D" w14:textId="17CDFEBC" w:rsidR="008C1EB2" w:rsidRPr="00514170" w:rsidRDefault="00EA0B91">
      <w:pPr>
        <w:pStyle w:val="ListBullet"/>
        <w:numPr>
          <w:ilvl w:val="0"/>
          <w:numId w:val="115"/>
        </w:numPr>
        <w:rPr>
          <w:b/>
        </w:rPr>
      </w:pPr>
      <w:r w:rsidRPr="00E906E3">
        <w:rPr>
          <w:b/>
        </w:rPr>
        <w:t>External</w:t>
      </w:r>
      <w:r w:rsidR="008C1EB2">
        <w:rPr>
          <w:b/>
        </w:rPr>
        <w:t xml:space="preserve"> cost drivers:</w:t>
      </w:r>
      <w:r w:rsidR="008C1EB2" w:rsidRPr="009E44A4">
        <w:rPr>
          <w:bCs/>
        </w:rPr>
        <w:t xml:space="preserve"> </w:t>
      </w:r>
      <w:r w:rsidR="008C1EB2">
        <w:rPr>
          <w:bCs/>
        </w:rPr>
        <w:t xml:space="preserve">these are costs that are not directly related to integration but are driven by </w:t>
      </w:r>
      <w:r w:rsidR="008C1EB2" w:rsidRPr="00EC6621">
        <w:rPr>
          <w:bCs/>
        </w:rPr>
        <w:t>c</w:t>
      </w:r>
      <w:r w:rsidR="008C1EB2">
        <w:rPr>
          <w:bCs/>
        </w:rPr>
        <w:t xml:space="preserve">hanges in our </w:t>
      </w:r>
      <w:r w:rsidR="008C1EB2" w:rsidRPr="00590FBF">
        <w:rPr>
          <w:bCs/>
        </w:rPr>
        <w:t>external</w:t>
      </w:r>
      <w:r w:rsidR="008C1EB2" w:rsidRPr="00590FBF">
        <w:t xml:space="preserve"> operating environment</w:t>
      </w:r>
      <w:r w:rsidR="008C1EB2">
        <w:t xml:space="preserve"> that have resulted in additional costs across operations and maintenance, </w:t>
      </w:r>
      <w:proofErr w:type="gramStart"/>
      <w:r w:rsidR="008C1EB2">
        <w:t>IT</w:t>
      </w:r>
      <w:proofErr w:type="gramEnd"/>
      <w:r w:rsidR="008C1EB2">
        <w:t xml:space="preserve"> and energy.</w:t>
      </w:r>
    </w:p>
    <w:p w14:paraId="48A891C3" w14:textId="2A8DD934" w:rsidR="00E906E3" w:rsidRDefault="00E906E3" w:rsidP="00E92230">
      <w:r>
        <w:t>We are using the skills and resources gained during integration to deliver a transformational program that will realise operating expenditure efficiencies through this price period and into the next.</w:t>
      </w:r>
    </w:p>
    <w:p w14:paraId="3DBE9B83" w14:textId="19037C71" w:rsidR="008C1EB2" w:rsidRDefault="008C1EB2" w:rsidP="00E92230">
      <w:r>
        <w:t xml:space="preserve">This </w:t>
      </w:r>
      <w:r w:rsidR="003F7672">
        <w:t>section</w:t>
      </w:r>
      <w:r>
        <w:t xml:space="preserve"> sets out our current period performance, base year expenditure, proposed operating efficiency, step changes and non-controllable forecasts based on these four key program drivers.</w:t>
      </w:r>
    </w:p>
    <w:p w14:paraId="037D2AD2" w14:textId="04F951C0" w:rsidR="002C66B8" w:rsidRDefault="00DD4D45" w:rsidP="00E92230">
      <w:pPr>
        <w:rPr>
          <w:rFonts w:ascii="Verdana" w:eastAsia="Times New Roman" w:hAnsi="Verdana" w:cs="Segoe UI"/>
          <w:color w:val="222222"/>
          <w:spacing w:val="0"/>
          <w:shd w:val="clear" w:color="auto" w:fill="FFFFFF"/>
          <w:lang w:eastAsia="en-AU"/>
        </w:rPr>
      </w:pPr>
      <w:r>
        <w:rPr>
          <w:rFonts w:ascii="Verdana" w:eastAsia="Times New Roman" w:hAnsi="Verdana" w:cs="Segoe UI"/>
          <w:color w:val="222222"/>
          <w:spacing w:val="0"/>
          <w:shd w:val="clear" w:color="auto" w:fill="FFFFFF"/>
          <w:lang w:eastAsia="en-AU"/>
        </w:rPr>
        <w:t>T</w:t>
      </w:r>
      <w:r w:rsidR="004B4640" w:rsidRPr="00EC3D98">
        <w:rPr>
          <w:rFonts w:ascii="Verdana" w:eastAsia="Times New Roman" w:hAnsi="Verdana" w:cs="Segoe UI"/>
          <w:color w:val="222222"/>
          <w:spacing w:val="0"/>
          <w:shd w:val="clear" w:color="auto" w:fill="FFFFFF"/>
          <w:lang w:eastAsia="en-AU"/>
        </w:rPr>
        <w:t xml:space="preserve">his </w:t>
      </w:r>
      <w:r w:rsidR="003F7672">
        <w:rPr>
          <w:rFonts w:ascii="Verdana" w:eastAsia="Times New Roman" w:hAnsi="Verdana" w:cs="Segoe UI"/>
          <w:color w:val="222222"/>
          <w:spacing w:val="0"/>
          <w:shd w:val="clear" w:color="auto" w:fill="FFFFFF"/>
          <w:lang w:eastAsia="en-AU"/>
        </w:rPr>
        <w:t>section</w:t>
      </w:r>
      <w:r w:rsidR="004B4640" w:rsidRPr="00EC3D98">
        <w:rPr>
          <w:rFonts w:ascii="Verdana" w:eastAsia="Times New Roman" w:hAnsi="Verdana" w:cs="Segoe UI"/>
          <w:color w:val="222222"/>
          <w:spacing w:val="0"/>
          <w:shd w:val="clear" w:color="auto" w:fill="FFFFFF"/>
          <w:lang w:eastAsia="en-AU"/>
        </w:rPr>
        <w:t xml:space="preserve"> discusses the difference between actual operating expenditure incurred over the current regulatory period and operating expenditure that was used by the ESC to develop prices in the 2018 CWW determination and 2020 WW </w:t>
      </w:r>
      <w:r w:rsidR="009E273E">
        <w:rPr>
          <w:rFonts w:ascii="Verdana" w:eastAsia="Times New Roman" w:hAnsi="Verdana" w:cs="Segoe UI"/>
          <w:color w:val="222222"/>
          <w:spacing w:val="0"/>
          <w:shd w:val="clear" w:color="auto" w:fill="FFFFFF"/>
          <w:lang w:eastAsia="en-AU"/>
        </w:rPr>
        <w:t>d</w:t>
      </w:r>
      <w:r w:rsidR="004B4640" w:rsidRPr="00EC3D98">
        <w:rPr>
          <w:rFonts w:ascii="Verdana" w:eastAsia="Times New Roman" w:hAnsi="Verdana" w:cs="Segoe UI"/>
          <w:color w:val="222222"/>
          <w:spacing w:val="0"/>
          <w:shd w:val="clear" w:color="auto" w:fill="FFFFFF"/>
          <w:lang w:eastAsia="en-AU"/>
        </w:rPr>
        <w:t xml:space="preserve">etermination. </w:t>
      </w:r>
      <w:r w:rsidR="00573E89">
        <w:rPr>
          <w:rFonts w:ascii="Verdana" w:eastAsia="Times New Roman" w:hAnsi="Verdana" w:cs="Segoe UI"/>
          <w:color w:val="222222"/>
          <w:spacing w:val="0"/>
          <w:shd w:val="clear" w:color="auto" w:fill="FFFFFF"/>
          <w:lang w:eastAsia="en-AU"/>
        </w:rPr>
        <w:t>C</w:t>
      </w:r>
      <w:r w:rsidR="004B4640" w:rsidRPr="00EC3D98">
        <w:rPr>
          <w:rFonts w:ascii="Verdana" w:eastAsia="Times New Roman" w:hAnsi="Verdana" w:cs="Segoe UI"/>
          <w:color w:val="222222"/>
          <w:spacing w:val="0"/>
          <w:shd w:val="clear" w:color="auto" w:fill="FFFFFF"/>
          <w:lang w:eastAsia="en-AU"/>
        </w:rPr>
        <w:t xml:space="preserve">ombining the ESC’s CWW and WW operating expenditure is not reflective of a notional GWW determination for the current regulatory period (2018 to 2024). GWW is not a simple aggregation of the two pre-existing businesses. The integration has fundamentally changed the </w:t>
      </w:r>
      <w:r w:rsidR="00EF2C14" w:rsidRPr="00EC3D98">
        <w:rPr>
          <w:rFonts w:ascii="Verdana" w:eastAsia="Times New Roman" w:hAnsi="Verdana" w:cs="Segoe UI"/>
          <w:color w:val="222222"/>
          <w:spacing w:val="0"/>
          <w:shd w:val="clear" w:color="auto" w:fill="FFFFFF"/>
          <w:lang w:eastAsia="en-AU"/>
        </w:rPr>
        <w:t>way</w:t>
      </w:r>
      <w:r w:rsidR="004B4640" w:rsidRPr="00EC3D98">
        <w:rPr>
          <w:rFonts w:ascii="Verdana" w:eastAsia="Times New Roman" w:hAnsi="Verdana" w:cs="Segoe UI"/>
          <w:color w:val="222222"/>
          <w:spacing w:val="0"/>
          <w:shd w:val="clear" w:color="auto" w:fill="FFFFFF"/>
          <w:lang w:eastAsia="en-AU"/>
        </w:rPr>
        <w:t xml:space="preserve"> we conduct our operations.</w:t>
      </w:r>
    </w:p>
    <w:p w14:paraId="163CB0CC" w14:textId="2BF92987" w:rsidR="00670F2F" w:rsidRDefault="004B4640" w:rsidP="00E92230">
      <w:r w:rsidRPr="00EC3D98">
        <w:rPr>
          <w:rFonts w:ascii="Verdana" w:eastAsia="Times New Roman" w:hAnsi="Verdana" w:cs="Segoe UI"/>
          <w:color w:val="222222"/>
          <w:spacing w:val="0"/>
          <w:shd w:val="clear" w:color="auto" w:fill="FFFFFF"/>
          <w:lang w:eastAsia="en-AU"/>
        </w:rPr>
        <w:t xml:space="preserve">In addition, neither the 2018 CWW determination </w:t>
      </w:r>
      <w:r w:rsidR="002B1148">
        <w:rPr>
          <w:rFonts w:ascii="Verdana" w:eastAsia="Times New Roman" w:hAnsi="Verdana" w:cs="Segoe UI"/>
          <w:color w:val="222222"/>
          <w:spacing w:val="0"/>
          <w:shd w:val="clear" w:color="auto" w:fill="FFFFFF"/>
          <w:lang w:eastAsia="en-AU"/>
        </w:rPr>
        <w:t>n</w:t>
      </w:r>
      <w:r w:rsidRPr="00EC3D98">
        <w:rPr>
          <w:rFonts w:ascii="Verdana" w:eastAsia="Times New Roman" w:hAnsi="Verdana" w:cs="Segoe UI"/>
          <w:color w:val="222222"/>
          <w:spacing w:val="0"/>
          <w:shd w:val="clear" w:color="auto" w:fill="FFFFFF"/>
          <w:lang w:eastAsia="en-AU"/>
        </w:rPr>
        <w:t>or the 2020 WW determination considered the cost impact</w:t>
      </w:r>
      <w:r w:rsidR="00EF2C14">
        <w:rPr>
          <w:rFonts w:ascii="Verdana" w:eastAsia="Times New Roman" w:hAnsi="Verdana" w:cs="Segoe UI"/>
          <w:color w:val="222222"/>
          <w:spacing w:val="0"/>
          <w:shd w:val="clear" w:color="auto" w:fill="FFFFFF"/>
          <w:lang w:eastAsia="en-AU"/>
        </w:rPr>
        <w:t>s</w:t>
      </w:r>
      <w:r w:rsidRPr="00EC3D98">
        <w:rPr>
          <w:rFonts w:ascii="Verdana" w:eastAsia="Times New Roman" w:hAnsi="Verdana" w:cs="Segoe UI"/>
          <w:color w:val="222222"/>
          <w:spacing w:val="0"/>
          <w:shd w:val="clear" w:color="auto" w:fill="FFFFFF"/>
          <w:lang w:eastAsia="en-AU"/>
        </w:rPr>
        <w:t xml:space="preserve"> of integration</w:t>
      </w:r>
      <w:r w:rsidR="00FB4BF2">
        <w:rPr>
          <w:rFonts w:ascii="Verdana" w:eastAsia="Times New Roman" w:hAnsi="Verdana" w:cs="Segoe UI"/>
          <w:color w:val="222222"/>
          <w:spacing w:val="0"/>
          <w:shd w:val="clear" w:color="auto" w:fill="FFFFFF"/>
          <w:lang w:eastAsia="en-AU"/>
        </w:rPr>
        <w:t>.</w:t>
      </w:r>
      <w:r w:rsidRPr="00EC3D98">
        <w:rPr>
          <w:rFonts w:ascii="Verdana" w:eastAsia="Times New Roman" w:hAnsi="Verdana" w:cs="Segoe UI"/>
          <w:color w:val="222222"/>
          <w:spacing w:val="0"/>
          <w:shd w:val="clear" w:color="auto" w:fill="FFFFFF"/>
          <w:lang w:eastAsia="en-AU"/>
        </w:rPr>
        <w:t xml:space="preserve"> </w:t>
      </w:r>
      <w:r w:rsidR="00FB4BF2">
        <w:rPr>
          <w:rFonts w:ascii="Verdana" w:eastAsia="Times New Roman" w:hAnsi="Verdana" w:cs="Segoe UI"/>
          <w:color w:val="222222"/>
          <w:spacing w:val="0"/>
          <w:shd w:val="clear" w:color="auto" w:fill="FFFFFF"/>
          <w:lang w:eastAsia="en-AU"/>
        </w:rPr>
        <w:t>A</w:t>
      </w:r>
      <w:r w:rsidRPr="00EC3D98">
        <w:rPr>
          <w:rFonts w:ascii="Verdana" w:eastAsia="Times New Roman" w:hAnsi="Verdana" w:cs="Segoe UI"/>
          <w:color w:val="222222"/>
          <w:spacing w:val="0"/>
          <w:shd w:val="clear" w:color="auto" w:fill="FFFFFF"/>
          <w:lang w:eastAsia="en-AU"/>
        </w:rPr>
        <w:t>s such the operating expenditure associated with integration was not incorporated into CWW or WW prices over the regulatory period. Integration has affected our entire operating expenditure base and any comparison between historical determination forecasts of operating expenditure and actual outcomes needs to take this into consideration.</w:t>
      </w:r>
    </w:p>
    <w:p w14:paraId="221FDA2B" w14:textId="77777777" w:rsidR="00E51964" w:rsidRDefault="001839A3" w:rsidP="005B69CD">
      <w:pPr>
        <w:pStyle w:val="Heading3"/>
      </w:pPr>
      <w:r w:rsidRPr="001839A3">
        <w:t>Current period performance</w:t>
      </w:r>
    </w:p>
    <w:p w14:paraId="3B015D17" w14:textId="54D8F6F1" w:rsidR="00FD67D9" w:rsidRPr="00C161AB" w:rsidRDefault="00FD67D9" w:rsidP="00FD67D9">
      <w:r w:rsidRPr="00C161AB">
        <w:t>GWW has exceeded the CWW and WW determination allowances across the 2018-19 to 2022-23 regulatory period by $71.5 million. The previous determination allowances were set for different businesses, facing different cost drivers and are not reflective of prudent and efficient expenditure for GWW. This is equivalent to a 7.9</w:t>
      </w:r>
      <w:r w:rsidR="002C66B8">
        <w:t>%</w:t>
      </w:r>
      <w:r w:rsidRPr="00C161AB">
        <w:t xml:space="preserve"> increase and is slightly higher than what was observed in the 2023 </w:t>
      </w:r>
      <w:r w:rsidR="0057266D">
        <w:t>price submission</w:t>
      </w:r>
      <w:r w:rsidRPr="00C161AB">
        <w:t>s of 5.8</w:t>
      </w:r>
      <w:r w:rsidR="002C66B8">
        <w:t>%</w:t>
      </w:r>
      <w:r w:rsidRPr="00C161AB">
        <w:t xml:space="preserve"> overspend.</w:t>
      </w:r>
      <w:r w:rsidR="0084356A" w:rsidRPr="00C161AB">
        <w:rPr>
          <w:rStyle w:val="EndnoteReference"/>
        </w:rPr>
        <w:endnoteReference w:id="10"/>
      </w:r>
      <w:r w:rsidR="0084356A" w:rsidRPr="00C161AB">
        <w:t xml:space="preserve"> </w:t>
      </w:r>
      <w:r w:rsidRPr="00C161AB">
        <w:rPr>
          <w:rFonts w:ascii="Verdana" w:eastAsia="Verdana" w:hAnsi="Verdana" w:cs="Verdana"/>
        </w:rPr>
        <w:t>Controllable operating expenditure per connection has increased over the current period from $326 in 2018-19 to $341 in 2022-23</w:t>
      </w:r>
      <w:r w:rsidRPr="00C161AB">
        <w:t xml:space="preserve">. </w:t>
      </w:r>
      <w:r w:rsidR="00325CDE">
        <w:t>T</w:t>
      </w:r>
      <w:r w:rsidR="000F6167" w:rsidRPr="00C161AB">
        <w:t>his is based on operating expenditure that excludes one-off adjustments in the 2022-23 year.</w:t>
      </w:r>
    </w:p>
    <w:p w14:paraId="3E5D2169" w14:textId="087ED750" w:rsidR="001E3A1C" w:rsidRDefault="001E3A1C" w:rsidP="001E3A1C">
      <w:r w:rsidRPr="00C161AB">
        <w:t xml:space="preserve">Operating expenditure over the regulatory period compared to CWW and WW determinations is shown in </w:t>
      </w:r>
      <w:r w:rsidR="0085377A">
        <w:rPr>
          <w:b/>
        </w:rPr>
        <w:fldChar w:fldCharType="begin"/>
      </w:r>
      <w:r w:rsidR="0085377A">
        <w:instrText xml:space="preserve"> REF _Ref146617548 \h </w:instrText>
      </w:r>
      <w:r w:rsidR="0085377A">
        <w:rPr>
          <w:b/>
        </w:rPr>
      </w:r>
      <w:r w:rsidR="0085377A">
        <w:rPr>
          <w:b/>
        </w:rPr>
        <w:fldChar w:fldCharType="separate"/>
      </w:r>
      <w:r w:rsidR="003B42C6" w:rsidRPr="000B7421">
        <w:rPr>
          <w:b/>
          <w:bCs/>
        </w:rPr>
        <w:t xml:space="preserve">Figure </w:t>
      </w:r>
      <w:r w:rsidR="003B42C6">
        <w:rPr>
          <w:b/>
          <w:bCs/>
          <w:noProof/>
        </w:rPr>
        <w:t>5</w:t>
      </w:r>
      <w:r w:rsidR="0085377A">
        <w:rPr>
          <w:b/>
        </w:rPr>
        <w:fldChar w:fldCharType="end"/>
      </w:r>
      <w:r>
        <w:t>. Changes to operating expenditure have been driven by integra</w:t>
      </w:r>
      <w:r w:rsidR="00044782">
        <w:t>tion</w:t>
      </w:r>
      <w:r>
        <w:t xml:space="preserve">, our transformation program and changes in obligations and non-integration cost drivers. </w:t>
      </w:r>
    </w:p>
    <w:p w14:paraId="7977F145" w14:textId="36AD430F" w:rsidR="00F9237D" w:rsidRDefault="00FD67D9" w:rsidP="00314BDA">
      <w:r>
        <w:lastRenderedPageBreak/>
        <w:t>GWW experienced higher new connections growth than expected in the 2018 and 2020 determinations in the area</w:t>
      </w:r>
      <w:r w:rsidDel="00500347">
        <w:t xml:space="preserve"> </w:t>
      </w:r>
      <w:r>
        <w:t xml:space="preserve">serviced by WW. This resulted in additional spend to manage new customers including temporary asset solutions that can have higher operating expenditure and compliance challenges with sewage discharges heightened and additional operating cost to manage this. </w:t>
      </w:r>
    </w:p>
    <w:p w14:paraId="65D5B1E6" w14:textId="15B711DD" w:rsidR="0006609B" w:rsidRDefault="0006609B" w:rsidP="00F9237D">
      <w:pPr>
        <w:keepNext/>
      </w:pPr>
    </w:p>
    <w:p w14:paraId="4576A8D1" w14:textId="77777777" w:rsidR="0049458E" w:rsidRDefault="0049458E" w:rsidP="00F9237D">
      <w:pPr>
        <w:pStyle w:val="Caption"/>
        <w:rPr>
          <w:b/>
          <w:bCs/>
        </w:rPr>
      </w:pPr>
      <w:bookmarkStart w:id="124" w:name="_Ref146617548"/>
      <w:bookmarkStart w:id="125" w:name="_Toc145498142"/>
      <w:r>
        <w:rPr>
          <w:b/>
          <w:bCs/>
          <w:noProof/>
        </w:rPr>
        <w:drawing>
          <wp:inline distT="0" distB="0" distL="0" distR="0" wp14:anchorId="5338BED8" wp14:editId="4D3A908E">
            <wp:extent cx="5610225" cy="2967209"/>
            <wp:effectExtent l="0" t="0" r="0" b="5080"/>
            <wp:docPr id="730749639" name="Picture 730749639" descr="This is a combination graph with 4 datasets. Y axis title “operating expenditure ($m), with values 0 to 250 increasing in intervals of 50. X axis shows data from 2018-19 to 2022-23.  The bar graphs show the totals for City West Water – Actual, Greater Western Water – Actual and Western Water. These totals are shown in contrast to &quot;Price Determination – Notional&quot;. 2018-19: Totals 177.5, Price Determination 176.3. 2019-20: Totals 176.5, Price Determination 185.3. 2020-21: Totals 180.3, Price Determination 195.8. 2021-22: Totals 183.1, Price Determination 205.8. 2022-23: Totals 184.1, Price Determination 20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9" name="Picture 730749639" descr="This is a combination graph with 4 datasets. Y axis title “operating expenditure ($m), with values 0 to 250 increasing in intervals of 50. X axis shows data from 2018-19 to 2022-23.  The bar graphs show the totals for City West Water – Actual, Greater Western Water – Actual and Western Water. These totals are shown in contrast to &quot;Price Determination – Notional&quot;. 2018-19: Totals 177.5, Price Determination 176.3. 2019-20: Totals 176.5, Price Determination 185.3. 2020-21: Totals 180.3, Price Determination 195.8. 2021-22: Totals 183.1, Price Determination 205.8. 2022-23: Totals 184.1, Price Determination 209.6.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682" cy="2969037"/>
                    </a:xfrm>
                    <a:prstGeom prst="rect">
                      <a:avLst/>
                    </a:prstGeom>
                    <a:noFill/>
                  </pic:spPr>
                </pic:pic>
              </a:graphicData>
            </a:graphic>
          </wp:inline>
        </w:drawing>
      </w:r>
    </w:p>
    <w:p w14:paraId="305AC6A1" w14:textId="33F47D46" w:rsidR="00FD67D9" w:rsidRPr="00692837" w:rsidRDefault="00F9237D" w:rsidP="00F9237D">
      <w:pPr>
        <w:pStyle w:val="Caption"/>
        <w:rPr>
          <w:color w:val="FF0000"/>
        </w:rPr>
      </w:pPr>
      <w:r w:rsidRPr="000B7421">
        <w:rPr>
          <w:b/>
          <w:bCs/>
        </w:rPr>
        <w:t xml:space="preserve">Figure </w:t>
      </w:r>
      <w:r w:rsidRPr="000B7421">
        <w:rPr>
          <w:b/>
          <w:bCs/>
        </w:rPr>
        <w:fldChar w:fldCharType="begin"/>
      </w:r>
      <w:r w:rsidRPr="000B7421">
        <w:rPr>
          <w:b/>
          <w:bCs/>
        </w:rPr>
        <w:instrText>SEQ Figure \* ARABIC</w:instrText>
      </w:r>
      <w:r w:rsidRPr="000B7421">
        <w:rPr>
          <w:b/>
          <w:bCs/>
        </w:rPr>
        <w:fldChar w:fldCharType="separate"/>
      </w:r>
      <w:r w:rsidR="003B42C6">
        <w:rPr>
          <w:b/>
          <w:bCs/>
          <w:noProof/>
        </w:rPr>
        <w:t>5</w:t>
      </w:r>
      <w:r w:rsidRPr="000B7421">
        <w:rPr>
          <w:b/>
          <w:bCs/>
        </w:rPr>
        <w:fldChar w:fldCharType="end"/>
      </w:r>
      <w:bookmarkEnd w:id="124"/>
      <w:r w:rsidR="000B7421">
        <w:t xml:space="preserve"> </w:t>
      </w:r>
      <w:r>
        <w:t>Operating expenditure 2018-23 compared</w:t>
      </w:r>
      <w:r>
        <w:rPr>
          <w:noProof/>
        </w:rPr>
        <w:t xml:space="preserve"> to determination allowances ($million, 2023-24)</w:t>
      </w:r>
      <w:bookmarkEnd w:id="125"/>
    </w:p>
    <w:p w14:paraId="2582DBAB" w14:textId="40E9411B" w:rsidR="001E3A1C" w:rsidRDefault="001E3A1C" w:rsidP="001E3A1C">
      <w:pPr>
        <w:pStyle w:val="Heading4"/>
      </w:pPr>
      <w:r>
        <w:t xml:space="preserve">Current period performance: </w:t>
      </w:r>
      <w:r w:rsidR="00CC01F8">
        <w:t>i</w:t>
      </w:r>
      <w:r>
        <w:t>ntegration</w:t>
      </w:r>
    </w:p>
    <w:p w14:paraId="2831E60C" w14:textId="77777777" w:rsidR="001E3A1C" w:rsidRDefault="001E3A1C" w:rsidP="001E3A1C">
      <w:r>
        <w:t xml:space="preserve">Integration expenses are expenses associated with consolidating the two legacy businesses into one. These expenses are aimed at maintaining GWW’s operational efficiency and services at a level consistent with that provided by CWW and WW. Integration expenses were not included in either the </w:t>
      </w:r>
      <w:r w:rsidR="00FD67D9">
        <w:t>2018</w:t>
      </w:r>
      <w:r>
        <w:t xml:space="preserve"> CWW or </w:t>
      </w:r>
      <w:r w:rsidR="00FD67D9">
        <w:t>2020</w:t>
      </w:r>
      <w:r>
        <w:t xml:space="preserve"> WW determinations and are all additional to those approved by the ESC. </w:t>
      </w:r>
    </w:p>
    <w:p w14:paraId="1D53134F" w14:textId="759F7DCE" w:rsidR="001E3A1C" w:rsidRDefault="001E3A1C" w:rsidP="001E3A1C">
      <w:r>
        <w:t>These costs are mostly administrative in nature, such as consolidation of back-end systems</w:t>
      </w:r>
      <w:r w:rsidR="00FD67D9">
        <w:t>. A review was complet</w:t>
      </w:r>
      <w:r w:rsidR="00753091">
        <w:t>ed</w:t>
      </w:r>
      <w:r w:rsidR="00FD67D9">
        <w:t xml:space="preserve"> during integration</w:t>
      </w:r>
      <w:r>
        <w:t xml:space="preserve"> for several back-end systems (such as payroll, HR, finance) to choose the most fit</w:t>
      </w:r>
      <w:r w:rsidR="00FB2362">
        <w:t>-</w:t>
      </w:r>
      <w:r>
        <w:t>for</w:t>
      </w:r>
      <w:r w:rsidR="00FB2362">
        <w:t>-</w:t>
      </w:r>
      <w:r>
        <w:t>purpose system, import data and retire the unused system.</w:t>
      </w:r>
    </w:p>
    <w:p w14:paraId="171872FA" w14:textId="77777777" w:rsidR="001E3A1C" w:rsidRDefault="001E3A1C" w:rsidP="001E3A1C">
      <w:r>
        <w:t xml:space="preserve">These expenses have resulted in efficiencies over the current period. Examples include savings that were achieved through conversion to a single executive and board and through the workforce rationalisation that occurred naturally through attrition over the current regulatory period. </w:t>
      </w:r>
    </w:p>
    <w:p w14:paraId="1FFF99EB" w14:textId="7D37826F" w:rsidR="001E3A1C" w:rsidRDefault="001E3A1C" w:rsidP="001E3A1C">
      <w:r>
        <w:t xml:space="preserve">Prior to the 2021 integration the average cost of services per user in WW was increasing, as shown in the recent 2018 and 2020 price submissions, consistent with capacity constraints and diseconomies of scale for the business. During this period capacity constraints meant that each additional customer triggered an increase in operating costs and ultimately a significant increase in capital expenditure. Delayed </w:t>
      </w:r>
      <w:r w:rsidR="00A856CA" w:rsidRPr="00A24BC0">
        <w:t xml:space="preserve">capital </w:t>
      </w:r>
      <w:r w:rsidR="00A856CA">
        <w:t xml:space="preserve">expenditure </w:t>
      </w:r>
      <w:r>
        <w:t xml:space="preserve">increased operational costs associated with managing infrastructure and supporting workarounds. This resulted in additional operating expenditure that GWW is still experiencing today. </w:t>
      </w:r>
    </w:p>
    <w:p w14:paraId="2BC08F95" w14:textId="65C98484" w:rsidR="001E3A1C" w:rsidRDefault="00FD67D9" w:rsidP="001E3A1C">
      <w:r>
        <w:lastRenderedPageBreak/>
        <w:t xml:space="preserve">The integration of CWW and WW was formalised by </w:t>
      </w:r>
      <w:r w:rsidR="001E3A1C">
        <w:t xml:space="preserve">the acting Minister for Water in February 2021 through two ministerial determinations made under the </w:t>
      </w:r>
      <w:r w:rsidR="001E3A1C">
        <w:rPr>
          <w:i/>
        </w:rPr>
        <w:t>Water Act 1989</w:t>
      </w:r>
      <w:r w:rsidR="0092678F">
        <w:rPr>
          <w:i/>
        </w:rPr>
        <w:t xml:space="preserve"> (Vic)</w:t>
      </w:r>
      <w:r w:rsidR="001E3A1C">
        <w:t>.</w:t>
      </w:r>
      <w:r w:rsidR="0084356A">
        <w:rPr>
          <w:rStyle w:val="EndnoteReference"/>
        </w:rPr>
        <w:endnoteReference w:id="11"/>
      </w:r>
      <w:r w:rsidR="0084356A">
        <w:t xml:space="preserve"> </w:t>
      </w:r>
      <w:r w:rsidR="009C74B5" w:rsidRPr="009C74B5">
        <w:t xml:space="preserve">These ministerial determinations </w:t>
      </w:r>
      <w:r w:rsidR="001E3A1C">
        <w:t>along with the announcement made by the Minster for Water in October 2020 placed obligations on the new entity (GWW) including that:</w:t>
      </w:r>
    </w:p>
    <w:p w14:paraId="15511E59" w14:textId="77777777" w:rsidR="00531250" w:rsidRDefault="76555E35">
      <w:pPr>
        <w:pStyle w:val="ListBullet"/>
        <w:numPr>
          <w:ilvl w:val="0"/>
          <w:numId w:val="116"/>
        </w:numPr>
      </w:pPr>
      <w:r>
        <w:t>a</w:t>
      </w:r>
      <w:r w:rsidR="0086231F">
        <w:t xml:space="preserve">ll existing staff (executive and non-executive) would be transferred to the new </w:t>
      </w:r>
      <w:proofErr w:type="gramStart"/>
      <w:r w:rsidR="0086231F">
        <w:t>entity</w:t>
      </w:r>
      <w:proofErr w:type="gramEnd"/>
    </w:p>
    <w:p w14:paraId="6406004A" w14:textId="77777777" w:rsidR="00531250" w:rsidRDefault="64364F2E">
      <w:pPr>
        <w:pStyle w:val="ListBullet"/>
        <w:numPr>
          <w:ilvl w:val="0"/>
          <w:numId w:val="116"/>
        </w:numPr>
      </w:pPr>
      <w:r>
        <w:t>a</w:t>
      </w:r>
      <w:r w:rsidR="0086231F">
        <w:t xml:space="preserve">ll depots and offices would </w:t>
      </w:r>
      <w:proofErr w:type="gramStart"/>
      <w:r w:rsidR="0086231F">
        <w:t>remain</w:t>
      </w:r>
      <w:proofErr w:type="gramEnd"/>
    </w:p>
    <w:p w14:paraId="55460D6B" w14:textId="77777777" w:rsidR="00531250" w:rsidRDefault="00E6422F">
      <w:pPr>
        <w:pStyle w:val="ListBullet"/>
        <w:numPr>
          <w:ilvl w:val="0"/>
          <w:numId w:val="116"/>
        </w:numPr>
      </w:pPr>
      <w:r>
        <w:t>investment</w:t>
      </w:r>
      <w:r w:rsidR="459AD4AC">
        <w:t xml:space="preserve"> would be made to</w:t>
      </w:r>
      <w:r w:rsidR="0086231F">
        <w:t xml:space="preserve"> upgrad</w:t>
      </w:r>
      <w:r w:rsidR="7BF3E737">
        <w:t>e</w:t>
      </w:r>
      <w:r w:rsidR="0086231F">
        <w:t xml:space="preserve"> the Sunbury </w:t>
      </w:r>
      <w:proofErr w:type="gramStart"/>
      <w:r w:rsidR="0086231F">
        <w:t>office</w:t>
      </w:r>
      <w:proofErr w:type="gramEnd"/>
    </w:p>
    <w:p w14:paraId="7B7DA958" w14:textId="77777777" w:rsidR="001E3A1C" w:rsidRPr="00727D3D" w:rsidRDefault="001E3A1C">
      <w:pPr>
        <w:pStyle w:val="ListBullet"/>
        <w:numPr>
          <w:ilvl w:val="0"/>
          <w:numId w:val="116"/>
        </w:numPr>
      </w:pPr>
      <w:r w:rsidRPr="00727D3D">
        <w:t xml:space="preserve">an additional 50 staff would be based at the Sunbury office for at least three years including strong executive presence. </w:t>
      </w:r>
    </w:p>
    <w:p w14:paraId="1ED68F41" w14:textId="791AB937" w:rsidR="00FD67D9" w:rsidRPr="00E92230" w:rsidRDefault="00FD67D9" w:rsidP="00E92230">
      <w:r w:rsidRPr="00E92230">
        <w:t>In total, GWW has invested</w:t>
      </w:r>
      <w:r w:rsidRPr="00E92230" w:rsidDel="00240887">
        <w:t xml:space="preserve"> </w:t>
      </w:r>
      <w:r w:rsidRPr="00E92230">
        <w:t>$23.0 million from 2020-21 to 2022-23 on integrating its businesses</w:t>
      </w:r>
      <w:r w:rsidR="009F3DC8">
        <w:t>.</w:t>
      </w:r>
      <w:r w:rsidRPr="00E92230">
        <w:t xml:space="preserve"> </w:t>
      </w:r>
      <w:r w:rsidR="009F3DC8">
        <w:t>T</w:t>
      </w:r>
      <w:r w:rsidRPr="00E92230">
        <w:t>h</w:t>
      </w:r>
      <w:r w:rsidR="009F3DC8">
        <w:t>e</w:t>
      </w:r>
      <w:r w:rsidRPr="00E92230">
        <w:t xml:space="preserve"> increase in costs has been offset by the significant $9.</w:t>
      </w:r>
      <w:r w:rsidR="00FB656D" w:rsidRPr="00E92230">
        <w:t>2</w:t>
      </w:r>
      <w:r w:rsidRPr="00E92230">
        <w:t xml:space="preserve"> million in integration</w:t>
      </w:r>
      <w:r w:rsidR="00835541">
        <w:t>-</w:t>
      </w:r>
      <w:r w:rsidRPr="00E92230">
        <w:t>related efficiencies achieved by GWW. A summary of this is presented in</w:t>
      </w:r>
      <w:r w:rsidR="009D1011">
        <w:t xml:space="preserve"> </w:t>
      </w:r>
      <w:r w:rsidR="0030167C">
        <w:fldChar w:fldCharType="begin"/>
      </w:r>
      <w:r w:rsidR="0030167C">
        <w:instrText xml:space="preserve"> REF _Ref145334278 \h </w:instrText>
      </w:r>
      <w:r w:rsidR="0030167C">
        <w:fldChar w:fldCharType="separate"/>
      </w:r>
      <w:r w:rsidR="003B42C6" w:rsidRPr="00285AC7">
        <w:rPr>
          <w:b/>
        </w:rPr>
        <w:t xml:space="preserve">Table </w:t>
      </w:r>
      <w:r w:rsidR="003B42C6">
        <w:rPr>
          <w:b/>
          <w:noProof/>
        </w:rPr>
        <w:t>15</w:t>
      </w:r>
      <w:r w:rsidR="0030167C">
        <w:fldChar w:fldCharType="end"/>
      </w:r>
      <w:r w:rsidRPr="00E92230">
        <w:t>. The integration costs and benefits incurred to date have not be</w:t>
      </w:r>
      <w:r w:rsidR="00D5351D" w:rsidRPr="00E92230">
        <w:t>en</w:t>
      </w:r>
      <w:r w:rsidRPr="00E92230">
        <w:t xml:space="preserve"> passed onto customers. </w:t>
      </w:r>
    </w:p>
    <w:p w14:paraId="13338B55" w14:textId="5050804C" w:rsidR="00F9237D" w:rsidRDefault="00F9237D" w:rsidP="00F9237D">
      <w:pPr>
        <w:pStyle w:val="Caption"/>
      </w:pPr>
      <w:bookmarkStart w:id="126" w:name="_Ref145334278"/>
      <w:bookmarkStart w:id="127" w:name="_Ref145334282"/>
      <w:r w:rsidRPr="00285AC7">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15</w:t>
      </w:r>
      <w:r w:rsidRPr="00521AA0">
        <w:rPr>
          <w:b/>
        </w:rPr>
        <w:fldChar w:fldCharType="end"/>
      </w:r>
      <w:bookmarkEnd w:id="126"/>
      <w:r w:rsidR="00285AC7">
        <w:t xml:space="preserve"> </w:t>
      </w:r>
      <w:r w:rsidRPr="00BC5A88">
        <w:t xml:space="preserve">Integration </w:t>
      </w:r>
      <w:proofErr w:type="spellStart"/>
      <w:r w:rsidRPr="00BC5A88">
        <w:t>opex</w:t>
      </w:r>
      <w:proofErr w:type="spellEnd"/>
      <w:r w:rsidRPr="00BC5A88">
        <w:t xml:space="preserve"> and efficiencies ($million, 2023-24)</w:t>
      </w:r>
      <w:bookmarkEnd w:id="127"/>
    </w:p>
    <w:tbl>
      <w:tblPr>
        <w:tblStyle w:val="GWWDefaulttable"/>
        <w:tblW w:w="5000" w:type="pct"/>
        <w:tblLook w:val="04A0" w:firstRow="1" w:lastRow="0" w:firstColumn="1" w:lastColumn="0" w:noHBand="0" w:noVBand="1"/>
      </w:tblPr>
      <w:tblGrid>
        <w:gridCol w:w="1898"/>
        <w:gridCol w:w="1290"/>
        <w:gridCol w:w="1290"/>
        <w:gridCol w:w="1290"/>
        <w:gridCol w:w="1290"/>
        <w:gridCol w:w="1290"/>
        <w:gridCol w:w="1290"/>
      </w:tblGrid>
      <w:tr w:rsidR="00FD67D9" w:rsidRPr="00E415E0" w14:paraId="2DD381CF" w14:textId="77777777" w:rsidTr="00521AA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5" w:type="pct"/>
            <w:vAlign w:val="center"/>
          </w:tcPr>
          <w:p w14:paraId="188A7B10" w14:textId="77777777" w:rsidR="00FD67D9" w:rsidRPr="00E415E0" w:rsidRDefault="00FD67D9" w:rsidP="00521AA0">
            <w:pPr>
              <w:jc w:val="right"/>
            </w:pPr>
          </w:p>
        </w:tc>
        <w:tc>
          <w:tcPr>
            <w:tcW w:w="669" w:type="pct"/>
            <w:vAlign w:val="center"/>
          </w:tcPr>
          <w:p w14:paraId="139FC572"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2018-19</w:t>
            </w:r>
          </w:p>
        </w:tc>
        <w:tc>
          <w:tcPr>
            <w:tcW w:w="669" w:type="pct"/>
            <w:vAlign w:val="center"/>
          </w:tcPr>
          <w:p w14:paraId="73665577"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2019-20</w:t>
            </w:r>
          </w:p>
        </w:tc>
        <w:tc>
          <w:tcPr>
            <w:tcW w:w="669" w:type="pct"/>
            <w:vAlign w:val="center"/>
          </w:tcPr>
          <w:p w14:paraId="37E9B922"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2020-21</w:t>
            </w:r>
          </w:p>
        </w:tc>
        <w:tc>
          <w:tcPr>
            <w:tcW w:w="669" w:type="pct"/>
            <w:vAlign w:val="center"/>
          </w:tcPr>
          <w:p w14:paraId="1C700D6B"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2021-22</w:t>
            </w:r>
          </w:p>
        </w:tc>
        <w:tc>
          <w:tcPr>
            <w:tcW w:w="669" w:type="pct"/>
            <w:vAlign w:val="center"/>
          </w:tcPr>
          <w:p w14:paraId="11BF80F7"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2022-23</w:t>
            </w:r>
          </w:p>
        </w:tc>
        <w:tc>
          <w:tcPr>
            <w:tcW w:w="669" w:type="pct"/>
            <w:vAlign w:val="center"/>
          </w:tcPr>
          <w:p w14:paraId="7AC334F5"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2023-24</w:t>
            </w:r>
          </w:p>
        </w:tc>
      </w:tr>
      <w:tr w:rsidR="00FD67D9" w:rsidRPr="00E415E0" w14:paraId="687CCB5D" w14:textId="77777777" w:rsidTr="00521AA0">
        <w:trPr>
          <w:trHeight w:val="124"/>
        </w:trPr>
        <w:tc>
          <w:tcPr>
            <w:cnfStyle w:val="001000000000" w:firstRow="0" w:lastRow="0" w:firstColumn="1" w:lastColumn="0" w:oddVBand="0" w:evenVBand="0" w:oddHBand="0" w:evenHBand="0" w:firstRowFirstColumn="0" w:firstRowLastColumn="0" w:lastRowFirstColumn="0" w:lastRowLastColumn="0"/>
            <w:tcW w:w="985" w:type="pct"/>
          </w:tcPr>
          <w:p w14:paraId="26279DC5" w14:textId="77777777" w:rsidR="00FD67D9" w:rsidRPr="002A632F" w:rsidRDefault="00FD67D9" w:rsidP="00E415E0">
            <w:pPr>
              <w:rPr>
                <w:b w:val="0"/>
              </w:rPr>
            </w:pPr>
            <w:proofErr w:type="spellStart"/>
            <w:r w:rsidRPr="00285AC7">
              <w:rPr>
                <w:b w:val="0"/>
              </w:rPr>
              <w:t>Opex</w:t>
            </w:r>
            <w:proofErr w:type="spellEnd"/>
          </w:p>
        </w:tc>
        <w:tc>
          <w:tcPr>
            <w:tcW w:w="669" w:type="pct"/>
            <w:vAlign w:val="center"/>
          </w:tcPr>
          <w:p w14:paraId="58DC518D"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173176E6"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5FAB25E0"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4.64</w:t>
            </w:r>
          </w:p>
        </w:tc>
        <w:tc>
          <w:tcPr>
            <w:tcW w:w="669" w:type="pct"/>
            <w:vAlign w:val="center"/>
          </w:tcPr>
          <w:p w14:paraId="43D8F7CA"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7.30</w:t>
            </w:r>
          </w:p>
        </w:tc>
        <w:tc>
          <w:tcPr>
            <w:tcW w:w="669" w:type="pct"/>
            <w:vAlign w:val="center"/>
          </w:tcPr>
          <w:p w14:paraId="75A6CC0F" w14:textId="4E69C933"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6.98</w:t>
            </w:r>
            <w:r w:rsidR="00DA5C93">
              <w:t>*</w:t>
            </w:r>
          </w:p>
        </w:tc>
        <w:tc>
          <w:tcPr>
            <w:tcW w:w="669" w:type="pct"/>
            <w:vAlign w:val="center"/>
          </w:tcPr>
          <w:p w14:paraId="1AEF46D3"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4.10</w:t>
            </w:r>
          </w:p>
        </w:tc>
      </w:tr>
      <w:tr w:rsidR="00FD67D9" w:rsidRPr="00E415E0" w14:paraId="77831700" w14:textId="77777777" w:rsidTr="00521AA0">
        <w:trPr>
          <w:trHeight w:val="286"/>
        </w:trPr>
        <w:tc>
          <w:tcPr>
            <w:cnfStyle w:val="001000000000" w:firstRow="0" w:lastRow="0" w:firstColumn="1" w:lastColumn="0" w:oddVBand="0" w:evenVBand="0" w:oddHBand="0" w:evenHBand="0" w:firstRowFirstColumn="0" w:firstRowLastColumn="0" w:lastRowFirstColumn="0" w:lastRowLastColumn="0"/>
            <w:tcW w:w="985" w:type="pct"/>
          </w:tcPr>
          <w:p w14:paraId="1692B044" w14:textId="77777777" w:rsidR="00FD67D9" w:rsidRPr="002A632F" w:rsidRDefault="00FD67D9" w:rsidP="00E415E0">
            <w:pPr>
              <w:rPr>
                <w:b w:val="0"/>
              </w:rPr>
            </w:pPr>
            <w:r w:rsidRPr="00285AC7">
              <w:rPr>
                <w:b w:val="0"/>
              </w:rPr>
              <w:t>Efficiencies achieved</w:t>
            </w:r>
          </w:p>
        </w:tc>
        <w:tc>
          <w:tcPr>
            <w:tcW w:w="669" w:type="pct"/>
            <w:vAlign w:val="center"/>
          </w:tcPr>
          <w:p w14:paraId="1480CF63"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2CA0C2A9"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2E58A1FD"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-0.82</w:t>
            </w:r>
          </w:p>
        </w:tc>
        <w:tc>
          <w:tcPr>
            <w:tcW w:w="669" w:type="pct"/>
            <w:vAlign w:val="center"/>
          </w:tcPr>
          <w:p w14:paraId="194B4386"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-2.27</w:t>
            </w:r>
          </w:p>
        </w:tc>
        <w:tc>
          <w:tcPr>
            <w:tcW w:w="669" w:type="pct"/>
            <w:vAlign w:val="center"/>
          </w:tcPr>
          <w:p w14:paraId="776A32A2"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-2.93</w:t>
            </w:r>
          </w:p>
        </w:tc>
        <w:tc>
          <w:tcPr>
            <w:tcW w:w="669" w:type="pct"/>
            <w:vAlign w:val="center"/>
          </w:tcPr>
          <w:p w14:paraId="40257194" w14:textId="4BCFF279"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-3.1</w:t>
            </w:r>
            <w:r w:rsidR="004F71D8">
              <w:t>6</w:t>
            </w:r>
          </w:p>
        </w:tc>
      </w:tr>
      <w:tr w:rsidR="00FD67D9" w:rsidRPr="00E415E0" w14:paraId="69ECFEA6" w14:textId="77777777" w:rsidTr="00521AA0">
        <w:trPr>
          <w:trHeight w:val="142"/>
        </w:trPr>
        <w:tc>
          <w:tcPr>
            <w:cnfStyle w:val="001000000000" w:firstRow="0" w:lastRow="0" w:firstColumn="1" w:lastColumn="0" w:oddVBand="0" w:evenVBand="0" w:oddHBand="0" w:evenHBand="0" w:firstRowFirstColumn="0" w:firstRowLastColumn="0" w:lastRowFirstColumn="0" w:lastRowLastColumn="0"/>
            <w:tcW w:w="985" w:type="pct"/>
          </w:tcPr>
          <w:p w14:paraId="7B164BD7" w14:textId="77777777" w:rsidR="00FD67D9" w:rsidRPr="00E415E0" w:rsidRDefault="00FD67D9" w:rsidP="00E415E0">
            <w:r w:rsidRPr="00E415E0">
              <w:t xml:space="preserve">Net </w:t>
            </w:r>
            <w:proofErr w:type="spellStart"/>
            <w:r w:rsidRPr="00E415E0">
              <w:t>opex</w:t>
            </w:r>
            <w:proofErr w:type="spellEnd"/>
          </w:p>
        </w:tc>
        <w:tc>
          <w:tcPr>
            <w:tcW w:w="669" w:type="pct"/>
            <w:vAlign w:val="center"/>
          </w:tcPr>
          <w:p w14:paraId="2168663A"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w:t>
            </w:r>
          </w:p>
        </w:tc>
        <w:tc>
          <w:tcPr>
            <w:tcW w:w="669" w:type="pct"/>
            <w:vAlign w:val="center"/>
          </w:tcPr>
          <w:p w14:paraId="3D2680EF"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w:t>
            </w:r>
          </w:p>
        </w:tc>
        <w:tc>
          <w:tcPr>
            <w:tcW w:w="669" w:type="pct"/>
            <w:vAlign w:val="center"/>
          </w:tcPr>
          <w:p w14:paraId="092D1DB4"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3.82</w:t>
            </w:r>
          </w:p>
        </w:tc>
        <w:tc>
          <w:tcPr>
            <w:tcW w:w="669" w:type="pct"/>
            <w:vAlign w:val="center"/>
          </w:tcPr>
          <w:p w14:paraId="22D943CE"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5.03</w:t>
            </w:r>
          </w:p>
        </w:tc>
        <w:tc>
          <w:tcPr>
            <w:tcW w:w="669" w:type="pct"/>
            <w:vAlign w:val="center"/>
          </w:tcPr>
          <w:p w14:paraId="040AFF45"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4.05</w:t>
            </w:r>
          </w:p>
        </w:tc>
        <w:tc>
          <w:tcPr>
            <w:tcW w:w="669" w:type="pct"/>
            <w:vAlign w:val="center"/>
          </w:tcPr>
          <w:p w14:paraId="34EFADD8" w14:textId="2CB8FF90"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0.9</w:t>
            </w:r>
            <w:r w:rsidR="004F71D8" w:rsidRPr="002A632F">
              <w:rPr>
                <w:b/>
              </w:rPr>
              <w:t>4</w:t>
            </w:r>
          </w:p>
        </w:tc>
      </w:tr>
    </w:tbl>
    <w:p w14:paraId="26155B39" w14:textId="77777777" w:rsidR="00F72008" w:rsidRDefault="00F72008" w:rsidP="002A4937">
      <w:pPr>
        <w:pStyle w:val="NoSpacing"/>
      </w:pPr>
    </w:p>
    <w:p w14:paraId="369B7832" w14:textId="32784F3F" w:rsidR="00F72008" w:rsidRPr="002A632F" w:rsidRDefault="00F72008" w:rsidP="002A4937">
      <w:pPr>
        <w:pStyle w:val="NoSpacing"/>
        <w:rPr>
          <w:sz w:val="18"/>
          <w:szCs w:val="18"/>
        </w:rPr>
      </w:pPr>
      <w:r w:rsidRPr="002A632F">
        <w:rPr>
          <w:sz w:val="18"/>
          <w:szCs w:val="18"/>
        </w:rPr>
        <w:t>*Includes $2.</w:t>
      </w:r>
      <w:r w:rsidR="005A1834">
        <w:rPr>
          <w:sz w:val="18"/>
          <w:szCs w:val="18"/>
        </w:rPr>
        <w:t>9</w:t>
      </w:r>
      <w:r w:rsidRPr="002A632F">
        <w:rPr>
          <w:sz w:val="18"/>
          <w:szCs w:val="18"/>
        </w:rPr>
        <w:t xml:space="preserve">m of non-recurrent integration expenses in 2022-23 as described in section ‘Base year operating expenditure’. After the removal of this non-recurrent item, the 2022-23 net </w:t>
      </w:r>
      <w:proofErr w:type="spellStart"/>
      <w:r w:rsidRPr="002A632F">
        <w:rPr>
          <w:sz w:val="18"/>
          <w:szCs w:val="18"/>
        </w:rPr>
        <w:t>opex</w:t>
      </w:r>
      <w:proofErr w:type="spellEnd"/>
      <w:r w:rsidRPr="002A632F">
        <w:rPr>
          <w:sz w:val="18"/>
          <w:szCs w:val="18"/>
        </w:rPr>
        <w:t xml:space="preserve"> is $1.</w:t>
      </w:r>
      <w:r w:rsidR="005A1834">
        <w:rPr>
          <w:sz w:val="18"/>
          <w:szCs w:val="18"/>
        </w:rPr>
        <w:t>2</w:t>
      </w:r>
      <w:r w:rsidRPr="002A632F">
        <w:rPr>
          <w:sz w:val="18"/>
          <w:szCs w:val="18"/>
        </w:rPr>
        <w:t>m.</w:t>
      </w:r>
    </w:p>
    <w:p w14:paraId="39327820" w14:textId="7B0830F4" w:rsidR="001E3A1C" w:rsidRPr="00F9237D" w:rsidRDefault="001E3A1C" w:rsidP="00F9237D">
      <w:pPr>
        <w:pStyle w:val="Heading4"/>
      </w:pPr>
      <w:r w:rsidRPr="00F9237D">
        <w:t xml:space="preserve">Current period performance: </w:t>
      </w:r>
      <w:r w:rsidR="00333779">
        <w:t>t</w:t>
      </w:r>
      <w:r w:rsidRPr="00F9237D">
        <w:t>ransformation</w:t>
      </w:r>
    </w:p>
    <w:p w14:paraId="603747A7" w14:textId="77777777" w:rsidR="007C5423" w:rsidRDefault="007C5423" w:rsidP="007C5423">
      <w:r>
        <w:t xml:space="preserve">The transformation program includes those investments where GWW considered it optimal (efficient) in the long run to upgrade its operations, respond to regulatory requirements and maintain or improve service levels. Our transformation program is centred around opportunities to improve our service offering to customers </w:t>
      </w:r>
      <w:r w:rsidR="00557E63">
        <w:t xml:space="preserve">while </w:t>
      </w:r>
      <w:r>
        <w:t xml:space="preserve">we invest in single systems and processes for the new entity. </w:t>
      </w:r>
    </w:p>
    <w:p w14:paraId="43C4BE50" w14:textId="77777777" w:rsidR="007C5423" w:rsidRDefault="007C5423" w:rsidP="007C5423">
      <w:r>
        <w:t>We have identified five key transformation programs:</w:t>
      </w:r>
    </w:p>
    <w:p w14:paraId="6DC5EB6F" w14:textId="77777777" w:rsidR="007C5423" w:rsidRDefault="696BFAD6">
      <w:pPr>
        <w:pStyle w:val="ListBullet"/>
        <w:numPr>
          <w:ilvl w:val="0"/>
          <w:numId w:val="117"/>
        </w:numPr>
      </w:pPr>
      <w:r>
        <w:t>s</w:t>
      </w:r>
      <w:r w:rsidR="007C5423">
        <w:t>afety uplift</w:t>
      </w:r>
    </w:p>
    <w:p w14:paraId="5CE60280" w14:textId="77777777" w:rsidR="007C5423" w:rsidRDefault="2BE8291F">
      <w:pPr>
        <w:pStyle w:val="ListBullet"/>
        <w:numPr>
          <w:ilvl w:val="0"/>
          <w:numId w:val="117"/>
        </w:numPr>
      </w:pPr>
      <w:r>
        <w:t>t</w:t>
      </w:r>
      <w:r w:rsidR="007C5423">
        <w:t>ransforming customer services</w:t>
      </w:r>
    </w:p>
    <w:p w14:paraId="7EFAC808" w14:textId="77777777" w:rsidR="007C5423" w:rsidRDefault="61A569BF">
      <w:pPr>
        <w:pStyle w:val="ListBullet"/>
        <w:numPr>
          <w:ilvl w:val="0"/>
          <w:numId w:val="117"/>
        </w:numPr>
      </w:pPr>
      <w:r>
        <w:t>m</w:t>
      </w:r>
      <w:r w:rsidR="007C5423">
        <w:t>anaging compliance</w:t>
      </w:r>
    </w:p>
    <w:p w14:paraId="75D8CB72" w14:textId="77777777" w:rsidR="007C5423" w:rsidRDefault="0440277F">
      <w:pPr>
        <w:pStyle w:val="ListBullet"/>
        <w:numPr>
          <w:ilvl w:val="0"/>
          <w:numId w:val="117"/>
        </w:numPr>
      </w:pPr>
      <w:r>
        <w:t>i</w:t>
      </w:r>
      <w:r w:rsidR="007C5423">
        <w:t>ncreased focus on asset management</w:t>
      </w:r>
    </w:p>
    <w:p w14:paraId="1901CE06" w14:textId="77777777" w:rsidR="007C5423" w:rsidRDefault="014C5BA6">
      <w:pPr>
        <w:pStyle w:val="ListBullet"/>
        <w:numPr>
          <w:ilvl w:val="0"/>
          <w:numId w:val="117"/>
        </w:numPr>
      </w:pPr>
      <w:r>
        <w:t>s</w:t>
      </w:r>
      <w:r w:rsidR="007C5423">
        <w:t xml:space="preserve">treamlining corporate functions. </w:t>
      </w:r>
    </w:p>
    <w:p w14:paraId="75498E86" w14:textId="2DC55B47" w:rsidR="00934BEE" w:rsidRDefault="00924060" w:rsidP="00E92230">
      <w:r>
        <w:t xml:space="preserve">Refer </w:t>
      </w:r>
      <w:r w:rsidRPr="00BB36A4">
        <w:t xml:space="preserve">to </w:t>
      </w:r>
      <w:r w:rsidRPr="00FD027D">
        <w:t xml:space="preserve">Appendix </w:t>
      </w:r>
      <w:r w:rsidR="00C71D27" w:rsidRPr="00FD027D">
        <w:t>H</w:t>
      </w:r>
      <w:r>
        <w:t xml:space="preserve"> for a</w:t>
      </w:r>
      <w:r w:rsidR="00372556">
        <w:t xml:space="preserve"> detailed </w:t>
      </w:r>
      <w:r>
        <w:t>explanation</w:t>
      </w:r>
      <w:r w:rsidR="00332563">
        <w:t xml:space="preserve"> of the above transformation programs</w:t>
      </w:r>
      <w:r>
        <w:t>.</w:t>
      </w:r>
      <w:r w:rsidR="00372556">
        <w:t xml:space="preserve"> </w:t>
      </w:r>
      <w:r w:rsidR="007C5423">
        <w:t xml:space="preserve">The total </w:t>
      </w:r>
      <w:r w:rsidR="001E3A1C">
        <w:t>transformation operating expenditure</w:t>
      </w:r>
      <w:r w:rsidR="007C5423">
        <w:t xml:space="preserve"> identified </w:t>
      </w:r>
      <w:r w:rsidR="00244EB3">
        <w:t>over 2018-19 to 2023-24</w:t>
      </w:r>
      <w:r w:rsidR="007C5423">
        <w:t xml:space="preserve"> is </w:t>
      </w:r>
      <w:r w:rsidR="007C5423" w:rsidRPr="006D7CD8">
        <w:t>$</w:t>
      </w:r>
      <w:r w:rsidR="00BA2BC9">
        <w:t>18.1</w:t>
      </w:r>
      <w:r w:rsidR="00585198">
        <w:t xml:space="preserve"> million</w:t>
      </w:r>
      <w:r>
        <w:t>, as shown in</w:t>
      </w:r>
      <w:r w:rsidR="009D1011">
        <w:t xml:space="preserve"> </w:t>
      </w:r>
      <w:r w:rsidR="009D1011">
        <w:fldChar w:fldCharType="begin"/>
      </w:r>
      <w:r w:rsidR="009D1011">
        <w:instrText xml:space="preserve"> REF _Ref145334304 \h </w:instrText>
      </w:r>
      <w:r w:rsidR="009D1011">
        <w:fldChar w:fldCharType="separate"/>
      </w:r>
      <w:r w:rsidR="003B42C6" w:rsidRPr="007E7FBA">
        <w:rPr>
          <w:b/>
        </w:rPr>
        <w:t xml:space="preserve">Table </w:t>
      </w:r>
      <w:r w:rsidR="003B42C6">
        <w:rPr>
          <w:b/>
          <w:noProof/>
        </w:rPr>
        <w:t>16</w:t>
      </w:r>
      <w:r w:rsidR="009D1011">
        <w:fldChar w:fldCharType="end"/>
      </w:r>
      <w:r w:rsidR="00BB36A4">
        <w:t>.</w:t>
      </w:r>
    </w:p>
    <w:p w14:paraId="7C000BDD" w14:textId="1C2C8786" w:rsidR="00BB36A4" w:rsidRDefault="00BB36A4" w:rsidP="00BB36A4">
      <w:pPr>
        <w:pStyle w:val="Caption"/>
      </w:pPr>
      <w:bookmarkStart w:id="128" w:name="_Ref145334304"/>
      <w:r w:rsidRPr="007E7FBA">
        <w:rPr>
          <w:b/>
        </w:rPr>
        <w:lastRenderedPageBreak/>
        <w:t xml:space="preserve">Table </w:t>
      </w:r>
      <w:r w:rsidRPr="00521AA0">
        <w:rPr>
          <w:b/>
        </w:rPr>
        <w:fldChar w:fldCharType="begin"/>
      </w:r>
      <w:r w:rsidRPr="00521AA0">
        <w:rPr>
          <w:b/>
        </w:rPr>
        <w:instrText>SEQ Table \* ARABIC</w:instrText>
      </w:r>
      <w:r w:rsidRPr="00521AA0">
        <w:rPr>
          <w:b/>
        </w:rPr>
        <w:fldChar w:fldCharType="separate"/>
      </w:r>
      <w:r w:rsidR="003B42C6">
        <w:rPr>
          <w:b/>
          <w:noProof/>
        </w:rPr>
        <w:t>16</w:t>
      </w:r>
      <w:r w:rsidRPr="00521AA0">
        <w:rPr>
          <w:b/>
        </w:rPr>
        <w:fldChar w:fldCharType="end"/>
      </w:r>
      <w:bookmarkEnd w:id="128"/>
      <w:r w:rsidR="007E7FBA">
        <w:t xml:space="preserve"> </w:t>
      </w:r>
      <w:r w:rsidRPr="00EA3283">
        <w:t xml:space="preserve">Transformation </w:t>
      </w:r>
      <w:proofErr w:type="spellStart"/>
      <w:r w:rsidRPr="00EA3283">
        <w:t>opex</w:t>
      </w:r>
      <w:proofErr w:type="spellEnd"/>
      <w:r w:rsidRPr="00EA3283">
        <w:t xml:space="preserve"> ($million, 2023-4)</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381A79" w14:paraId="39A07150" w14:textId="77777777" w:rsidTr="00312C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14" w:type="pct"/>
          </w:tcPr>
          <w:p w14:paraId="3396AAE2" w14:textId="77777777" w:rsidR="00381A79" w:rsidRDefault="00381A79" w:rsidP="00381A79"/>
        </w:tc>
        <w:tc>
          <w:tcPr>
            <w:tcW w:w="714" w:type="pct"/>
            <w:vAlign w:val="center"/>
          </w:tcPr>
          <w:p w14:paraId="36267D2A"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2018-19</w:t>
            </w:r>
          </w:p>
        </w:tc>
        <w:tc>
          <w:tcPr>
            <w:tcW w:w="714" w:type="pct"/>
            <w:vAlign w:val="center"/>
          </w:tcPr>
          <w:p w14:paraId="7D9C7EA8"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2019-20</w:t>
            </w:r>
          </w:p>
        </w:tc>
        <w:tc>
          <w:tcPr>
            <w:tcW w:w="714" w:type="pct"/>
            <w:vAlign w:val="center"/>
          </w:tcPr>
          <w:p w14:paraId="77B40164"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2020-21</w:t>
            </w:r>
          </w:p>
        </w:tc>
        <w:tc>
          <w:tcPr>
            <w:tcW w:w="714" w:type="pct"/>
            <w:vAlign w:val="center"/>
          </w:tcPr>
          <w:p w14:paraId="4FA65E07"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2021-22</w:t>
            </w:r>
          </w:p>
        </w:tc>
        <w:tc>
          <w:tcPr>
            <w:tcW w:w="714" w:type="pct"/>
            <w:vAlign w:val="center"/>
          </w:tcPr>
          <w:p w14:paraId="3C720065"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2022-23</w:t>
            </w:r>
          </w:p>
        </w:tc>
        <w:tc>
          <w:tcPr>
            <w:tcW w:w="714" w:type="pct"/>
            <w:vAlign w:val="center"/>
          </w:tcPr>
          <w:p w14:paraId="7C85F1F6"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2023-24</w:t>
            </w:r>
          </w:p>
        </w:tc>
      </w:tr>
      <w:tr w:rsidR="00381A79" w14:paraId="1C537C70" w14:textId="77777777" w:rsidTr="00312C97">
        <w:trPr>
          <w:trHeight w:val="113"/>
        </w:trPr>
        <w:tc>
          <w:tcPr>
            <w:cnfStyle w:val="001000000000" w:firstRow="0" w:lastRow="0" w:firstColumn="1" w:lastColumn="0" w:oddVBand="0" w:evenVBand="0" w:oddHBand="0" w:evenHBand="0" w:firstRowFirstColumn="0" w:firstRowLastColumn="0" w:lastRowFirstColumn="0" w:lastRowLastColumn="0"/>
            <w:tcW w:w="714" w:type="pct"/>
          </w:tcPr>
          <w:p w14:paraId="5B27E925" w14:textId="77777777" w:rsidR="00381A79" w:rsidRPr="007E7FBA" w:rsidRDefault="00381A79" w:rsidP="00381A79">
            <w:pPr>
              <w:rPr>
                <w:b w:val="0"/>
              </w:rPr>
            </w:pPr>
            <w:proofErr w:type="spellStart"/>
            <w:r w:rsidRPr="007E7FBA">
              <w:rPr>
                <w:b w:val="0"/>
              </w:rPr>
              <w:t>Opex</w:t>
            </w:r>
            <w:proofErr w:type="spellEnd"/>
          </w:p>
        </w:tc>
        <w:tc>
          <w:tcPr>
            <w:tcW w:w="714" w:type="pct"/>
            <w:vAlign w:val="center"/>
          </w:tcPr>
          <w:p w14:paraId="25281D8A"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0F01FC98"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5A44154E"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00F2331F"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3.30</w:t>
            </w:r>
          </w:p>
        </w:tc>
        <w:tc>
          <w:tcPr>
            <w:tcW w:w="714" w:type="pct"/>
            <w:vAlign w:val="center"/>
          </w:tcPr>
          <w:p w14:paraId="669FE14F" w14:textId="154E0936" w:rsidR="00381A79" w:rsidRPr="007E7FBA" w:rsidRDefault="00405807" w:rsidP="002A632F">
            <w:pPr>
              <w:jc w:val="right"/>
              <w:cnfStyle w:val="000000000000" w:firstRow="0" w:lastRow="0" w:firstColumn="0" w:lastColumn="0" w:oddVBand="0" w:evenVBand="0" w:oddHBand="0" w:evenHBand="0" w:firstRowFirstColumn="0" w:firstRowLastColumn="0" w:lastRowFirstColumn="0" w:lastRowLastColumn="0"/>
            </w:pPr>
            <w:r w:rsidRPr="007E7FBA">
              <w:t>6.96</w:t>
            </w:r>
          </w:p>
        </w:tc>
        <w:tc>
          <w:tcPr>
            <w:tcW w:w="714" w:type="pct"/>
            <w:vAlign w:val="center"/>
          </w:tcPr>
          <w:p w14:paraId="1E93849F" w14:textId="6DC40D3E" w:rsidR="00381A79" w:rsidRPr="007E7FBA" w:rsidRDefault="00405807" w:rsidP="002A632F">
            <w:pPr>
              <w:jc w:val="right"/>
              <w:cnfStyle w:val="000000000000" w:firstRow="0" w:lastRow="0" w:firstColumn="0" w:lastColumn="0" w:oddVBand="0" w:evenVBand="0" w:oddHBand="0" w:evenHBand="0" w:firstRowFirstColumn="0" w:firstRowLastColumn="0" w:lastRowFirstColumn="0" w:lastRowLastColumn="0"/>
            </w:pPr>
            <w:r w:rsidRPr="007E7FBA">
              <w:t>7.83</w:t>
            </w:r>
          </w:p>
        </w:tc>
      </w:tr>
    </w:tbl>
    <w:p w14:paraId="49D9A2C3" w14:textId="77777777" w:rsidR="00404C88" w:rsidRDefault="00404C88" w:rsidP="002A4937">
      <w:pPr>
        <w:pStyle w:val="NoSpacing"/>
      </w:pPr>
    </w:p>
    <w:p w14:paraId="3D45F705" w14:textId="39DB396C" w:rsidR="001E3A1C" w:rsidRDefault="001E3A1C" w:rsidP="001E3A1C">
      <w:pPr>
        <w:pStyle w:val="Heading4"/>
      </w:pPr>
      <w:r>
        <w:t xml:space="preserve">Current period performance: </w:t>
      </w:r>
      <w:r w:rsidR="00333779">
        <w:t>c</w:t>
      </w:r>
      <w:r w:rsidRPr="00DC5611">
        <w:t xml:space="preserve">hanges </w:t>
      </w:r>
      <w:r>
        <w:t>in</w:t>
      </w:r>
      <w:r w:rsidRPr="00DC5611">
        <w:t xml:space="preserve"> obligations</w:t>
      </w:r>
    </w:p>
    <w:p w14:paraId="40224F09" w14:textId="77777777" w:rsidR="001E3A1C" w:rsidRDefault="001E3A1C" w:rsidP="001E3A1C">
      <w:r>
        <w:t>Since 2018-19, GWW has experienced several changes in obligations. These are:</w:t>
      </w:r>
    </w:p>
    <w:p w14:paraId="7F3EEC66" w14:textId="363B83E0" w:rsidR="001E3A1C" w:rsidRPr="009863C2" w:rsidRDefault="001E3A1C">
      <w:pPr>
        <w:pStyle w:val="ListBullet"/>
        <w:numPr>
          <w:ilvl w:val="0"/>
          <w:numId w:val="118"/>
        </w:numPr>
      </w:pPr>
      <w:r w:rsidRPr="00025EFB">
        <w:t xml:space="preserve">First Nations and </w:t>
      </w:r>
      <w:r>
        <w:t>T</w:t>
      </w:r>
      <w:r w:rsidRPr="00025EFB">
        <w:t xml:space="preserve">raditional </w:t>
      </w:r>
      <w:r>
        <w:t>O</w:t>
      </w:r>
      <w:r w:rsidRPr="00025EFB">
        <w:t>wner engagement:</w:t>
      </w:r>
      <w:r>
        <w:t xml:space="preserve"> </w:t>
      </w:r>
      <w:r w:rsidRPr="00AB1A00">
        <w:t xml:space="preserve">GWW is required to engage with </w:t>
      </w:r>
      <w:r w:rsidRPr="009863C2">
        <w:t xml:space="preserve">Traditional Owners, </w:t>
      </w:r>
      <w:proofErr w:type="gramStart"/>
      <w:r w:rsidRPr="009863C2">
        <w:t>in particular around</w:t>
      </w:r>
      <w:proofErr w:type="gramEnd"/>
      <w:r w:rsidRPr="009863C2">
        <w:t xml:space="preserve"> Action 4.2 from the </w:t>
      </w:r>
      <w:r w:rsidRPr="00302F92">
        <w:rPr>
          <w:i/>
        </w:rPr>
        <w:t>Central and Gippsland Region Sustainable Water Strategy</w:t>
      </w:r>
      <w:r w:rsidRPr="009863C2">
        <w:t>. This has come at a cost of &lt;</w:t>
      </w:r>
      <w:r w:rsidRPr="006D7CD8">
        <w:t>$0.</w:t>
      </w:r>
      <w:r w:rsidRPr="009863C2">
        <w:t>1 million</w:t>
      </w:r>
      <w:r w:rsidR="00FD67D9" w:rsidRPr="009863C2">
        <w:t xml:space="preserve">. </w:t>
      </w:r>
      <w:r w:rsidR="007E207F">
        <w:t>Additional</w:t>
      </w:r>
      <w:r w:rsidRPr="009863C2">
        <w:t xml:space="preserve"> costs have been identified as a step change in </w:t>
      </w:r>
      <w:r w:rsidR="009D166D">
        <w:t xml:space="preserve">operating expenditure </w:t>
      </w:r>
      <w:r w:rsidR="007A117E">
        <w:t>(S</w:t>
      </w:r>
      <w:r w:rsidR="00D82FA0">
        <w:t>ection</w:t>
      </w:r>
      <w:r w:rsidR="007A117E">
        <w:t xml:space="preserve"> 4.2.4)</w:t>
      </w:r>
      <w:r w:rsidRPr="009863C2">
        <w:t xml:space="preserve">. </w:t>
      </w:r>
    </w:p>
    <w:p w14:paraId="2C0006FB" w14:textId="533183FE" w:rsidR="00025EFB" w:rsidRDefault="00025EFB">
      <w:pPr>
        <w:pStyle w:val="ListBullet"/>
        <w:numPr>
          <w:ilvl w:val="0"/>
          <w:numId w:val="118"/>
        </w:numPr>
      </w:pPr>
      <w:r>
        <w:t xml:space="preserve">Payroll tax: </w:t>
      </w:r>
      <w:r w:rsidR="757BCEF8">
        <w:t>i</w:t>
      </w:r>
      <w:r>
        <w:t>n 2022-23, the Victorian Government increased payroll tax by 0.5</w:t>
      </w:r>
      <w:r w:rsidR="00880C6F">
        <w:t>%</w:t>
      </w:r>
      <w:r>
        <w:t xml:space="preserve"> resulting in an additional </w:t>
      </w:r>
      <w:r w:rsidRPr="006D7CD8">
        <w:t>$0.5</w:t>
      </w:r>
      <w:r>
        <w:t xml:space="preserve"> million in </w:t>
      </w:r>
      <w:r w:rsidR="007F231B">
        <w:t>operating expenditure.</w:t>
      </w:r>
    </w:p>
    <w:p w14:paraId="1818A3D4" w14:textId="42244AE8" w:rsidR="00025EFB" w:rsidRDefault="00025EFB">
      <w:pPr>
        <w:pStyle w:val="ListBullet"/>
        <w:numPr>
          <w:ilvl w:val="0"/>
          <w:numId w:val="118"/>
        </w:numPr>
      </w:pPr>
      <w:r>
        <w:t xml:space="preserve">Superannuation </w:t>
      </w:r>
      <w:r w:rsidR="00F37F20">
        <w:t>guarantee</w:t>
      </w:r>
      <w:r>
        <w:t xml:space="preserve">: </w:t>
      </w:r>
      <w:r w:rsidR="00EB08D0">
        <w:t xml:space="preserve">Superannuation </w:t>
      </w:r>
      <w:r>
        <w:t>increased gradually from 9.5</w:t>
      </w:r>
      <w:r w:rsidR="00880C6F">
        <w:t>%</w:t>
      </w:r>
      <w:r>
        <w:t xml:space="preserve"> in 2018-19 to 2020-21 to 11</w:t>
      </w:r>
      <w:r w:rsidR="00880C6F">
        <w:t xml:space="preserve">% </w:t>
      </w:r>
      <w:r>
        <w:t xml:space="preserve">in 2023-24. This resulted in an </w:t>
      </w:r>
      <w:r w:rsidRPr="006D7CD8">
        <w:t>$2.4</w:t>
      </w:r>
      <w:r w:rsidR="001E3A1C" w:rsidRPr="009863C2">
        <w:t> </w:t>
      </w:r>
      <w:r>
        <w:t>million increase over the regulatory period.</w:t>
      </w:r>
    </w:p>
    <w:p w14:paraId="49CE7A18" w14:textId="672C8D18" w:rsidR="00BB36A4" w:rsidRDefault="00BB36A4" w:rsidP="00BB36A4">
      <w:pPr>
        <w:pStyle w:val="Caption"/>
      </w:pPr>
      <w:bookmarkStart w:id="129" w:name="_Ref146029457"/>
      <w:r w:rsidRPr="007E7FBA">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17</w:t>
      </w:r>
      <w:r w:rsidRPr="00521AA0">
        <w:rPr>
          <w:b/>
        </w:rPr>
        <w:fldChar w:fldCharType="end"/>
      </w:r>
      <w:bookmarkEnd w:id="129"/>
      <w:r w:rsidR="007E7FBA">
        <w:t xml:space="preserve"> </w:t>
      </w:r>
      <w:r w:rsidRPr="00B97F91">
        <w:t xml:space="preserve">Changes in obligations </w:t>
      </w:r>
      <w:proofErr w:type="spellStart"/>
      <w:r w:rsidRPr="00B97F91">
        <w:t>opex</w:t>
      </w:r>
      <w:proofErr w:type="spellEnd"/>
      <w:r w:rsidRPr="00B97F91">
        <w:t xml:space="preserve"> ($million, 2023-24)</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6C59CE" w14:paraId="72CC47B3" w14:textId="77777777" w:rsidTr="00312C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4" w:type="pct"/>
          </w:tcPr>
          <w:p w14:paraId="0C8E8602" w14:textId="77777777" w:rsidR="006C59CE" w:rsidRDefault="006C59CE"/>
        </w:tc>
        <w:tc>
          <w:tcPr>
            <w:tcW w:w="714" w:type="pct"/>
            <w:vAlign w:val="center"/>
          </w:tcPr>
          <w:p w14:paraId="52B7C3A2"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714" w:type="pct"/>
            <w:vAlign w:val="center"/>
          </w:tcPr>
          <w:p w14:paraId="6ED8ED93"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714" w:type="pct"/>
            <w:vAlign w:val="center"/>
          </w:tcPr>
          <w:p w14:paraId="131F046F"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714" w:type="pct"/>
            <w:vAlign w:val="center"/>
          </w:tcPr>
          <w:p w14:paraId="27F9DCAF"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714" w:type="pct"/>
            <w:vAlign w:val="center"/>
          </w:tcPr>
          <w:p w14:paraId="3793EE8E"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2022-23</w:t>
            </w:r>
          </w:p>
        </w:tc>
        <w:tc>
          <w:tcPr>
            <w:tcW w:w="714" w:type="pct"/>
            <w:vAlign w:val="center"/>
          </w:tcPr>
          <w:p w14:paraId="41339447"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2023-24</w:t>
            </w:r>
          </w:p>
        </w:tc>
      </w:tr>
      <w:tr w:rsidR="006C59CE" w14:paraId="17AC3117" w14:textId="77777777" w:rsidTr="00312C97">
        <w:trPr>
          <w:trHeight w:val="340"/>
        </w:trPr>
        <w:tc>
          <w:tcPr>
            <w:cnfStyle w:val="001000000000" w:firstRow="0" w:lastRow="0" w:firstColumn="1" w:lastColumn="0" w:oddVBand="0" w:evenVBand="0" w:oddHBand="0" w:evenHBand="0" w:firstRowFirstColumn="0" w:firstRowLastColumn="0" w:lastRowFirstColumn="0" w:lastRowLastColumn="0"/>
            <w:tcW w:w="714" w:type="pct"/>
          </w:tcPr>
          <w:p w14:paraId="21E78B0D" w14:textId="77777777" w:rsidR="006C59CE" w:rsidRPr="007E7FBA" w:rsidRDefault="006C59CE">
            <w:pPr>
              <w:rPr>
                <w:b w:val="0"/>
              </w:rPr>
            </w:pPr>
            <w:proofErr w:type="spellStart"/>
            <w:r w:rsidRPr="007E7FBA">
              <w:rPr>
                <w:b w:val="0"/>
              </w:rPr>
              <w:t>Opex</w:t>
            </w:r>
            <w:proofErr w:type="spellEnd"/>
          </w:p>
        </w:tc>
        <w:tc>
          <w:tcPr>
            <w:tcW w:w="714" w:type="pct"/>
            <w:vAlign w:val="center"/>
          </w:tcPr>
          <w:p w14:paraId="4ACE304A" w14:textId="63639BDC"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631F540F" w14:textId="67813A25"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43E8A0BC" w14:textId="03BC731D"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4E6B2B9B"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0.38</w:t>
            </w:r>
          </w:p>
        </w:tc>
        <w:tc>
          <w:tcPr>
            <w:tcW w:w="714" w:type="pct"/>
            <w:vAlign w:val="center"/>
          </w:tcPr>
          <w:p w14:paraId="0074B4F3"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1.33</w:t>
            </w:r>
          </w:p>
        </w:tc>
        <w:tc>
          <w:tcPr>
            <w:tcW w:w="714" w:type="pct"/>
            <w:vAlign w:val="center"/>
          </w:tcPr>
          <w:p w14:paraId="184E8760"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1.71</w:t>
            </w:r>
          </w:p>
        </w:tc>
      </w:tr>
    </w:tbl>
    <w:p w14:paraId="42F66D4E" w14:textId="77777777" w:rsidR="00556AAA" w:rsidRDefault="00556AAA" w:rsidP="002A4937">
      <w:pPr>
        <w:pStyle w:val="NoSpacing"/>
      </w:pPr>
    </w:p>
    <w:p w14:paraId="02CC141E" w14:textId="448E2264" w:rsidR="001E3A1C" w:rsidRDefault="001E3A1C" w:rsidP="001E3A1C">
      <w:pPr>
        <w:pStyle w:val="Heading4"/>
      </w:pPr>
      <w:r>
        <w:t xml:space="preserve">Current period performance: </w:t>
      </w:r>
      <w:r w:rsidR="00333779">
        <w:t>e</w:t>
      </w:r>
      <w:r w:rsidR="002B77A4">
        <w:t>xternal</w:t>
      </w:r>
      <w:r>
        <w:t xml:space="preserve"> cost </w:t>
      </w:r>
      <w:r w:rsidR="00FD67D9">
        <w:t>driver</w:t>
      </w:r>
      <w:r w:rsidR="002B77A4">
        <w:t>s</w:t>
      </w:r>
    </w:p>
    <w:p w14:paraId="6A2C8103" w14:textId="0A93FA3E" w:rsidR="001E3A1C" w:rsidRDefault="001E3A1C" w:rsidP="001E3A1C">
      <w:r>
        <w:t>Expenditure driven by external factors and not driven by the integration or changes in obligations over the regulatory period ha</w:t>
      </w:r>
      <w:r w:rsidR="00E716FB">
        <w:t>s</w:t>
      </w:r>
      <w:r>
        <w:t xml:space="preserve"> been defined as expenditure outside of GWW’s control and ‘changes in cost </w:t>
      </w:r>
      <w:proofErr w:type="gramStart"/>
      <w:r>
        <w:t>drivers’</w:t>
      </w:r>
      <w:proofErr w:type="gramEnd"/>
      <w:r>
        <w:t xml:space="preserve">. These are additional costs (above inflation) that we incurred to maintain service levels, where the activities undertaken were efficient and prudent. </w:t>
      </w:r>
    </w:p>
    <w:p w14:paraId="485E402F" w14:textId="639322C2" w:rsidR="00695BF8" w:rsidRDefault="001E3A1C" w:rsidP="00695BF8">
      <w:r>
        <w:t xml:space="preserve">The </w:t>
      </w:r>
      <w:r w:rsidR="0E5C18A4">
        <w:t>following</w:t>
      </w:r>
      <w:r>
        <w:t xml:space="preserve"> </w:t>
      </w:r>
      <w:r w:rsidR="00B10A0E">
        <w:t>key</w:t>
      </w:r>
      <w:r>
        <w:t xml:space="preserve"> cost increases have impacted on our current period performance:</w:t>
      </w:r>
      <w:r w:rsidR="00695BF8">
        <w:t xml:space="preserve"> </w:t>
      </w:r>
    </w:p>
    <w:p w14:paraId="62D131B9" w14:textId="217430E0" w:rsidR="003717C3" w:rsidRDefault="003717C3">
      <w:pPr>
        <w:pStyle w:val="ListBullet"/>
        <w:numPr>
          <w:ilvl w:val="0"/>
          <w:numId w:val="119"/>
        </w:numPr>
      </w:pPr>
      <w:r>
        <w:t>Operations and maintenance costs: increase in unit rates and safety requirements have resulted in additional costs that GWW has managed over the current regulatory period.</w:t>
      </w:r>
      <w:r w:rsidR="00802407">
        <w:t xml:space="preserve"> </w:t>
      </w:r>
      <w:r w:rsidR="00802407" w:rsidRPr="00802407">
        <w:t>This has resulted in $7.0 million above determination expenditure.</w:t>
      </w:r>
    </w:p>
    <w:p w14:paraId="0E6D8091" w14:textId="7EE667C4" w:rsidR="00C745CA" w:rsidRDefault="00695BF8">
      <w:pPr>
        <w:pStyle w:val="ListBullet"/>
        <w:numPr>
          <w:ilvl w:val="0"/>
          <w:numId w:val="119"/>
        </w:numPr>
      </w:pPr>
      <w:r>
        <w:t>Energy</w:t>
      </w:r>
      <w:r w:rsidR="005B706C">
        <w:t xml:space="preserve">: </w:t>
      </w:r>
      <w:r w:rsidR="0028193A" w:rsidRPr="0028193A">
        <w:t>compared to the 2018 and 2020 determinations, energy costs are lower overall. The base year, 2022-23, was abnormally low from a total energy cost of $3.6 million lower than determination financial models.</w:t>
      </w:r>
    </w:p>
    <w:p w14:paraId="19EA05E8" w14:textId="36ACF335" w:rsidR="00FD67D9" w:rsidRDefault="00FD67D9">
      <w:pPr>
        <w:pStyle w:val="ListBullet"/>
        <w:numPr>
          <w:ilvl w:val="0"/>
          <w:numId w:val="119"/>
        </w:numPr>
      </w:pPr>
      <w:r>
        <w:t>IT: observed increases in the cost and volume of licence fees.</w:t>
      </w:r>
      <w:r w:rsidR="009E76A4">
        <w:t xml:space="preserve"> </w:t>
      </w:r>
      <w:r w:rsidR="009E76A4" w:rsidRPr="009E76A4">
        <w:t>This has resulted in an increase in $4.1 million above determination in 2022-23.</w:t>
      </w:r>
      <w:r w:rsidR="00D0249C">
        <w:t xml:space="preserve"> </w:t>
      </w:r>
    </w:p>
    <w:p w14:paraId="41F156D8" w14:textId="430EEC72" w:rsidR="7A48422E" w:rsidRDefault="00AD505F">
      <w:pPr>
        <w:pStyle w:val="ListBullet"/>
        <w:numPr>
          <w:ilvl w:val="0"/>
          <w:numId w:val="119"/>
        </w:numPr>
      </w:pPr>
      <w:r>
        <w:t xml:space="preserve">Insurance: </w:t>
      </w:r>
      <w:r w:rsidRPr="00AD505F">
        <w:t>increase in premiums over the regulatory period</w:t>
      </w:r>
      <w:r>
        <w:t xml:space="preserve"> </w:t>
      </w:r>
      <w:r w:rsidRPr="00AD505F">
        <w:t>driven by tightening in the insurance market and increased risk of natural disasters</w:t>
      </w:r>
      <w:r>
        <w:t>.</w:t>
      </w:r>
      <w:r w:rsidR="00D0249C">
        <w:t xml:space="preserve"> </w:t>
      </w:r>
      <w:r w:rsidR="00D0249C" w:rsidRPr="00D0249C">
        <w:t>This has resulted in an increase in $3.6 million above determination in 2022-23.</w:t>
      </w:r>
    </w:p>
    <w:p w14:paraId="285FCD06" w14:textId="13EE7FA5" w:rsidR="00D0249C" w:rsidRDefault="00045640">
      <w:pPr>
        <w:pStyle w:val="ListBullet"/>
        <w:numPr>
          <w:ilvl w:val="0"/>
          <w:numId w:val="119"/>
        </w:numPr>
      </w:pPr>
      <w:r w:rsidRPr="00045640">
        <w:lastRenderedPageBreak/>
        <w:t>Chemicals: compared to the 2018 CWW determination and 2020 WW determination, chemical costs are significantly higher in 2022-23. The total cost increase was $1.9 million, with $0.3 million step change in 2021-22 allocated to our transformation program – compliance.</w:t>
      </w:r>
    </w:p>
    <w:p w14:paraId="69B5D49E" w14:textId="4AA3AEF6" w:rsidR="00BE5E40" w:rsidRDefault="00863797" w:rsidP="00DC3663">
      <w:r w:rsidRPr="00863797">
        <w:t xml:space="preserve">A summary is presented </w:t>
      </w:r>
      <w:r w:rsidR="00FC7813">
        <w:t>in</w:t>
      </w:r>
      <w:r w:rsidR="00432FB3">
        <w:t xml:space="preserve"> </w:t>
      </w:r>
      <w:r w:rsidR="00432FB3">
        <w:fldChar w:fldCharType="begin"/>
      </w:r>
      <w:r w:rsidR="00432FB3">
        <w:instrText xml:space="preserve"> REF _Ref146519475 \h </w:instrText>
      </w:r>
      <w:r w:rsidR="00432FB3">
        <w:fldChar w:fldCharType="separate"/>
      </w:r>
      <w:r w:rsidR="003B42C6" w:rsidRPr="00F8028A">
        <w:rPr>
          <w:b/>
        </w:rPr>
        <w:t xml:space="preserve">Table </w:t>
      </w:r>
      <w:r w:rsidR="003B42C6">
        <w:rPr>
          <w:b/>
          <w:noProof/>
        </w:rPr>
        <w:t>18</w:t>
      </w:r>
      <w:r w:rsidR="00432FB3">
        <w:fldChar w:fldCharType="end"/>
      </w:r>
      <w:r w:rsidR="003F10A9">
        <w:t>.</w:t>
      </w:r>
      <w:r w:rsidR="00FC7813">
        <w:t xml:space="preserve"> </w:t>
      </w:r>
    </w:p>
    <w:p w14:paraId="5B956D68" w14:textId="45C050FA" w:rsidR="00BB36A4" w:rsidRDefault="00BB36A4" w:rsidP="00BB36A4">
      <w:pPr>
        <w:pStyle w:val="Caption"/>
      </w:pPr>
      <w:bookmarkStart w:id="130" w:name="_Ref146519475"/>
      <w:r w:rsidRPr="00F8028A">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18</w:t>
      </w:r>
      <w:r w:rsidRPr="00521AA0">
        <w:rPr>
          <w:b/>
        </w:rPr>
        <w:fldChar w:fldCharType="end"/>
      </w:r>
      <w:bookmarkEnd w:id="130"/>
      <w:r w:rsidR="00F8028A">
        <w:t xml:space="preserve"> </w:t>
      </w:r>
      <w:r w:rsidRPr="0022661B">
        <w:t xml:space="preserve">Changes </w:t>
      </w:r>
      <w:r w:rsidR="00075C12">
        <w:t>to</w:t>
      </w:r>
      <w:r w:rsidRPr="0022661B">
        <w:t xml:space="preserve"> </w:t>
      </w:r>
      <w:proofErr w:type="spellStart"/>
      <w:r w:rsidRPr="0022661B">
        <w:t>opex</w:t>
      </w:r>
      <w:proofErr w:type="spellEnd"/>
      <w:r w:rsidRPr="0022661B">
        <w:t xml:space="preserve"> due to external cost drivers ($million, 2023-24)</w:t>
      </w:r>
    </w:p>
    <w:tbl>
      <w:tblPr>
        <w:tblStyle w:val="GWWDefaulttable"/>
        <w:tblW w:w="5000" w:type="pct"/>
        <w:tblLook w:val="04A0" w:firstRow="1" w:lastRow="0" w:firstColumn="1" w:lastColumn="0" w:noHBand="0" w:noVBand="1"/>
      </w:tblPr>
      <w:tblGrid>
        <w:gridCol w:w="1397"/>
        <w:gridCol w:w="1649"/>
        <w:gridCol w:w="1648"/>
        <w:gridCol w:w="1648"/>
        <w:gridCol w:w="1648"/>
        <w:gridCol w:w="1648"/>
      </w:tblGrid>
      <w:tr w:rsidR="00297DD8" w14:paraId="3C38C356" w14:textId="77777777" w:rsidTr="00312C9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4" w:type="pct"/>
          </w:tcPr>
          <w:p w14:paraId="321E7F23" w14:textId="77777777" w:rsidR="00297DD8" w:rsidRDefault="00297DD8"/>
        </w:tc>
        <w:tc>
          <w:tcPr>
            <w:tcW w:w="855" w:type="pct"/>
            <w:vAlign w:val="center"/>
          </w:tcPr>
          <w:p w14:paraId="5700206E"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55" w:type="pct"/>
            <w:vAlign w:val="center"/>
          </w:tcPr>
          <w:p w14:paraId="3AE8F713"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55" w:type="pct"/>
            <w:vAlign w:val="center"/>
          </w:tcPr>
          <w:p w14:paraId="165B68F3"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55" w:type="pct"/>
            <w:vAlign w:val="center"/>
          </w:tcPr>
          <w:p w14:paraId="4BD5EBF9"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55" w:type="pct"/>
            <w:vAlign w:val="center"/>
          </w:tcPr>
          <w:p w14:paraId="68CA840D"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297DD8" w14:paraId="0294B794" w14:textId="77777777" w:rsidTr="00312C97">
        <w:trPr>
          <w:trHeight w:val="170"/>
        </w:trPr>
        <w:tc>
          <w:tcPr>
            <w:cnfStyle w:val="001000000000" w:firstRow="0" w:lastRow="0" w:firstColumn="1" w:lastColumn="0" w:oddVBand="0" w:evenVBand="0" w:oddHBand="0" w:evenHBand="0" w:firstRowFirstColumn="0" w:firstRowLastColumn="0" w:lastRowFirstColumn="0" w:lastRowLastColumn="0"/>
            <w:tcW w:w="724" w:type="pct"/>
          </w:tcPr>
          <w:p w14:paraId="68AA8132" w14:textId="77777777" w:rsidR="00297DD8" w:rsidRPr="00981CB6" w:rsidRDefault="00297DD8">
            <w:pPr>
              <w:rPr>
                <w:b w:val="0"/>
              </w:rPr>
            </w:pPr>
            <w:proofErr w:type="spellStart"/>
            <w:r w:rsidRPr="00981CB6">
              <w:rPr>
                <w:b w:val="0"/>
              </w:rPr>
              <w:t>Opex</w:t>
            </w:r>
            <w:proofErr w:type="spellEnd"/>
          </w:p>
        </w:tc>
        <w:tc>
          <w:tcPr>
            <w:tcW w:w="855" w:type="pct"/>
            <w:vAlign w:val="center"/>
          </w:tcPr>
          <w:p w14:paraId="702B5BE3" w14:textId="77777777"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3.35 </w:t>
            </w:r>
          </w:p>
        </w:tc>
        <w:tc>
          <w:tcPr>
            <w:tcW w:w="855" w:type="pct"/>
            <w:vAlign w:val="center"/>
          </w:tcPr>
          <w:p w14:paraId="4A7115EA" w14:textId="77777777"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5.76 </w:t>
            </w:r>
          </w:p>
        </w:tc>
        <w:tc>
          <w:tcPr>
            <w:tcW w:w="855" w:type="pct"/>
            <w:vAlign w:val="center"/>
          </w:tcPr>
          <w:p w14:paraId="6F6294FC" w14:textId="65230586"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1.79 </w:t>
            </w:r>
          </w:p>
        </w:tc>
        <w:tc>
          <w:tcPr>
            <w:tcW w:w="855" w:type="pct"/>
            <w:vAlign w:val="center"/>
          </w:tcPr>
          <w:p w14:paraId="33FA85BA" w14:textId="0B97D853"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6.85 </w:t>
            </w:r>
          </w:p>
        </w:tc>
        <w:tc>
          <w:tcPr>
            <w:tcW w:w="855" w:type="pct"/>
            <w:vAlign w:val="center"/>
          </w:tcPr>
          <w:p w14:paraId="2CE905EA" w14:textId="5B52982E"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12.69 </w:t>
            </w:r>
          </w:p>
        </w:tc>
      </w:tr>
    </w:tbl>
    <w:p w14:paraId="67BC4D53" w14:textId="77777777" w:rsidR="00863797" w:rsidRDefault="00863797" w:rsidP="00FD67D9"/>
    <w:p w14:paraId="2FDAF28B" w14:textId="77777777" w:rsidR="00854933" w:rsidRDefault="00710207" w:rsidP="005B69CD">
      <w:pPr>
        <w:pStyle w:val="Heading3"/>
      </w:pPr>
      <w:r w:rsidRPr="00710207">
        <w:t>Base year operating expenditure</w:t>
      </w:r>
    </w:p>
    <w:p w14:paraId="7D977E8E" w14:textId="169DEBBA" w:rsidR="00FD13E4" w:rsidRDefault="00FD13E4" w:rsidP="00FD13E4">
      <w:r>
        <w:t xml:space="preserve">For the regulatory period ending 30 June 2028, the base year </w:t>
      </w:r>
      <w:r w:rsidR="0030569D">
        <w:t>for our forecasts of controllable prescribed</w:t>
      </w:r>
      <w:r>
        <w:t xml:space="preserve"> operating expenditure is 2022-23</w:t>
      </w:r>
      <w:r w:rsidR="0030569D">
        <w:t xml:space="preserve">. The base year is our </w:t>
      </w:r>
      <w:r>
        <w:t xml:space="preserve">second complete year of </w:t>
      </w:r>
      <w:r w:rsidR="0030569D">
        <w:t xml:space="preserve">operations as </w:t>
      </w:r>
      <w:r>
        <w:t>G</w:t>
      </w:r>
      <w:r w:rsidR="0541D8C2">
        <w:t>WW</w:t>
      </w:r>
      <w:r w:rsidR="0030569D">
        <w:t xml:space="preserve"> and reflects a </w:t>
      </w:r>
      <w:r>
        <w:t xml:space="preserve">peak </w:t>
      </w:r>
      <w:r w:rsidR="0030569D">
        <w:t>level of integration operating expenditure.</w:t>
      </w:r>
      <w:r>
        <w:t xml:space="preserve"> </w:t>
      </w:r>
    </w:p>
    <w:p w14:paraId="37DF1967" w14:textId="77777777" w:rsidR="00FD13E4" w:rsidRDefault="00FD13E4" w:rsidP="00FD13E4">
      <w:r>
        <w:t>Consistent with the PREMO framework we have:</w:t>
      </w:r>
    </w:p>
    <w:p w14:paraId="04DE5C2A" w14:textId="77777777" w:rsidR="00FD13E4" w:rsidRDefault="00FD13E4">
      <w:pPr>
        <w:pStyle w:val="ListBullet"/>
        <w:numPr>
          <w:ilvl w:val="0"/>
          <w:numId w:val="120"/>
        </w:numPr>
      </w:pPr>
      <w:r>
        <w:t xml:space="preserve">clearly identified the controllable and non-controllable expenditure associated with our prescribed </w:t>
      </w:r>
      <w:proofErr w:type="gramStart"/>
      <w:r>
        <w:t>services</w:t>
      </w:r>
      <w:proofErr w:type="gramEnd"/>
    </w:p>
    <w:p w14:paraId="61825F45" w14:textId="77777777" w:rsidR="00FD13E4" w:rsidRDefault="00FD13E4">
      <w:pPr>
        <w:pStyle w:val="ListBullet"/>
        <w:numPr>
          <w:ilvl w:val="0"/>
          <w:numId w:val="120"/>
        </w:numPr>
      </w:pPr>
      <w:r>
        <w:t xml:space="preserve">adjusted the base year to remove non-recurrent activities and adjust for anticipated recurrent activities that are not captured in that </w:t>
      </w:r>
      <w:proofErr w:type="gramStart"/>
      <w:r>
        <w:t>year</w:t>
      </w:r>
      <w:proofErr w:type="gramEnd"/>
      <w:r>
        <w:t xml:space="preserve"> </w:t>
      </w:r>
    </w:p>
    <w:p w14:paraId="618DB3C1" w14:textId="77777777" w:rsidR="00FD13E4" w:rsidRDefault="00A84900">
      <w:pPr>
        <w:pStyle w:val="ListBullet"/>
        <w:numPr>
          <w:ilvl w:val="0"/>
          <w:numId w:val="120"/>
        </w:numPr>
      </w:pPr>
      <w:r>
        <w:t>e</w:t>
      </w:r>
      <w:r w:rsidR="00FD13E4">
        <w:t xml:space="preserve">stablished the efficiency of the base year controllable </w:t>
      </w:r>
      <w:proofErr w:type="spellStart"/>
      <w:r w:rsidR="00FD13E4">
        <w:t>opex</w:t>
      </w:r>
      <w:proofErr w:type="spellEnd"/>
      <w:r w:rsidR="00FD13E4">
        <w:t xml:space="preserve">. </w:t>
      </w:r>
    </w:p>
    <w:p w14:paraId="1435DD37" w14:textId="77777777" w:rsidR="0030569D" w:rsidRDefault="0030569D" w:rsidP="0030569D">
      <w:pPr>
        <w:pStyle w:val="Heading4"/>
      </w:pPr>
      <w:r>
        <w:t xml:space="preserve">Base year </w:t>
      </w:r>
      <w:r w:rsidRPr="006F678E">
        <w:t>operating expenditure</w:t>
      </w:r>
    </w:p>
    <w:p w14:paraId="7174423F" w14:textId="78F82C54" w:rsidR="0030569D" w:rsidRDefault="0030569D" w:rsidP="0030569D">
      <w:r>
        <w:t xml:space="preserve">In 2022-23, GWW’s total operating expenditure </w:t>
      </w:r>
      <w:r w:rsidRPr="00FD6A08">
        <w:t xml:space="preserve">was </w:t>
      </w:r>
      <w:r w:rsidRPr="006D7CD8">
        <w:t>$</w:t>
      </w:r>
      <w:r w:rsidRPr="00FD6A08">
        <w:t>67</w:t>
      </w:r>
      <w:r w:rsidR="00AE3B51">
        <w:t>0.3</w:t>
      </w:r>
      <w:r w:rsidRPr="00FD6A08">
        <w:t xml:space="preserve"> million. This</w:t>
      </w:r>
      <w:r>
        <w:t xml:space="preserve"> total includes non-controllable expenditure, non-prescribed operating expenditure, revenue offsets and operating expenditure that is proposed to be capitalised under the regulatory framework. </w:t>
      </w:r>
    </w:p>
    <w:p w14:paraId="141E5EBB" w14:textId="5C1ACB0E" w:rsidR="0030569D" w:rsidRDefault="0030569D" w:rsidP="0030569D">
      <w:r>
        <w:t xml:space="preserve">To establish our base year </w:t>
      </w:r>
      <w:r w:rsidR="001E5EA3">
        <w:t xml:space="preserve">controllable </w:t>
      </w:r>
      <w:r>
        <w:t>expenditure, we are proposing a total adjustment of $4</w:t>
      </w:r>
      <w:r w:rsidR="00AE3B51">
        <w:t>60.6</w:t>
      </w:r>
      <w:r>
        <w:t xml:space="preserve"> million (as </w:t>
      </w:r>
      <w:r w:rsidRPr="00AE3B51">
        <w:t>itemised in</w:t>
      </w:r>
      <w:r w:rsidR="0042516F">
        <w:t xml:space="preserve"> </w:t>
      </w:r>
      <w:r w:rsidR="007271BB">
        <w:fldChar w:fldCharType="begin"/>
      </w:r>
      <w:r w:rsidR="007271BB">
        <w:instrText xml:space="preserve"> REF _Ref146626688 \h </w:instrText>
      </w:r>
      <w:r w:rsidR="007271BB">
        <w:fldChar w:fldCharType="separate"/>
      </w:r>
      <w:r w:rsidR="003B42C6" w:rsidRPr="00653A54">
        <w:rPr>
          <w:b/>
        </w:rPr>
        <w:t xml:space="preserve">Table </w:t>
      </w:r>
      <w:r w:rsidR="003B42C6">
        <w:rPr>
          <w:b/>
          <w:noProof/>
        </w:rPr>
        <w:t>19</w:t>
      </w:r>
      <w:r w:rsidR="007271BB">
        <w:fldChar w:fldCharType="end"/>
      </w:r>
      <w:r>
        <w:t>). In summary, this adjustment is comprised of:</w:t>
      </w:r>
    </w:p>
    <w:p w14:paraId="10F152D8" w14:textId="7819C22D" w:rsidR="001A6E35" w:rsidRDefault="001A6E35">
      <w:pPr>
        <w:pStyle w:val="ListBullet"/>
        <w:numPr>
          <w:ilvl w:val="0"/>
          <w:numId w:val="121"/>
        </w:numPr>
      </w:pPr>
      <w:r>
        <w:t xml:space="preserve">Regulatory capitalisation of -$41.4 million: </w:t>
      </w:r>
      <w:r w:rsidR="004E2E1C">
        <w:t xml:space="preserve">this </w:t>
      </w:r>
      <w:r>
        <w:t xml:space="preserve">relates to the capitalisation of statutory operating expenditure as the benefits of the related projects extending beyond one regulatory period. Refer to </w:t>
      </w:r>
      <w:r w:rsidR="00481107">
        <w:t>S</w:t>
      </w:r>
      <w:r>
        <w:t xml:space="preserve">ection </w:t>
      </w:r>
      <w:r w:rsidR="005057A3">
        <w:t xml:space="preserve">4.3 </w:t>
      </w:r>
      <w:r w:rsidRPr="00FD027D">
        <w:t>for more details.</w:t>
      </w:r>
    </w:p>
    <w:p w14:paraId="1503E025" w14:textId="5B3F2264" w:rsidR="001A6E35" w:rsidRDefault="001A6E35">
      <w:pPr>
        <w:pStyle w:val="ListBullet"/>
        <w:numPr>
          <w:ilvl w:val="0"/>
          <w:numId w:val="121"/>
        </w:numPr>
      </w:pPr>
      <w:r>
        <w:t xml:space="preserve">Non-prescribed costs of -$5.3 million: </w:t>
      </w:r>
      <w:r w:rsidR="003A5EBF">
        <w:t>non</w:t>
      </w:r>
      <w:r>
        <w:t xml:space="preserve">-prescribed expenditures include expenditure associated with the collection of the Parks Charge on behalf of </w:t>
      </w:r>
      <w:r w:rsidR="00C7659C">
        <w:t>the Department of Energy, Environment and Climate Action</w:t>
      </w:r>
      <w:r w:rsidR="00265923">
        <w:t xml:space="preserve"> (DEECA)</w:t>
      </w:r>
      <w:r>
        <w:t xml:space="preserve">. </w:t>
      </w:r>
    </w:p>
    <w:p w14:paraId="50BA9D58" w14:textId="6622897B" w:rsidR="001A6E35" w:rsidRDefault="001A6E35">
      <w:pPr>
        <w:pStyle w:val="ListBullet"/>
        <w:numPr>
          <w:ilvl w:val="0"/>
          <w:numId w:val="121"/>
        </w:numPr>
      </w:pPr>
      <w:r>
        <w:t>Bad debts of -$4.9 million: statutory accounts include bad debt as an expense</w:t>
      </w:r>
      <w:r w:rsidR="002C152B">
        <w:t>;</w:t>
      </w:r>
      <w:r>
        <w:t xml:space="preserve"> however</w:t>
      </w:r>
      <w:r w:rsidR="002C152B">
        <w:t>,</w:t>
      </w:r>
      <w:r>
        <w:t xml:space="preserve"> this is captured as a revenue offset in the regulatory forecast. </w:t>
      </w:r>
    </w:p>
    <w:p w14:paraId="223311C3" w14:textId="17801EF0" w:rsidR="001A6E35" w:rsidRDefault="001A6E35">
      <w:pPr>
        <w:pStyle w:val="ListBullet"/>
        <w:numPr>
          <w:ilvl w:val="0"/>
          <w:numId w:val="121"/>
        </w:numPr>
      </w:pPr>
      <w:r>
        <w:t xml:space="preserve">Regulatory </w:t>
      </w:r>
      <w:proofErr w:type="spellStart"/>
      <w:r>
        <w:t>opex</w:t>
      </w:r>
      <w:proofErr w:type="spellEnd"/>
      <w:r>
        <w:t xml:space="preserve"> adjustment of +$6.1 million: this is the only addi</w:t>
      </w:r>
      <w:r w:rsidR="007E7469">
        <w:t>tion</w:t>
      </w:r>
      <w:r>
        <w:t xml:space="preserve"> to our statutory accounts and reflects the cash paid for leases of land and property. These leases sit on our balance sheet as </w:t>
      </w:r>
      <w:r w:rsidR="002C152B">
        <w:t>liabilities and</w:t>
      </w:r>
      <w:r>
        <w:t xml:space="preserve"> </w:t>
      </w:r>
      <w:r w:rsidR="00B3736D">
        <w:t xml:space="preserve">are </w:t>
      </w:r>
      <w:r>
        <w:t>expensed through depreciation and interest on the income statement.</w:t>
      </w:r>
    </w:p>
    <w:p w14:paraId="4064DA20" w14:textId="4A4F4735" w:rsidR="00E07635" w:rsidRDefault="001A6E35">
      <w:pPr>
        <w:pStyle w:val="ListBullet"/>
        <w:numPr>
          <w:ilvl w:val="0"/>
          <w:numId w:val="121"/>
        </w:numPr>
      </w:pPr>
      <w:r>
        <w:lastRenderedPageBreak/>
        <w:t xml:space="preserve">Non-controllable costs of -$409.2 million: this is all the bulk charges, licence fees and the environmental contribution levy paid for in 2022-23. The forecast for non-controllable operating expenditure is completed separately and described in </w:t>
      </w:r>
      <w:r w:rsidR="004922E6">
        <w:t>S</w:t>
      </w:r>
      <w:r>
        <w:t xml:space="preserve">ection </w:t>
      </w:r>
      <w:r w:rsidR="000822B9" w:rsidRPr="00FD027D">
        <w:t>4.2.6</w:t>
      </w:r>
      <w:r w:rsidR="001B2BC5" w:rsidRPr="00FD027D">
        <w:t xml:space="preserve">. </w:t>
      </w:r>
      <w:r w:rsidRPr="00FD027D">
        <w:t>Non-controllable operating expenditure</w:t>
      </w:r>
      <w:r>
        <w:t xml:space="preserve">. </w:t>
      </w:r>
    </w:p>
    <w:p w14:paraId="13C67A3A" w14:textId="6D809A19" w:rsidR="00FD67D9" w:rsidRDefault="001A6E35">
      <w:pPr>
        <w:pStyle w:val="ListBullet"/>
        <w:numPr>
          <w:ilvl w:val="0"/>
          <w:numId w:val="121"/>
        </w:numPr>
      </w:pPr>
      <w:r>
        <w:t>Non-recurrent expenditure of -$5.9 million: the total one-off expenses in 2022-23, with over half of this due to one-off integration expenses, $2.9 million.</w:t>
      </w:r>
    </w:p>
    <w:p w14:paraId="404BCA07" w14:textId="5A85EAB1" w:rsidR="0030569D" w:rsidRDefault="0030569D" w:rsidP="0030569D">
      <w:r>
        <w:t>The total prescribed,</w:t>
      </w:r>
      <w:r w:rsidR="00E07635">
        <w:t xml:space="preserve"> adjusted</w:t>
      </w:r>
      <w:r>
        <w:t xml:space="preserve"> controllable operating expenditure for the base year is $209.6 million. </w:t>
      </w:r>
    </w:p>
    <w:p w14:paraId="28EB45FC" w14:textId="77BF86F0" w:rsidR="00BB36A4" w:rsidRDefault="00BB36A4" w:rsidP="00BB36A4">
      <w:pPr>
        <w:pStyle w:val="Caption"/>
      </w:pPr>
      <w:bookmarkStart w:id="131" w:name="_Ref146626688"/>
      <w:r w:rsidRPr="00653A54">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19</w:t>
      </w:r>
      <w:r w:rsidRPr="00521AA0">
        <w:rPr>
          <w:b/>
        </w:rPr>
        <w:fldChar w:fldCharType="end"/>
      </w:r>
      <w:bookmarkEnd w:id="131"/>
      <w:r w:rsidR="00653A54">
        <w:t xml:space="preserve"> </w:t>
      </w:r>
      <w:r w:rsidRPr="002D49E9">
        <w:t xml:space="preserve">Base year </w:t>
      </w:r>
      <w:proofErr w:type="spellStart"/>
      <w:r w:rsidRPr="002D49E9">
        <w:t>opex</w:t>
      </w:r>
      <w:proofErr w:type="spellEnd"/>
      <w:r w:rsidRPr="002D49E9">
        <w:t xml:space="preserve"> ($million, 2023-4)</w:t>
      </w:r>
    </w:p>
    <w:tbl>
      <w:tblPr>
        <w:tblStyle w:val="GWWDefaulttable"/>
        <w:tblW w:w="5000" w:type="pct"/>
        <w:tblLook w:val="04A0" w:firstRow="1" w:lastRow="0" w:firstColumn="1" w:lastColumn="0" w:noHBand="0" w:noVBand="1"/>
      </w:tblPr>
      <w:tblGrid>
        <w:gridCol w:w="2587"/>
        <w:gridCol w:w="5463"/>
        <w:gridCol w:w="1588"/>
      </w:tblGrid>
      <w:tr w:rsidR="002E1998" w:rsidRPr="00736600" w14:paraId="252497A8" w14:textId="77777777" w:rsidTr="00291F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2" w:type="pct"/>
          </w:tcPr>
          <w:p w14:paraId="4D25237A" w14:textId="77777777" w:rsidR="00736600" w:rsidRPr="00736600" w:rsidRDefault="00736600" w:rsidP="00291F26">
            <w:r w:rsidRPr="00736600">
              <w:t>Category</w:t>
            </w:r>
          </w:p>
        </w:tc>
        <w:tc>
          <w:tcPr>
            <w:tcW w:w="2834" w:type="pct"/>
            <w:vAlign w:val="center"/>
          </w:tcPr>
          <w:p w14:paraId="24CEED51" w14:textId="77777777" w:rsidR="00736600" w:rsidRPr="00736600" w:rsidRDefault="00736600" w:rsidP="00291F26">
            <w:pPr>
              <w:cnfStyle w:val="100000000000" w:firstRow="1" w:lastRow="0" w:firstColumn="0" w:lastColumn="0" w:oddVBand="0" w:evenVBand="0" w:oddHBand="0" w:evenHBand="0" w:firstRowFirstColumn="0" w:firstRowLastColumn="0" w:lastRowFirstColumn="0" w:lastRowLastColumn="0"/>
            </w:pPr>
            <w:r w:rsidRPr="00736600">
              <w:t>Item</w:t>
            </w:r>
          </w:p>
        </w:tc>
        <w:tc>
          <w:tcPr>
            <w:tcW w:w="824" w:type="pct"/>
            <w:vAlign w:val="center"/>
          </w:tcPr>
          <w:p w14:paraId="317308C7" w14:textId="77777777" w:rsidR="00736600" w:rsidRPr="00736600" w:rsidRDefault="00736600" w:rsidP="00291F26">
            <w:pPr>
              <w:jc w:val="right"/>
              <w:cnfStyle w:val="100000000000" w:firstRow="1" w:lastRow="0" w:firstColumn="0" w:lastColumn="0" w:oddVBand="0" w:evenVBand="0" w:oddHBand="0" w:evenHBand="0" w:firstRowFirstColumn="0" w:firstRowLastColumn="0" w:lastRowFirstColumn="0" w:lastRowLastColumn="0"/>
            </w:pPr>
            <w:r w:rsidRPr="00736600">
              <w:t>2022-23</w:t>
            </w:r>
          </w:p>
        </w:tc>
      </w:tr>
      <w:tr w:rsidR="00736600" w:rsidRPr="00953611" w14:paraId="6EA769CB"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07DAC7F3" w14:textId="77777777" w:rsidR="00736600" w:rsidRPr="00736600" w:rsidRDefault="00736600" w:rsidP="00291F26">
            <w:proofErr w:type="spellStart"/>
            <w:r w:rsidRPr="00736600">
              <w:t>Opex</w:t>
            </w:r>
            <w:proofErr w:type="spellEnd"/>
            <w:r w:rsidRPr="00736600">
              <w:t xml:space="preserve"> as per statutory accounts</w:t>
            </w:r>
          </w:p>
        </w:tc>
        <w:tc>
          <w:tcPr>
            <w:tcW w:w="824" w:type="pct"/>
            <w:shd w:val="clear" w:color="auto" w:fill="F4F0EE" w:themeFill="background2"/>
            <w:vAlign w:val="center"/>
          </w:tcPr>
          <w:p w14:paraId="6F35666E"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670.26</w:t>
            </w:r>
          </w:p>
        </w:tc>
      </w:tr>
      <w:tr w:rsidR="002E1998" w:rsidRPr="00736600" w14:paraId="6C1A4BA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279276E0" w14:textId="77777777" w:rsidR="00736600" w:rsidRPr="002A632F" w:rsidRDefault="00736600" w:rsidP="00291F26">
            <w:pPr>
              <w:rPr>
                <w:b w:val="0"/>
              </w:rPr>
            </w:pPr>
            <w:r w:rsidRPr="00312C97">
              <w:rPr>
                <w:b w:val="0"/>
              </w:rPr>
              <w:t>Regulatory capitalisation</w:t>
            </w:r>
          </w:p>
        </w:tc>
        <w:tc>
          <w:tcPr>
            <w:tcW w:w="2834" w:type="pct"/>
            <w:vAlign w:val="center"/>
          </w:tcPr>
          <w:p w14:paraId="38E73908"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Billing and collections and other SaaS programs</w:t>
            </w:r>
          </w:p>
        </w:tc>
        <w:tc>
          <w:tcPr>
            <w:tcW w:w="824" w:type="pct"/>
            <w:vAlign w:val="center"/>
          </w:tcPr>
          <w:p w14:paraId="1983B09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-38.56</w:t>
            </w:r>
          </w:p>
        </w:tc>
      </w:tr>
      <w:tr w:rsidR="002E1998" w:rsidRPr="00736600" w14:paraId="29F6BD68"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7D5F5E0" w14:textId="77777777" w:rsidR="00736600" w:rsidRPr="002A632F" w:rsidRDefault="00736600" w:rsidP="00291F26">
            <w:pPr>
              <w:rPr>
                <w:b w:val="0"/>
              </w:rPr>
            </w:pPr>
          </w:p>
        </w:tc>
        <w:tc>
          <w:tcPr>
            <w:tcW w:w="2834" w:type="pct"/>
            <w:vAlign w:val="center"/>
          </w:tcPr>
          <w:p w14:paraId="76467DE5"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Capital delivery uplift (Asset Delivery Organisational Review)</w:t>
            </w:r>
          </w:p>
        </w:tc>
        <w:tc>
          <w:tcPr>
            <w:tcW w:w="824" w:type="pct"/>
            <w:vAlign w:val="center"/>
          </w:tcPr>
          <w:p w14:paraId="0958AD23"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-2.82</w:t>
            </w:r>
          </w:p>
        </w:tc>
      </w:tr>
      <w:tr w:rsidR="002E1998" w:rsidRPr="00736600" w14:paraId="0198FCAE"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79CD0044" w14:textId="77777777" w:rsidR="00736600" w:rsidRPr="002A632F" w:rsidRDefault="00736600" w:rsidP="00291F26">
            <w:pPr>
              <w:rPr>
                <w:b w:val="0"/>
              </w:rPr>
            </w:pPr>
            <w:r w:rsidRPr="00312C97">
              <w:rPr>
                <w:b w:val="0"/>
              </w:rPr>
              <w:t xml:space="preserve">Non-prescribed </w:t>
            </w:r>
            <w:proofErr w:type="spellStart"/>
            <w:r w:rsidRPr="00312C97">
              <w:rPr>
                <w:b w:val="0"/>
              </w:rPr>
              <w:t>opex</w:t>
            </w:r>
            <w:proofErr w:type="spellEnd"/>
          </w:p>
        </w:tc>
        <w:tc>
          <w:tcPr>
            <w:tcW w:w="2834" w:type="pct"/>
            <w:vAlign w:val="center"/>
          </w:tcPr>
          <w:p w14:paraId="48902777"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Operating expenditure for third party invoicing</w:t>
            </w:r>
          </w:p>
        </w:tc>
        <w:tc>
          <w:tcPr>
            <w:tcW w:w="824" w:type="pct"/>
            <w:vAlign w:val="center"/>
          </w:tcPr>
          <w:p w14:paraId="5D46D652"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-5.32</w:t>
            </w:r>
          </w:p>
        </w:tc>
      </w:tr>
      <w:tr w:rsidR="002E1998" w:rsidRPr="00736600" w14:paraId="6813CAB5"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65226079" w14:textId="77777777" w:rsidR="00736600" w:rsidRPr="002A632F" w:rsidRDefault="00736600" w:rsidP="00291F26">
            <w:pPr>
              <w:rPr>
                <w:b w:val="0"/>
              </w:rPr>
            </w:pPr>
            <w:r w:rsidRPr="00312C97">
              <w:rPr>
                <w:b w:val="0"/>
              </w:rPr>
              <w:t>Bad debt</w:t>
            </w:r>
          </w:p>
        </w:tc>
        <w:tc>
          <w:tcPr>
            <w:tcW w:w="2834" w:type="pct"/>
            <w:vAlign w:val="center"/>
          </w:tcPr>
          <w:p w14:paraId="72DBE3D0"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Revenue offset of bad debt</w:t>
            </w:r>
          </w:p>
        </w:tc>
        <w:tc>
          <w:tcPr>
            <w:tcW w:w="824" w:type="pct"/>
            <w:vAlign w:val="center"/>
          </w:tcPr>
          <w:p w14:paraId="78BF906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-4.93</w:t>
            </w:r>
          </w:p>
        </w:tc>
      </w:tr>
      <w:tr w:rsidR="002E1998" w:rsidRPr="00736600" w14:paraId="0E358B66"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5A54755E" w14:textId="77777777" w:rsidR="00736600" w:rsidRPr="002A632F" w:rsidRDefault="00736600" w:rsidP="00291F26">
            <w:pPr>
              <w:rPr>
                <w:b w:val="0"/>
              </w:rPr>
            </w:pPr>
            <w:r w:rsidRPr="00312C97">
              <w:rPr>
                <w:b w:val="0"/>
              </w:rPr>
              <w:t>Regulatory adjustment</w:t>
            </w:r>
          </w:p>
        </w:tc>
        <w:tc>
          <w:tcPr>
            <w:tcW w:w="2834" w:type="pct"/>
            <w:vAlign w:val="center"/>
          </w:tcPr>
          <w:p w14:paraId="75277B66"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Operating leases</w:t>
            </w:r>
          </w:p>
        </w:tc>
        <w:tc>
          <w:tcPr>
            <w:tcW w:w="824" w:type="pct"/>
            <w:vAlign w:val="center"/>
          </w:tcPr>
          <w:p w14:paraId="06B5F99C"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+6.08</w:t>
            </w:r>
          </w:p>
        </w:tc>
      </w:tr>
      <w:tr w:rsidR="00E0415E" w:rsidRPr="00953611" w14:paraId="25A1FF6D"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37318499" w14:textId="77777777" w:rsidR="00736600" w:rsidRPr="00736600" w:rsidRDefault="00736600" w:rsidP="00291F26">
            <w:proofErr w:type="spellStart"/>
            <w:r w:rsidRPr="00736600">
              <w:t>Opex</w:t>
            </w:r>
            <w:proofErr w:type="spellEnd"/>
            <w:r w:rsidRPr="00736600">
              <w:t xml:space="preserve"> as per regulatory accounts</w:t>
            </w:r>
          </w:p>
        </w:tc>
        <w:tc>
          <w:tcPr>
            <w:tcW w:w="824" w:type="pct"/>
            <w:shd w:val="clear" w:color="auto" w:fill="F4F0EE" w:themeFill="background2"/>
            <w:vAlign w:val="center"/>
          </w:tcPr>
          <w:p w14:paraId="01B8B26F"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624.71</w:t>
            </w:r>
          </w:p>
        </w:tc>
      </w:tr>
      <w:tr w:rsidR="00E0415E" w:rsidRPr="00736600" w14:paraId="210B318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2F73C362" w14:textId="77777777" w:rsidR="00736600" w:rsidRPr="002A632F" w:rsidRDefault="00736600" w:rsidP="00291F26">
            <w:pPr>
              <w:rPr>
                <w:b w:val="0"/>
              </w:rPr>
            </w:pPr>
            <w:r w:rsidRPr="00867470">
              <w:rPr>
                <w:b w:val="0"/>
              </w:rPr>
              <w:t xml:space="preserve">Non-controllable </w:t>
            </w:r>
            <w:proofErr w:type="spellStart"/>
            <w:r w:rsidRPr="00867470">
              <w:rPr>
                <w:b w:val="0"/>
              </w:rPr>
              <w:t>opex</w:t>
            </w:r>
            <w:proofErr w:type="spellEnd"/>
          </w:p>
        </w:tc>
        <w:tc>
          <w:tcPr>
            <w:tcW w:w="2834" w:type="pct"/>
            <w:vAlign w:val="center"/>
          </w:tcPr>
          <w:p w14:paraId="071B49E4"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All bulk charges paid in 2022-23</w:t>
            </w:r>
          </w:p>
        </w:tc>
        <w:tc>
          <w:tcPr>
            <w:tcW w:w="824" w:type="pct"/>
            <w:vAlign w:val="center"/>
          </w:tcPr>
          <w:p w14:paraId="3CEE67A6"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-372.03</w:t>
            </w:r>
          </w:p>
        </w:tc>
      </w:tr>
      <w:tr w:rsidR="00E0415E" w:rsidRPr="00736600" w14:paraId="0B2A54CB"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57718C6" w14:textId="77777777" w:rsidR="00736600" w:rsidRPr="00312C97" w:rsidRDefault="00736600" w:rsidP="00291F26">
            <w:pPr>
              <w:rPr>
                <w:b w:val="0"/>
              </w:rPr>
            </w:pPr>
          </w:p>
        </w:tc>
        <w:tc>
          <w:tcPr>
            <w:tcW w:w="2834" w:type="pct"/>
            <w:vAlign w:val="center"/>
          </w:tcPr>
          <w:p w14:paraId="04FE47E3"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Licence fees and ECL</w:t>
            </w:r>
          </w:p>
        </w:tc>
        <w:tc>
          <w:tcPr>
            <w:tcW w:w="824" w:type="pct"/>
            <w:vAlign w:val="center"/>
          </w:tcPr>
          <w:p w14:paraId="2A188EC8"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-37.18</w:t>
            </w:r>
          </w:p>
        </w:tc>
      </w:tr>
      <w:tr w:rsidR="00E0415E" w:rsidRPr="00736600" w14:paraId="60EB18E7"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7203A3D2" w14:textId="77777777" w:rsidR="00736600" w:rsidRPr="00736600" w:rsidRDefault="00736600" w:rsidP="00291F26">
            <w:r w:rsidRPr="00736600">
              <w:t xml:space="preserve">Controllable </w:t>
            </w:r>
            <w:proofErr w:type="spellStart"/>
            <w:r w:rsidRPr="00736600">
              <w:t>opex</w:t>
            </w:r>
            <w:proofErr w:type="spellEnd"/>
          </w:p>
        </w:tc>
        <w:tc>
          <w:tcPr>
            <w:tcW w:w="824" w:type="pct"/>
            <w:shd w:val="clear" w:color="auto" w:fill="F4F0EE" w:themeFill="background2"/>
            <w:vAlign w:val="center"/>
          </w:tcPr>
          <w:p w14:paraId="10B09259"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215.49</w:t>
            </w:r>
          </w:p>
        </w:tc>
      </w:tr>
      <w:tr w:rsidR="002E1998" w:rsidRPr="00736600" w14:paraId="6150F8C9"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36273514" w14:textId="77777777" w:rsidR="00736600" w:rsidRPr="002A632F" w:rsidRDefault="00736600" w:rsidP="00291F26">
            <w:pPr>
              <w:rPr>
                <w:b w:val="0"/>
              </w:rPr>
            </w:pPr>
            <w:r w:rsidRPr="00867470">
              <w:rPr>
                <w:b w:val="0"/>
              </w:rPr>
              <w:t>Non-recurrent expenditure</w:t>
            </w:r>
          </w:p>
        </w:tc>
        <w:tc>
          <w:tcPr>
            <w:tcW w:w="2834" w:type="pct"/>
            <w:vAlign w:val="center"/>
          </w:tcPr>
          <w:p w14:paraId="192C0DF8"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One-off integration expenses</w:t>
            </w:r>
          </w:p>
        </w:tc>
        <w:tc>
          <w:tcPr>
            <w:tcW w:w="824" w:type="pct"/>
            <w:vAlign w:val="center"/>
          </w:tcPr>
          <w:p w14:paraId="4A20A46E"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-2.87</w:t>
            </w:r>
          </w:p>
        </w:tc>
      </w:tr>
      <w:tr w:rsidR="002E1998" w:rsidRPr="00736600" w14:paraId="273FCBB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7A651547" w14:textId="77777777" w:rsidR="00736600" w:rsidRPr="00312C97" w:rsidRDefault="00736600" w:rsidP="00291F26">
            <w:pPr>
              <w:rPr>
                <w:b w:val="0"/>
              </w:rPr>
            </w:pPr>
          </w:p>
        </w:tc>
        <w:tc>
          <w:tcPr>
            <w:tcW w:w="2834" w:type="pct"/>
            <w:vAlign w:val="center"/>
          </w:tcPr>
          <w:p w14:paraId="12EE31F7" w14:textId="2DC9F7EA"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Preparation of the </w:t>
            </w:r>
            <w:r w:rsidR="0057266D">
              <w:t>price submission</w:t>
            </w:r>
          </w:p>
        </w:tc>
        <w:tc>
          <w:tcPr>
            <w:tcW w:w="824" w:type="pct"/>
            <w:vAlign w:val="center"/>
          </w:tcPr>
          <w:p w14:paraId="56FF9D3B"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-1.09</w:t>
            </w:r>
          </w:p>
        </w:tc>
      </w:tr>
      <w:tr w:rsidR="002E1998" w:rsidRPr="00736600" w14:paraId="537190D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5577A2F8" w14:textId="77777777" w:rsidR="00736600" w:rsidRPr="00312C97" w:rsidRDefault="00736600" w:rsidP="00291F26">
            <w:pPr>
              <w:rPr>
                <w:b w:val="0"/>
              </w:rPr>
            </w:pPr>
          </w:p>
        </w:tc>
        <w:tc>
          <w:tcPr>
            <w:tcW w:w="2834" w:type="pct"/>
            <w:vAlign w:val="center"/>
          </w:tcPr>
          <w:p w14:paraId="69B3DC5B"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Meter services contract review</w:t>
            </w:r>
          </w:p>
        </w:tc>
        <w:tc>
          <w:tcPr>
            <w:tcW w:w="824" w:type="pct"/>
            <w:vAlign w:val="center"/>
          </w:tcPr>
          <w:p w14:paraId="34198E3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-0.52</w:t>
            </w:r>
          </w:p>
        </w:tc>
      </w:tr>
      <w:tr w:rsidR="002E1998" w:rsidRPr="00736600" w14:paraId="4B2D2157"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6CDB503" w14:textId="77777777" w:rsidR="00736600" w:rsidRPr="00312C97" w:rsidRDefault="00736600" w:rsidP="00291F26">
            <w:pPr>
              <w:rPr>
                <w:b w:val="0"/>
              </w:rPr>
            </w:pPr>
          </w:p>
        </w:tc>
        <w:tc>
          <w:tcPr>
            <w:tcW w:w="2834" w:type="pct"/>
            <w:vAlign w:val="center"/>
          </w:tcPr>
          <w:p w14:paraId="5CA5FD12"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Labour cost adjustment </w:t>
            </w:r>
          </w:p>
        </w:tc>
        <w:tc>
          <w:tcPr>
            <w:tcW w:w="824" w:type="pct"/>
            <w:vAlign w:val="center"/>
          </w:tcPr>
          <w:p w14:paraId="66EA723B"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-0.08</w:t>
            </w:r>
          </w:p>
        </w:tc>
      </w:tr>
      <w:tr w:rsidR="002E1998" w:rsidRPr="00736600" w14:paraId="5AC4E1B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1D64F3A1" w14:textId="77777777" w:rsidR="00736600" w:rsidRPr="00312C97" w:rsidRDefault="00736600" w:rsidP="00291F26">
            <w:pPr>
              <w:rPr>
                <w:b w:val="0"/>
              </w:rPr>
            </w:pPr>
          </w:p>
        </w:tc>
        <w:tc>
          <w:tcPr>
            <w:tcW w:w="2834" w:type="pct"/>
            <w:vAlign w:val="center"/>
          </w:tcPr>
          <w:p w14:paraId="44E325FA"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Greater Melbourne Urban Water &amp; System Strategy (GMUWSS) finalisation</w:t>
            </w:r>
          </w:p>
        </w:tc>
        <w:tc>
          <w:tcPr>
            <w:tcW w:w="824" w:type="pct"/>
            <w:vAlign w:val="center"/>
          </w:tcPr>
          <w:p w14:paraId="5934D464"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-0.10</w:t>
            </w:r>
          </w:p>
        </w:tc>
      </w:tr>
      <w:tr w:rsidR="002E1998" w:rsidRPr="00736600" w14:paraId="6F26B11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E14C83B" w14:textId="77777777" w:rsidR="00736600" w:rsidRPr="00312C97" w:rsidRDefault="00736600" w:rsidP="00291F26">
            <w:pPr>
              <w:rPr>
                <w:b w:val="0"/>
              </w:rPr>
            </w:pPr>
          </w:p>
        </w:tc>
        <w:tc>
          <w:tcPr>
            <w:tcW w:w="2834" w:type="pct"/>
            <w:vAlign w:val="center"/>
          </w:tcPr>
          <w:p w14:paraId="0E525E99"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GSLs removal as we propose to absorb the costs </w:t>
            </w:r>
          </w:p>
        </w:tc>
        <w:tc>
          <w:tcPr>
            <w:tcW w:w="824" w:type="pct"/>
            <w:vAlign w:val="center"/>
          </w:tcPr>
          <w:p w14:paraId="0903BAEC"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-0.38</w:t>
            </w:r>
          </w:p>
        </w:tc>
      </w:tr>
      <w:tr w:rsidR="002E1998" w:rsidRPr="00736600" w14:paraId="34CC54F1"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3A63E85D" w14:textId="77777777" w:rsidR="00736600" w:rsidRPr="00312C97" w:rsidRDefault="00736600" w:rsidP="00291F26">
            <w:pPr>
              <w:rPr>
                <w:b w:val="0"/>
              </w:rPr>
            </w:pPr>
          </w:p>
        </w:tc>
        <w:tc>
          <w:tcPr>
            <w:tcW w:w="2834" w:type="pct"/>
            <w:vAlign w:val="center"/>
          </w:tcPr>
          <w:p w14:paraId="25D6161F"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Abnormal expenses (redundancy)</w:t>
            </w:r>
          </w:p>
        </w:tc>
        <w:tc>
          <w:tcPr>
            <w:tcW w:w="824" w:type="pct"/>
            <w:vAlign w:val="center"/>
          </w:tcPr>
          <w:p w14:paraId="211B710A"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-0.83</w:t>
            </w:r>
          </w:p>
        </w:tc>
      </w:tr>
      <w:tr w:rsidR="00736600" w:rsidRPr="00736600" w14:paraId="2C337485"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1DE35FE5" w14:textId="77777777" w:rsidR="00736600" w:rsidRPr="00736600" w:rsidRDefault="00736600" w:rsidP="00291F26">
            <w:r w:rsidRPr="00736600">
              <w:t xml:space="preserve">Adjusted baseline controllable </w:t>
            </w:r>
            <w:proofErr w:type="spellStart"/>
            <w:r w:rsidRPr="00736600">
              <w:t>opex</w:t>
            </w:r>
            <w:proofErr w:type="spellEnd"/>
          </w:p>
        </w:tc>
        <w:tc>
          <w:tcPr>
            <w:tcW w:w="824" w:type="pct"/>
            <w:shd w:val="clear" w:color="auto" w:fill="F4F0EE" w:themeFill="background2"/>
            <w:vAlign w:val="center"/>
          </w:tcPr>
          <w:p w14:paraId="36E28C77"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209.63</w:t>
            </w:r>
          </w:p>
        </w:tc>
      </w:tr>
    </w:tbl>
    <w:p w14:paraId="52F5A555" w14:textId="77777777" w:rsidR="00FD67D9" w:rsidRDefault="00FD67D9" w:rsidP="002A4937">
      <w:pPr>
        <w:pStyle w:val="NoSpacing"/>
      </w:pPr>
    </w:p>
    <w:p w14:paraId="34D487A5" w14:textId="77777777" w:rsidR="00FD67D9" w:rsidRDefault="00FD67D9" w:rsidP="00FD67D9">
      <w:pPr>
        <w:pStyle w:val="Heading4"/>
      </w:pPr>
      <w:r w:rsidRPr="00C60F94">
        <w:t>Efficiency of the base year</w:t>
      </w:r>
    </w:p>
    <w:p w14:paraId="5864A6A6" w14:textId="77777777" w:rsidR="00FD67D9" w:rsidRDefault="00FD67D9" w:rsidP="00FD67D9">
      <w:r>
        <w:t>Our adjusted base year is higher than the 2018 and 2020 determinations. GWW has removed non-recurrent operating expenditures. Over the regulatory period, we have sought to offset cost impacts through an increased focus on expenditure. Examples of this include:</w:t>
      </w:r>
    </w:p>
    <w:p w14:paraId="285A02C0" w14:textId="4E66472E" w:rsidR="0030569D" w:rsidRDefault="0030569D">
      <w:pPr>
        <w:pStyle w:val="ListBullet"/>
        <w:numPr>
          <w:ilvl w:val="0"/>
          <w:numId w:val="122"/>
        </w:numPr>
      </w:pPr>
      <w:r>
        <w:t xml:space="preserve">Annual corporate planning process: </w:t>
      </w:r>
      <w:r w:rsidR="00844785">
        <w:t>d</w:t>
      </w:r>
      <w:r>
        <w:t xml:space="preserve">uring the annual corporate planning process we complete a risk assessment and priority review of operating expenditure. This ensures that operating expenditure is spent on the right activities at the right time. </w:t>
      </w:r>
    </w:p>
    <w:p w14:paraId="20284E6D" w14:textId="1832B1D0" w:rsidR="0030569D" w:rsidRDefault="0030569D">
      <w:pPr>
        <w:pStyle w:val="ListBullet"/>
        <w:numPr>
          <w:ilvl w:val="0"/>
          <w:numId w:val="122"/>
        </w:numPr>
      </w:pPr>
      <w:r>
        <w:t xml:space="preserve">Licence fee rationalisation: </w:t>
      </w:r>
      <w:r w:rsidR="00844785">
        <w:t>w</w:t>
      </w:r>
      <w:r>
        <w:t xml:space="preserve">e frequently review our licence fee requirements, both if the software is still required and if it is still required by its users. This has enabled us to ensure that licence fees are only purchased and maintained for active users. </w:t>
      </w:r>
    </w:p>
    <w:p w14:paraId="45557ACC" w14:textId="0F66F355" w:rsidR="0030569D" w:rsidRDefault="0030569D">
      <w:pPr>
        <w:pStyle w:val="ListBullet"/>
        <w:numPr>
          <w:ilvl w:val="0"/>
          <w:numId w:val="122"/>
        </w:numPr>
      </w:pPr>
      <w:r>
        <w:t xml:space="preserve">State Purchasing Contract: </w:t>
      </w:r>
      <w:r w:rsidR="00844785">
        <w:t>we use</w:t>
      </w:r>
      <w:r>
        <w:t xml:space="preserve"> the State Purchasing Contract for </w:t>
      </w:r>
      <w:proofErr w:type="gramStart"/>
      <w:r>
        <w:t>a number of</w:t>
      </w:r>
      <w:proofErr w:type="gramEnd"/>
      <w:r>
        <w:t xml:space="preserve"> external services, including professional advisory, energy and several IT products and services. </w:t>
      </w:r>
    </w:p>
    <w:p w14:paraId="7B54BDB8" w14:textId="3431CDA1" w:rsidR="0030569D" w:rsidRDefault="00645F9F">
      <w:pPr>
        <w:pStyle w:val="ListBullet"/>
        <w:numPr>
          <w:ilvl w:val="0"/>
          <w:numId w:val="122"/>
        </w:numPr>
      </w:pPr>
      <w:r w:rsidRPr="00914D35">
        <w:t>Workforce Investment Review Panel</w:t>
      </w:r>
      <w:r>
        <w:t xml:space="preserve"> </w:t>
      </w:r>
      <w:r w:rsidR="0030569D">
        <w:t xml:space="preserve">committee: </w:t>
      </w:r>
      <w:r w:rsidR="00844785">
        <w:t xml:space="preserve">to </w:t>
      </w:r>
      <w:r w:rsidR="0030569D">
        <w:t xml:space="preserve">ensure that our labour costs remain prudent and efficient, we review every vacant position and new position proposed </w:t>
      </w:r>
      <w:r w:rsidR="00FD67D9">
        <w:t xml:space="preserve">across the business before it can be recruited for. </w:t>
      </w:r>
      <w:r w:rsidR="0030569D">
        <w:t>This ensures that the benefit of duplicate roles is captured, positions are fully justified, staff can be redeployed, and that any new positions fit into our workforce plan.</w:t>
      </w:r>
    </w:p>
    <w:p w14:paraId="7CFF4555" w14:textId="7EBD7592" w:rsidR="0030569D" w:rsidRDefault="001D4677" w:rsidP="0030569D">
      <w:r>
        <w:t>T</w:t>
      </w:r>
      <w:r w:rsidR="0030569D">
        <w:t>he typical application of benchmarks to establish the efficiency of the base year is not possible. We are still optimising organisational structure, systems and processes and there are no comparable water businesses with similar services and operating environment</w:t>
      </w:r>
      <w:r w:rsidR="004E248D">
        <w:t>s</w:t>
      </w:r>
      <w:r w:rsidR="0030569D">
        <w:t xml:space="preserve"> who are undergoing similar structural reform to allow for meaningful like</w:t>
      </w:r>
      <w:r w:rsidR="001C25DB">
        <w:t>-</w:t>
      </w:r>
      <w:r w:rsidR="0030569D">
        <w:t>for</w:t>
      </w:r>
      <w:r w:rsidR="001C25DB">
        <w:t>-</w:t>
      </w:r>
      <w:r w:rsidR="0030569D">
        <w:t xml:space="preserve">like benchmarking. </w:t>
      </w:r>
    </w:p>
    <w:p w14:paraId="6813DA11" w14:textId="71D8982E" w:rsidR="0030569D" w:rsidRDefault="0030569D" w:rsidP="0030569D">
      <w:r>
        <w:t>Where possible, we have used benchmarks to identify where GWW will be in the future</w:t>
      </w:r>
      <w:r w:rsidR="00ED0E61">
        <w:t>.</w:t>
      </w:r>
    </w:p>
    <w:p w14:paraId="5CA1B8AF" w14:textId="77777777" w:rsidR="00FD67D9" w:rsidRDefault="00FD67D9" w:rsidP="00A449B7">
      <w:pPr>
        <w:pStyle w:val="Heading4"/>
      </w:pPr>
      <w:r>
        <w:t>Integration efficiencies in the base year</w:t>
      </w:r>
    </w:p>
    <w:p w14:paraId="168A0B1D" w14:textId="38FACCA1" w:rsidR="00FD67D9" w:rsidRPr="00727D3D" w:rsidRDefault="00FD67D9" w:rsidP="00C0324E">
      <w:pPr>
        <w:rPr>
          <w:iCs/>
        </w:rPr>
      </w:pPr>
      <w:r>
        <w:t>Our base year includes $4.1</w:t>
      </w:r>
      <w:r w:rsidR="00C0324E">
        <w:t xml:space="preserve"> </w:t>
      </w:r>
      <w:r>
        <w:t xml:space="preserve">million </w:t>
      </w:r>
      <w:r w:rsidR="00C0324E">
        <w:t>($</w:t>
      </w:r>
      <w:r w:rsidR="00614E32">
        <w:t>7.0</w:t>
      </w:r>
      <w:r w:rsidR="00C0324E">
        <w:t xml:space="preserve"> million </w:t>
      </w:r>
      <w:r w:rsidR="00614E32">
        <w:t xml:space="preserve">less </w:t>
      </w:r>
      <w:r w:rsidR="00C0324E">
        <w:t>$2.</w:t>
      </w:r>
      <w:r w:rsidR="00614E32">
        <w:t>9</w:t>
      </w:r>
      <w:r w:rsidR="00C0324E">
        <w:t xml:space="preserve"> million non-recurrent integration costs) </w:t>
      </w:r>
      <w:r>
        <w:t xml:space="preserve">of our ongoing costs </w:t>
      </w:r>
      <w:proofErr w:type="gramStart"/>
      <w:r>
        <w:t>as a result of</w:t>
      </w:r>
      <w:proofErr w:type="gramEnd"/>
      <w:r>
        <w:t xml:space="preserve"> consolidation</w:t>
      </w:r>
      <w:r w:rsidR="00D46C0B">
        <w:t>.</w:t>
      </w:r>
      <w:r>
        <w:t xml:space="preserve"> </w:t>
      </w:r>
      <w:r w:rsidR="00D46C0B">
        <w:t>T</w:t>
      </w:r>
      <w:r>
        <w:t>he largest component</w:t>
      </w:r>
      <w:r w:rsidR="0017268B">
        <w:t>s</w:t>
      </w:r>
      <w:r>
        <w:t xml:space="preserve"> </w:t>
      </w:r>
      <w:r w:rsidR="0017268B">
        <w:t>are</w:t>
      </w:r>
      <w:r>
        <w:t xml:space="preserve"> alignment of Enterprise Agreements at a cost of $1.8</w:t>
      </w:r>
      <w:r w:rsidR="00C0324E">
        <w:t xml:space="preserve"> </w:t>
      </w:r>
      <w:r>
        <w:t xml:space="preserve">million and finance system alignment </w:t>
      </w:r>
      <w:r w:rsidR="00967A14">
        <w:t>at</w:t>
      </w:r>
      <w:r>
        <w:t xml:space="preserve"> $0.8</w:t>
      </w:r>
      <w:r w:rsidR="00C0324E">
        <w:t xml:space="preserve"> million.</w:t>
      </w:r>
      <w:r>
        <w:t xml:space="preserve">  </w:t>
      </w:r>
    </w:p>
    <w:p w14:paraId="6A75CA0A" w14:textId="0DC9BA00" w:rsidR="00FD67D9" w:rsidRDefault="00FD67D9" w:rsidP="00C0324E">
      <w:r>
        <w:t>This is mostly offset by efficiencies achieved in 2022-23 that are embedded in the base year. The additional efficiencies beyond this (2023-24 less 2022-23 efficiencies) are included in our efficiency forecast.</w:t>
      </w:r>
    </w:p>
    <w:p w14:paraId="3EEFCE45" w14:textId="07D4BA09" w:rsidR="00BB36A4" w:rsidRDefault="00BB36A4" w:rsidP="00BB36A4">
      <w:pPr>
        <w:pStyle w:val="Caption"/>
      </w:pPr>
      <w:bookmarkStart w:id="132" w:name="_Ref145334385"/>
      <w:r w:rsidRPr="00125D29">
        <w:rPr>
          <w:b/>
        </w:rPr>
        <w:lastRenderedPageBreak/>
        <w:t xml:space="preserve">Table </w:t>
      </w:r>
      <w:r w:rsidRPr="00340214">
        <w:rPr>
          <w:b/>
        </w:rPr>
        <w:fldChar w:fldCharType="begin"/>
      </w:r>
      <w:r w:rsidRPr="00340214">
        <w:rPr>
          <w:b/>
        </w:rPr>
        <w:instrText>SEQ Table \* ARABIC</w:instrText>
      </w:r>
      <w:r w:rsidRPr="00340214">
        <w:rPr>
          <w:b/>
        </w:rPr>
        <w:fldChar w:fldCharType="separate"/>
      </w:r>
      <w:r w:rsidR="003B42C6">
        <w:rPr>
          <w:b/>
          <w:noProof/>
        </w:rPr>
        <w:t>20</w:t>
      </w:r>
      <w:r w:rsidRPr="00340214">
        <w:rPr>
          <w:b/>
        </w:rPr>
        <w:fldChar w:fldCharType="end"/>
      </w:r>
      <w:bookmarkEnd w:id="132"/>
      <w:r>
        <w:t xml:space="preserve"> </w:t>
      </w:r>
      <w:r w:rsidRPr="00A93DF9">
        <w:t xml:space="preserve">Integration </w:t>
      </w:r>
      <w:proofErr w:type="spellStart"/>
      <w:r w:rsidRPr="00A93DF9">
        <w:t>opex</w:t>
      </w:r>
      <w:proofErr w:type="spellEnd"/>
      <w:r w:rsidRPr="00A93DF9">
        <w:t xml:space="preserve"> and efficiencies ($million, 2023-24)</w:t>
      </w:r>
    </w:p>
    <w:tbl>
      <w:tblPr>
        <w:tblStyle w:val="GWWDefaulttable"/>
        <w:tblW w:w="5000" w:type="pct"/>
        <w:tblLook w:val="04A0" w:firstRow="1" w:lastRow="0" w:firstColumn="1" w:lastColumn="0" w:noHBand="0" w:noVBand="1"/>
      </w:tblPr>
      <w:tblGrid>
        <w:gridCol w:w="771"/>
        <w:gridCol w:w="771"/>
        <w:gridCol w:w="771"/>
        <w:gridCol w:w="802"/>
        <w:gridCol w:w="802"/>
        <w:gridCol w:w="802"/>
        <w:gridCol w:w="802"/>
        <w:gridCol w:w="802"/>
        <w:gridCol w:w="802"/>
        <w:gridCol w:w="812"/>
        <w:gridCol w:w="812"/>
        <w:gridCol w:w="889"/>
      </w:tblGrid>
      <w:tr w:rsidR="00501A15" w:rsidRPr="00500CEF" w14:paraId="6BF8948D" w14:textId="77777777" w:rsidTr="00755012">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00" w:type="pct"/>
            <w:vAlign w:val="center"/>
          </w:tcPr>
          <w:p w14:paraId="0B95541D" w14:textId="77777777" w:rsidR="00500CEF" w:rsidRPr="00125D29" w:rsidRDefault="00500CEF" w:rsidP="00755012">
            <w:pPr>
              <w:jc w:val="right"/>
              <w:rPr>
                <w:szCs w:val="18"/>
              </w:rPr>
            </w:pPr>
          </w:p>
        </w:tc>
        <w:tc>
          <w:tcPr>
            <w:tcW w:w="400" w:type="pct"/>
            <w:vAlign w:val="center"/>
          </w:tcPr>
          <w:p w14:paraId="7AC8890A" w14:textId="77777777" w:rsidR="00500CEF" w:rsidRPr="00125D29" w:rsidRDefault="00500CEF" w:rsidP="00755012">
            <w:pPr>
              <w:jc w:val="right"/>
              <w:cnfStyle w:val="100000000000" w:firstRow="1" w:lastRow="0" w:firstColumn="0" w:lastColumn="0" w:oddVBand="0" w:evenVBand="0" w:oddHBand="0" w:evenHBand="0" w:firstRowFirstColumn="0" w:firstRowLastColumn="0" w:lastRowFirstColumn="0" w:lastRowLastColumn="0"/>
              <w:rPr>
                <w:szCs w:val="18"/>
              </w:rPr>
            </w:pPr>
          </w:p>
        </w:tc>
        <w:tc>
          <w:tcPr>
            <w:tcW w:w="400" w:type="pct"/>
            <w:vAlign w:val="center"/>
          </w:tcPr>
          <w:p w14:paraId="7A3E40C9" w14:textId="77777777" w:rsidR="00500CEF" w:rsidRPr="00125D29" w:rsidRDefault="00500CEF" w:rsidP="00755012">
            <w:pPr>
              <w:jc w:val="right"/>
              <w:cnfStyle w:val="100000000000" w:firstRow="1" w:lastRow="0" w:firstColumn="0" w:lastColumn="0" w:oddVBand="0" w:evenVBand="0" w:oddHBand="0" w:evenHBand="0" w:firstRowFirstColumn="0" w:firstRowLastColumn="0" w:lastRowFirstColumn="0" w:lastRowLastColumn="0"/>
              <w:rPr>
                <w:szCs w:val="18"/>
              </w:rPr>
            </w:pPr>
          </w:p>
        </w:tc>
        <w:tc>
          <w:tcPr>
            <w:tcW w:w="416" w:type="pct"/>
            <w:vAlign w:val="center"/>
          </w:tcPr>
          <w:p w14:paraId="41485E79"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2020-21</w:t>
            </w:r>
          </w:p>
        </w:tc>
        <w:tc>
          <w:tcPr>
            <w:tcW w:w="416" w:type="pct"/>
            <w:vAlign w:val="center"/>
          </w:tcPr>
          <w:p w14:paraId="105D20C0"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2021-22</w:t>
            </w:r>
          </w:p>
        </w:tc>
        <w:tc>
          <w:tcPr>
            <w:tcW w:w="416" w:type="pct"/>
            <w:vAlign w:val="center"/>
          </w:tcPr>
          <w:p w14:paraId="5FBE2297"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2022-23</w:t>
            </w:r>
          </w:p>
        </w:tc>
        <w:tc>
          <w:tcPr>
            <w:tcW w:w="416" w:type="pct"/>
            <w:vAlign w:val="center"/>
          </w:tcPr>
          <w:p w14:paraId="1C41E794"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2023-24</w:t>
            </w:r>
          </w:p>
        </w:tc>
        <w:tc>
          <w:tcPr>
            <w:tcW w:w="416" w:type="pct"/>
            <w:vAlign w:val="center"/>
          </w:tcPr>
          <w:p w14:paraId="275DE1BF"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2024-25</w:t>
            </w:r>
          </w:p>
        </w:tc>
        <w:tc>
          <w:tcPr>
            <w:tcW w:w="416" w:type="pct"/>
            <w:vAlign w:val="center"/>
          </w:tcPr>
          <w:p w14:paraId="57AA3314"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2025-26</w:t>
            </w:r>
          </w:p>
        </w:tc>
        <w:tc>
          <w:tcPr>
            <w:tcW w:w="421" w:type="pct"/>
            <w:vAlign w:val="center"/>
          </w:tcPr>
          <w:p w14:paraId="3776662D"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2026-27</w:t>
            </w:r>
          </w:p>
        </w:tc>
        <w:tc>
          <w:tcPr>
            <w:tcW w:w="421" w:type="pct"/>
            <w:vAlign w:val="center"/>
          </w:tcPr>
          <w:p w14:paraId="543A9301"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2027-28</w:t>
            </w:r>
          </w:p>
        </w:tc>
        <w:tc>
          <w:tcPr>
            <w:tcW w:w="461" w:type="pct"/>
            <w:vAlign w:val="center"/>
          </w:tcPr>
          <w:p w14:paraId="66267237" w14:textId="34C95138"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10</w:t>
            </w:r>
            <w:r w:rsidR="00B40697" w:rsidRPr="00125D29">
              <w:rPr>
                <w:szCs w:val="18"/>
              </w:rPr>
              <w:t>-year</w:t>
            </w:r>
            <w:r w:rsidRPr="00125D29">
              <w:rPr>
                <w:szCs w:val="18"/>
              </w:rPr>
              <w:t xml:space="preserve"> total</w:t>
            </w:r>
          </w:p>
        </w:tc>
      </w:tr>
      <w:tr w:rsidR="00501A15" w:rsidRPr="00500CEF" w14:paraId="4B1EFD11" w14:textId="77777777" w:rsidTr="00F51BD7">
        <w:trPr>
          <w:trHeight w:val="780"/>
        </w:trPr>
        <w:tc>
          <w:tcPr>
            <w:cnfStyle w:val="001000000000" w:firstRow="0" w:lastRow="0" w:firstColumn="1" w:lastColumn="0" w:oddVBand="0" w:evenVBand="0" w:oddHBand="0" w:evenHBand="0" w:firstRowFirstColumn="0" w:firstRowLastColumn="0" w:lastRowFirstColumn="0" w:lastRowLastColumn="0"/>
            <w:tcW w:w="1200" w:type="pct"/>
            <w:gridSpan w:val="3"/>
          </w:tcPr>
          <w:p w14:paraId="28102765" w14:textId="5C90F7CF" w:rsidR="00500CEF" w:rsidRPr="00125D29" w:rsidRDefault="00500CEF" w:rsidP="00500CEF">
            <w:pPr>
              <w:rPr>
                <w:b w:val="0"/>
                <w:szCs w:val="18"/>
              </w:rPr>
            </w:pPr>
            <w:proofErr w:type="spellStart"/>
            <w:r w:rsidRPr="00125D29">
              <w:rPr>
                <w:b w:val="0"/>
                <w:szCs w:val="18"/>
              </w:rPr>
              <w:t>Opex</w:t>
            </w:r>
            <w:proofErr w:type="spellEnd"/>
          </w:p>
        </w:tc>
        <w:tc>
          <w:tcPr>
            <w:tcW w:w="416" w:type="pct"/>
            <w:vAlign w:val="center"/>
          </w:tcPr>
          <w:p w14:paraId="0EC41B65"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4.64</w:t>
            </w:r>
          </w:p>
        </w:tc>
        <w:tc>
          <w:tcPr>
            <w:tcW w:w="416" w:type="pct"/>
            <w:vAlign w:val="center"/>
          </w:tcPr>
          <w:p w14:paraId="145BB308"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7.30</w:t>
            </w:r>
          </w:p>
        </w:tc>
        <w:tc>
          <w:tcPr>
            <w:tcW w:w="416" w:type="pct"/>
            <w:vAlign w:val="center"/>
          </w:tcPr>
          <w:p w14:paraId="1CEFFC5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6.98</w:t>
            </w:r>
          </w:p>
        </w:tc>
        <w:tc>
          <w:tcPr>
            <w:tcW w:w="416" w:type="pct"/>
            <w:vAlign w:val="center"/>
          </w:tcPr>
          <w:p w14:paraId="3DB18069"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16" w:type="pct"/>
            <w:vAlign w:val="center"/>
          </w:tcPr>
          <w:p w14:paraId="5D9802F3" w14:textId="2A3D8E0A"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16" w:type="pct"/>
            <w:vAlign w:val="center"/>
          </w:tcPr>
          <w:p w14:paraId="2BB61712" w14:textId="167ECE0F"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21" w:type="pct"/>
            <w:vAlign w:val="center"/>
          </w:tcPr>
          <w:p w14:paraId="039FCB82" w14:textId="7C17311D"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21" w:type="pct"/>
            <w:vAlign w:val="center"/>
          </w:tcPr>
          <w:p w14:paraId="244EF605" w14:textId="20C4194D"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61" w:type="pct"/>
            <w:vAlign w:val="center"/>
          </w:tcPr>
          <w:p w14:paraId="0440F5B6" w14:textId="1E0B6AE1"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39.44</w:t>
            </w:r>
          </w:p>
        </w:tc>
      </w:tr>
      <w:tr w:rsidR="00501A15" w:rsidRPr="00500CEF" w14:paraId="35DEDA61" w14:textId="77777777" w:rsidTr="00F51BD7">
        <w:trPr>
          <w:trHeight w:val="730"/>
        </w:trPr>
        <w:tc>
          <w:tcPr>
            <w:cnfStyle w:val="001000000000" w:firstRow="0" w:lastRow="0" w:firstColumn="1" w:lastColumn="0" w:oddVBand="0" w:evenVBand="0" w:oddHBand="0" w:evenHBand="0" w:firstRowFirstColumn="0" w:firstRowLastColumn="0" w:lastRowFirstColumn="0" w:lastRowLastColumn="0"/>
            <w:tcW w:w="1200" w:type="pct"/>
            <w:gridSpan w:val="3"/>
          </w:tcPr>
          <w:p w14:paraId="19AD376A" w14:textId="0A75754B" w:rsidR="00500CEF" w:rsidRPr="00125D29" w:rsidRDefault="00500CEF" w:rsidP="00500CEF">
            <w:pPr>
              <w:rPr>
                <w:b w:val="0"/>
                <w:szCs w:val="18"/>
              </w:rPr>
            </w:pPr>
            <w:r w:rsidRPr="00125D29">
              <w:rPr>
                <w:b w:val="0"/>
                <w:szCs w:val="18"/>
              </w:rPr>
              <w:t>Efficiencies achieved</w:t>
            </w:r>
          </w:p>
        </w:tc>
        <w:tc>
          <w:tcPr>
            <w:tcW w:w="416" w:type="pct"/>
            <w:vAlign w:val="center"/>
          </w:tcPr>
          <w:p w14:paraId="25338FB6"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-0.82</w:t>
            </w:r>
          </w:p>
        </w:tc>
        <w:tc>
          <w:tcPr>
            <w:tcW w:w="416" w:type="pct"/>
            <w:vAlign w:val="center"/>
          </w:tcPr>
          <w:p w14:paraId="461D076B"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-2.23</w:t>
            </w:r>
          </w:p>
        </w:tc>
        <w:tc>
          <w:tcPr>
            <w:tcW w:w="416" w:type="pct"/>
            <w:vAlign w:val="center"/>
          </w:tcPr>
          <w:p w14:paraId="62B2669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-2.93</w:t>
            </w:r>
          </w:p>
        </w:tc>
        <w:tc>
          <w:tcPr>
            <w:tcW w:w="416" w:type="pct"/>
            <w:vAlign w:val="center"/>
          </w:tcPr>
          <w:p w14:paraId="71169D13"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-3.16</w:t>
            </w:r>
          </w:p>
        </w:tc>
        <w:tc>
          <w:tcPr>
            <w:tcW w:w="416" w:type="pct"/>
            <w:vAlign w:val="center"/>
          </w:tcPr>
          <w:p w14:paraId="0B94C32A" w14:textId="370FED4A"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031274" w:rsidRPr="00125D29">
              <w:rPr>
                <w:szCs w:val="18"/>
              </w:rPr>
              <w:t>4.10</w:t>
            </w:r>
          </w:p>
        </w:tc>
        <w:tc>
          <w:tcPr>
            <w:tcW w:w="416" w:type="pct"/>
            <w:vAlign w:val="center"/>
          </w:tcPr>
          <w:p w14:paraId="650FCD0A" w14:textId="790F0885"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4.10</w:t>
            </w:r>
          </w:p>
        </w:tc>
        <w:tc>
          <w:tcPr>
            <w:tcW w:w="421" w:type="pct"/>
            <w:vAlign w:val="center"/>
          </w:tcPr>
          <w:p w14:paraId="2A39EDF9" w14:textId="50C6D1F3"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4.62</w:t>
            </w:r>
          </w:p>
        </w:tc>
        <w:tc>
          <w:tcPr>
            <w:tcW w:w="421" w:type="pct"/>
            <w:vAlign w:val="center"/>
          </w:tcPr>
          <w:p w14:paraId="0B6B2E2B" w14:textId="76712606"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4.62</w:t>
            </w:r>
          </w:p>
        </w:tc>
        <w:tc>
          <w:tcPr>
            <w:tcW w:w="461" w:type="pct"/>
            <w:vAlign w:val="center"/>
          </w:tcPr>
          <w:p w14:paraId="29D6F0C1" w14:textId="106402FF"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w:t>
            </w:r>
            <w:r w:rsidR="00D56F01" w:rsidRPr="00125D29">
              <w:rPr>
                <w:b/>
                <w:szCs w:val="18"/>
              </w:rPr>
              <w:t>26</w:t>
            </w:r>
            <w:r w:rsidRPr="00125D29">
              <w:rPr>
                <w:b/>
                <w:szCs w:val="18"/>
              </w:rPr>
              <w:t>.</w:t>
            </w:r>
            <w:r w:rsidR="00D56F01" w:rsidRPr="00125D29">
              <w:rPr>
                <w:b/>
                <w:szCs w:val="18"/>
              </w:rPr>
              <w:t>5</w:t>
            </w:r>
            <w:r w:rsidRPr="00125D29">
              <w:rPr>
                <w:b/>
                <w:szCs w:val="18"/>
              </w:rPr>
              <w:t>7</w:t>
            </w:r>
          </w:p>
        </w:tc>
      </w:tr>
      <w:tr w:rsidR="00501A15" w:rsidRPr="00500CEF" w14:paraId="1FDACE87"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7E175EBF" w14:textId="0846C23E" w:rsidR="00500CEF" w:rsidRPr="00125D29" w:rsidRDefault="00500CEF" w:rsidP="00500CEF">
            <w:pPr>
              <w:rPr>
                <w:szCs w:val="18"/>
              </w:rPr>
            </w:pPr>
            <w:r w:rsidRPr="00125D29">
              <w:rPr>
                <w:szCs w:val="18"/>
              </w:rPr>
              <w:t xml:space="preserve">Net </w:t>
            </w:r>
            <w:proofErr w:type="spellStart"/>
            <w:r w:rsidRPr="00125D29">
              <w:rPr>
                <w:szCs w:val="18"/>
              </w:rPr>
              <w:t>opex</w:t>
            </w:r>
            <w:proofErr w:type="spellEnd"/>
          </w:p>
        </w:tc>
        <w:tc>
          <w:tcPr>
            <w:tcW w:w="416" w:type="pct"/>
            <w:vAlign w:val="center"/>
          </w:tcPr>
          <w:p w14:paraId="619AAF1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3.82</w:t>
            </w:r>
          </w:p>
        </w:tc>
        <w:tc>
          <w:tcPr>
            <w:tcW w:w="416" w:type="pct"/>
            <w:vAlign w:val="center"/>
          </w:tcPr>
          <w:p w14:paraId="063CAA6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5.07</w:t>
            </w:r>
          </w:p>
        </w:tc>
        <w:tc>
          <w:tcPr>
            <w:tcW w:w="416" w:type="pct"/>
            <w:vAlign w:val="center"/>
          </w:tcPr>
          <w:p w14:paraId="6061F41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4.05</w:t>
            </w:r>
          </w:p>
        </w:tc>
        <w:tc>
          <w:tcPr>
            <w:tcW w:w="416" w:type="pct"/>
            <w:vAlign w:val="center"/>
          </w:tcPr>
          <w:p w14:paraId="28DE7C9D"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0.94</w:t>
            </w:r>
          </w:p>
        </w:tc>
        <w:tc>
          <w:tcPr>
            <w:tcW w:w="416" w:type="pct"/>
            <w:vAlign w:val="center"/>
          </w:tcPr>
          <w:p w14:paraId="7A5F4D7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0.00</w:t>
            </w:r>
          </w:p>
        </w:tc>
        <w:tc>
          <w:tcPr>
            <w:tcW w:w="416" w:type="pct"/>
            <w:vAlign w:val="center"/>
          </w:tcPr>
          <w:p w14:paraId="352C353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0.00</w:t>
            </w:r>
          </w:p>
        </w:tc>
        <w:tc>
          <w:tcPr>
            <w:tcW w:w="421" w:type="pct"/>
            <w:vAlign w:val="center"/>
          </w:tcPr>
          <w:p w14:paraId="7C0318A2"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-0.51</w:t>
            </w:r>
          </w:p>
        </w:tc>
        <w:tc>
          <w:tcPr>
            <w:tcW w:w="421" w:type="pct"/>
            <w:vAlign w:val="center"/>
          </w:tcPr>
          <w:p w14:paraId="1DD4F6E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-0.51</w:t>
            </w:r>
          </w:p>
        </w:tc>
        <w:tc>
          <w:tcPr>
            <w:tcW w:w="461" w:type="pct"/>
            <w:vAlign w:val="center"/>
          </w:tcPr>
          <w:p w14:paraId="0E103C02"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12.87</w:t>
            </w:r>
          </w:p>
        </w:tc>
      </w:tr>
      <w:tr w:rsidR="00501A15" w:rsidRPr="00500CEF" w14:paraId="67999AD2"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2831D48E" w14:textId="77777777" w:rsidR="00500CEF" w:rsidRPr="00125D29" w:rsidRDefault="00500CEF" w:rsidP="00500CEF">
            <w:pPr>
              <w:rPr>
                <w:b w:val="0"/>
                <w:szCs w:val="18"/>
              </w:rPr>
            </w:pPr>
            <w:r w:rsidRPr="00125D29">
              <w:rPr>
                <w:b w:val="0"/>
                <w:szCs w:val="18"/>
              </w:rPr>
              <w:t xml:space="preserve">Net integration </w:t>
            </w:r>
            <w:proofErr w:type="spellStart"/>
            <w:r w:rsidRPr="00125D29">
              <w:rPr>
                <w:b w:val="0"/>
                <w:szCs w:val="18"/>
              </w:rPr>
              <w:t>opex</w:t>
            </w:r>
            <w:proofErr w:type="spellEnd"/>
            <w:r w:rsidRPr="00125D29">
              <w:rPr>
                <w:b w:val="0"/>
                <w:szCs w:val="18"/>
              </w:rPr>
              <w:t xml:space="preserve"> in the base (net </w:t>
            </w:r>
            <w:proofErr w:type="spellStart"/>
            <w:r w:rsidRPr="00125D29">
              <w:rPr>
                <w:b w:val="0"/>
                <w:szCs w:val="18"/>
              </w:rPr>
              <w:t>opex</w:t>
            </w:r>
            <w:proofErr w:type="spellEnd"/>
            <w:r w:rsidRPr="00125D29">
              <w:rPr>
                <w:b w:val="0"/>
                <w:szCs w:val="18"/>
              </w:rPr>
              <w:t xml:space="preserve"> less non-recurring)</w:t>
            </w:r>
          </w:p>
        </w:tc>
        <w:tc>
          <w:tcPr>
            <w:tcW w:w="416" w:type="pct"/>
            <w:vAlign w:val="center"/>
          </w:tcPr>
          <w:p w14:paraId="1AB41851"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0A158EE8"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78180596"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1.19</w:t>
            </w:r>
          </w:p>
        </w:tc>
        <w:tc>
          <w:tcPr>
            <w:tcW w:w="416" w:type="pct"/>
            <w:vAlign w:val="center"/>
          </w:tcPr>
          <w:p w14:paraId="4C9B4B3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7CA27E2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00CFCA2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21" w:type="pct"/>
            <w:vAlign w:val="center"/>
          </w:tcPr>
          <w:p w14:paraId="3E8B4EC0"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21" w:type="pct"/>
            <w:vAlign w:val="center"/>
          </w:tcPr>
          <w:p w14:paraId="0158FD03"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61" w:type="pct"/>
            <w:vAlign w:val="center"/>
          </w:tcPr>
          <w:p w14:paraId="4DEF1230"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r w:rsidR="00501A15" w:rsidRPr="00500CEF" w14:paraId="23F9E754"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0AD5585D" w14:textId="77777777" w:rsidR="00500CEF" w:rsidRPr="00125D29" w:rsidRDefault="00500CEF" w:rsidP="00500CEF">
            <w:pPr>
              <w:rPr>
                <w:b w:val="0"/>
                <w:szCs w:val="18"/>
              </w:rPr>
            </w:pPr>
            <w:r w:rsidRPr="00125D29">
              <w:rPr>
                <w:b w:val="0"/>
                <w:szCs w:val="18"/>
              </w:rPr>
              <w:t xml:space="preserve">Additional integration </w:t>
            </w:r>
            <w:proofErr w:type="spellStart"/>
            <w:r w:rsidRPr="00125D29">
              <w:rPr>
                <w:b w:val="0"/>
                <w:szCs w:val="18"/>
              </w:rPr>
              <w:t>opex</w:t>
            </w:r>
            <w:proofErr w:type="spellEnd"/>
            <w:r w:rsidRPr="00125D29">
              <w:rPr>
                <w:b w:val="0"/>
                <w:szCs w:val="18"/>
              </w:rPr>
              <w:t xml:space="preserve"> in the forecast</w:t>
            </w:r>
          </w:p>
        </w:tc>
        <w:tc>
          <w:tcPr>
            <w:tcW w:w="416" w:type="pct"/>
            <w:vAlign w:val="center"/>
          </w:tcPr>
          <w:p w14:paraId="35AB94BE"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1276164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5740EEFE"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711D5A4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16" w:type="pct"/>
            <w:vAlign w:val="center"/>
          </w:tcPr>
          <w:p w14:paraId="0E1CD44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16" w:type="pct"/>
            <w:vAlign w:val="center"/>
          </w:tcPr>
          <w:p w14:paraId="0309292D"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21" w:type="pct"/>
            <w:vAlign w:val="center"/>
          </w:tcPr>
          <w:p w14:paraId="117D545B"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21" w:type="pct"/>
            <w:vAlign w:val="center"/>
          </w:tcPr>
          <w:p w14:paraId="1019D299"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61" w:type="pct"/>
            <w:vAlign w:val="center"/>
          </w:tcPr>
          <w:p w14:paraId="49B0F02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r w:rsidR="00501A15" w:rsidRPr="00500CEF" w14:paraId="5318B109"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452C4F37" w14:textId="77777777" w:rsidR="00500CEF" w:rsidRPr="00125D29" w:rsidRDefault="00500CEF" w:rsidP="00500CEF">
            <w:pPr>
              <w:rPr>
                <w:b w:val="0"/>
                <w:szCs w:val="18"/>
              </w:rPr>
            </w:pPr>
            <w:r w:rsidRPr="00125D29">
              <w:rPr>
                <w:b w:val="0"/>
                <w:szCs w:val="18"/>
              </w:rPr>
              <w:t>Integration efficiency from the base (new efficiencies and costs removed)</w:t>
            </w:r>
          </w:p>
        </w:tc>
        <w:tc>
          <w:tcPr>
            <w:tcW w:w="416" w:type="pct"/>
            <w:vAlign w:val="center"/>
          </w:tcPr>
          <w:p w14:paraId="4FE7D8AE"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0C70740A"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51205B87"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61643736"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-0.23</w:t>
            </w:r>
          </w:p>
        </w:tc>
        <w:tc>
          <w:tcPr>
            <w:tcW w:w="416" w:type="pct"/>
            <w:vAlign w:val="center"/>
          </w:tcPr>
          <w:p w14:paraId="5CA70568"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-1.17</w:t>
            </w:r>
          </w:p>
        </w:tc>
        <w:tc>
          <w:tcPr>
            <w:tcW w:w="416" w:type="pct"/>
            <w:vAlign w:val="center"/>
          </w:tcPr>
          <w:p w14:paraId="0E874B1D"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-1.17</w:t>
            </w:r>
          </w:p>
        </w:tc>
        <w:tc>
          <w:tcPr>
            <w:tcW w:w="421" w:type="pct"/>
            <w:vAlign w:val="center"/>
          </w:tcPr>
          <w:p w14:paraId="77595353"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-1.69</w:t>
            </w:r>
          </w:p>
        </w:tc>
        <w:tc>
          <w:tcPr>
            <w:tcW w:w="421" w:type="pct"/>
            <w:vAlign w:val="center"/>
          </w:tcPr>
          <w:p w14:paraId="38DE9568"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-1.69</w:t>
            </w:r>
          </w:p>
        </w:tc>
        <w:tc>
          <w:tcPr>
            <w:tcW w:w="461" w:type="pct"/>
            <w:vAlign w:val="center"/>
          </w:tcPr>
          <w:p w14:paraId="4E16932B"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bl>
    <w:p w14:paraId="3B0A227C" w14:textId="77777777" w:rsidR="00500CEF" w:rsidRPr="00500CEF" w:rsidRDefault="00500CEF" w:rsidP="00500CEF"/>
    <w:p w14:paraId="21DA8CFA" w14:textId="77777777" w:rsidR="001D7DBA" w:rsidRDefault="001D7DBA" w:rsidP="00A449B7">
      <w:pPr>
        <w:pStyle w:val="Heading4"/>
      </w:pPr>
      <w:r>
        <w:t>Base year comparison to determination</w:t>
      </w:r>
    </w:p>
    <w:p w14:paraId="585F1D4C" w14:textId="77777777" w:rsidR="001D7DBA" w:rsidRDefault="001D7DBA" w:rsidP="001D7DBA">
      <w:r>
        <w:t xml:space="preserve">Our 2022-23 recurrent operating expenditure exceeded the CWW and WW determinations by </w:t>
      </w:r>
      <w:r w:rsidRPr="00A449B7">
        <w:t>approximately $25.5 million plus $5.9 million</w:t>
      </w:r>
      <w:r>
        <w:t xml:space="preserve"> in one-off adjustments (non-recurrent items and capitalised items) from the base year.</w:t>
      </w:r>
    </w:p>
    <w:p w14:paraId="69B7A2E0" w14:textId="103BAC34" w:rsidR="001D7DBA" w:rsidRDefault="001D7DBA" w:rsidP="001D7DBA">
      <w:r>
        <w:t xml:space="preserve">The additional expenditure has primarily been driven by our directive to integration, transformation programs, changes in obligations, and external cost drivers. This comprises approximately </w:t>
      </w:r>
      <w:r w:rsidR="00140DD7" w:rsidRPr="00140DD7">
        <w:t>87%</w:t>
      </w:r>
      <w:r>
        <w:t xml:space="preserve"> of the above base year ongoing expenditure. The other </w:t>
      </w:r>
      <w:r w:rsidR="00140DD7" w:rsidRPr="00140DD7">
        <w:t>12%</w:t>
      </w:r>
      <w:r>
        <w:t xml:space="preserve"> of above determination costs are due to movements in labour.</w:t>
      </w:r>
    </w:p>
    <w:p w14:paraId="4D3B96FB" w14:textId="41D4C3AF" w:rsidR="001D7DBA" w:rsidRDefault="001D7DBA" w:rsidP="001D7DBA">
      <w:r>
        <w:t>The above</w:t>
      </w:r>
      <w:r w:rsidR="00CB0592">
        <w:t>-</w:t>
      </w:r>
      <w:r>
        <w:t xml:space="preserve">determination labour costs in total </w:t>
      </w:r>
      <w:r w:rsidR="00CB0592">
        <w:t>are</w:t>
      </w:r>
      <w:r>
        <w:t xml:space="preserve"> $5.7 million, almost half of which is captured in the integration, transformation programs and changes in obligations. The remaining amount, $3.0 million, is a result of:</w:t>
      </w:r>
    </w:p>
    <w:p w14:paraId="021BE957" w14:textId="218A7AFD" w:rsidR="001D7DBA" w:rsidRDefault="00844785">
      <w:pPr>
        <w:pStyle w:val="ListBullet"/>
        <w:numPr>
          <w:ilvl w:val="0"/>
          <w:numId w:val="123"/>
        </w:numPr>
      </w:pPr>
      <w:r>
        <w:t>a</w:t>
      </w:r>
      <w:r w:rsidR="001D7DBA">
        <w:t xml:space="preserve"> need to increase internal labour to increase corporate knowledge and retention through the creation of corporate </w:t>
      </w:r>
      <w:proofErr w:type="gramStart"/>
      <w:r w:rsidR="001D7DBA">
        <w:t>artifacts</w:t>
      </w:r>
      <w:proofErr w:type="gramEnd"/>
    </w:p>
    <w:p w14:paraId="03D34D08" w14:textId="424336C3" w:rsidR="001D7DBA" w:rsidRDefault="00D4431D">
      <w:pPr>
        <w:pStyle w:val="ListBullet"/>
        <w:numPr>
          <w:ilvl w:val="0"/>
          <w:numId w:val="123"/>
        </w:numPr>
      </w:pPr>
      <w:r>
        <w:t>expenditure</w:t>
      </w:r>
      <w:r w:rsidR="001D7DBA">
        <w:t xml:space="preserve"> </w:t>
      </w:r>
      <w:r>
        <w:t>on</w:t>
      </w:r>
      <w:r w:rsidR="001D7DBA">
        <w:t xml:space="preserve"> strategic planning activities as a result of integration that will deliver increased customer value over the long term through more coordinated water resource, engagement, asset planning, technology and customer </w:t>
      </w:r>
      <w:proofErr w:type="gramStart"/>
      <w:r w:rsidR="001D7DBA">
        <w:t>services</w:t>
      </w:r>
      <w:proofErr w:type="gramEnd"/>
      <w:r w:rsidR="001D7DBA">
        <w:t xml:space="preserve"> </w:t>
      </w:r>
    </w:p>
    <w:p w14:paraId="5C3ED5A4" w14:textId="3419F8A4" w:rsidR="001D7DBA" w:rsidRDefault="00844785">
      <w:pPr>
        <w:pStyle w:val="ListBullet"/>
        <w:numPr>
          <w:ilvl w:val="0"/>
          <w:numId w:val="123"/>
        </w:numPr>
      </w:pPr>
      <w:r>
        <w:t>i</w:t>
      </w:r>
      <w:r w:rsidR="001D7DBA">
        <w:t xml:space="preserve">ncreased corporate services support for the growing recruitment needs and staff numbers. </w:t>
      </w:r>
    </w:p>
    <w:p w14:paraId="0C2BDE34" w14:textId="76EF5EAB" w:rsidR="00BD49A5" w:rsidRPr="006D7CD8" w:rsidRDefault="0062163A" w:rsidP="00EF1DD1">
      <w:r>
        <w:lastRenderedPageBreak/>
        <w:fldChar w:fldCharType="begin"/>
      </w:r>
      <w:r>
        <w:instrText xml:space="preserve"> REF _Ref145334402 \h </w:instrText>
      </w:r>
      <w:r>
        <w:fldChar w:fldCharType="separate"/>
      </w:r>
      <w:r w:rsidR="003B42C6" w:rsidRPr="00597318">
        <w:rPr>
          <w:b/>
        </w:rPr>
        <w:t xml:space="preserve">Table </w:t>
      </w:r>
      <w:r w:rsidR="003B42C6">
        <w:rPr>
          <w:b/>
          <w:noProof/>
        </w:rPr>
        <w:t>21</w:t>
      </w:r>
      <w:r>
        <w:fldChar w:fldCharType="end"/>
      </w:r>
      <w:r>
        <w:t xml:space="preserve"> </w:t>
      </w:r>
      <w:r w:rsidR="001D7DBA">
        <w:t>provides a summary of 99</w:t>
      </w:r>
      <w:r w:rsidR="00140DD7">
        <w:t>%</w:t>
      </w:r>
      <w:r w:rsidR="001D7DBA">
        <w:t xml:space="preserve"> of above determination operating costs. The remainder 1</w:t>
      </w:r>
      <w:r w:rsidR="00140DD7">
        <w:t>%</w:t>
      </w:r>
      <w:r w:rsidR="001D7DBA">
        <w:t xml:space="preserve"> is due to other small movements across the business. </w:t>
      </w:r>
    </w:p>
    <w:p w14:paraId="38D8E569" w14:textId="5C93653B" w:rsidR="00A449B7" w:rsidRDefault="00A449B7" w:rsidP="00A449B7">
      <w:pPr>
        <w:pStyle w:val="Caption"/>
      </w:pPr>
      <w:bookmarkStart w:id="133" w:name="_Ref145334402"/>
      <w:r w:rsidRPr="00597318">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21</w:t>
      </w:r>
      <w:r w:rsidRPr="00340214">
        <w:rPr>
          <w:b/>
        </w:rPr>
        <w:fldChar w:fldCharType="end"/>
      </w:r>
      <w:bookmarkEnd w:id="133"/>
      <w:r w:rsidR="00597318">
        <w:t xml:space="preserve"> </w:t>
      </w:r>
      <w:r w:rsidRPr="00F04744">
        <w:t>Reconciliation of above determination ongoing operating expenditure ($million, 2023-24)</w:t>
      </w:r>
    </w:p>
    <w:tbl>
      <w:tblPr>
        <w:tblStyle w:val="GWWDefaulttable"/>
        <w:tblW w:w="5000" w:type="pct"/>
        <w:tblLook w:val="04A0" w:firstRow="1" w:lastRow="0" w:firstColumn="1" w:lastColumn="0" w:noHBand="0" w:noVBand="1"/>
      </w:tblPr>
      <w:tblGrid>
        <w:gridCol w:w="4678"/>
        <w:gridCol w:w="4960"/>
      </w:tblGrid>
      <w:tr w:rsidR="00D452EC" w14:paraId="5067B1BA" w14:textId="77777777" w:rsidTr="0059731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7" w:type="pct"/>
            <w:vAlign w:val="center"/>
          </w:tcPr>
          <w:p w14:paraId="5DFDF432" w14:textId="77777777" w:rsidR="00D452EC" w:rsidRPr="0059017B" w:rsidRDefault="00D452EC" w:rsidP="00EF1DD1">
            <w:pPr>
              <w:pStyle w:val="NoSpacing"/>
            </w:pPr>
            <w:r w:rsidRPr="0059017B">
              <w:t>Category</w:t>
            </w:r>
          </w:p>
        </w:tc>
        <w:tc>
          <w:tcPr>
            <w:tcW w:w="2573" w:type="pct"/>
            <w:vAlign w:val="center"/>
          </w:tcPr>
          <w:p w14:paraId="728E1926" w14:textId="77777777" w:rsidR="00D452EC" w:rsidRPr="0059017B" w:rsidRDefault="00D452EC" w:rsidP="00597318">
            <w:pPr>
              <w:pStyle w:val="NoSpacing"/>
              <w:cnfStyle w:val="100000000000" w:firstRow="1" w:lastRow="0" w:firstColumn="0" w:lastColumn="0" w:oddVBand="0" w:evenVBand="0" w:oddHBand="0" w:evenHBand="0" w:firstRowFirstColumn="0" w:firstRowLastColumn="0" w:lastRowFirstColumn="0" w:lastRowLastColumn="0"/>
            </w:pPr>
            <w:r w:rsidRPr="0059017B">
              <w:t xml:space="preserve">2022-23 above determination ongoing </w:t>
            </w:r>
            <w:proofErr w:type="spellStart"/>
            <w:r w:rsidRPr="0059017B">
              <w:t>opex</w:t>
            </w:r>
            <w:proofErr w:type="spellEnd"/>
          </w:p>
        </w:tc>
      </w:tr>
      <w:tr w:rsidR="00D452EC" w14:paraId="5FF11EF1"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51A0E34" w14:textId="77777777" w:rsidR="00D452EC" w:rsidRPr="002A632F" w:rsidRDefault="00D452EC">
            <w:pPr>
              <w:rPr>
                <w:rFonts w:asciiTheme="minorHAnsi" w:hAnsiTheme="minorHAnsi"/>
                <w:b w:val="0"/>
                <w:color w:val="002060"/>
              </w:rPr>
            </w:pPr>
            <w:r w:rsidRPr="002A632F">
              <w:rPr>
                <w:rFonts w:cs="Arial"/>
                <w:b w:val="0"/>
                <w:color w:val="002060"/>
                <w:szCs w:val="20"/>
              </w:rPr>
              <w:t>Integration</w:t>
            </w:r>
          </w:p>
        </w:tc>
        <w:tc>
          <w:tcPr>
            <w:tcW w:w="2573" w:type="pct"/>
            <w:vAlign w:val="center"/>
          </w:tcPr>
          <w:p w14:paraId="439FAE5E"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1.19</w:t>
            </w:r>
          </w:p>
        </w:tc>
      </w:tr>
      <w:tr w:rsidR="00D452EC" w14:paraId="11122E7C"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403CF8BD" w14:textId="77777777" w:rsidR="00D452EC" w:rsidRPr="002A632F" w:rsidRDefault="00D452EC">
            <w:pPr>
              <w:rPr>
                <w:rFonts w:asciiTheme="minorHAnsi" w:hAnsiTheme="minorHAnsi"/>
                <w:b w:val="0"/>
                <w:color w:val="002060"/>
              </w:rPr>
            </w:pPr>
            <w:r w:rsidRPr="002A632F">
              <w:rPr>
                <w:rFonts w:cs="Arial"/>
                <w:b w:val="0"/>
                <w:color w:val="002060"/>
                <w:szCs w:val="20"/>
              </w:rPr>
              <w:t>Transformation - Asset</w:t>
            </w:r>
          </w:p>
        </w:tc>
        <w:tc>
          <w:tcPr>
            <w:tcW w:w="2573" w:type="pct"/>
            <w:vAlign w:val="center"/>
          </w:tcPr>
          <w:p w14:paraId="7E1F47CB"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1.19</w:t>
            </w:r>
          </w:p>
        </w:tc>
      </w:tr>
      <w:tr w:rsidR="00D452EC" w14:paraId="7C9C9336"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018E08B8" w14:textId="77777777" w:rsidR="00D452EC" w:rsidRPr="002A632F" w:rsidRDefault="00D452EC">
            <w:pPr>
              <w:rPr>
                <w:rFonts w:asciiTheme="minorHAnsi" w:hAnsiTheme="minorHAnsi"/>
                <w:b w:val="0"/>
                <w:color w:val="002060"/>
              </w:rPr>
            </w:pPr>
            <w:r w:rsidRPr="002A632F">
              <w:rPr>
                <w:rFonts w:cs="Arial"/>
                <w:b w:val="0"/>
                <w:color w:val="002060"/>
                <w:szCs w:val="20"/>
              </w:rPr>
              <w:t>Transformation - Compliance</w:t>
            </w:r>
          </w:p>
        </w:tc>
        <w:tc>
          <w:tcPr>
            <w:tcW w:w="2573" w:type="pct"/>
            <w:vAlign w:val="center"/>
          </w:tcPr>
          <w:p w14:paraId="40F11AC3"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3.54</w:t>
            </w:r>
          </w:p>
        </w:tc>
      </w:tr>
      <w:tr w:rsidR="00D452EC" w14:paraId="783AB379"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1DC88B43" w14:textId="77777777" w:rsidR="00D452EC" w:rsidRPr="002A632F" w:rsidRDefault="00D452EC">
            <w:pPr>
              <w:rPr>
                <w:rFonts w:asciiTheme="minorHAnsi" w:hAnsiTheme="minorHAnsi"/>
                <w:b w:val="0"/>
                <w:color w:val="002060"/>
              </w:rPr>
            </w:pPr>
            <w:r w:rsidRPr="002A632F">
              <w:rPr>
                <w:rFonts w:cs="Arial"/>
                <w:b w:val="0"/>
                <w:color w:val="002060"/>
                <w:szCs w:val="20"/>
              </w:rPr>
              <w:t>Transformation - Corporate</w:t>
            </w:r>
          </w:p>
        </w:tc>
        <w:tc>
          <w:tcPr>
            <w:tcW w:w="2573" w:type="pct"/>
            <w:vAlign w:val="center"/>
          </w:tcPr>
          <w:p w14:paraId="31933A92"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0.76</w:t>
            </w:r>
          </w:p>
        </w:tc>
      </w:tr>
      <w:tr w:rsidR="00D452EC" w14:paraId="2ACAAF34"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7F043140" w14:textId="77777777" w:rsidR="00D452EC" w:rsidRPr="002A632F" w:rsidRDefault="00D452EC">
            <w:pPr>
              <w:rPr>
                <w:rFonts w:asciiTheme="minorHAnsi" w:hAnsiTheme="minorHAnsi"/>
                <w:b w:val="0"/>
                <w:color w:val="002060"/>
              </w:rPr>
            </w:pPr>
            <w:r w:rsidRPr="002A632F">
              <w:rPr>
                <w:rFonts w:cs="Arial"/>
                <w:b w:val="0"/>
                <w:color w:val="002060"/>
                <w:szCs w:val="20"/>
              </w:rPr>
              <w:t>Transformation - Customer</w:t>
            </w:r>
          </w:p>
        </w:tc>
        <w:tc>
          <w:tcPr>
            <w:tcW w:w="2573" w:type="pct"/>
            <w:vAlign w:val="center"/>
          </w:tcPr>
          <w:p w14:paraId="5EE24DAC"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1.17</w:t>
            </w:r>
          </w:p>
        </w:tc>
      </w:tr>
      <w:tr w:rsidR="00D452EC" w14:paraId="7A5F8D6D"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CB03110" w14:textId="537BF2AC" w:rsidR="00D452EC" w:rsidRPr="002A632F" w:rsidRDefault="00D452EC">
            <w:pPr>
              <w:rPr>
                <w:rFonts w:cs="Arial"/>
                <w:b w:val="0"/>
                <w:color w:val="002060"/>
                <w:szCs w:val="20"/>
              </w:rPr>
            </w:pPr>
            <w:r w:rsidRPr="002A632F">
              <w:rPr>
                <w:rFonts w:cs="Arial"/>
                <w:b w:val="0"/>
                <w:color w:val="002060"/>
                <w:szCs w:val="20"/>
              </w:rPr>
              <w:t>Transformation – Safety</w:t>
            </w:r>
          </w:p>
        </w:tc>
        <w:tc>
          <w:tcPr>
            <w:tcW w:w="2573" w:type="pct"/>
            <w:vAlign w:val="center"/>
          </w:tcPr>
          <w:p w14:paraId="4E56FE1D"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2A632F">
              <w:rPr>
                <w:rFonts w:cs="Arial"/>
                <w:szCs w:val="20"/>
              </w:rPr>
              <w:t>0.29</w:t>
            </w:r>
          </w:p>
        </w:tc>
      </w:tr>
      <w:tr w:rsidR="00D452EC" w14:paraId="25FC7E53"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EC18835" w14:textId="637A37F6" w:rsidR="00D452EC" w:rsidRPr="002A632F" w:rsidRDefault="00D452EC">
            <w:pPr>
              <w:rPr>
                <w:rFonts w:asciiTheme="minorHAnsi" w:hAnsiTheme="minorHAnsi"/>
                <w:b w:val="0"/>
                <w:color w:val="002060"/>
              </w:rPr>
            </w:pPr>
            <w:r w:rsidRPr="002A632F">
              <w:rPr>
                <w:rFonts w:cs="Arial"/>
                <w:b w:val="0"/>
                <w:color w:val="002060"/>
                <w:szCs w:val="20"/>
              </w:rPr>
              <w:t>Changes in obligations</w:t>
            </w:r>
          </w:p>
        </w:tc>
        <w:tc>
          <w:tcPr>
            <w:tcW w:w="2573" w:type="pct"/>
            <w:vAlign w:val="center"/>
          </w:tcPr>
          <w:p w14:paraId="21932B9A"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1.33</w:t>
            </w:r>
          </w:p>
        </w:tc>
      </w:tr>
      <w:tr w:rsidR="00D452EC" w14:paraId="5B3B8C64"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628705A6" w14:textId="77777777" w:rsidR="00D452EC" w:rsidRPr="002A632F" w:rsidRDefault="00D452EC">
            <w:pPr>
              <w:rPr>
                <w:rFonts w:asciiTheme="minorHAnsi" w:hAnsiTheme="minorHAnsi"/>
                <w:b w:val="0"/>
                <w:color w:val="002060"/>
              </w:rPr>
            </w:pPr>
            <w:r w:rsidRPr="002A632F">
              <w:rPr>
                <w:rFonts w:cs="Arial"/>
                <w:b w:val="0"/>
                <w:color w:val="002060"/>
                <w:szCs w:val="20"/>
              </w:rPr>
              <w:t>External cost drivers</w:t>
            </w:r>
          </w:p>
        </w:tc>
        <w:tc>
          <w:tcPr>
            <w:tcW w:w="2573" w:type="pct"/>
            <w:vAlign w:val="center"/>
          </w:tcPr>
          <w:p w14:paraId="70F0A6CA"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12.69</w:t>
            </w:r>
          </w:p>
        </w:tc>
      </w:tr>
      <w:tr w:rsidR="00D452EC" w14:paraId="07EEA3F5"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1685BFA8" w14:textId="77777777" w:rsidR="00D452EC" w:rsidRPr="002A632F" w:rsidRDefault="00D452EC">
            <w:pPr>
              <w:rPr>
                <w:rFonts w:asciiTheme="minorHAnsi" w:hAnsiTheme="minorHAnsi"/>
                <w:b w:val="0"/>
                <w:color w:val="002060"/>
              </w:rPr>
            </w:pPr>
            <w:r w:rsidRPr="002A632F">
              <w:rPr>
                <w:rFonts w:cs="Arial"/>
                <w:b w:val="0"/>
                <w:color w:val="002060"/>
                <w:szCs w:val="20"/>
              </w:rPr>
              <w:t>Labour movements</w:t>
            </w:r>
          </w:p>
        </w:tc>
        <w:tc>
          <w:tcPr>
            <w:tcW w:w="2573" w:type="pct"/>
            <w:vAlign w:val="center"/>
          </w:tcPr>
          <w:p w14:paraId="24165604"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2A632F">
              <w:rPr>
                <w:rFonts w:cs="Arial"/>
                <w:szCs w:val="20"/>
              </w:rPr>
              <w:t>3.00</w:t>
            </w:r>
          </w:p>
        </w:tc>
      </w:tr>
      <w:tr w:rsidR="00D452EC" w14:paraId="521A85F9"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6914B2F0" w14:textId="77777777" w:rsidR="00D452EC" w:rsidRPr="002A632F" w:rsidRDefault="00D452EC">
            <w:pPr>
              <w:rPr>
                <w:rFonts w:asciiTheme="minorHAnsi" w:hAnsiTheme="minorHAnsi"/>
                <w:color w:val="002060"/>
              </w:rPr>
            </w:pPr>
            <w:r w:rsidRPr="002A632F">
              <w:rPr>
                <w:rFonts w:cs="Arial"/>
                <w:color w:val="002060"/>
                <w:szCs w:val="20"/>
              </w:rPr>
              <w:t>Total</w:t>
            </w:r>
          </w:p>
        </w:tc>
        <w:tc>
          <w:tcPr>
            <w:tcW w:w="2573" w:type="pct"/>
            <w:vAlign w:val="center"/>
          </w:tcPr>
          <w:p w14:paraId="5A217F39" w14:textId="6F541FCE"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b/>
              </w:rPr>
            </w:pPr>
            <w:r w:rsidRPr="002A632F">
              <w:rPr>
                <w:rFonts w:cs="Arial"/>
                <w:b/>
                <w:szCs w:val="20"/>
              </w:rPr>
              <w:t>25.1</w:t>
            </w:r>
            <w:r w:rsidR="00D73AAC" w:rsidRPr="002A632F">
              <w:rPr>
                <w:rFonts w:cs="Arial"/>
                <w:b/>
                <w:szCs w:val="20"/>
              </w:rPr>
              <w:t>6</w:t>
            </w:r>
          </w:p>
        </w:tc>
      </w:tr>
    </w:tbl>
    <w:p w14:paraId="7E3DBE94" w14:textId="77777777" w:rsidR="00FD67D9" w:rsidRDefault="00FD67D9" w:rsidP="00FD67D9"/>
    <w:p w14:paraId="220649D8" w14:textId="77777777" w:rsidR="00FD67D9" w:rsidRDefault="00FD67D9" w:rsidP="005B69CD">
      <w:pPr>
        <w:pStyle w:val="Heading3"/>
      </w:pPr>
      <w:r w:rsidRPr="00C6576A">
        <w:t>Ope</w:t>
      </w:r>
      <w:r>
        <w:t xml:space="preserve">rating expenditure </w:t>
      </w:r>
      <w:r w:rsidRPr="00C6576A">
        <w:t xml:space="preserve">baseline </w:t>
      </w:r>
      <w:proofErr w:type="gramStart"/>
      <w:r w:rsidRPr="00C6576A">
        <w:t>forecast</w:t>
      </w:r>
      <w:proofErr w:type="gramEnd"/>
    </w:p>
    <w:p w14:paraId="664BB13E" w14:textId="09DC20AA" w:rsidR="0030569D" w:rsidRDefault="0030569D" w:rsidP="0030569D">
      <w:r w:rsidRPr="000227DB">
        <w:t xml:space="preserve">The baseline forecast is </w:t>
      </w:r>
      <w:r>
        <w:t>an extrapolation of the base year through the application of an efficiency and growth</w:t>
      </w:r>
      <w:r w:rsidRPr="000227DB">
        <w:t xml:space="preserve">. </w:t>
      </w:r>
    </w:p>
    <w:p w14:paraId="00DB8632" w14:textId="2159575C" w:rsidR="0030569D" w:rsidRDefault="0030569D" w:rsidP="0030569D">
      <w:r>
        <w:t xml:space="preserve">Consistent with recent precedent set by the ESC’s determinations for </w:t>
      </w:r>
      <w:proofErr w:type="gramStart"/>
      <w:r>
        <w:t>a large number of</w:t>
      </w:r>
      <w:proofErr w:type="gramEnd"/>
      <w:r>
        <w:t xml:space="preserve"> Victorian water businesses in the 2023 PREMO Price Review, </w:t>
      </w:r>
      <w:r w:rsidRPr="000227DB">
        <w:t>G</w:t>
      </w:r>
      <w:r>
        <w:t>WW</w:t>
      </w:r>
      <w:r w:rsidRPr="000227DB">
        <w:t xml:space="preserve"> has </w:t>
      </w:r>
      <w:r>
        <w:t>adopted</w:t>
      </w:r>
      <w:r w:rsidRPr="000227DB">
        <w:t xml:space="preserve"> connections growth as </w:t>
      </w:r>
      <w:r>
        <w:t xml:space="preserve">the basis for its proposed growth factor. Our proposed </w:t>
      </w:r>
      <w:r w:rsidRPr="000227DB">
        <w:t>efficiency</w:t>
      </w:r>
      <w:r>
        <w:t xml:space="preserve"> factor</w:t>
      </w:r>
      <w:r w:rsidRPr="000227DB">
        <w:t xml:space="preserve"> has been forecast </w:t>
      </w:r>
      <w:r>
        <w:t xml:space="preserve">based on our expectations of the efficiencies our integration and transformation programs will deliver and the </w:t>
      </w:r>
      <w:r w:rsidRPr="000227DB">
        <w:t xml:space="preserve">efficiencies that </w:t>
      </w:r>
      <w:r>
        <w:t xml:space="preserve">we </w:t>
      </w:r>
      <w:r w:rsidR="00A80297">
        <w:t>expect</w:t>
      </w:r>
      <w:r>
        <w:t xml:space="preserve"> to deliver through the realisation of</w:t>
      </w:r>
      <w:r w:rsidRPr="000227DB">
        <w:t xml:space="preserve"> economies of scale and scope</w:t>
      </w:r>
      <w:r>
        <w:t xml:space="preserve"> over the regulatory period</w:t>
      </w:r>
      <w:r w:rsidRPr="000227DB">
        <w:t>.</w:t>
      </w:r>
    </w:p>
    <w:p w14:paraId="00B7EA82" w14:textId="77777777" w:rsidR="0030569D" w:rsidRDefault="0030569D" w:rsidP="0030569D">
      <w:pPr>
        <w:pStyle w:val="Heading4"/>
      </w:pPr>
      <w:r w:rsidRPr="00E7559A">
        <w:t>Growth factor</w:t>
      </w:r>
    </w:p>
    <w:p w14:paraId="2AAC3580" w14:textId="41A4B90F" w:rsidR="0030569D" w:rsidRDefault="0030569D" w:rsidP="0030569D">
      <w:r>
        <w:t xml:space="preserve">GWW is a newly integrated business with limited historical data on actual performance. While data exists for CWW and WW, it is unclear how these historical growth rates are relatable to the operating expenditure associated with the new integrated business.  </w:t>
      </w:r>
      <w:r w:rsidR="00FD67D9">
        <w:t>Given the</w:t>
      </w:r>
      <w:r>
        <w:t xml:space="preserve"> historical data does not provide a reliable basis for considering the historical impact of growth on operating expenditure, GWW proposes to adopt the ESC’s established regulatory approach of using water connections growth rate as the growth </w:t>
      </w:r>
      <w:r>
        <w:lastRenderedPageBreak/>
        <w:t>factor. While sewer connections have been higher in recent years, typically it is water properties being connected to sewer rather than sewer</w:t>
      </w:r>
      <w:r w:rsidR="002951B2">
        <w:t>-</w:t>
      </w:r>
      <w:r>
        <w:t>only properties.</w:t>
      </w:r>
    </w:p>
    <w:p w14:paraId="2B8D3E49" w14:textId="0E06E122" w:rsidR="00ED6FC8" w:rsidRDefault="00ED6FC8" w:rsidP="00ED6FC8">
      <w:r>
        <w:t>The growth rate proposed is based on the V</w:t>
      </w:r>
      <w:r w:rsidR="004E43E5">
        <w:t xml:space="preserve">ictoria </w:t>
      </w:r>
      <w:r>
        <w:t>i</w:t>
      </w:r>
      <w:r w:rsidR="004E43E5">
        <w:t xml:space="preserve">n </w:t>
      </w:r>
      <w:r>
        <w:t>F</w:t>
      </w:r>
      <w:r w:rsidR="004E43E5">
        <w:t>uture</w:t>
      </w:r>
      <w:r>
        <w:t xml:space="preserve"> </w:t>
      </w:r>
      <w:r w:rsidR="00A9673B">
        <w:t>2022</w:t>
      </w:r>
      <w:r w:rsidR="0030569D">
        <w:t xml:space="preserve"> </w:t>
      </w:r>
      <w:r>
        <w:t xml:space="preserve">forecast </w:t>
      </w:r>
      <w:r w:rsidR="00C477CF">
        <w:t>that has been used to forecast connect</w:t>
      </w:r>
      <w:r w:rsidR="00C44FE7">
        <w:t>ion</w:t>
      </w:r>
      <w:r w:rsidR="00C477CF">
        <w:t>s</w:t>
      </w:r>
      <w:r>
        <w:t xml:space="preserve"> in </w:t>
      </w:r>
      <w:r w:rsidR="004922E6">
        <w:t>S</w:t>
      </w:r>
      <w:r w:rsidR="00F75AC8" w:rsidRPr="00FD027D">
        <w:t>ection</w:t>
      </w:r>
      <w:r w:rsidR="0067759B">
        <w:t xml:space="preserve"> 7.6.</w:t>
      </w:r>
    </w:p>
    <w:p w14:paraId="649B4C59" w14:textId="33FE821E" w:rsidR="00E7559A" w:rsidRDefault="00ED6FC8" w:rsidP="00ED6FC8">
      <w:r>
        <w:t>The growth forecasts used are shown in</w:t>
      </w:r>
      <w:r w:rsidR="00006EE9">
        <w:t xml:space="preserve"> </w:t>
      </w:r>
      <w:r w:rsidR="00006EE9">
        <w:fldChar w:fldCharType="begin"/>
      </w:r>
      <w:r w:rsidR="00006EE9">
        <w:instrText xml:space="preserve"> REF _Ref145975028 \h </w:instrText>
      </w:r>
      <w:r w:rsidR="00C44FE7">
        <w:instrText xml:space="preserve"> \* MERGEFORMAT </w:instrText>
      </w:r>
      <w:r w:rsidR="00006EE9">
        <w:fldChar w:fldCharType="separate"/>
      </w:r>
      <w:r w:rsidR="003B42C6" w:rsidRPr="006044D1">
        <w:rPr>
          <w:b/>
        </w:rPr>
        <w:t>Table</w:t>
      </w:r>
      <w:r w:rsidR="003B42C6" w:rsidRPr="003B42C6">
        <w:rPr>
          <w:b/>
          <w:bCs/>
        </w:rPr>
        <w:t xml:space="preserve"> </w:t>
      </w:r>
      <w:r w:rsidR="003B42C6" w:rsidRPr="003B42C6">
        <w:rPr>
          <w:b/>
          <w:bCs/>
          <w:noProof/>
        </w:rPr>
        <w:t>22</w:t>
      </w:r>
      <w:r w:rsidR="00006EE9">
        <w:fldChar w:fldCharType="end"/>
      </w:r>
      <w:r w:rsidR="00BB4703">
        <w:t>.</w:t>
      </w:r>
      <w:r w:rsidR="00006EE9">
        <w:t xml:space="preserve"> </w:t>
      </w:r>
    </w:p>
    <w:p w14:paraId="5B5F5FF6" w14:textId="0F2B7061" w:rsidR="00A449B7" w:rsidRDefault="00A449B7" w:rsidP="00A449B7">
      <w:pPr>
        <w:pStyle w:val="Caption"/>
      </w:pPr>
      <w:bookmarkStart w:id="134" w:name="_Ref145975028"/>
      <w:bookmarkStart w:id="135" w:name="_Ref145272652"/>
      <w:r w:rsidRPr="006044D1">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22</w:t>
      </w:r>
      <w:r w:rsidRPr="00340214">
        <w:rPr>
          <w:b/>
        </w:rPr>
        <w:fldChar w:fldCharType="end"/>
      </w:r>
      <w:bookmarkEnd w:id="134"/>
      <w:r>
        <w:t xml:space="preserve"> </w:t>
      </w:r>
      <w:r w:rsidRPr="00AB6A3E">
        <w:t>Growth forecasts</w:t>
      </w:r>
      <w:bookmarkEnd w:id="135"/>
    </w:p>
    <w:tbl>
      <w:tblPr>
        <w:tblStyle w:val="GWWDefaulttable"/>
        <w:tblW w:w="0" w:type="auto"/>
        <w:tblLook w:val="04A0" w:firstRow="1" w:lastRow="0" w:firstColumn="1" w:lastColumn="0" w:noHBand="0" w:noVBand="1"/>
      </w:tblPr>
      <w:tblGrid>
        <w:gridCol w:w="1376"/>
        <w:gridCol w:w="1377"/>
        <w:gridCol w:w="1377"/>
        <w:gridCol w:w="1377"/>
        <w:gridCol w:w="1377"/>
        <w:gridCol w:w="1377"/>
        <w:gridCol w:w="1377"/>
      </w:tblGrid>
      <w:tr w:rsidR="00907F26" w14:paraId="341CD521" w14:textId="77777777" w:rsidTr="008D366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76" w:type="dxa"/>
          </w:tcPr>
          <w:p w14:paraId="3091F5F5" w14:textId="77777777" w:rsidR="00907F26" w:rsidRDefault="00907F26"/>
        </w:tc>
        <w:tc>
          <w:tcPr>
            <w:tcW w:w="1377" w:type="dxa"/>
            <w:vAlign w:val="center"/>
          </w:tcPr>
          <w:p w14:paraId="6A95748B"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2023-24</w:t>
            </w:r>
          </w:p>
        </w:tc>
        <w:tc>
          <w:tcPr>
            <w:tcW w:w="1377" w:type="dxa"/>
            <w:vAlign w:val="center"/>
          </w:tcPr>
          <w:p w14:paraId="02A4EFB6"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2024-25</w:t>
            </w:r>
          </w:p>
        </w:tc>
        <w:tc>
          <w:tcPr>
            <w:tcW w:w="1377" w:type="dxa"/>
            <w:vAlign w:val="center"/>
          </w:tcPr>
          <w:p w14:paraId="0C8CCC39"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2025-26</w:t>
            </w:r>
          </w:p>
        </w:tc>
        <w:tc>
          <w:tcPr>
            <w:tcW w:w="1377" w:type="dxa"/>
            <w:vAlign w:val="center"/>
          </w:tcPr>
          <w:p w14:paraId="1083558B"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2026-27</w:t>
            </w:r>
          </w:p>
        </w:tc>
        <w:tc>
          <w:tcPr>
            <w:tcW w:w="1377" w:type="dxa"/>
            <w:vAlign w:val="center"/>
          </w:tcPr>
          <w:p w14:paraId="19756DC3"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2027-28</w:t>
            </w:r>
          </w:p>
        </w:tc>
        <w:tc>
          <w:tcPr>
            <w:tcW w:w="1377" w:type="dxa"/>
            <w:vAlign w:val="center"/>
          </w:tcPr>
          <w:p w14:paraId="490085E1" w14:textId="634A58D9"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 xml:space="preserve">Average </w:t>
            </w:r>
            <w:r w:rsidR="002A4937">
              <w:br/>
            </w:r>
            <w:r w:rsidRPr="00AA654D">
              <w:t>(4 years)</w:t>
            </w:r>
          </w:p>
        </w:tc>
      </w:tr>
      <w:tr w:rsidR="00907F26" w14:paraId="4A2B2C7B" w14:textId="77777777" w:rsidTr="008D366D">
        <w:trPr>
          <w:trHeight w:val="170"/>
        </w:trPr>
        <w:tc>
          <w:tcPr>
            <w:cnfStyle w:val="001000000000" w:firstRow="0" w:lastRow="0" w:firstColumn="1" w:lastColumn="0" w:oddVBand="0" w:evenVBand="0" w:oddHBand="0" w:evenHBand="0" w:firstRowFirstColumn="0" w:firstRowLastColumn="0" w:lastRowFirstColumn="0" w:lastRowLastColumn="0"/>
            <w:tcW w:w="1376" w:type="dxa"/>
          </w:tcPr>
          <w:p w14:paraId="5129209D" w14:textId="77777777" w:rsidR="00907F26" w:rsidRDefault="00907F26">
            <w:r w:rsidRPr="006044D1">
              <w:rPr>
                <w:b w:val="0"/>
              </w:rPr>
              <w:t>Proposed</w:t>
            </w:r>
            <w:r w:rsidRPr="00AA654D">
              <w:t xml:space="preserve"> </w:t>
            </w:r>
          </w:p>
        </w:tc>
        <w:tc>
          <w:tcPr>
            <w:tcW w:w="1377" w:type="dxa"/>
          </w:tcPr>
          <w:p w14:paraId="31D507C5"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3.29%</w:t>
            </w:r>
          </w:p>
        </w:tc>
        <w:tc>
          <w:tcPr>
            <w:tcW w:w="1377" w:type="dxa"/>
          </w:tcPr>
          <w:p w14:paraId="5497D726"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3.02%</w:t>
            </w:r>
          </w:p>
        </w:tc>
        <w:tc>
          <w:tcPr>
            <w:tcW w:w="1377" w:type="dxa"/>
          </w:tcPr>
          <w:p w14:paraId="6025AAB0"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3.11%</w:t>
            </w:r>
          </w:p>
        </w:tc>
        <w:tc>
          <w:tcPr>
            <w:tcW w:w="1377" w:type="dxa"/>
          </w:tcPr>
          <w:p w14:paraId="201212A2"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2.58%</w:t>
            </w:r>
          </w:p>
        </w:tc>
        <w:tc>
          <w:tcPr>
            <w:tcW w:w="1377" w:type="dxa"/>
          </w:tcPr>
          <w:p w14:paraId="70618B85"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2.54%</w:t>
            </w:r>
          </w:p>
        </w:tc>
        <w:tc>
          <w:tcPr>
            <w:tcW w:w="1377" w:type="dxa"/>
          </w:tcPr>
          <w:p w14:paraId="69324FC5" w14:textId="77777777" w:rsidR="00907F26" w:rsidRPr="002A632F" w:rsidRDefault="00907F26"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2.81%</w:t>
            </w:r>
          </w:p>
        </w:tc>
      </w:tr>
    </w:tbl>
    <w:p w14:paraId="759A1BEC" w14:textId="77777777" w:rsidR="00FB5EBB" w:rsidRDefault="00FB5EBB" w:rsidP="00ED6FC8"/>
    <w:p w14:paraId="342E1C87" w14:textId="77777777" w:rsidR="00494C3C" w:rsidRDefault="005B5738" w:rsidP="002E3D99">
      <w:pPr>
        <w:pStyle w:val="Heading4"/>
      </w:pPr>
      <w:r w:rsidRPr="005B5738">
        <w:t>Efficiency factor</w:t>
      </w:r>
    </w:p>
    <w:p w14:paraId="6809412E" w14:textId="06748AC7" w:rsidR="0030569D" w:rsidRDefault="0030569D" w:rsidP="0030569D">
      <w:r>
        <w:t>GWW proposes an average annual</w:t>
      </w:r>
      <w:r w:rsidRPr="00C003B1">
        <w:t xml:space="preserve"> </w:t>
      </w:r>
      <w:r>
        <w:t xml:space="preserve">compounding efficiency factor of </w:t>
      </w:r>
      <w:r w:rsidRPr="006D7CD8">
        <w:t>3</w:t>
      </w:r>
      <w:r>
        <w:t>.0</w:t>
      </w:r>
      <w:r w:rsidR="0097507F">
        <w:t>%.</w:t>
      </w:r>
      <w:r w:rsidRPr="00C003B1">
        <w:t xml:space="preserve"> </w:t>
      </w:r>
      <w:r>
        <w:t xml:space="preserve">Our proposal is based on </w:t>
      </w:r>
      <w:r w:rsidRPr="00C003B1">
        <w:t>bottom</w:t>
      </w:r>
      <w:r>
        <w:t xml:space="preserve">-up accounting of the efficiencies we expect to realise through our integration and transformation programs in addition to </w:t>
      </w:r>
      <w:r w:rsidR="00FD67D9">
        <w:t xml:space="preserve">broader efficiencies we expect to </w:t>
      </w:r>
      <w:r w:rsidR="009B0989">
        <w:t>achieve</w:t>
      </w:r>
      <w:r w:rsidR="00FD67D9">
        <w:t xml:space="preserve"> over time through economies of scale and scope.</w:t>
      </w:r>
      <w:r>
        <w:t xml:space="preserve"> </w:t>
      </w:r>
    </w:p>
    <w:p w14:paraId="46166F42" w14:textId="14879FFD" w:rsidR="0030569D" w:rsidRPr="00340B23" w:rsidRDefault="0030569D" w:rsidP="0030569D">
      <w:r>
        <w:t>Our efficiency forecast captures the following components (the annual profile of efficiency saving is outlined</w:t>
      </w:r>
      <w:r w:rsidR="0062163A">
        <w:t xml:space="preserve"> in </w:t>
      </w:r>
      <w:r w:rsidR="0062163A">
        <w:fldChar w:fldCharType="begin"/>
      </w:r>
      <w:r w:rsidR="0062163A">
        <w:instrText xml:space="preserve"> REF _Ref145334442 \h </w:instrText>
      </w:r>
      <w:r w:rsidR="007F26AF">
        <w:instrText xml:space="preserve"> \* MERGEFORMAT </w:instrText>
      </w:r>
      <w:r w:rsidR="0062163A">
        <w:fldChar w:fldCharType="separate"/>
      </w:r>
      <w:r w:rsidR="003B42C6" w:rsidRPr="00800F81">
        <w:rPr>
          <w:b/>
        </w:rPr>
        <w:t xml:space="preserve">Table </w:t>
      </w:r>
      <w:r w:rsidR="003B42C6" w:rsidRPr="003B42C6">
        <w:rPr>
          <w:b/>
          <w:bCs/>
          <w:noProof/>
        </w:rPr>
        <w:t>23</w:t>
      </w:r>
      <w:r w:rsidR="0062163A">
        <w:fldChar w:fldCharType="end"/>
      </w:r>
      <w:r w:rsidRPr="0062163A">
        <w:t>)</w:t>
      </w:r>
      <w:r>
        <w:t>:</w:t>
      </w:r>
    </w:p>
    <w:p w14:paraId="65B6FFE1" w14:textId="5EBC4949" w:rsidR="0030569D" w:rsidRPr="00D0766C" w:rsidRDefault="0030569D">
      <w:pPr>
        <w:pStyle w:val="ListBullet"/>
        <w:numPr>
          <w:ilvl w:val="0"/>
          <w:numId w:val="124"/>
        </w:numPr>
      </w:pPr>
      <w:r w:rsidRPr="00D0766C">
        <w:rPr>
          <w:b/>
          <w:bCs/>
        </w:rPr>
        <w:t xml:space="preserve">Identified integration efficiencies: </w:t>
      </w:r>
      <w:r>
        <w:t xml:space="preserve">efficiencies we will generate through our programs aimed at consolidating our people, </w:t>
      </w:r>
      <w:proofErr w:type="gramStart"/>
      <w:r>
        <w:t>systems</w:t>
      </w:r>
      <w:proofErr w:type="gramEnd"/>
      <w:r>
        <w:t xml:space="preserve"> and processes.  They build on the e</w:t>
      </w:r>
      <w:r w:rsidRPr="00D0766C">
        <w:t xml:space="preserve">fficiencies </w:t>
      </w:r>
      <w:r>
        <w:t>d</w:t>
      </w:r>
      <w:r w:rsidRPr="00D0766C">
        <w:t>elivered from integration expenditure in 2022-23 and 2023-24, including an intermediate year efficiency of 2</w:t>
      </w:r>
      <w:r w:rsidR="0097507F">
        <w:t>%</w:t>
      </w:r>
      <w:r w:rsidRPr="00D0766C">
        <w:t xml:space="preserve"> that is consistent with the</w:t>
      </w:r>
      <w:r>
        <w:t xml:space="preserve"> proposals in the</w:t>
      </w:r>
      <w:r w:rsidRPr="00D0766C">
        <w:t xml:space="preserve"> 2018 and 2020 </w:t>
      </w:r>
      <w:r>
        <w:t>price submissions</w:t>
      </w:r>
      <w:r w:rsidRPr="00D0766C">
        <w:t>.</w:t>
      </w:r>
      <w:r w:rsidR="002A44B6">
        <w:t xml:space="preserve"> We have identified $5.72 million</w:t>
      </w:r>
      <w:r w:rsidR="00A06F01">
        <w:t xml:space="preserve"> of efficiencies related to integration over the regulatory period.</w:t>
      </w:r>
    </w:p>
    <w:p w14:paraId="388350D3" w14:textId="7A8C76D8" w:rsidR="0030569D" w:rsidRPr="00340B23" w:rsidRDefault="0030569D">
      <w:pPr>
        <w:pStyle w:val="ListBullet"/>
        <w:numPr>
          <w:ilvl w:val="0"/>
          <w:numId w:val="124"/>
        </w:numPr>
      </w:pPr>
      <w:r w:rsidRPr="00340B23">
        <w:rPr>
          <w:b/>
          <w:bCs/>
        </w:rPr>
        <w:t>Identified transformation efficiencies</w:t>
      </w:r>
      <w:r w:rsidRPr="00340B23">
        <w:t xml:space="preserve">: </w:t>
      </w:r>
      <w:r>
        <w:t xml:space="preserve">efficiencies we have identified and quantified for our </w:t>
      </w:r>
      <w:r w:rsidRPr="00340B23">
        <w:t>transformation program</w:t>
      </w:r>
      <w:r>
        <w:t>. They include</w:t>
      </w:r>
      <w:r w:rsidRPr="00340B23">
        <w:t>:</w:t>
      </w:r>
    </w:p>
    <w:p w14:paraId="20C092AF" w14:textId="3F65EEA2" w:rsidR="00FD67D9" w:rsidRDefault="00FD67D9">
      <w:pPr>
        <w:pStyle w:val="ListBullet2"/>
        <w:numPr>
          <w:ilvl w:val="0"/>
          <w:numId w:val="45"/>
        </w:numPr>
      </w:pPr>
      <w:r>
        <w:t xml:space="preserve">uplift in </w:t>
      </w:r>
      <w:r w:rsidRPr="00340B23">
        <w:rPr>
          <w:b/>
          <w:bCs/>
        </w:rPr>
        <w:t>safety</w:t>
      </w:r>
      <w:r>
        <w:t xml:space="preserve"> investment and changes to asset construction through streamlining processes and </w:t>
      </w:r>
      <w:proofErr w:type="gramStart"/>
      <w:r>
        <w:t>procedures, and</w:t>
      </w:r>
      <w:proofErr w:type="gramEnd"/>
      <w:r>
        <w:t xml:space="preserve"> increases in remote meter reading</w:t>
      </w:r>
      <w:r w:rsidR="004B0B81">
        <w:t>.</w:t>
      </w:r>
    </w:p>
    <w:p w14:paraId="16C809DC" w14:textId="3B545513" w:rsidR="00FD67D9" w:rsidRDefault="00FD67D9">
      <w:pPr>
        <w:pStyle w:val="ListBullet2"/>
        <w:numPr>
          <w:ilvl w:val="0"/>
          <w:numId w:val="45"/>
        </w:numPr>
      </w:pPr>
      <w:r>
        <w:t xml:space="preserve">working towards improved </w:t>
      </w:r>
      <w:r w:rsidRPr="00340B23">
        <w:rPr>
          <w:b/>
          <w:bCs/>
        </w:rPr>
        <w:t>customer services</w:t>
      </w:r>
      <w:r>
        <w:t xml:space="preserve"> through </w:t>
      </w:r>
      <w:r w:rsidR="004E24E3">
        <w:t xml:space="preserve">the </w:t>
      </w:r>
      <w:r>
        <w:t>COVID</w:t>
      </w:r>
      <w:r w:rsidR="00BB4703">
        <w:t>-19 pandemic</w:t>
      </w:r>
      <w:r>
        <w:t xml:space="preserve"> and as we integrate and transform our service delivery through increased e-billing and self-serve.</w:t>
      </w:r>
    </w:p>
    <w:p w14:paraId="132EFEF0" w14:textId="77777777" w:rsidR="00FD67D9" w:rsidRDefault="00FD67D9">
      <w:pPr>
        <w:pStyle w:val="ListBullet2"/>
        <w:numPr>
          <w:ilvl w:val="0"/>
          <w:numId w:val="45"/>
        </w:numPr>
      </w:pPr>
      <w:r>
        <w:t xml:space="preserve">investment in permanent solutions to manage </w:t>
      </w:r>
      <w:r w:rsidRPr="00340B23">
        <w:rPr>
          <w:b/>
          <w:bCs/>
        </w:rPr>
        <w:t>compliance</w:t>
      </w:r>
      <w:r w:rsidRPr="00FE5CEE">
        <w:t xml:space="preserve"> and reduce operating expenditure on incidents and management of </w:t>
      </w:r>
      <w:proofErr w:type="gramStart"/>
      <w:r w:rsidRPr="00FE5CEE">
        <w:t>non-compliance</w:t>
      </w:r>
      <w:proofErr w:type="gramEnd"/>
    </w:p>
    <w:p w14:paraId="0CF6F1A4" w14:textId="77777777" w:rsidR="00FD67D9" w:rsidRDefault="00FD67D9">
      <w:pPr>
        <w:pStyle w:val="ListBullet2"/>
        <w:numPr>
          <w:ilvl w:val="0"/>
          <w:numId w:val="45"/>
        </w:numPr>
      </w:pPr>
      <w:r>
        <w:t xml:space="preserve">investing in our assets and developing consistent </w:t>
      </w:r>
      <w:r w:rsidRPr="00340B23">
        <w:rPr>
          <w:b/>
          <w:bCs/>
        </w:rPr>
        <w:t>asset management</w:t>
      </w:r>
      <w:r>
        <w:t xml:space="preserve"> processes  </w:t>
      </w:r>
    </w:p>
    <w:p w14:paraId="78A0D9BF" w14:textId="5AB3EA6C" w:rsidR="0030569D" w:rsidRPr="00E47780" w:rsidRDefault="0030569D">
      <w:pPr>
        <w:pStyle w:val="ListBullet2"/>
        <w:numPr>
          <w:ilvl w:val="0"/>
          <w:numId w:val="45"/>
        </w:numPr>
      </w:pPr>
      <w:r>
        <w:t xml:space="preserve">streamlining key </w:t>
      </w:r>
      <w:r w:rsidRPr="00340B23">
        <w:rPr>
          <w:b/>
          <w:bCs/>
        </w:rPr>
        <w:t>corporate</w:t>
      </w:r>
      <w:r>
        <w:t xml:space="preserve"> </w:t>
      </w:r>
      <w:r w:rsidRPr="00340B23">
        <w:rPr>
          <w:b/>
          <w:bCs/>
        </w:rPr>
        <w:t>functions</w:t>
      </w:r>
      <w:r w:rsidR="008D1BE0" w:rsidRPr="00E207E2">
        <w:t>.</w:t>
      </w:r>
    </w:p>
    <w:p w14:paraId="02507C5E" w14:textId="72622F8A" w:rsidR="00A06F01" w:rsidRPr="0001450A" w:rsidRDefault="0001450A" w:rsidP="00017A7B">
      <w:pPr>
        <w:pStyle w:val="ListBullet2"/>
        <w:ind w:left="426" w:firstLine="0"/>
      </w:pPr>
      <w:r>
        <w:t xml:space="preserve">We have identified </w:t>
      </w:r>
      <w:r w:rsidR="001E7D34">
        <w:t xml:space="preserve">$23.2 million </w:t>
      </w:r>
      <w:r w:rsidR="002F3EC5">
        <w:t xml:space="preserve">of savings </w:t>
      </w:r>
      <w:r w:rsidR="00C45249">
        <w:t xml:space="preserve">from business transformation over the regulatory period. </w:t>
      </w:r>
    </w:p>
    <w:p w14:paraId="4DCE64EE" w14:textId="6FD5089E" w:rsidR="00FD67D9" w:rsidRDefault="00FD67D9">
      <w:pPr>
        <w:pStyle w:val="ListBullet"/>
        <w:numPr>
          <w:ilvl w:val="0"/>
          <w:numId w:val="125"/>
        </w:numPr>
      </w:pPr>
      <w:r w:rsidRPr="002E3D99">
        <w:rPr>
          <w:b/>
          <w:bCs/>
        </w:rPr>
        <w:t>Unidentified transformation efficiency target:</w:t>
      </w:r>
      <w:r w:rsidRPr="00A00AE5">
        <w:t xml:space="preserve"> </w:t>
      </w:r>
      <w:r w:rsidR="00BD00E6">
        <w:t xml:space="preserve">as </w:t>
      </w:r>
      <w:r>
        <w:t xml:space="preserve">the transformation and integration programs progress, there are unquantified and/or unidentified efficiencies that can be delivered. We have proposed an efficiency target to address these and deliver the best </w:t>
      </w:r>
      <w:r w:rsidR="00BD00E6">
        <w:t xml:space="preserve">outcomes </w:t>
      </w:r>
      <w:r>
        <w:t>for our customers.</w:t>
      </w:r>
      <w:r w:rsidR="00FF6EAD">
        <w:t xml:space="preserve"> We are </w:t>
      </w:r>
      <w:r w:rsidR="007C0C49">
        <w:t xml:space="preserve">targeting an </w:t>
      </w:r>
      <w:r w:rsidR="007C0C49">
        <w:lastRenderedPageBreak/>
        <w:t xml:space="preserve">additional </w:t>
      </w:r>
      <w:r w:rsidR="00FF6EAD">
        <w:t>$17.</w:t>
      </w:r>
      <w:r w:rsidR="007C0C49">
        <w:t xml:space="preserve">4 million in efficiencies from transformations that are yet to be identified.  </w:t>
      </w:r>
    </w:p>
    <w:p w14:paraId="4133DF07" w14:textId="705D2D67" w:rsidR="00FD67D9" w:rsidRPr="001C5330" w:rsidRDefault="00FD67D9">
      <w:pPr>
        <w:pStyle w:val="ListBullet"/>
        <w:numPr>
          <w:ilvl w:val="0"/>
          <w:numId w:val="125"/>
        </w:numPr>
      </w:pPr>
      <w:r w:rsidRPr="002E3D99">
        <w:rPr>
          <w:b/>
        </w:rPr>
        <w:t xml:space="preserve">Residual </w:t>
      </w:r>
      <w:r w:rsidRPr="002E3D99">
        <w:rPr>
          <w:b/>
          <w:bCs/>
        </w:rPr>
        <w:t>(economies of scale and scope):</w:t>
      </w:r>
      <w:r>
        <w:t xml:space="preserve"> </w:t>
      </w:r>
      <w:r w:rsidRPr="001C5330">
        <w:t>efficiencies that can be delivered through economies of scale and scope. This is equivalent to a standard business under the PREMO framework of 1.4</w:t>
      </w:r>
      <w:r w:rsidR="00842BC5">
        <w:t>%</w:t>
      </w:r>
      <w:r w:rsidRPr="001C5330">
        <w:t xml:space="preserve"> efficiency</w:t>
      </w:r>
      <w:r w:rsidR="0063008A">
        <w:t>.</w:t>
      </w:r>
    </w:p>
    <w:p w14:paraId="299F473B" w14:textId="713377AF" w:rsidR="00A449B7" w:rsidRDefault="00A449B7" w:rsidP="00A449B7">
      <w:pPr>
        <w:pStyle w:val="Caption"/>
      </w:pPr>
      <w:bookmarkStart w:id="136" w:name="_Ref145334442"/>
      <w:r w:rsidRPr="00800F81">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23</w:t>
      </w:r>
      <w:r w:rsidRPr="00340214">
        <w:rPr>
          <w:b/>
        </w:rPr>
        <w:fldChar w:fldCharType="end"/>
      </w:r>
      <w:bookmarkEnd w:id="136"/>
      <w:r>
        <w:t xml:space="preserve"> </w:t>
      </w:r>
      <w:r w:rsidRPr="0086483F">
        <w:t>Efficiency forecasts compared to 2022-23 ($million, 2023-24)</w:t>
      </w:r>
    </w:p>
    <w:tbl>
      <w:tblPr>
        <w:tblStyle w:val="GWWDefaulttable"/>
        <w:tblW w:w="5000" w:type="pct"/>
        <w:tblLook w:val="04A0" w:firstRow="1" w:lastRow="0" w:firstColumn="1" w:lastColumn="0" w:noHBand="0" w:noVBand="1"/>
      </w:tblPr>
      <w:tblGrid>
        <w:gridCol w:w="1666"/>
        <w:gridCol w:w="611"/>
        <w:gridCol w:w="1214"/>
        <w:gridCol w:w="1226"/>
        <w:gridCol w:w="1226"/>
        <w:gridCol w:w="1226"/>
        <w:gridCol w:w="1226"/>
        <w:gridCol w:w="1243"/>
      </w:tblGrid>
      <w:tr w:rsidR="00B27813" w14:paraId="7CE90D93" w14:textId="77777777" w:rsidTr="00F46A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2CBACF74" w14:textId="77777777" w:rsidR="00B27813" w:rsidRDefault="00B27813" w:rsidP="00340214"/>
        </w:tc>
        <w:tc>
          <w:tcPr>
            <w:tcW w:w="947" w:type="pct"/>
            <w:gridSpan w:val="2"/>
            <w:vAlign w:val="center"/>
          </w:tcPr>
          <w:p w14:paraId="15B54F5D"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2023-24</w:t>
            </w:r>
          </w:p>
        </w:tc>
        <w:tc>
          <w:tcPr>
            <w:tcW w:w="636" w:type="pct"/>
            <w:vAlign w:val="center"/>
          </w:tcPr>
          <w:p w14:paraId="67B25B6E"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2024-25</w:t>
            </w:r>
          </w:p>
        </w:tc>
        <w:tc>
          <w:tcPr>
            <w:tcW w:w="636" w:type="pct"/>
            <w:vAlign w:val="center"/>
          </w:tcPr>
          <w:p w14:paraId="406A7117"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2025-26</w:t>
            </w:r>
          </w:p>
        </w:tc>
        <w:tc>
          <w:tcPr>
            <w:tcW w:w="636" w:type="pct"/>
            <w:vAlign w:val="center"/>
          </w:tcPr>
          <w:p w14:paraId="4E8148EF"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2026-27</w:t>
            </w:r>
          </w:p>
        </w:tc>
        <w:tc>
          <w:tcPr>
            <w:tcW w:w="636" w:type="pct"/>
            <w:vAlign w:val="center"/>
          </w:tcPr>
          <w:p w14:paraId="50D7E0E6"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2027-28</w:t>
            </w:r>
          </w:p>
        </w:tc>
        <w:tc>
          <w:tcPr>
            <w:tcW w:w="645" w:type="pct"/>
            <w:vAlign w:val="center"/>
          </w:tcPr>
          <w:p w14:paraId="04DBBCDD" w14:textId="4289916B" w:rsidR="00B27813" w:rsidRDefault="00B27813" w:rsidP="00F46ABB">
            <w:pPr>
              <w:jc w:val="right"/>
              <w:cnfStyle w:val="100000000000" w:firstRow="1" w:lastRow="0" w:firstColumn="0" w:lastColumn="0" w:oddVBand="0" w:evenVBand="0" w:oddHBand="0" w:evenHBand="0" w:firstRowFirstColumn="0" w:firstRowLastColumn="0" w:lastRowFirstColumn="0" w:lastRowLastColumn="0"/>
            </w:pPr>
            <w:r w:rsidRPr="001E16C0">
              <w:t>Average</w:t>
            </w:r>
            <w:r>
              <w:t xml:space="preserve"> </w:t>
            </w:r>
            <w:r w:rsidR="002A4937">
              <w:br/>
            </w:r>
            <w:r w:rsidRPr="001E16C0">
              <w:t>(4 years)</w:t>
            </w:r>
          </w:p>
        </w:tc>
      </w:tr>
      <w:tr w:rsidR="00B27813" w14:paraId="18974EC8" w14:textId="77777777" w:rsidTr="00F46ABB">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13BAAF73" w14:textId="77777777" w:rsidR="00B27813" w:rsidRPr="00302F92" w:rsidRDefault="00B27813" w:rsidP="00340214">
            <w:pPr>
              <w:rPr>
                <w:b w:val="0"/>
              </w:rPr>
            </w:pPr>
            <w:r w:rsidRPr="002C30AD">
              <w:rPr>
                <w:b w:val="0"/>
              </w:rPr>
              <w:t>Identified integration efficiencies</w:t>
            </w:r>
          </w:p>
        </w:tc>
        <w:tc>
          <w:tcPr>
            <w:tcW w:w="947" w:type="pct"/>
            <w:gridSpan w:val="2"/>
            <w:vAlign w:val="center"/>
          </w:tcPr>
          <w:p w14:paraId="7BE989BE"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0.23 </w:t>
            </w:r>
          </w:p>
        </w:tc>
        <w:tc>
          <w:tcPr>
            <w:tcW w:w="636" w:type="pct"/>
            <w:vAlign w:val="center"/>
          </w:tcPr>
          <w:p w14:paraId="49563C5A"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1.17 </w:t>
            </w:r>
          </w:p>
        </w:tc>
        <w:tc>
          <w:tcPr>
            <w:tcW w:w="636" w:type="pct"/>
            <w:vAlign w:val="center"/>
          </w:tcPr>
          <w:p w14:paraId="0C562C2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1.17 </w:t>
            </w:r>
          </w:p>
        </w:tc>
        <w:tc>
          <w:tcPr>
            <w:tcW w:w="636" w:type="pct"/>
            <w:vAlign w:val="center"/>
          </w:tcPr>
          <w:p w14:paraId="60E7A2E3"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1.69 </w:t>
            </w:r>
          </w:p>
        </w:tc>
        <w:tc>
          <w:tcPr>
            <w:tcW w:w="636" w:type="pct"/>
            <w:vAlign w:val="center"/>
          </w:tcPr>
          <w:p w14:paraId="3160C172"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1.69 </w:t>
            </w:r>
          </w:p>
        </w:tc>
        <w:tc>
          <w:tcPr>
            <w:tcW w:w="645" w:type="pct"/>
            <w:vAlign w:val="center"/>
          </w:tcPr>
          <w:p w14:paraId="67EA0A3A" w14:textId="77777777" w:rsidR="00B27813" w:rsidRPr="002A632F" w:rsidRDefault="00B27813" w:rsidP="00F46ABB">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136F9A7D"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7FB5FDDC" w14:textId="77777777" w:rsidR="00B27813" w:rsidRPr="00302F92" w:rsidRDefault="00B27813" w:rsidP="00340214">
            <w:pPr>
              <w:rPr>
                <w:b w:val="0"/>
              </w:rPr>
            </w:pPr>
            <w:r w:rsidRPr="002C30AD">
              <w:rPr>
                <w:b w:val="0"/>
              </w:rPr>
              <w:t>Identified transformation efficiencies</w:t>
            </w:r>
          </w:p>
        </w:tc>
        <w:tc>
          <w:tcPr>
            <w:tcW w:w="947" w:type="pct"/>
            <w:gridSpan w:val="2"/>
            <w:vAlign w:val="center"/>
          </w:tcPr>
          <w:p w14:paraId="03D8CB66"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1.25 </w:t>
            </w:r>
          </w:p>
        </w:tc>
        <w:tc>
          <w:tcPr>
            <w:tcW w:w="636" w:type="pct"/>
            <w:vAlign w:val="center"/>
          </w:tcPr>
          <w:p w14:paraId="2EFFBFE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4.43 </w:t>
            </w:r>
          </w:p>
        </w:tc>
        <w:tc>
          <w:tcPr>
            <w:tcW w:w="636" w:type="pct"/>
            <w:vAlign w:val="center"/>
          </w:tcPr>
          <w:p w14:paraId="2470DA94"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5.53 </w:t>
            </w:r>
          </w:p>
        </w:tc>
        <w:tc>
          <w:tcPr>
            <w:tcW w:w="636" w:type="pct"/>
            <w:vAlign w:val="center"/>
          </w:tcPr>
          <w:p w14:paraId="187E305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6.62 </w:t>
            </w:r>
          </w:p>
        </w:tc>
        <w:tc>
          <w:tcPr>
            <w:tcW w:w="636" w:type="pct"/>
            <w:vAlign w:val="center"/>
          </w:tcPr>
          <w:p w14:paraId="3C105104"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6.66 </w:t>
            </w:r>
          </w:p>
        </w:tc>
        <w:tc>
          <w:tcPr>
            <w:tcW w:w="645" w:type="pct"/>
            <w:vAlign w:val="center"/>
          </w:tcPr>
          <w:p w14:paraId="5900EC2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58D99469"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3B86617C" w14:textId="77777777" w:rsidR="00B27813" w:rsidRPr="00302F92" w:rsidRDefault="00B27813" w:rsidP="00340214">
            <w:pPr>
              <w:rPr>
                <w:b w:val="0"/>
              </w:rPr>
            </w:pPr>
            <w:r w:rsidRPr="002C30AD">
              <w:rPr>
                <w:b w:val="0"/>
              </w:rPr>
              <w:t>Unidentified transformation efficiency target</w:t>
            </w:r>
          </w:p>
        </w:tc>
        <w:tc>
          <w:tcPr>
            <w:tcW w:w="947" w:type="pct"/>
            <w:gridSpan w:val="2"/>
            <w:vAlign w:val="center"/>
          </w:tcPr>
          <w:p w14:paraId="2D56B51B"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 </w:t>
            </w:r>
          </w:p>
        </w:tc>
        <w:tc>
          <w:tcPr>
            <w:tcW w:w="636" w:type="pct"/>
            <w:vAlign w:val="center"/>
          </w:tcPr>
          <w:p w14:paraId="726E853A"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0.98 </w:t>
            </w:r>
          </w:p>
        </w:tc>
        <w:tc>
          <w:tcPr>
            <w:tcW w:w="636" w:type="pct"/>
            <w:vAlign w:val="center"/>
          </w:tcPr>
          <w:p w14:paraId="14F9F9A9"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4.00 </w:t>
            </w:r>
          </w:p>
        </w:tc>
        <w:tc>
          <w:tcPr>
            <w:tcW w:w="636" w:type="pct"/>
            <w:vAlign w:val="center"/>
          </w:tcPr>
          <w:p w14:paraId="54EB77F9"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5.36 </w:t>
            </w:r>
          </w:p>
        </w:tc>
        <w:tc>
          <w:tcPr>
            <w:tcW w:w="636" w:type="pct"/>
            <w:vAlign w:val="center"/>
          </w:tcPr>
          <w:p w14:paraId="68667268"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7.05 </w:t>
            </w:r>
          </w:p>
        </w:tc>
        <w:tc>
          <w:tcPr>
            <w:tcW w:w="645" w:type="pct"/>
            <w:vAlign w:val="center"/>
          </w:tcPr>
          <w:p w14:paraId="3D3FEFA6"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2603D316" w14:textId="77777777" w:rsidTr="008C32E9">
        <w:trPr>
          <w:gridAfter w:val="1"/>
          <w:wAfter w:w="645" w:type="pct"/>
          <w:trHeight w:val="20"/>
        </w:trPr>
        <w:tc>
          <w:tcPr>
            <w:cnfStyle w:val="001000000000" w:firstRow="0" w:lastRow="0" w:firstColumn="1" w:lastColumn="0" w:oddVBand="0" w:evenVBand="0" w:oddHBand="0" w:evenHBand="0" w:firstRowFirstColumn="0" w:firstRowLastColumn="0" w:lastRowFirstColumn="0" w:lastRowLastColumn="0"/>
            <w:tcW w:w="864" w:type="pct"/>
            <w:tcBorders>
              <w:bottom w:val="single" w:sz="12" w:space="0" w:color="1A206C" w:themeColor="text2"/>
            </w:tcBorders>
            <w:vAlign w:val="center"/>
          </w:tcPr>
          <w:p w14:paraId="2E1F6992" w14:textId="77777777" w:rsidR="00B27813" w:rsidRPr="00302F92" w:rsidRDefault="00B27813" w:rsidP="00340214">
            <w:pPr>
              <w:rPr>
                <w:b w:val="0"/>
              </w:rPr>
            </w:pPr>
            <w:r w:rsidRPr="002C30AD">
              <w:rPr>
                <w:b w:val="0"/>
              </w:rPr>
              <w:t>Residual (economies of scale and scope)</w:t>
            </w:r>
          </w:p>
        </w:tc>
        <w:tc>
          <w:tcPr>
            <w:tcW w:w="317" w:type="pct"/>
            <w:tcBorders>
              <w:bottom w:val="single" w:sz="12" w:space="0" w:color="1A206C" w:themeColor="text2"/>
            </w:tcBorders>
            <w:vAlign w:val="center"/>
          </w:tcPr>
          <w:p w14:paraId="0621CF53" w14:textId="49ACBDBB"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630" w:type="pct"/>
            <w:tcBorders>
              <w:bottom w:val="single" w:sz="12" w:space="0" w:color="1A206C" w:themeColor="text2"/>
            </w:tcBorders>
            <w:vAlign w:val="center"/>
          </w:tcPr>
          <w:p w14:paraId="5A1B48FD" w14:textId="704F8E85"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2.73 </w:t>
            </w:r>
          </w:p>
        </w:tc>
        <w:tc>
          <w:tcPr>
            <w:tcW w:w="636" w:type="pct"/>
            <w:tcBorders>
              <w:bottom w:val="single" w:sz="12" w:space="0" w:color="1A206C" w:themeColor="text2"/>
            </w:tcBorders>
            <w:vAlign w:val="center"/>
          </w:tcPr>
          <w:p w14:paraId="63CC07B2" w14:textId="521C34ED"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5.80 </w:t>
            </w:r>
          </w:p>
        </w:tc>
        <w:tc>
          <w:tcPr>
            <w:tcW w:w="636" w:type="pct"/>
            <w:tcBorders>
              <w:bottom w:val="single" w:sz="12" w:space="0" w:color="1A206C" w:themeColor="text2"/>
            </w:tcBorders>
            <w:vAlign w:val="center"/>
          </w:tcPr>
          <w:p w14:paraId="2550262F" w14:textId="2277A4B2"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9.02 </w:t>
            </w:r>
          </w:p>
        </w:tc>
        <w:tc>
          <w:tcPr>
            <w:tcW w:w="636" w:type="pct"/>
            <w:tcBorders>
              <w:bottom w:val="single" w:sz="12" w:space="0" w:color="1A206C" w:themeColor="text2"/>
            </w:tcBorders>
            <w:vAlign w:val="center"/>
          </w:tcPr>
          <w:p w14:paraId="0ED5AFD8" w14:textId="1F9C536C"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12.35 </w:t>
            </w:r>
          </w:p>
        </w:tc>
        <w:tc>
          <w:tcPr>
            <w:tcW w:w="636" w:type="pct"/>
            <w:tcBorders>
              <w:bottom w:val="single" w:sz="12" w:space="0" w:color="1A206C" w:themeColor="text2"/>
            </w:tcBorders>
            <w:vAlign w:val="center"/>
          </w:tcPr>
          <w:p w14:paraId="36C7B1FC" w14:textId="3FFC8684" w:rsidR="00B27813" w:rsidRPr="002C30AD"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15.79 </w:t>
            </w:r>
          </w:p>
        </w:tc>
      </w:tr>
      <w:tr w:rsidR="00B27813" w14:paraId="0A8019AD" w14:textId="77777777" w:rsidTr="008C32E9">
        <w:trPr>
          <w:gridAfter w:val="1"/>
          <w:wAfter w:w="645" w:type="pct"/>
          <w:trHeight w:val="20"/>
        </w:trPr>
        <w:tc>
          <w:tcPr>
            <w:cnfStyle w:val="001000000000" w:firstRow="0" w:lastRow="0" w:firstColumn="1" w:lastColumn="0" w:oddVBand="0" w:evenVBand="0" w:oddHBand="0" w:evenHBand="0" w:firstRowFirstColumn="0" w:firstRowLastColumn="0" w:lastRowFirstColumn="0" w:lastRowLastColumn="0"/>
            <w:tcW w:w="864" w:type="pct"/>
            <w:tcBorders>
              <w:top w:val="single" w:sz="12" w:space="0" w:color="1A206C" w:themeColor="text2"/>
              <w:bottom w:val="single" w:sz="12" w:space="0" w:color="1A206C" w:themeColor="text2"/>
            </w:tcBorders>
            <w:vAlign w:val="center"/>
          </w:tcPr>
          <w:p w14:paraId="7BC5B1DB" w14:textId="4C940C48" w:rsidR="00B27813" w:rsidRDefault="00B27813" w:rsidP="00340214">
            <w:r w:rsidRPr="00D47887">
              <w:t>Total efficiency</w:t>
            </w:r>
          </w:p>
        </w:tc>
        <w:tc>
          <w:tcPr>
            <w:tcW w:w="317" w:type="pct"/>
            <w:tcBorders>
              <w:top w:val="single" w:sz="12" w:space="0" w:color="1A206C" w:themeColor="text2"/>
              <w:bottom w:val="single" w:sz="12" w:space="0" w:color="1A206C" w:themeColor="text2"/>
            </w:tcBorders>
            <w:vAlign w:val="center"/>
          </w:tcPr>
          <w:p w14:paraId="6A45079B" w14:textId="02F781A9"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c>
          <w:tcPr>
            <w:tcW w:w="630" w:type="pct"/>
            <w:tcBorders>
              <w:top w:val="single" w:sz="12" w:space="0" w:color="1A206C" w:themeColor="text2"/>
              <w:bottom w:val="single" w:sz="12" w:space="0" w:color="1A206C" w:themeColor="text2"/>
            </w:tcBorders>
            <w:vAlign w:val="center"/>
          </w:tcPr>
          <w:p w14:paraId="7541B89F" w14:textId="371B735C"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4.19 </w:t>
            </w:r>
          </w:p>
        </w:tc>
        <w:tc>
          <w:tcPr>
            <w:tcW w:w="636" w:type="pct"/>
            <w:tcBorders>
              <w:top w:val="single" w:sz="12" w:space="0" w:color="1A206C" w:themeColor="text2"/>
              <w:bottom w:val="single" w:sz="12" w:space="0" w:color="1A206C" w:themeColor="text2"/>
            </w:tcBorders>
            <w:vAlign w:val="center"/>
          </w:tcPr>
          <w:p w14:paraId="75549A81" w14:textId="19B5A694"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12.39</w:t>
            </w:r>
          </w:p>
        </w:tc>
        <w:tc>
          <w:tcPr>
            <w:tcW w:w="636" w:type="pct"/>
            <w:tcBorders>
              <w:top w:val="single" w:sz="12" w:space="0" w:color="1A206C" w:themeColor="text2"/>
              <w:bottom w:val="single" w:sz="12" w:space="0" w:color="1A206C" w:themeColor="text2"/>
            </w:tcBorders>
            <w:vAlign w:val="center"/>
          </w:tcPr>
          <w:p w14:paraId="49B832AF" w14:textId="62F601C6"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19.73 </w:t>
            </w:r>
          </w:p>
        </w:tc>
        <w:tc>
          <w:tcPr>
            <w:tcW w:w="636" w:type="pct"/>
            <w:tcBorders>
              <w:top w:val="single" w:sz="12" w:space="0" w:color="1A206C" w:themeColor="text2"/>
              <w:bottom w:val="single" w:sz="12" w:space="0" w:color="1A206C" w:themeColor="text2"/>
            </w:tcBorders>
            <w:vAlign w:val="center"/>
          </w:tcPr>
          <w:p w14:paraId="3A7D4C1A" w14:textId="4B3920A3"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26.02 </w:t>
            </w:r>
          </w:p>
        </w:tc>
        <w:tc>
          <w:tcPr>
            <w:tcW w:w="636" w:type="pct"/>
            <w:tcBorders>
              <w:top w:val="single" w:sz="12" w:space="0" w:color="1A206C" w:themeColor="text2"/>
              <w:bottom w:val="single" w:sz="12" w:space="0" w:color="1A206C" w:themeColor="text2"/>
            </w:tcBorders>
            <w:vAlign w:val="center"/>
          </w:tcPr>
          <w:p w14:paraId="73DD43D4" w14:textId="55C1570F"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31.19 </w:t>
            </w:r>
          </w:p>
        </w:tc>
      </w:tr>
      <w:tr w:rsidR="00B27813" w14:paraId="2EB51496"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tcBorders>
              <w:top w:val="single" w:sz="12" w:space="0" w:color="1A206C" w:themeColor="text2"/>
            </w:tcBorders>
            <w:vAlign w:val="center"/>
          </w:tcPr>
          <w:p w14:paraId="6F65A67C" w14:textId="77777777" w:rsidR="00B27813" w:rsidRPr="002C30AD" w:rsidRDefault="00B27813" w:rsidP="00340214">
            <w:pPr>
              <w:rPr>
                <w:b w:val="0"/>
              </w:rPr>
            </w:pPr>
            <w:r w:rsidRPr="002C30AD">
              <w:rPr>
                <w:b w:val="0"/>
              </w:rPr>
              <w:t>Efficiency %</w:t>
            </w:r>
          </w:p>
        </w:tc>
        <w:tc>
          <w:tcPr>
            <w:tcW w:w="947" w:type="pct"/>
            <w:gridSpan w:val="2"/>
            <w:tcBorders>
              <w:top w:val="single" w:sz="12" w:space="0" w:color="1A206C" w:themeColor="text2"/>
            </w:tcBorders>
            <w:vAlign w:val="center"/>
          </w:tcPr>
          <w:p w14:paraId="29B0DC6F" w14:textId="29F1DE73"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0</w:t>
            </w:r>
            <w:r w:rsidRPr="002C30AD">
              <w:rPr>
                <w:szCs w:val="20"/>
              </w:rPr>
              <w:t>0%</w:t>
            </w:r>
          </w:p>
        </w:tc>
        <w:tc>
          <w:tcPr>
            <w:tcW w:w="636" w:type="pct"/>
            <w:tcBorders>
              <w:top w:val="single" w:sz="12" w:space="0" w:color="1A206C" w:themeColor="text2"/>
            </w:tcBorders>
            <w:vAlign w:val="center"/>
          </w:tcPr>
          <w:p w14:paraId="01054BB2" w14:textId="32C5DE96"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3.8</w:t>
            </w:r>
            <w:r w:rsidR="00BE31D8" w:rsidRPr="002C30AD">
              <w:rPr>
                <w:szCs w:val="20"/>
              </w:rPr>
              <w:t>0</w:t>
            </w:r>
            <w:r w:rsidRPr="002C30AD">
              <w:rPr>
                <w:szCs w:val="20"/>
              </w:rPr>
              <w:t>%</w:t>
            </w:r>
          </w:p>
        </w:tc>
        <w:tc>
          <w:tcPr>
            <w:tcW w:w="636" w:type="pct"/>
            <w:tcBorders>
              <w:top w:val="single" w:sz="12" w:space="0" w:color="1A206C" w:themeColor="text2"/>
            </w:tcBorders>
            <w:vAlign w:val="center"/>
          </w:tcPr>
          <w:p w14:paraId="43359613" w14:textId="460E92B8"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3.3</w:t>
            </w:r>
            <w:r w:rsidR="00BE31D8" w:rsidRPr="002C30AD">
              <w:rPr>
                <w:szCs w:val="20"/>
              </w:rPr>
              <w:t>0</w:t>
            </w:r>
            <w:r w:rsidRPr="002C30AD">
              <w:rPr>
                <w:szCs w:val="20"/>
              </w:rPr>
              <w:t>%</w:t>
            </w:r>
          </w:p>
        </w:tc>
        <w:tc>
          <w:tcPr>
            <w:tcW w:w="636" w:type="pct"/>
            <w:tcBorders>
              <w:top w:val="single" w:sz="12" w:space="0" w:color="1A206C" w:themeColor="text2"/>
            </w:tcBorders>
            <w:vAlign w:val="center"/>
          </w:tcPr>
          <w:p w14:paraId="79CB2965" w14:textId="3C42C27B"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75</w:t>
            </w:r>
            <w:r w:rsidRPr="002C30AD">
              <w:rPr>
                <w:szCs w:val="20"/>
              </w:rPr>
              <w:t>%</w:t>
            </w:r>
          </w:p>
        </w:tc>
        <w:tc>
          <w:tcPr>
            <w:tcW w:w="636" w:type="pct"/>
            <w:tcBorders>
              <w:top w:val="single" w:sz="12" w:space="0" w:color="1A206C" w:themeColor="text2"/>
            </w:tcBorders>
            <w:vAlign w:val="center"/>
          </w:tcPr>
          <w:p w14:paraId="020012D6" w14:textId="682BB974"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15</w:t>
            </w:r>
            <w:r w:rsidRPr="002C30AD">
              <w:rPr>
                <w:szCs w:val="20"/>
              </w:rPr>
              <w:t>%</w:t>
            </w:r>
          </w:p>
        </w:tc>
        <w:tc>
          <w:tcPr>
            <w:tcW w:w="645" w:type="pct"/>
            <w:tcBorders>
              <w:top w:val="single" w:sz="12" w:space="0" w:color="1A206C" w:themeColor="text2"/>
            </w:tcBorders>
            <w:vAlign w:val="center"/>
          </w:tcPr>
          <w:p w14:paraId="57DF5B0E" w14:textId="1A4EC9AD"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rPr>
            </w:pPr>
            <w:r w:rsidRPr="002A632F">
              <w:rPr>
                <w:b/>
                <w:szCs w:val="20"/>
              </w:rPr>
              <w:t>3.0</w:t>
            </w:r>
            <w:r w:rsidR="00BE31D8">
              <w:rPr>
                <w:b/>
                <w:bCs/>
                <w:szCs w:val="20"/>
              </w:rPr>
              <w:t>0</w:t>
            </w:r>
            <w:r w:rsidRPr="002A632F">
              <w:rPr>
                <w:b/>
                <w:szCs w:val="20"/>
              </w:rPr>
              <w:t>%</w:t>
            </w:r>
          </w:p>
        </w:tc>
      </w:tr>
      <w:tr w:rsidR="00B27813" w14:paraId="6B14EFCD"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73E38991" w14:textId="3FD8DB80" w:rsidR="00B27813" w:rsidRPr="002C30AD" w:rsidRDefault="00B27813" w:rsidP="00340214">
            <w:pPr>
              <w:rPr>
                <w:b w:val="0"/>
              </w:rPr>
            </w:pPr>
            <w:r w:rsidRPr="002C30AD">
              <w:rPr>
                <w:b w:val="0"/>
              </w:rPr>
              <w:t>Net efficiency % (efficiency</w:t>
            </w:r>
            <w:r w:rsidR="0027509F" w:rsidRPr="002C30AD">
              <w:rPr>
                <w:b w:val="0"/>
              </w:rPr>
              <w:t xml:space="preserve"> less growth</w:t>
            </w:r>
            <w:r w:rsidRPr="002C30AD">
              <w:rPr>
                <w:b w:val="0"/>
              </w:rPr>
              <w:t>)</w:t>
            </w:r>
          </w:p>
        </w:tc>
        <w:tc>
          <w:tcPr>
            <w:tcW w:w="947" w:type="pct"/>
            <w:gridSpan w:val="2"/>
            <w:vAlign w:val="center"/>
          </w:tcPr>
          <w:p w14:paraId="7B218006" w14:textId="327EF11E" w:rsidR="00B27813" w:rsidRPr="002C30AD" w:rsidRDefault="00C52773" w:rsidP="008C32E9">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B27813" w:rsidRPr="002C30AD">
              <w:rPr>
                <w:szCs w:val="20"/>
              </w:rPr>
              <w:t>1.</w:t>
            </w:r>
            <w:r w:rsidR="00BE31D8" w:rsidRPr="002C30AD">
              <w:rPr>
                <w:szCs w:val="20"/>
              </w:rPr>
              <w:t>29</w:t>
            </w:r>
            <w:r w:rsidR="00B27813" w:rsidRPr="002C30AD">
              <w:rPr>
                <w:szCs w:val="20"/>
              </w:rPr>
              <w:t>%</w:t>
            </w:r>
          </w:p>
        </w:tc>
        <w:tc>
          <w:tcPr>
            <w:tcW w:w="636" w:type="pct"/>
            <w:vAlign w:val="center"/>
          </w:tcPr>
          <w:p w14:paraId="4F396C3A" w14:textId="5D2D6597"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77</w:t>
            </w:r>
            <w:r w:rsidRPr="002C30AD">
              <w:rPr>
                <w:szCs w:val="20"/>
              </w:rPr>
              <w:t>%</w:t>
            </w:r>
          </w:p>
        </w:tc>
        <w:tc>
          <w:tcPr>
            <w:tcW w:w="636" w:type="pct"/>
            <w:vAlign w:val="center"/>
          </w:tcPr>
          <w:p w14:paraId="68F9C542" w14:textId="1FA6CE13"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19</w:t>
            </w:r>
            <w:r w:rsidRPr="002C30AD">
              <w:rPr>
                <w:szCs w:val="20"/>
              </w:rPr>
              <w:t>%</w:t>
            </w:r>
          </w:p>
        </w:tc>
        <w:tc>
          <w:tcPr>
            <w:tcW w:w="636" w:type="pct"/>
            <w:vAlign w:val="center"/>
          </w:tcPr>
          <w:p w14:paraId="51116D29" w14:textId="31347AED"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17</w:t>
            </w:r>
            <w:r w:rsidRPr="002C30AD">
              <w:rPr>
                <w:szCs w:val="20"/>
              </w:rPr>
              <w:t>%</w:t>
            </w:r>
          </w:p>
        </w:tc>
        <w:tc>
          <w:tcPr>
            <w:tcW w:w="636" w:type="pct"/>
            <w:vAlign w:val="center"/>
          </w:tcPr>
          <w:p w14:paraId="2495A539" w14:textId="3CB7F055" w:rsidR="00B27813" w:rsidRPr="002C30AD" w:rsidRDefault="00C52773" w:rsidP="008C32E9">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B27813" w:rsidRPr="002C30AD">
              <w:rPr>
                <w:szCs w:val="20"/>
              </w:rPr>
              <w:t>0.</w:t>
            </w:r>
            <w:r w:rsidR="00BE31D8" w:rsidRPr="002C30AD">
              <w:rPr>
                <w:szCs w:val="20"/>
              </w:rPr>
              <w:t>39</w:t>
            </w:r>
            <w:r w:rsidR="00B27813" w:rsidRPr="002C30AD">
              <w:rPr>
                <w:szCs w:val="20"/>
              </w:rPr>
              <w:t>%</w:t>
            </w:r>
          </w:p>
        </w:tc>
        <w:tc>
          <w:tcPr>
            <w:tcW w:w="645" w:type="pct"/>
            <w:vAlign w:val="center"/>
          </w:tcPr>
          <w:p w14:paraId="1BF041B1" w14:textId="797EC303"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rPr>
            </w:pPr>
            <w:r w:rsidRPr="002A632F">
              <w:rPr>
                <w:b/>
                <w:szCs w:val="20"/>
              </w:rPr>
              <w:t>0.</w:t>
            </w:r>
            <w:r w:rsidR="00BE31D8">
              <w:rPr>
                <w:b/>
                <w:bCs/>
                <w:szCs w:val="20"/>
              </w:rPr>
              <w:t>19</w:t>
            </w:r>
            <w:r w:rsidRPr="002A632F">
              <w:rPr>
                <w:b/>
                <w:szCs w:val="20"/>
              </w:rPr>
              <w:t>%</w:t>
            </w:r>
          </w:p>
        </w:tc>
      </w:tr>
    </w:tbl>
    <w:p w14:paraId="02A1D168" w14:textId="77777777" w:rsidR="00782C17" w:rsidRDefault="008E5B2B" w:rsidP="002E3D99">
      <w:pPr>
        <w:pStyle w:val="Heading4"/>
      </w:pPr>
      <w:r w:rsidRPr="008E5B2B">
        <w:t>Key input cost assumptions</w:t>
      </w:r>
    </w:p>
    <w:p w14:paraId="14EB28C6" w14:textId="77777777" w:rsidR="0080358A" w:rsidRDefault="0080358A" w:rsidP="0080358A">
      <w:r>
        <w:t xml:space="preserve">The operating expenditure forecast for each of the integration, transformation and residual expenditures in our baseline is underpinned by five key cost categories: </w:t>
      </w:r>
    </w:p>
    <w:p w14:paraId="107F5A4D" w14:textId="31350A75" w:rsidR="0080358A" w:rsidRDefault="0080358A">
      <w:pPr>
        <w:pStyle w:val="ListBullet"/>
        <w:numPr>
          <w:ilvl w:val="0"/>
          <w:numId w:val="126"/>
        </w:numPr>
      </w:pPr>
      <w:r>
        <w:t xml:space="preserve">Energy: </w:t>
      </w:r>
      <w:r w:rsidR="00D6685D">
        <w:t>f</w:t>
      </w:r>
      <w:r>
        <w:t xml:space="preserve">orecast energy costs are expected to grow at </w:t>
      </w:r>
      <w:r w:rsidR="00CF7B2C">
        <w:t xml:space="preserve">a </w:t>
      </w:r>
      <w:r w:rsidR="00CF7B2C" w:rsidRPr="00CF7B2C">
        <w:t>compound annual growth rate</w:t>
      </w:r>
      <w:r w:rsidR="00CF7B2C">
        <w:t xml:space="preserve"> of </w:t>
      </w:r>
      <w:r w:rsidR="00E451E8">
        <w:t>3</w:t>
      </w:r>
      <w:r w:rsidR="00FD67D9" w:rsidRPr="006D7CD8">
        <w:t>.</w:t>
      </w:r>
      <w:r w:rsidR="00E451E8">
        <w:t>6</w:t>
      </w:r>
      <w:r w:rsidR="00700BFB">
        <w:t>%</w:t>
      </w:r>
      <w:r>
        <w:t xml:space="preserve"> in real terms</w:t>
      </w:r>
      <w:r w:rsidR="00CF7B2C">
        <w:t xml:space="preserve"> over </w:t>
      </w:r>
      <w:r w:rsidR="00DD4D05">
        <w:t>2023-</w:t>
      </w:r>
      <w:r w:rsidR="00CF7B2C">
        <w:t>24</w:t>
      </w:r>
      <w:r w:rsidR="00DD4D05">
        <w:t xml:space="preserve"> to 2027-</w:t>
      </w:r>
      <w:r w:rsidR="00CF7B2C">
        <w:t>28</w:t>
      </w:r>
      <w:r w:rsidR="00FD67D9">
        <w:t>.</w:t>
      </w:r>
      <w:r>
        <w:t xml:space="preserve"> This is partially driven by forecast energy input costs as well as increases in consumption. </w:t>
      </w:r>
    </w:p>
    <w:p w14:paraId="00B7E81C" w14:textId="2774B162" w:rsidR="0030569D" w:rsidRDefault="0030569D">
      <w:pPr>
        <w:pStyle w:val="ListBullet"/>
        <w:numPr>
          <w:ilvl w:val="0"/>
          <w:numId w:val="126"/>
        </w:numPr>
      </w:pPr>
      <w:r>
        <w:t xml:space="preserve">Chemicals: chemical costs are increasing across the </w:t>
      </w:r>
      <w:r w:rsidRPr="00C003B1">
        <w:t xml:space="preserve">period at </w:t>
      </w:r>
      <w:r w:rsidRPr="006D7CD8">
        <w:t>3.5</w:t>
      </w:r>
      <w:r w:rsidR="00700BFB">
        <w:t xml:space="preserve">% per annum, in real terms, on average. </w:t>
      </w:r>
      <w:r>
        <w:t xml:space="preserve">This is driven by increases in customer connections in our service area that has its own treatment plants. </w:t>
      </w:r>
    </w:p>
    <w:p w14:paraId="2A502D20" w14:textId="2A5A3A95" w:rsidR="0030569D" w:rsidRDefault="0030569D">
      <w:pPr>
        <w:pStyle w:val="ListBullet"/>
        <w:numPr>
          <w:ilvl w:val="0"/>
          <w:numId w:val="126"/>
        </w:numPr>
      </w:pPr>
      <w:r>
        <w:t>Labour: f</w:t>
      </w:r>
      <w:r w:rsidRPr="001444F8">
        <w:t xml:space="preserve">orecast labour costs </w:t>
      </w:r>
      <w:r>
        <w:t>will decline marginally over the regulatory period</w:t>
      </w:r>
      <w:r w:rsidR="00FD67D9">
        <w:t xml:space="preserve"> </w:t>
      </w:r>
      <w:r w:rsidR="008B469C" w:rsidRPr="008B469C">
        <w:t xml:space="preserve">despite increases in superannuation and payroll tax expenses that we are not </w:t>
      </w:r>
      <w:r w:rsidR="008B469C" w:rsidRPr="008B469C">
        <w:lastRenderedPageBreak/>
        <w:t>proposing to pass onto customers and will be achieved through efficiencies in our labour costs</w:t>
      </w:r>
      <w:r>
        <w:t>.</w:t>
      </w:r>
    </w:p>
    <w:p w14:paraId="60DFEBE2" w14:textId="0544FDEE" w:rsidR="00700BFB" w:rsidRDefault="00700BFB">
      <w:pPr>
        <w:pStyle w:val="ListBullet"/>
        <w:numPr>
          <w:ilvl w:val="0"/>
          <w:numId w:val="126"/>
        </w:numPr>
      </w:pPr>
      <w:r>
        <w:t xml:space="preserve">IT: IT costs </w:t>
      </w:r>
      <w:r w:rsidR="00713DE1" w:rsidRPr="00713DE1">
        <w:t>excluding labour (internal and external) costs are forecast to increase due to the increased cost in meeting new obligations (</w:t>
      </w:r>
      <w:r w:rsidR="00713DE1" w:rsidRPr="00017A7B">
        <w:rPr>
          <w:i/>
        </w:rPr>
        <w:t xml:space="preserve">Security of Critical Infrastructure </w:t>
      </w:r>
      <w:r w:rsidR="00132322" w:rsidRPr="00017A7B">
        <w:rPr>
          <w:i/>
          <w:iCs/>
        </w:rPr>
        <w:t>Act 2018 (</w:t>
      </w:r>
      <w:proofErr w:type="spellStart"/>
      <w:r w:rsidR="00132322" w:rsidRPr="00017A7B">
        <w:rPr>
          <w:i/>
          <w:iCs/>
        </w:rPr>
        <w:t>Cth</w:t>
      </w:r>
      <w:proofErr w:type="spellEnd"/>
      <w:r w:rsidR="00132322" w:rsidRPr="00017A7B">
        <w:rPr>
          <w:i/>
          <w:iCs/>
        </w:rPr>
        <w:t>)</w:t>
      </w:r>
      <w:r w:rsidR="00132322">
        <w:t xml:space="preserve"> </w:t>
      </w:r>
      <w:r w:rsidR="00077AA7">
        <w:t xml:space="preserve">(SOCI Act) </w:t>
      </w:r>
      <w:r w:rsidR="00713DE1" w:rsidRPr="00713DE1">
        <w:t xml:space="preserve">requirements) and the new </w:t>
      </w:r>
      <w:r w:rsidR="00AC0FA8">
        <w:t>billing and collections</w:t>
      </w:r>
      <w:r w:rsidR="00713DE1" w:rsidRPr="00713DE1">
        <w:t xml:space="preserve"> system go</w:t>
      </w:r>
      <w:r w:rsidR="00E63101">
        <w:t>ing</w:t>
      </w:r>
      <w:r w:rsidR="00713DE1" w:rsidRPr="00713DE1">
        <w:t xml:space="preserve"> live. These are offset by efficiencies that will be achieved for IT only</w:t>
      </w:r>
      <w:r>
        <w:t>.</w:t>
      </w:r>
    </w:p>
    <w:p w14:paraId="5A30EC3D" w14:textId="4D0E085B" w:rsidR="00700BFB" w:rsidRDefault="00700BFB">
      <w:pPr>
        <w:pStyle w:val="ListBullet"/>
        <w:numPr>
          <w:ilvl w:val="0"/>
          <w:numId w:val="126"/>
        </w:numPr>
      </w:pPr>
      <w:r>
        <w:t>Field maintenance: we are not proposing any increases in operations and maintenance costs outside of inflation, and as such cost per connection is expected to decline over the period.</w:t>
      </w:r>
    </w:p>
    <w:p w14:paraId="03761F2D" w14:textId="30332864" w:rsidR="0030569D" w:rsidRDefault="0030569D" w:rsidP="0030569D">
      <w:r>
        <w:t>Collectively, these five cost assumptions comprise nearly three-quarters of our operating expenditure forecast.</w:t>
      </w:r>
    </w:p>
    <w:p w14:paraId="7AD20049" w14:textId="5753F858" w:rsidR="00FA3546" w:rsidRDefault="00E94559" w:rsidP="002A632F">
      <w:pPr>
        <w:pStyle w:val="Caption"/>
      </w:pPr>
      <w:bookmarkStart w:id="137" w:name="_Ref145334478"/>
      <w:r w:rsidRPr="0086612D">
        <w:rPr>
          <w:b/>
        </w:rPr>
        <w:t xml:space="preserve">Table </w:t>
      </w:r>
      <w:r w:rsidRPr="00205D4D">
        <w:rPr>
          <w:b/>
        </w:rPr>
        <w:fldChar w:fldCharType="begin"/>
      </w:r>
      <w:r w:rsidRPr="00205D4D">
        <w:rPr>
          <w:b/>
          <w:iCs w:val="0"/>
        </w:rPr>
        <w:instrText xml:space="preserve"> SEQ Table \* ARABIC </w:instrText>
      </w:r>
      <w:r w:rsidRPr="00205D4D">
        <w:rPr>
          <w:b/>
        </w:rPr>
        <w:fldChar w:fldCharType="separate"/>
      </w:r>
      <w:r w:rsidR="003B42C6">
        <w:rPr>
          <w:b/>
          <w:iCs w:val="0"/>
          <w:noProof/>
        </w:rPr>
        <w:t>24</w:t>
      </w:r>
      <w:r w:rsidRPr="00205D4D">
        <w:rPr>
          <w:b/>
        </w:rPr>
        <w:fldChar w:fldCharType="end"/>
      </w:r>
      <w:bookmarkEnd w:id="137"/>
      <w:r>
        <w:t xml:space="preserve"> </w:t>
      </w:r>
      <w:r w:rsidRPr="00AB1F5A">
        <w:t>Key input costs forecasts ($million, 2023-24)</w:t>
      </w:r>
    </w:p>
    <w:tbl>
      <w:tblPr>
        <w:tblStyle w:val="GWWDefaulttable"/>
        <w:tblW w:w="5000" w:type="pct"/>
        <w:tblLook w:val="04A0" w:firstRow="1" w:lastRow="0" w:firstColumn="1" w:lastColumn="0" w:noHBand="0" w:noVBand="1"/>
      </w:tblPr>
      <w:tblGrid>
        <w:gridCol w:w="1310"/>
        <w:gridCol w:w="1388"/>
        <w:gridCol w:w="1388"/>
        <w:gridCol w:w="1388"/>
        <w:gridCol w:w="1388"/>
        <w:gridCol w:w="1388"/>
        <w:gridCol w:w="1388"/>
      </w:tblGrid>
      <w:tr w:rsidR="00A600C7" w:rsidRPr="00FA3546" w14:paraId="5046A153" w14:textId="77777777" w:rsidTr="00422D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pct"/>
            <w:vAlign w:val="center"/>
          </w:tcPr>
          <w:p w14:paraId="6561DA3E" w14:textId="77777777" w:rsidR="00FA3546" w:rsidRPr="00422D32" w:rsidRDefault="00FA3546" w:rsidP="00422D32">
            <w:pPr>
              <w:jc w:val="right"/>
              <w:rPr>
                <w:szCs w:val="18"/>
              </w:rPr>
            </w:pPr>
          </w:p>
        </w:tc>
        <w:tc>
          <w:tcPr>
            <w:tcW w:w="720" w:type="pct"/>
            <w:vAlign w:val="center"/>
          </w:tcPr>
          <w:p w14:paraId="75FE61C0"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2023-24</w:t>
            </w:r>
          </w:p>
        </w:tc>
        <w:tc>
          <w:tcPr>
            <w:tcW w:w="720" w:type="pct"/>
            <w:vAlign w:val="center"/>
          </w:tcPr>
          <w:p w14:paraId="3AF8EBCD"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2024-25</w:t>
            </w:r>
          </w:p>
        </w:tc>
        <w:tc>
          <w:tcPr>
            <w:tcW w:w="720" w:type="pct"/>
            <w:vAlign w:val="center"/>
          </w:tcPr>
          <w:p w14:paraId="7A7AE46C"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2025-26</w:t>
            </w:r>
          </w:p>
        </w:tc>
        <w:tc>
          <w:tcPr>
            <w:tcW w:w="720" w:type="pct"/>
            <w:vAlign w:val="center"/>
          </w:tcPr>
          <w:p w14:paraId="5799F1FA"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2026-27</w:t>
            </w:r>
          </w:p>
        </w:tc>
        <w:tc>
          <w:tcPr>
            <w:tcW w:w="720" w:type="pct"/>
            <w:vAlign w:val="center"/>
          </w:tcPr>
          <w:p w14:paraId="47E4EFA4"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2027-28</w:t>
            </w:r>
          </w:p>
        </w:tc>
        <w:tc>
          <w:tcPr>
            <w:tcW w:w="720" w:type="pct"/>
            <w:vAlign w:val="center"/>
          </w:tcPr>
          <w:p w14:paraId="34CA4F07" w14:textId="6C77240B"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 xml:space="preserve">Total </w:t>
            </w:r>
            <w:r w:rsidR="00514105">
              <w:rPr>
                <w:szCs w:val="18"/>
              </w:rPr>
              <w:br/>
            </w:r>
            <w:r w:rsidRPr="00422D32">
              <w:rPr>
                <w:szCs w:val="18"/>
              </w:rPr>
              <w:t>(4 years)</w:t>
            </w:r>
          </w:p>
        </w:tc>
      </w:tr>
      <w:tr w:rsidR="00A600C7" w:rsidRPr="00FA3546" w14:paraId="53F310A4"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40A7C891" w14:textId="77777777" w:rsidR="00FA3546" w:rsidRPr="00422D32" w:rsidRDefault="00FA3546" w:rsidP="00FA3546">
            <w:pPr>
              <w:rPr>
                <w:b w:val="0"/>
                <w:szCs w:val="18"/>
              </w:rPr>
            </w:pPr>
            <w:r w:rsidRPr="00422D32">
              <w:rPr>
                <w:b w:val="0"/>
                <w:szCs w:val="18"/>
              </w:rPr>
              <w:t>Energy</w:t>
            </w:r>
          </w:p>
        </w:tc>
        <w:tc>
          <w:tcPr>
            <w:tcW w:w="720" w:type="pct"/>
          </w:tcPr>
          <w:p w14:paraId="7FC62D3A" w14:textId="25ABBF7A"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6.70</w:t>
            </w:r>
          </w:p>
        </w:tc>
        <w:tc>
          <w:tcPr>
            <w:tcW w:w="720" w:type="pct"/>
          </w:tcPr>
          <w:p w14:paraId="70C20001" w14:textId="48DD6EE8"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7.99</w:t>
            </w:r>
          </w:p>
        </w:tc>
        <w:tc>
          <w:tcPr>
            <w:tcW w:w="720" w:type="pct"/>
          </w:tcPr>
          <w:p w14:paraId="5D8722F8" w14:textId="71F48DF9"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7.89</w:t>
            </w:r>
          </w:p>
        </w:tc>
        <w:tc>
          <w:tcPr>
            <w:tcW w:w="720" w:type="pct"/>
          </w:tcPr>
          <w:p w14:paraId="245560A2" w14:textId="4DF7858A" w:rsidR="00FA3546" w:rsidRPr="00422D32" w:rsidRDefault="000F5369"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7.43</w:t>
            </w:r>
          </w:p>
        </w:tc>
        <w:tc>
          <w:tcPr>
            <w:tcW w:w="720" w:type="pct"/>
          </w:tcPr>
          <w:p w14:paraId="7A68E6D6" w14:textId="2BCAD12E" w:rsidR="00FA3546" w:rsidRPr="00422D32" w:rsidRDefault="000F5369"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7.71</w:t>
            </w:r>
          </w:p>
        </w:tc>
        <w:tc>
          <w:tcPr>
            <w:tcW w:w="720" w:type="pct"/>
          </w:tcPr>
          <w:p w14:paraId="256CA498" w14:textId="6C74B8BF"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3</w:t>
            </w:r>
            <w:r w:rsidR="000F5369" w:rsidRPr="00422D32">
              <w:rPr>
                <w:b/>
                <w:szCs w:val="18"/>
              </w:rPr>
              <w:t>1</w:t>
            </w:r>
            <w:r w:rsidRPr="00422D32">
              <w:rPr>
                <w:b/>
                <w:szCs w:val="18"/>
              </w:rPr>
              <w:t>.</w:t>
            </w:r>
            <w:r w:rsidR="000F5369" w:rsidRPr="00422D32">
              <w:rPr>
                <w:b/>
                <w:szCs w:val="18"/>
              </w:rPr>
              <w:t>03</w:t>
            </w:r>
          </w:p>
        </w:tc>
      </w:tr>
      <w:tr w:rsidR="00A600C7" w:rsidRPr="00FA3546" w14:paraId="73C67048"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2ED250FA" w14:textId="77777777" w:rsidR="00FA3546" w:rsidRPr="00422D32" w:rsidRDefault="00FA3546" w:rsidP="00FA3546">
            <w:pPr>
              <w:rPr>
                <w:b w:val="0"/>
                <w:szCs w:val="18"/>
              </w:rPr>
            </w:pPr>
            <w:r w:rsidRPr="00422D32">
              <w:rPr>
                <w:b w:val="0"/>
                <w:szCs w:val="18"/>
              </w:rPr>
              <w:t>Chemicals</w:t>
            </w:r>
          </w:p>
        </w:tc>
        <w:tc>
          <w:tcPr>
            <w:tcW w:w="720" w:type="pct"/>
          </w:tcPr>
          <w:p w14:paraId="557941C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3.72</w:t>
            </w:r>
          </w:p>
        </w:tc>
        <w:tc>
          <w:tcPr>
            <w:tcW w:w="720" w:type="pct"/>
          </w:tcPr>
          <w:p w14:paraId="27DDBA5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3.89</w:t>
            </w:r>
          </w:p>
        </w:tc>
        <w:tc>
          <w:tcPr>
            <w:tcW w:w="720" w:type="pct"/>
          </w:tcPr>
          <w:p w14:paraId="0042CB9E"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4.04</w:t>
            </w:r>
          </w:p>
        </w:tc>
        <w:tc>
          <w:tcPr>
            <w:tcW w:w="720" w:type="pct"/>
          </w:tcPr>
          <w:p w14:paraId="1D8A135D"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4.15</w:t>
            </w:r>
          </w:p>
        </w:tc>
        <w:tc>
          <w:tcPr>
            <w:tcW w:w="720" w:type="pct"/>
          </w:tcPr>
          <w:p w14:paraId="55159BA5"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4.27</w:t>
            </w:r>
          </w:p>
        </w:tc>
        <w:tc>
          <w:tcPr>
            <w:tcW w:w="720" w:type="pct"/>
          </w:tcPr>
          <w:p w14:paraId="3900EE65"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16.35</w:t>
            </w:r>
          </w:p>
        </w:tc>
      </w:tr>
      <w:tr w:rsidR="00A600C7" w:rsidRPr="00FA3546" w14:paraId="2A224CC3"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1ECE60F6" w14:textId="77777777" w:rsidR="00FA3546" w:rsidRPr="00422D32" w:rsidRDefault="00FA3546" w:rsidP="00FA3546">
            <w:pPr>
              <w:rPr>
                <w:b w:val="0"/>
                <w:szCs w:val="18"/>
              </w:rPr>
            </w:pPr>
            <w:r w:rsidRPr="00422D32">
              <w:rPr>
                <w:b w:val="0"/>
                <w:szCs w:val="18"/>
              </w:rPr>
              <w:t>Labour</w:t>
            </w:r>
          </w:p>
        </w:tc>
        <w:tc>
          <w:tcPr>
            <w:tcW w:w="720" w:type="pct"/>
          </w:tcPr>
          <w:p w14:paraId="6E6A78EF"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78.97</w:t>
            </w:r>
          </w:p>
        </w:tc>
        <w:tc>
          <w:tcPr>
            <w:tcW w:w="720" w:type="pct"/>
          </w:tcPr>
          <w:p w14:paraId="05AE522D"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78.36</w:t>
            </w:r>
          </w:p>
        </w:tc>
        <w:tc>
          <w:tcPr>
            <w:tcW w:w="720" w:type="pct"/>
          </w:tcPr>
          <w:p w14:paraId="0B934AD0"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78.21</w:t>
            </w:r>
          </w:p>
        </w:tc>
        <w:tc>
          <w:tcPr>
            <w:tcW w:w="720" w:type="pct"/>
          </w:tcPr>
          <w:p w14:paraId="2CA9C57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78.07</w:t>
            </w:r>
          </w:p>
        </w:tc>
        <w:tc>
          <w:tcPr>
            <w:tcW w:w="720" w:type="pct"/>
          </w:tcPr>
          <w:p w14:paraId="080906AE"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78.07</w:t>
            </w:r>
          </w:p>
        </w:tc>
        <w:tc>
          <w:tcPr>
            <w:tcW w:w="720" w:type="pct"/>
          </w:tcPr>
          <w:p w14:paraId="5D51E74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312.72</w:t>
            </w:r>
          </w:p>
        </w:tc>
      </w:tr>
      <w:tr w:rsidR="00A600C7" w:rsidRPr="00FA3546" w14:paraId="036C0CFA"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00E790A3" w14:textId="77777777" w:rsidR="00FA3546" w:rsidRPr="00422D32" w:rsidRDefault="00FA3546" w:rsidP="00FA3546">
            <w:pPr>
              <w:rPr>
                <w:b w:val="0"/>
                <w:szCs w:val="18"/>
              </w:rPr>
            </w:pPr>
            <w:r w:rsidRPr="00422D32">
              <w:rPr>
                <w:b w:val="0"/>
                <w:szCs w:val="18"/>
              </w:rPr>
              <w:t>IT</w:t>
            </w:r>
          </w:p>
        </w:tc>
        <w:tc>
          <w:tcPr>
            <w:tcW w:w="720" w:type="pct"/>
          </w:tcPr>
          <w:p w14:paraId="4EA46EBE" w14:textId="54E06B60"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18.71</w:t>
            </w:r>
          </w:p>
        </w:tc>
        <w:tc>
          <w:tcPr>
            <w:tcW w:w="720" w:type="pct"/>
          </w:tcPr>
          <w:p w14:paraId="15394B57" w14:textId="4084229C"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20.13</w:t>
            </w:r>
          </w:p>
        </w:tc>
        <w:tc>
          <w:tcPr>
            <w:tcW w:w="720" w:type="pct"/>
          </w:tcPr>
          <w:p w14:paraId="520BFF27" w14:textId="28308142"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20.35</w:t>
            </w:r>
          </w:p>
        </w:tc>
        <w:tc>
          <w:tcPr>
            <w:tcW w:w="720" w:type="pct"/>
          </w:tcPr>
          <w:p w14:paraId="31485E00" w14:textId="67DB787F"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20.47</w:t>
            </w:r>
          </w:p>
        </w:tc>
        <w:tc>
          <w:tcPr>
            <w:tcW w:w="720" w:type="pct"/>
          </w:tcPr>
          <w:p w14:paraId="404AEFE1" w14:textId="69AA90D4"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20.58</w:t>
            </w:r>
          </w:p>
        </w:tc>
        <w:tc>
          <w:tcPr>
            <w:tcW w:w="720" w:type="pct"/>
          </w:tcPr>
          <w:p w14:paraId="15E16854" w14:textId="6E260CD0"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81</w:t>
            </w:r>
            <w:r w:rsidR="00FA3546" w:rsidRPr="00422D32">
              <w:rPr>
                <w:b/>
                <w:szCs w:val="18"/>
              </w:rPr>
              <w:t>.</w:t>
            </w:r>
            <w:r w:rsidRPr="00422D32">
              <w:rPr>
                <w:b/>
                <w:szCs w:val="18"/>
              </w:rPr>
              <w:t>52</w:t>
            </w:r>
          </w:p>
        </w:tc>
      </w:tr>
      <w:tr w:rsidR="00A600C7" w:rsidRPr="00FA3546" w14:paraId="672E40B6"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633A779C" w14:textId="77777777" w:rsidR="00FA3546" w:rsidRPr="00422D32" w:rsidRDefault="00FA3546" w:rsidP="00FA3546">
            <w:pPr>
              <w:rPr>
                <w:b w:val="0"/>
                <w:szCs w:val="18"/>
              </w:rPr>
            </w:pPr>
            <w:r w:rsidRPr="00422D32">
              <w:rPr>
                <w:b w:val="0"/>
                <w:szCs w:val="18"/>
              </w:rPr>
              <w:t>Field maintenance</w:t>
            </w:r>
          </w:p>
        </w:tc>
        <w:tc>
          <w:tcPr>
            <w:tcW w:w="720" w:type="pct"/>
          </w:tcPr>
          <w:p w14:paraId="550B7CA1"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49.16</w:t>
            </w:r>
          </w:p>
        </w:tc>
        <w:tc>
          <w:tcPr>
            <w:tcW w:w="720" w:type="pct"/>
          </w:tcPr>
          <w:p w14:paraId="34B907F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46.79</w:t>
            </w:r>
          </w:p>
        </w:tc>
        <w:tc>
          <w:tcPr>
            <w:tcW w:w="720" w:type="pct"/>
          </w:tcPr>
          <w:p w14:paraId="3973D358"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2B7FA26C"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5A86DFB3"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0340C76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187.20</w:t>
            </w:r>
          </w:p>
        </w:tc>
      </w:tr>
      <w:tr w:rsidR="00A600C7" w:rsidRPr="00FA3546" w14:paraId="6E0B83AD"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747569D9" w14:textId="77777777" w:rsidR="00FA3546" w:rsidRPr="00422D32" w:rsidRDefault="00FA3546" w:rsidP="00FA3546">
            <w:pPr>
              <w:rPr>
                <w:szCs w:val="18"/>
              </w:rPr>
            </w:pPr>
            <w:r w:rsidRPr="00422D32">
              <w:rPr>
                <w:szCs w:val="18"/>
              </w:rPr>
              <w:t>Total</w:t>
            </w:r>
          </w:p>
        </w:tc>
        <w:tc>
          <w:tcPr>
            <w:tcW w:w="720" w:type="pct"/>
          </w:tcPr>
          <w:p w14:paraId="576A919B" w14:textId="44C67B54"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157.27</w:t>
            </w:r>
          </w:p>
        </w:tc>
        <w:tc>
          <w:tcPr>
            <w:tcW w:w="720" w:type="pct"/>
          </w:tcPr>
          <w:p w14:paraId="2E60D72E" w14:textId="0D76116C"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157.16</w:t>
            </w:r>
          </w:p>
        </w:tc>
        <w:tc>
          <w:tcPr>
            <w:tcW w:w="720" w:type="pct"/>
          </w:tcPr>
          <w:p w14:paraId="542BBA74" w14:textId="05870FCA"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157.29</w:t>
            </w:r>
          </w:p>
        </w:tc>
        <w:tc>
          <w:tcPr>
            <w:tcW w:w="720" w:type="pct"/>
          </w:tcPr>
          <w:p w14:paraId="2C9CDD91" w14:textId="29756AA9"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156.93</w:t>
            </w:r>
          </w:p>
        </w:tc>
        <w:tc>
          <w:tcPr>
            <w:tcW w:w="720" w:type="pct"/>
          </w:tcPr>
          <w:p w14:paraId="18ECCCF5" w14:textId="1889AAAA"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157.40</w:t>
            </w:r>
          </w:p>
        </w:tc>
        <w:tc>
          <w:tcPr>
            <w:tcW w:w="720" w:type="pct"/>
          </w:tcPr>
          <w:p w14:paraId="4F7F9F35" w14:textId="3E80A8CD"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628.8</w:t>
            </w:r>
            <w:r w:rsidR="00081B75" w:rsidRPr="00422D32">
              <w:rPr>
                <w:b/>
                <w:szCs w:val="18"/>
              </w:rPr>
              <w:t>2</w:t>
            </w:r>
          </w:p>
        </w:tc>
      </w:tr>
      <w:tr w:rsidR="00A600C7" w:rsidRPr="00FA3546" w14:paraId="78EE246C"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4AC7725E" w14:textId="77777777" w:rsidR="00FA3546" w:rsidRPr="00422D32" w:rsidRDefault="00FA3546" w:rsidP="00FA3546">
            <w:pPr>
              <w:rPr>
                <w:b w:val="0"/>
                <w:szCs w:val="18"/>
              </w:rPr>
            </w:pPr>
            <w:r w:rsidRPr="00422D32">
              <w:rPr>
                <w:b w:val="0"/>
                <w:szCs w:val="18"/>
              </w:rPr>
              <w:t xml:space="preserve">% of proposed </w:t>
            </w:r>
            <w:proofErr w:type="spellStart"/>
            <w:r w:rsidRPr="00422D32">
              <w:rPr>
                <w:b w:val="0"/>
                <w:szCs w:val="18"/>
              </w:rPr>
              <w:t>opex</w:t>
            </w:r>
            <w:proofErr w:type="spellEnd"/>
          </w:p>
        </w:tc>
        <w:tc>
          <w:tcPr>
            <w:tcW w:w="720" w:type="pct"/>
            <w:vAlign w:val="center"/>
          </w:tcPr>
          <w:p w14:paraId="607B56FD" w14:textId="1F6A312D"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72.54%</w:t>
            </w:r>
          </w:p>
        </w:tc>
        <w:tc>
          <w:tcPr>
            <w:tcW w:w="720" w:type="pct"/>
            <w:vAlign w:val="center"/>
          </w:tcPr>
          <w:p w14:paraId="76C515C1" w14:textId="3192DD05"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72.03%</w:t>
            </w:r>
          </w:p>
        </w:tc>
        <w:tc>
          <w:tcPr>
            <w:tcW w:w="720" w:type="pct"/>
            <w:vAlign w:val="center"/>
          </w:tcPr>
          <w:p w14:paraId="01E071E5" w14:textId="251C52F7"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71.98%</w:t>
            </w:r>
          </w:p>
        </w:tc>
        <w:tc>
          <w:tcPr>
            <w:tcW w:w="720" w:type="pct"/>
            <w:vAlign w:val="center"/>
          </w:tcPr>
          <w:p w14:paraId="1A7E1D82" w14:textId="1EC37C63"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71.66%</w:t>
            </w:r>
          </w:p>
        </w:tc>
        <w:tc>
          <w:tcPr>
            <w:tcW w:w="720" w:type="pct"/>
            <w:vAlign w:val="center"/>
          </w:tcPr>
          <w:p w14:paraId="733ECA5C" w14:textId="3FDF3601"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71.42%</w:t>
            </w:r>
          </w:p>
        </w:tc>
        <w:tc>
          <w:tcPr>
            <w:tcW w:w="720" w:type="pct"/>
            <w:vAlign w:val="center"/>
          </w:tcPr>
          <w:p w14:paraId="4AE61CDD" w14:textId="53A48AC0" w:rsidR="00FA3546" w:rsidRPr="00514105" w:rsidRDefault="007E5CB7" w:rsidP="002A632F">
            <w:pPr>
              <w:jc w:val="right"/>
              <w:cnfStyle w:val="000000000000" w:firstRow="0" w:lastRow="0" w:firstColumn="0" w:lastColumn="0" w:oddVBand="0" w:evenVBand="0" w:oddHBand="0" w:evenHBand="0" w:firstRowFirstColumn="0" w:firstRowLastColumn="0" w:lastRowFirstColumn="0" w:lastRowLastColumn="0"/>
              <w:rPr>
                <w:b/>
                <w:bCs/>
                <w:szCs w:val="18"/>
              </w:rPr>
            </w:pPr>
            <w:r w:rsidRPr="00514105">
              <w:rPr>
                <w:b/>
                <w:bCs/>
                <w:szCs w:val="18"/>
              </w:rPr>
              <w:t>71.77%</w:t>
            </w:r>
          </w:p>
        </w:tc>
      </w:tr>
    </w:tbl>
    <w:p w14:paraId="6D0E3D8C" w14:textId="6B536EE4" w:rsidR="00FD67D9" w:rsidRDefault="00FD67D9" w:rsidP="002A4937">
      <w:pPr>
        <w:pStyle w:val="NoSpacing"/>
      </w:pPr>
    </w:p>
    <w:p w14:paraId="565C123A" w14:textId="18BC73CA" w:rsidR="00E65379" w:rsidRDefault="006C3397" w:rsidP="005B69CD">
      <w:pPr>
        <w:pStyle w:val="Heading3"/>
      </w:pPr>
      <w:r w:rsidRPr="006C3397">
        <w:t>Operating expenditure baseline adjustments</w:t>
      </w:r>
    </w:p>
    <w:p w14:paraId="25342A57" w14:textId="74D4BBC9" w:rsidR="0030569D" w:rsidRDefault="0030569D" w:rsidP="0030569D">
      <w:r>
        <w:t>The t</w:t>
      </w:r>
      <w:r w:rsidRPr="00195719">
        <w:t xml:space="preserve">otal baseline adjustment proposed is </w:t>
      </w:r>
      <w:r w:rsidRPr="007876CA">
        <w:t>$</w:t>
      </w:r>
      <w:r w:rsidR="007876CA" w:rsidRPr="007876CA">
        <w:t>3</w:t>
      </w:r>
      <w:r w:rsidR="0055078F">
        <w:t>4</w:t>
      </w:r>
      <w:r w:rsidR="007876CA" w:rsidRPr="007876CA">
        <w:t>.</w:t>
      </w:r>
      <w:r w:rsidR="0055078F">
        <w:t>5</w:t>
      </w:r>
      <w:r w:rsidRPr="00195719">
        <w:t xml:space="preserve"> million over the four-year regulatory period. </w:t>
      </w:r>
      <w:r>
        <w:t>The level of proposed baseline adjustment reflects changes in:</w:t>
      </w:r>
    </w:p>
    <w:p w14:paraId="4225D36F" w14:textId="1C861DAA" w:rsidR="002B6431" w:rsidRDefault="002400AB">
      <w:pPr>
        <w:pStyle w:val="ListBullet"/>
        <w:numPr>
          <w:ilvl w:val="0"/>
          <w:numId w:val="14"/>
        </w:numPr>
      </w:pPr>
      <w:r>
        <w:t>o</w:t>
      </w:r>
      <w:r w:rsidR="001178E0">
        <w:t xml:space="preserve">bligations and policy requirements: First Nations and Traditional Owner </w:t>
      </w:r>
      <w:r w:rsidR="0027051B">
        <w:t>($</w:t>
      </w:r>
      <w:r w:rsidR="00EF4626">
        <w:t>4.0</w:t>
      </w:r>
      <w:r w:rsidR="0027051B">
        <w:t xml:space="preserve"> million</w:t>
      </w:r>
      <w:r w:rsidR="009D2C88">
        <w:t>)</w:t>
      </w:r>
    </w:p>
    <w:p w14:paraId="5D491B54" w14:textId="0B21B1B1" w:rsidR="001178E0" w:rsidRDefault="001178E0">
      <w:pPr>
        <w:pStyle w:val="ListBullet"/>
        <w:numPr>
          <w:ilvl w:val="0"/>
          <w:numId w:val="14"/>
        </w:numPr>
      </w:pPr>
      <w:r>
        <w:t xml:space="preserve">engagement and </w:t>
      </w:r>
      <w:r w:rsidR="00FD67D9">
        <w:t xml:space="preserve">expenditure to meet the new SOCI </w:t>
      </w:r>
      <w:r w:rsidR="008F0668">
        <w:t xml:space="preserve">Act </w:t>
      </w:r>
      <w:r w:rsidR="00FD67D9">
        <w:t>requirements</w:t>
      </w:r>
      <w:r w:rsidR="009D2C88">
        <w:t xml:space="preserve"> ($</w:t>
      </w:r>
      <w:r w:rsidR="00195324">
        <w:t>4.</w:t>
      </w:r>
      <w:r w:rsidR="00EF4626">
        <w:t>5</w:t>
      </w:r>
      <w:r w:rsidR="00195324">
        <w:t xml:space="preserve"> million)</w:t>
      </w:r>
    </w:p>
    <w:p w14:paraId="58AA498B" w14:textId="4A4811FF" w:rsidR="0030569D" w:rsidRDefault="0030569D">
      <w:pPr>
        <w:pStyle w:val="ListBullet"/>
        <w:numPr>
          <w:ilvl w:val="0"/>
          <w:numId w:val="14"/>
        </w:numPr>
      </w:pPr>
      <w:r>
        <w:t>incremental operating expenditure resulting from infrastructure investment</w:t>
      </w:r>
      <w:r w:rsidR="00390F67">
        <w:t xml:space="preserve"> ($5.0 million)</w:t>
      </w:r>
    </w:p>
    <w:p w14:paraId="17D44625" w14:textId="5E3DD9D7" w:rsidR="001178E0" w:rsidRDefault="002400AB">
      <w:pPr>
        <w:pStyle w:val="ListBullet"/>
        <w:numPr>
          <w:ilvl w:val="0"/>
          <w:numId w:val="14"/>
        </w:numPr>
      </w:pPr>
      <w:r>
        <w:t>i</w:t>
      </w:r>
      <w:r w:rsidR="001178E0">
        <w:t xml:space="preserve">ncremental operating expenditure associated with the new billing and collections system </w:t>
      </w:r>
      <w:r w:rsidR="00390F67">
        <w:t>($15.</w:t>
      </w:r>
      <w:r w:rsidR="00EF4626">
        <w:t>8</w:t>
      </w:r>
      <w:r w:rsidR="00390F67">
        <w:t xml:space="preserve"> million)</w:t>
      </w:r>
    </w:p>
    <w:p w14:paraId="4F8B2BF4" w14:textId="5F69EBB3" w:rsidR="00F7141F" w:rsidRPr="008D13DB" w:rsidRDefault="002400AB">
      <w:pPr>
        <w:pStyle w:val="ListBullet"/>
        <w:numPr>
          <w:ilvl w:val="0"/>
          <w:numId w:val="14"/>
        </w:numPr>
      </w:pPr>
      <w:r>
        <w:lastRenderedPageBreak/>
        <w:t>a</w:t>
      </w:r>
      <w:r w:rsidR="001178E0">
        <w:t>dditional costs associated with customer hardship programs as supported by customers</w:t>
      </w:r>
      <w:r w:rsidR="00316C9C">
        <w:t>.</w:t>
      </w:r>
      <w:r w:rsidR="00390F67">
        <w:t xml:space="preserve"> ($5.2 million)</w:t>
      </w:r>
    </w:p>
    <w:p w14:paraId="29220F2D" w14:textId="640F688B" w:rsidR="0030569D" w:rsidRDefault="00316C9C" w:rsidP="0030569D">
      <w:r>
        <w:t>GWW</w:t>
      </w:r>
      <w:r w:rsidR="0030569D" w:rsidRPr="006F0B59">
        <w:t xml:space="preserve"> is not proposing to pass on additional costs associated with changes in the payroll tax or superannuation guarantee. We are proposing to recover these additional costs through our workforce optimisation plan.</w:t>
      </w:r>
    </w:p>
    <w:p w14:paraId="1AACFB87" w14:textId="4915A8FA" w:rsidR="0030569D" w:rsidRDefault="0030569D" w:rsidP="0030569D">
      <w:r>
        <w:t xml:space="preserve">These baseline adjustments are presented in </w:t>
      </w:r>
      <w:r w:rsidR="00CD7068">
        <w:fldChar w:fldCharType="begin"/>
      </w:r>
      <w:r w:rsidR="00CD7068">
        <w:instrText xml:space="preserve"> REF _Ref146519603 \h </w:instrText>
      </w:r>
      <w:r w:rsidR="009D5489">
        <w:instrText xml:space="preserve"> \* MERGEFORMAT </w:instrText>
      </w:r>
      <w:r w:rsidR="00CD7068">
        <w:fldChar w:fldCharType="separate"/>
      </w:r>
      <w:r w:rsidR="003B42C6" w:rsidRPr="00474113">
        <w:rPr>
          <w:b/>
        </w:rPr>
        <w:t xml:space="preserve">Table </w:t>
      </w:r>
      <w:r w:rsidR="003B42C6" w:rsidRPr="003B42C6">
        <w:rPr>
          <w:b/>
          <w:bCs/>
          <w:noProof/>
        </w:rPr>
        <w:t>25</w:t>
      </w:r>
      <w:r w:rsidR="00CD7068">
        <w:fldChar w:fldCharType="end"/>
      </w:r>
      <w:r w:rsidR="009D5489">
        <w:t>.</w:t>
      </w:r>
    </w:p>
    <w:p w14:paraId="495EB9E8" w14:textId="6EDD2097" w:rsidR="00E94559" w:rsidRDefault="00E94559" w:rsidP="00E94559">
      <w:pPr>
        <w:pStyle w:val="Caption"/>
      </w:pPr>
      <w:bookmarkStart w:id="138" w:name="_Ref146519603"/>
      <w:r w:rsidRPr="00474113">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25</w:t>
      </w:r>
      <w:r w:rsidRPr="00205D4D">
        <w:rPr>
          <w:b/>
        </w:rPr>
        <w:fldChar w:fldCharType="end"/>
      </w:r>
      <w:bookmarkEnd w:id="138"/>
      <w:r>
        <w:t xml:space="preserve"> </w:t>
      </w:r>
      <w:r w:rsidRPr="007E577C">
        <w:t>Baseline adjustments forecasts ($m</w:t>
      </w:r>
      <w:r>
        <w:t>illion</w:t>
      </w:r>
      <w:r w:rsidRPr="007E577C">
        <w:t>, 202</w:t>
      </w:r>
      <w:r>
        <w:t>3-2</w:t>
      </w:r>
      <w:r w:rsidRPr="007E577C">
        <w:t>4)</w:t>
      </w:r>
    </w:p>
    <w:tbl>
      <w:tblPr>
        <w:tblStyle w:val="GWWDefaulttable"/>
        <w:tblW w:w="5000" w:type="pct"/>
        <w:tblLook w:val="04A0" w:firstRow="1" w:lastRow="0" w:firstColumn="1" w:lastColumn="0" w:noHBand="0" w:noVBand="1"/>
      </w:tblPr>
      <w:tblGrid>
        <w:gridCol w:w="2126"/>
        <w:gridCol w:w="1251"/>
        <w:gridCol w:w="1253"/>
        <w:gridCol w:w="1253"/>
        <w:gridCol w:w="1253"/>
        <w:gridCol w:w="1253"/>
        <w:gridCol w:w="1249"/>
      </w:tblGrid>
      <w:tr w:rsidR="00F07729" w14:paraId="3BE23BB3" w14:textId="77777777" w:rsidTr="00D21E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3" w:type="pct"/>
            <w:vAlign w:val="center"/>
          </w:tcPr>
          <w:p w14:paraId="4A48526A" w14:textId="77777777" w:rsidR="00FD67D9" w:rsidRDefault="00FD67D9">
            <w:pPr>
              <w:jc w:val="right"/>
            </w:pPr>
          </w:p>
        </w:tc>
        <w:tc>
          <w:tcPr>
            <w:tcW w:w="649" w:type="pct"/>
            <w:vAlign w:val="center"/>
          </w:tcPr>
          <w:p w14:paraId="538E7929"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2023-24</w:t>
            </w:r>
          </w:p>
        </w:tc>
        <w:tc>
          <w:tcPr>
            <w:tcW w:w="650" w:type="pct"/>
            <w:vAlign w:val="center"/>
          </w:tcPr>
          <w:p w14:paraId="1BCAECC5"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2024-25</w:t>
            </w:r>
          </w:p>
        </w:tc>
        <w:tc>
          <w:tcPr>
            <w:tcW w:w="650" w:type="pct"/>
            <w:vAlign w:val="center"/>
          </w:tcPr>
          <w:p w14:paraId="52E9F0FF"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2025-26</w:t>
            </w:r>
          </w:p>
        </w:tc>
        <w:tc>
          <w:tcPr>
            <w:tcW w:w="650" w:type="pct"/>
            <w:vAlign w:val="center"/>
          </w:tcPr>
          <w:p w14:paraId="73CF3FA6"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2026-27</w:t>
            </w:r>
          </w:p>
        </w:tc>
        <w:tc>
          <w:tcPr>
            <w:tcW w:w="650" w:type="pct"/>
            <w:vAlign w:val="center"/>
          </w:tcPr>
          <w:p w14:paraId="70C9BB69"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2027-28</w:t>
            </w:r>
          </w:p>
        </w:tc>
        <w:tc>
          <w:tcPr>
            <w:tcW w:w="648" w:type="pct"/>
            <w:vAlign w:val="center"/>
          </w:tcPr>
          <w:p w14:paraId="0627B1F2" w14:textId="367A874B"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t>Total</w:t>
            </w:r>
            <w:r w:rsidRPr="00D47887">
              <w:t xml:space="preserve"> </w:t>
            </w:r>
            <w:r w:rsidR="002A4937">
              <w:br/>
            </w:r>
            <w:r w:rsidRPr="00D47887">
              <w:t>(4 years)</w:t>
            </w:r>
          </w:p>
        </w:tc>
      </w:tr>
      <w:tr w:rsidR="00F07729" w14:paraId="2224096B"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71191100" w14:textId="77777777" w:rsidR="00FD67D9" w:rsidRPr="00F07729" w:rsidRDefault="00FD67D9">
            <w:pPr>
              <w:rPr>
                <w:b w:val="0"/>
                <w:bCs/>
              </w:rPr>
            </w:pPr>
            <w:r w:rsidRPr="001559C8">
              <w:rPr>
                <w:b w:val="0"/>
              </w:rPr>
              <w:t>First Nations and Traditional Owner</w:t>
            </w:r>
          </w:p>
        </w:tc>
        <w:tc>
          <w:tcPr>
            <w:tcW w:w="649" w:type="pct"/>
            <w:vAlign w:val="center"/>
          </w:tcPr>
          <w:p w14:paraId="69AE1812" w14:textId="1E7D652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0.31</w:t>
            </w:r>
          </w:p>
        </w:tc>
        <w:tc>
          <w:tcPr>
            <w:tcW w:w="650" w:type="pct"/>
            <w:vAlign w:val="center"/>
          </w:tcPr>
          <w:p w14:paraId="56DE5A1B" w14:textId="32AEAE5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0.62</w:t>
            </w:r>
          </w:p>
        </w:tc>
        <w:tc>
          <w:tcPr>
            <w:tcW w:w="650" w:type="pct"/>
            <w:vAlign w:val="center"/>
          </w:tcPr>
          <w:p w14:paraId="2B33A968" w14:textId="55290B6F"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0.92</w:t>
            </w:r>
          </w:p>
        </w:tc>
        <w:tc>
          <w:tcPr>
            <w:tcW w:w="650" w:type="pct"/>
            <w:vAlign w:val="center"/>
          </w:tcPr>
          <w:p w14:paraId="77F6CE53" w14:textId="374CEC1E"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1.22</w:t>
            </w:r>
          </w:p>
        </w:tc>
        <w:tc>
          <w:tcPr>
            <w:tcW w:w="650" w:type="pct"/>
            <w:vAlign w:val="center"/>
          </w:tcPr>
          <w:p w14:paraId="5256344C" w14:textId="4AA3854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1.22</w:t>
            </w:r>
          </w:p>
        </w:tc>
        <w:tc>
          <w:tcPr>
            <w:tcW w:w="648" w:type="pct"/>
            <w:vAlign w:val="center"/>
          </w:tcPr>
          <w:p w14:paraId="5021220C" w14:textId="4B764224"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3.97</w:t>
            </w:r>
          </w:p>
        </w:tc>
      </w:tr>
      <w:tr w:rsidR="00F07729" w14:paraId="3A3755A2"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5B8A064A" w14:textId="1B6B2E14" w:rsidR="00FD67D9" w:rsidRPr="00F07729" w:rsidRDefault="0002592A">
            <w:pPr>
              <w:rPr>
                <w:b w:val="0"/>
                <w:bCs/>
              </w:rPr>
            </w:pPr>
            <w:r w:rsidRPr="0002592A">
              <w:rPr>
                <w:b w:val="0"/>
              </w:rPr>
              <w:t>Security of Critical Infrastructure</w:t>
            </w:r>
          </w:p>
        </w:tc>
        <w:tc>
          <w:tcPr>
            <w:tcW w:w="649" w:type="pct"/>
            <w:vAlign w:val="center"/>
          </w:tcPr>
          <w:p w14:paraId="59203C78" w14:textId="20991DE0"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0.68</w:t>
            </w:r>
          </w:p>
        </w:tc>
        <w:tc>
          <w:tcPr>
            <w:tcW w:w="650" w:type="pct"/>
            <w:vAlign w:val="center"/>
          </w:tcPr>
          <w:p w14:paraId="44BC9D89" w14:textId="199E134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0.99</w:t>
            </w:r>
          </w:p>
        </w:tc>
        <w:tc>
          <w:tcPr>
            <w:tcW w:w="650" w:type="pct"/>
            <w:vAlign w:val="center"/>
          </w:tcPr>
          <w:p w14:paraId="12F477B9" w14:textId="6532CAAC"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1.09</w:t>
            </w:r>
          </w:p>
        </w:tc>
        <w:tc>
          <w:tcPr>
            <w:tcW w:w="650" w:type="pct"/>
            <w:vAlign w:val="center"/>
          </w:tcPr>
          <w:p w14:paraId="47A1BDB6" w14:textId="48802713"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1.20</w:t>
            </w:r>
          </w:p>
        </w:tc>
        <w:tc>
          <w:tcPr>
            <w:tcW w:w="650" w:type="pct"/>
            <w:vAlign w:val="center"/>
          </w:tcPr>
          <w:p w14:paraId="22F7D03A" w14:textId="65E39D01"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1.20</w:t>
            </w:r>
          </w:p>
        </w:tc>
        <w:tc>
          <w:tcPr>
            <w:tcW w:w="648" w:type="pct"/>
            <w:vAlign w:val="center"/>
          </w:tcPr>
          <w:p w14:paraId="17FC0422" w14:textId="72E03DCF"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4.47</w:t>
            </w:r>
          </w:p>
        </w:tc>
      </w:tr>
      <w:tr w:rsidR="00F07729" w14:paraId="40DF277E"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77DCF40D" w14:textId="77777777" w:rsidR="00FD67D9" w:rsidRPr="00F07729" w:rsidRDefault="00FD67D9">
            <w:pPr>
              <w:rPr>
                <w:b w:val="0"/>
                <w:bCs/>
              </w:rPr>
            </w:pPr>
            <w:r w:rsidRPr="001559C8">
              <w:rPr>
                <w:b w:val="0"/>
              </w:rPr>
              <w:t>Infrastructure investment</w:t>
            </w:r>
          </w:p>
        </w:tc>
        <w:tc>
          <w:tcPr>
            <w:tcW w:w="649" w:type="pct"/>
            <w:vAlign w:val="center"/>
          </w:tcPr>
          <w:p w14:paraId="728B8C82" w14:textId="2D1BD558"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w:t>
            </w:r>
            <w:r>
              <w:t>78</w:t>
            </w:r>
          </w:p>
        </w:tc>
        <w:tc>
          <w:tcPr>
            <w:tcW w:w="650" w:type="pct"/>
            <w:vAlign w:val="center"/>
          </w:tcPr>
          <w:p w14:paraId="6E9A45BE" w14:textId="4202BE1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w:t>
            </w:r>
            <w:r>
              <w:t>80</w:t>
            </w:r>
          </w:p>
        </w:tc>
        <w:tc>
          <w:tcPr>
            <w:tcW w:w="650" w:type="pct"/>
            <w:vAlign w:val="center"/>
          </w:tcPr>
          <w:p w14:paraId="2F72873B" w14:textId="5EFDAF2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w:t>
            </w:r>
            <w:r>
              <w:t>1.03</w:t>
            </w:r>
          </w:p>
        </w:tc>
        <w:tc>
          <w:tcPr>
            <w:tcW w:w="650" w:type="pct"/>
            <w:vAlign w:val="center"/>
          </w:tcPr>
          <w:p w14:paraId="57BAA9FD" w14:textId="1BB7C371" w:rsidR="00FD67D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pPr>
            <w:r w:rsidRPr="00936BAE">
              <w:t> 1.</w:t>
            </w:r>
            <w:r>
              <w:t>38</w:t>
            </w:r>
          </w:p>
        </w:tc>
        <w:tc>
          <w:tcPr>
            <w:tcW w:w="650" w:type="pct"/>
            <w:vAlign w:val="center"/>
          </w:tcPr>
          <w:p w14:paraId="2F183AA9" w14:textId="0E9A3175" w:rsidR="00FD67D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pPr>
            <w:r w:rsidRPr="00936BAE">
              <w:t> </w:t>
            </w:r>
            <w:r>
              <w:t>1</w:t>
            </w:r>
            <w:r w:rsidRPr="00936BAE">
              <w:t>.</w:t>
            </w:r>
            <w:r>
              <w:t>88</w:t>
            </w:r>
          </w:p>
        </w:tc>
        <w:tc>
          <w:tcPr>
            <w:tcW w:w="648" w:type="pct"/>
            <w:vAlign w:val="center"/>
          </w:tcPr>
          <w:p w14:paraId="4F8F2083" w14:textId="40EEC569" w:rsidR="00FD67D9" w:rsidRPr="0039292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rPr>
                <w:b/>
                <w:bCs/>
              </w:rPr>
            </w:pPr>
            <w:r w:rsidRPr="00253C18">
              <w:rPr>
                <w:b/>
              </w:rPr>
              <w:t> 5.08</w:t>
            </w:r>
          </w:p>
        </w:tc>
      </w:tr>
      <w:tr w:rsidR="00F07729" w14:paraId="2DCB316D"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4BFAE7D0" w14:textId="77777777" w:rsidR="00FD67D9" w:rsidRPr="00F07729" w:rsidRDefault="00FD67D9">
            <w:pPr>
              <w:rPr>
                <w:b w:val="0"/>
                <w:bCs/>
              </w:rPr>
            </w:pPr>
            <w:r w:rsidRPr="001559C8">
              <w:rPr>
                <w:b w:val="0"/>
              </w:rPr>
              <w:t>New billing and collections system</w:t>
            </w:r>
          </w:p>
        </w:tc>
        <w:tc>
          <w:tcPr>
            <w:tcW w:w="649" w:type="pct"/>
            <w:vAlign w:val="center"/>
          </w:tcPr>
          <w:p w14:paraId="739BE4A3" w14:textId="32CA7C1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1.40</w:t>
            </w:r>
          </w:p>
        </w:tc>
        <w:tc>
          <w:tcPr>
            <w:tcW w:w="650" w:type="pct"/>
            <w:vAlign w:val="center"/>
          </w:tcPr>
          <w:p w14:paraId="3E9F2565" w14:textId="41B2517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3.79</w:t>
            </w:r>
          </w:p>
        </w:tc>
        <w:tc>
          <w:tcPr>
            <w:tcW w:w="650" w:type="pct"/>
            <w:vAlign w:val="center"/>
          </w:tcPr>
          <w:p w14:paraId="7A6A67FC" w14:textId="248BD318"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3.90</w:t>
            </w:r>
          </w:p>
        </w:tc>
        <w:tc>
          <w:tcPr>
            <w:tcW w:w="650" w:type="pct"/>
            <w:vAlign w:val="center"/>
          </w:tcPr>
          <w:p w14:paraId="5F2415A6" w14:textId="5DB405C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3.99</w:t>
            </w:r>
          </w:p>
        </w:tc>
        <w:tc>
          <w:tcPr>
            <w:tcW w:w="650" w:type="pct"/>
            <w:vAlign w:val="center"/>
          </w:tcPr>
          <w:p w14:paraId="065F58C0" w14:textId="4E55950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4.09</w:t>
            </w:r>
          </w:p>
        </w:tc>
        <w:tc>
          <w:tcPr>
            <w:tcW w:w="648" w:type="pct"/>
            <w:vAlign w:val="center"/>
          </w:tcPr>
          <w:p w14:paraId="12DC7041" w14:textId="6EE49701"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15.77</w:t>
            </w:r>
          </w:p>
        </w:tc>
      </w:tr>
      <w:tr w:rsidR="00F07729" w14:paraId="27D0ABD1"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6733E4D5" w14:textId="77777777" w:rsidR="00FD67D9" w:rsidRPr="00F07729" w:rsidRDefault="00FD67D9">
            <w:pPr>
              <w:rPr>
                <w:b w:val="0"/>
                <w:bCs/>
              </w:rPr>
            </w:pPr>
            <w:r w:rsidRPr="001559C8">
              <w:rPr>
                <w:b w:val="0"/>
              </w:rPr>
              <w:t>Customer hardship program</w:t>
            </w:r>
          </w:p>
        </w:tc>
        <w:tc>
          <w:tcPr>
            <w:tcW w:w="649" w:type="pct"/>
            <w:vAlign w:val="center"/>
          </w:tcPr>
          <w:p w14:paraId="4CDEAF19" w14:textId="42BC5F35"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15F02541" w14:textId="61A4368F"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38D1F9EB" w14:textId="3880ACAD"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6A6D74E6" w14:textId="69762DAD"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042A952B" w14:textId="7446E357"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48" w:type="pct"/>
            <w:vAlign w:val="center"/>
          </w:tcPr>
          <w:p w14:paraId="70A93E87" w14:textId="5D32EF7F"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5.20</w:t>
            </w:r>
          </w:p>
        </w:tc>
      </w:tr>
      <w:tr w:rsidR="00F07729" w:rsidRPr="0099778A" w14:paraId="7C126DD2" w14:textId="77777777" w:rsidTr="0099778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26F3D12D" w14:textId="77777777" w:rsidR="00FD67D9" w:rsidRDefault="00FD67D9" w:rsidP="00F07729">
            <w:r>
              <w:t>Total</w:t>
            </w:r>
          </w:p>
        </w:tc>
        <w:tc>
          <w:tcPr>
            <w:tcW w:w="649" w:type="pct"/>
            <w:vAlign w:val="center"/>
          </w:tcPr>
          <w:p w14:paraId="72AC778C" w14:textId="21EE4E3B"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Pr>
                <w:b/>
                <w:bCs/>
              </w:rPr>
              <w:t>4</w:t>
            </w:r>
            <w:r w:rsidRPr="002C184C">
              <w:rPr>
                <w:b/>
                <w:bCs/>
              </w:rPr>
              <w:t>.</w:t>
            </w:r>
            <w:r w:rsidR="00F07729">
              <w:rPr>
                <w:b/>
                <w:bCs/>
              </w:rPr>
              <w:t>47</w:t>
            </w:r>
          </w:p>
        </w:tc>
        <w:tc>
          <w:tcPr>
            <w:tcW w:w="650" w:type="pct"/>
            <w:vAlign w:val="center"/>
          </w:tcPr>
          <w:p w14:paraId="5D732BA5" w14:textId="6E9C6EC5"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7.49</w:t>
            </w:r>
          </w:p>
        </w:tc>
        <w:tc>
          <w:tcPr>
            <w:tcW w:w="650" w:type="pct"/>
            <w:vAlign w:val="center"/>
          </w:tcPr>
          <w:p w14:paraId="265E4776" w14:textId="038EF4F9" w:rsidR="00FD67D9" w:rsidRPr="002C184C" w:rsidRDefault="00FD67D9" w:rsidP="0099778A">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8.23</w:t>
            </w:r>
          </w:p>
        </w:tc>
        <w:tc>
          <w:tcPr>
            <w:tcW w:w="650" w:type="pct"/>
            <w:vAlign w:val="center"/>
          </w:tcPr>
          <w:p w14:paraId="09E850A3" w14:textId="7334DE39"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9.08</w:t>
            </w:r>
          </w:p>
        </w:tc>
        <w:tc>
          <w:tcPr>
            <w:tcW w:w="650" w:type="pct"/>
            <w:vAlign w:val="center"/>
          </w:tcPr>
          <w:p w14:paraId="306A3DBB" w14:textId="0FCEA0B6" w:rsidR="00FD67D9" w:rsidRPr="002C184C" w:rsidRDefault="00FD67D9" w:rsidP="0099778A">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9.69</w:t>
            </w:r>
          </w:p>
        </w:tc>
        <w:tc>
          <w:tcPr>
            <w:tcW w:w="648" w:type="pct"/>
            <w:vAlign w:val="center"/>
          </w:tcPr>
          <w:p w14:paraId="76CEF178" w14:textId="35E813ED" w:rsidR="00FD67D9" w:rsidRPr="00392929" w:rsidRDefault="00FD67D9" w:rsidP="0099778A">
            <w:pPr>
              <w:jc w:val="right"/>
              <w:cnfStyle w:val="000000000000" w:firstRow="0" w:lastRow="0" w:firstColumn="0" w:lastColumn="0" w:oddVBand="0" w:evenVBand="0" w:oddHBand="0" w:evenHBand="0" w:firstRowFirstColumn="0" w:firstRowLastColumn="0" w:lastRowFirstColumn="0" w:lastRowLastColumn="0"/>
              <w:rPr>
                <w:b/>
                <w:bCs/>
              </w:rPr>
            </w:pPr>
            <w:r w:rsidRPr="002C184C">
              <w:rPr>
                <w:b/>
                <w:bCs/>
              </w:rPr>
              <w:t> </w:t>
            </w:r>
            <w:r w:rsidR="00F07729">
              <w:rPr>
                <w:b/>
                <w:bCs/>
              </w:rPr>
              <w:t>34.49</w:t>
            </w:r>
          </w:p>
        </w:tc>
      </w:tr>
    </w:tbl>
    <w:p w14:paraId="6A0BFA69" w14:textId="77777777" w:rsidR="001C1636" w:rsidRDefault="001C1636" w:rsidP="001178E0"/>
    <w:p w14:paraId="6892885A" w14:textId="4DB85CBA" w:rsidR="007534ED" w:rsidRDefault="00B4154A" w:rsidP="005B69CD">
      <w:pPr>
        <w:pStyle w:val="Heading3"/>
      </w:pPr>
      <w:r>
        <w:t>C</w:t>
      </w:r>
      <w:r w:rsidR="0076364D" w:rsidRPr="0076364D">
        <w:t>ontrollable ope</w:t>
      </w:r>
      <w:r w:rsidR="00CD0660">
        <w:t>rating expenditure</w:t>
      </w:r>
      <w:r w:rsidR="0076364D" w:rsidRPr="0076364D">
        <w:t xml:space="preserve"> proposal</w:t>
      </w:r>
    </w:p>
    <w:p w14:paraId="5885C859" w14:textId="59059040" w:rsidR="00714A89" w:rsidRDefault="00714A89" w:rsidP="00714A89">
      <w:r>
        <w:t>G</w:t>
      </w:r>
      <w:r w:rsidR="009B648B">
        <w:t>WW</w:t>
      </w:r>
      <w:r w:rsidR="00FC4627">
        <w:t>’s</w:t>
      </w:r>
      <w:r>
        <w:t xml:space="preserve"> total controllable operating expenditure for the </w:t>
      </w:r>
      <w:r w:rsidR="00587CF2">
        <w:t>four</w:t>
      </w:r>
      <w:r w:rsidR="00FC4627">
        <w:t>-</w:t>
      </w:r>
      <w:r>
        <w:t>year period ending 2027-28 is $</w:t>
      </w:r>
      <w:r w:rsidR="005750F5">
        <w:t>876</w:t>
      </w:r>
      <w:r w:rsidR="004B724F">
        <w:t>.</w:t>
      </w:r>
      <w:r w:rsidR="005750F5">
        <w:t xml:space="preserve">1 </w:t>
      </w:r>
      <w:r>
        <w:t xml:space="preserve">million. </w:t>
      </w:r>
    </w:p>
    <w:p w14:paraId="57C17B1E" w14:textId="4E703048" w:rsidR="0030569D" w:rsidRPr="00736243" w:rsidRDefault="0030569D" w:rsidP="0062163A">
      <w:r>
        <w:t>Our proposal provides for a material decline in operating expenditure per connection from $</w:t>
      </w:r>
      <w:r w:rsidR="00FD67D9">
        <w:t>34</w:t>
      </w:r>
      <w:r w:rsidR="00587CF2">
        <w:t>1</w:t>
      </w:r>
      <w:r>
        <w:t xml:space="preserve"> in 2022-23 to $</w:t>
      </w:r>
      <w:r w:rsidR="00FD67D9">
        <w:t>31</w:t>
      </w:r>
      <w:r w:rsidR="005C7BBF">
        <w:t>0</w:t>
      </w:r>
      <w:r>
        <w:t xml:space="preserve"> </w:t>
      </w:r>
      <w:r w:rsidR="00390F67">
        <w:t xml:space="preserve">in 2027-28. </w:t>
      </w:r>
    </w:p>
    <w:p w14:paraId="25BC14F2" w14:textId="37EA5415" w:rsidR="0062163A" w:rsidRDefault="0062163A" w:rsidP="0062163A">
      <w:pPr>
        <w:pStyle w:val="Caption"/>
      </w:pPr>
      <w:r w:rsidRPr="00474113">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26</w:t>
      </w:r>
      <w:r w:rsidRPr="00205D4D">
        <w:rPr>
          <w:b/>
        </w:rPr>
        <w:fldChar w:fldCharType="end"/>
      </w:r>
      <w:r>
        <w:t xml:space="preserve"> </w:t>
      </w:r>
      <w:r w:rsidRPr="00411056">
        <w:t>Forecast controllable operating expenditure ($million, 2023-24)</w:t>
      </w:r>
    </w:p>
    <w:tbl>
      <w:tblPr>
        <w:tblStyle w:val="GWWDefaulttable"/>
        <w:tblW w:w="0" w:type="auto"/>
        <w:tblLayout w:type="fixed"/>
        <w:tblLook w:val="04A0" w:firstRow="1" w:lastRow="0" w:firstColumn="1" w:lastColumn="0" w:noHBand="0" w:noVBand="1"/>
      </w:tblPr>
      <w:tblGrid>
        <w:gridCol w:w="1560"/>
        <w:gridCol w:w="1134"/>
        <w:gridCol w:w="1134"/>
        <w:gridCol w:w="1134"/>
        <w:gridCol w:w="1134"/>
        <w:gridCol w:w="1134"/>
        <w:gridCol w:w="1134"/>
        <w:gridCol w:w="1274"/>
      </w:tblGrid>
      <w:tr w:rsidR="0042520F" w:rsidRPr="007707A3" w14:paraId="61F82D62" w14:textId="77777777" w:rsidTr="00EA5F0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14:paraId="42D3B37B" w14:textId="77777777" w:rsidR="00AE3545" w:rsidRPr="007707A3" w:rsidRDefault="00AE3545" w:rsidP="00EA5F08">
            <w:pPr>
              <w:jc w:val="right"/>
            </w:pPr>
            <w:r w:rsidRPr="007707A3">
              <w:t> </w:t>
            </w:r>
          </w:p>
        </w:tc>
        <w:tc>
          <w:tcPr>
            <w:tcW w:w="1134" w:type="dxa"/>
            <w:vAlign w:val="center"/>
            <w:hideMark/>
          </w:tcPr>
          <w:p w14:paraId="4E9954C4"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2022-23</w:t>
            </w:r>
          </w:p>
        </w:tc>
        <w:tc>
          <w:tcPr>
            <w:tcW w:w="1134" w:type="dxa"/>
            <w:vAlign w:val="center"/>
            <w:hideMark/>
          </w:tcPr>
          <w:p w14:paraId="6B55D04C"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2023-24</w:t>
            </w:r>
          </w:p>
        </w:tc>
        <w:tc>
          <w:tcPr>
            <w:tcW w:w="1134" w:type="dxa"/>
            <w:vAlign w:val="center"/>
            <w:hideMark/>
          </w:tcPr>
          <w:p w14:paraId="5624DF6E"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2024-25</w:t>
            </w:r>
          </w:p>
        </w:tc>
        <w:tc>
          <w:tcPr>
            <w:tcW w:w="1134" w:type="dxa"/>
            <w:vAlign w:val="center"/>
            <w:hideMark/>
          </w:tcPr>
          <w:p w14:paraId="5F9C677C"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2025-26</w:t>
            </w:r>
          </w:p>
        </w:tc>
        <w:tc>
          <w:tcPr>
            <w:tcW w:w="1134" w:type="dxa"/>
            <w:vAlign w:val="center"/>
            <w:hideMark/>
          </w:tcPr>
          <w:p w14:paraId="0E3AE8CD"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2026-27</w:t>
            </w:r>
          </w:p>
        </w:tc>
        <w:tc>
          <w:tcPr>
            <w:tcW w:w="1134" w:type="dxa"/>
            <w:vAlign w:val="center"/>
            <w:hideMark/>
          </w:tcPr>
          <w:p w14:paraId="0501B168"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2027-28</w:t>
            </w:r>
          </w:p>
        </w:tc>
        <w:tc>
          <w:tcPr>
            <w:tcW w:w="1274" w:type="dxa"/>
            <w:vAlign w:val="center"/>
            <w:hideMark/>
          </w:tcPr>
          <w:p w14:paraId="2CFF8759" w14:textId="77777777" w:rsidR="00AE3545" w:rsidRPr="00BC3D8C" w:rsidRDefault="00AE3545" w:rsidP="002A632F">
            <w:pPr>
              <w:jc w:val="right"/>
              <w:cnfStyle w:val="100000000000" w:firstRow="1" w:lastRow="0" w:firstColumn="0" w:lastColumn="0" w:oddVBand="0" w:evenVBand="0" w:oddHBand="0" w:evenHBand="0" w:firstRowFirstColumn="0" w:firstRowLastColumn="0" w:lastRowFirstColumn="0" w:lastRowLastColumn="0"/>
              <w:rPr>
                <w:b w:val="0"/>
              </w:rPr>
            </w:pPr>
            <w:r w:rsidRPr="007707A3">
              <w:t>Average / Total</w:t>
            </w:r>
            <w:r>
              <w:rPr>
                <w:b w:val="0"/>
              </w:rPr>
              <w:t xml:space="preserve"> </w:t>
            </w:r>
            <w:r w:rsidRPr="007707A3">
              <w:t>(4 years)</w:t>
            </w:r>
          </w:p>
        </w:tc>
      </w:tr>
      <w:tr w:rsidR="0042520F" w:rsidRPr="007707A3" w14:paraId="595E61AF"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08F1F075" w14:textId="77777777" w:rsidR="00AE3545" w:rsidRPr="00302F92" w:rsidRDefault="00AE3545">
            <w:pPr>
              <w:rPr>
                <w:b w:val="0"/>
                <w:lang w:eastAsia="en-AU"/>
              </w:rPr>
            </w:pPr>
            <w:r w:rsidRPr="009D684B">
              <w:rPr>
                <w:b w:val="0"/>
                <w:lang w:eastAsia="en-AU"/>
              </w:rPr>
              <w:t>Growth</w:t>
            </w:r>
          </w:p>
        </w:tc>
        <w:tc>
          <w:tcPr>
            <w:tcW w:w="1134" w:type="dxa"/>
            <w:hideMark/>
          </w:tcPr>
          <w:p w14:paraId="44A2628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24AB1E27"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3.29%</w:t>
            </w:r>
          </w:p>
        </w:tc>
        <w:tc>
          <w:tcPr>
            <w:tcW w:w="1134" w:type="dxa"/>
            <w:hideMark/>
          </w:tcPr>
          <w:p w14:paraId="53B085B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3.03%</w:t>
            </w:r>
          </w:p>
        </w:tc>
        <w:tc>
          <w:tcPr>
            <w:tcW w:w="1134" w:type="dxa"/>
            <w:hideMark/>
          </w:tcPr>
          <w:p w14:paraId="3606F5F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3.11%</w:t>
            </w:r>
          </w:p>
        </w:tc>
        <w:tc>
          <w:tcPr>
            <w:tcW w:w="1134" w:type="dxa"/>
            <w:hideMark/>
          </w:tcPr>
          <w:p w14:paraId="4416731F"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2.58%</w:t>
            </w:r>
          </w:p>
        </w:tc>
        <w:tc>
          <w:tcPr>
            <w:tcW w:w="1134" w:type="dxa"/>
            <w:hideMark/>
          </w:tcPr>
          <w:p w14:paraId="2C4B522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2.54%</w:t>
            </w:r>
          </w:p>
        </w:tc>
        <w:tc>
          <w:tcPr>
            <w:tcW w:w="1274" w:type="dxa"/>
            <w:hideMark/>
          </w:tcPr>
          <w:p w14:paraId="609BF04B"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2.81%</w:t>
            </w:r>
          </w:p>
        </w:tc>
      </w:tr>
      <w:tr w:rsidR="0042520F" w:rsidRPr="007707A3" w14:paraId="18A1C178"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14D65AC2" w14:textId="77777777" w:rsidR="00AE3545" w:rsidRPr="00302F92" w:rsidRDefault="00AE3545">
            <w:pPr>
              <w:rPr>
                <w:b w:val="0"/>
                <w:lang w:eastAsia="en-AU"/>
              </w:rPr>
            </w:pPr>
            <w:r w:rsidRPr="009D684B">
              <w:rPr>
                <w:b w:val="0"/>
                <w:lang w:eastAsia="en-AU"/>
              </w:rPr>
              <w:t>Efficiency</w:t>
            </w:r>
          </w:p>
        </w:tc>
        <w:tc>
          <w:tcPr>
            <w:tcW w:w="1134" w:type="dxa"/>
            <w:hideMark/>
          </w:tcPr>
          <w:p w14:paraId="7E64725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6E83070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2.00%</w:t>
            </w:r>
          </w:p>
        </w:tc>
        <w:tc>
          <w:tcPr>
            <w:tcW w:w="1134" w:type="dxa"/>
            <w:hideMark/>
          </w:tcPr>
          <w:p w14:paraId="33B0D9B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3.80%</w:t>
            </w:r>
          </w:p>
        </w:tc>
        <w:tc>
          <w:tcPr>
            <w:tcW w:w="1134" w:type="dxa"/>
            <w:hideMark/>
          </w:tcPr>
          <w:p w14:paraId="229D941B"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3.30%</w:t>
            </w:r>
          </w:p>
        </w:tc>
        <w:tc>
          <w:tcPr>
            <w:tcW w:w="1134" w:type="dxa"/>
            <w:hideMark/>
          </w:tcPr>
          <w:p w14:paraId="124799FE"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2.75%</w:t>
            </w:r>
          </w:p>
        </w:tc>
        <w:tc>
          <w:tcPr>
            <w:tcW w:w="1134" w:type="dxa"/>
            <w:hideMark/>
          </w:tcPr>
          <w:p w14:paraId="5FEB5201"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2.15%</w:t>
            </w:r>
          </w:p>
        </w:tc>
        <w:tc>
          <w:tcPr>
            <w:tcW w:w="1274" w:type="dxa"/>
            <w:hideMark/>
          </w:tcPr>
          <w:p w14:paraId="61B5DB0F"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3.00%</w:t>
            </w:r>
          </w:p>
        </w:tc>
      </w:tr>
      <w:tr w:rsidR="0042520F" w:rsidRPr="007707A3" w14:paraId="2E23D08C"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1087C51B" w14:textId="77777777" w:rsidR="00AE3545" w:rsidRPr="00302F92" w:rsidRDefault="00AE3545">
            <w:pPr>
              <w:rPr>
                <w:b w:val="0"/>
                <w:lang w:eastAsia="en-AU"/>
              </w:rPr>
            </w:pPr>
            <w:r w:rsidRPr="009D684B">
              <w:rPr>
                <w:b w:val="0"/>
                <w:lang w:eastAsia="en-AU"/>
              </w:rPr>
              <w:lastRenderedPageBreak/>
              <w:t>Net Efficiency</w:t>
            </w:r>
          </w:p>
        </w:tc>
        <w:tc>
          <w:tcPr>
            <w:tcW w:w="1134" w:type="dxa"/>
            <w:hideMark/>
          </w:tcPr>
          <w:p w14:paraId="43A14C3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DF6992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-1.29%</w:t>
            </w:r>
          </w:p>
        </w:tc>
        <w:tc>
          <w:tcPr>
            <w:tcW w:w="1134" w:type="dxa"/>
            <w:hideMark/>
          </w:tcPr>
          <w:p w14:paraId="185F251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0.77%</w:t>
            </w:r>
          </w:p>
        </w:tc>
        <w:tc>
          <w:tcPr>
            <w:tcW w:w="1134" w:type="dxa"/>
            <w:hideMark/>
          </w:tcPr>
          <w:p w14:paraId="151EEA1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0.19%</w:t>
            </w:r>
          </w:p>
        </w:tc>
        <w:tc>
          <w:tcPr>
            <w:tcW w:w="1134" w:type="dxa"/>
            <w:hideMark/>
          </w:tcPr>
          <w:p w14:paraId="5E06CB5E"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0.17%</w:t>
            </w:r>
          </w:p>
        </w:tc>
        <w:tc>
          <w:tcPr>
            <w:tcW w:w="1134" w:type="dxa"/>
            <w:hideMark/>
          </w:tcPr>
          <w:p w14:paraId="45B4C7A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-0.39%</w:t>
            </w:r>
          </w:p>
        </w:tc>
        <w:tc>
          <w:tcPr>
            <w:tcW w:w="1274" w:type="dxa"/>
            <w:hideMark/>
          </w:tcPr>
          <w:p w14:paraId="435BA709"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0.19%</w:t>
            </w:r>
          </w:p>
        </w:tc>
      </w:tr>
      <w:tr w:rsidR="0042520F" w:rsidRPr="007707A3" w14:paraId="611D1E26"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0ADA1DBB" w14:textId="35F29801" w:rsidR="00AE3545" w:rsidRPr="00302F92" w:rsidRDefault="00AE3545">
            <w:pPr>
              <w:rPr>
                <w:b w:val="0"/>
                <w:lang w:eastAsia="en-AU"/>
              </w:rPr>
            </w:pPr>
            <w:r w:rsidRPr="009D684B">
              <w:rPr>
                <w:b w:val="0"/>
                <w:lang w:eastAsia="en-AU"/>
              </w:rPr>
              <w:t xml:space="preserve">Base </w:t>
            </w:r>
          </w:p>
        </w:tc>
        <w:tc>
          <w:tcPr>
            <w:tcW w:w="1134" w:type="dxa"/>
            <w:hideMark/>
          </w:tcPr>
          <w:p w14:paraId="6CB3441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209.63</w:t>
            </w:r>
          </w:p>
        </w:tc>
        <w:tc>
          <w:tcPr>
            <w:tcW w:w="1134" w:type="dxa"/>
            <w:hideMark/>
          </w:tcPr>
          <w:p w14:paraId="344834E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512284F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3453EC05"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2925210"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262E5E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274" w:type="dxa"/>
            <w:hideMark/>
          </w:tcPr>
          <w:p w14:paraId="771AFB0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 </w:t>
            </w:r>
          </w:p>
        </w:tc>
      </w:tr>
      <w:tr w:rsidR="0042520F" w:rsidRPr="007707A3" w14:paraId="082E6927"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351A7325" w14:textId="50E2F03A" w:rsidR="00AE3545" w:rsidRPr="00302F92" w:rsidRDefault="00AE3545">
            <w:pPr>
              <w:rPr>
                <w:b w:val="0"/>
                <w:lang w:eastAsia="en-AU"/>
              </w:rPr>
            </w:pPr>
            <w:r w:rsidRPr="009D684B">
              <w:rPr>
                <w:b w:val="0"/>
                <w:lang w:eastAsia="en-AU"/>
              </w:rPr>
              <w:t xml:space="preserve">Trend </w:t>
            </w:r>
          </w:p>
        </w:tc>
        <w:tc>
          <w:tcPr>
            <w:tcW w:w="1134" w:type="dxa"/>
            <w:hideMark/>
          </w:tcPr>
          <w:p w14:paraId="52C01607"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2E19DE3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212.34</w:t>
            </w:r>
          </w:p>
        </w:tc>
        <w:tc>
          <w:tcPr>
            <w:tcW w:w="1134" w:type="dxa"/>
            <w:hideMark/>
          </w:tcPr>
          <w:p w14:paraId="316F9FE1"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210.69</w:t>
            </w:r>
          </w:p>
        </w:tc>
        <w:tc>
          <w:tcPr>
            <w:tcW w:w="1134" w:type="dxa"/>
            <w:hideMark/>
          </w:tcPr>
          <w:p w14:paraId="22554CC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210.29</w:t>
            </w:r>
          </w:p>
        </w:tc>
        <w:tc>
          <w:tcPr>
            <w:tcW w:w="1134" w:type="dxa"/>
            <w:hideMark/>
          </w:tcPr>
          <w:p w14:paraId="3D6F90E3"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209.92</w:t>
            </w:r>
          </w:p>
        </w:tc>
        <w:tc>
          <w:tcPr>
            <w:tcW w:w="1134" w:type="dxa"/>
            <w:hideMark/>
          </w:tcPr>
          <w:p w14:paraId="7C16347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210.73</w:t>
            </w:r>
          </w:p>
        </w:tc>
        <w:tc>
          <w:tcPr>
            <w:tcW w:w="1274" w:type="dxa"/>
            <w:hideMark/>
          </w:tcPr>
          <w:p w14:paraId="7AE6ED6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841.63</w:t>
            </w:r>
          </w:p>
        </w:tc>
      </w:tr>
      <w:tr w:rsidR="0042520F" w:rsidRPr="007707A3" w14:paraId="43C9C994"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7784C3D3" w14:textId="15EAC88A" w:rsidR="00AE3545" w:rsidRPr="00302F92" w:rsidRDefault="00AE3545">
            <w:pPr>
              <w:rPr>
                <w:b w:val="0"/>
                <w:lang w:eastAsia="en-AU"/>
              </w:rPr>
            </w:pPr>
            <w:r w:rsidRPr="009D684B">
              <w:rPr>
                <w:b w:val="0"/>
                <w:lang w:eastAsia="en-AU"/>
              </w:rPr>
              <w:t xml:space="preserve">Step </w:t>
            </w:r>
          </w:p>
        </w:tc>
        <w:tc>
          <w:tcPr>
            <w:tcW w:w="1134" w:type="dxa"/>
            <w:hideMark/>
          </w:tcPr>
          <w:p w14:paraId="3B595A8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6DF1F395" w14:textId="3AA3AEC9"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4.</w:t>
            </w:r>
            <w:r w:rsidR="00C44939">
              <w:t>47</w:t>
            </w:r>
          </w:p>
        </w:tc>
        <w:tc>
          <w:tcPr>
            <w:tcW w:w="1134" w:type="dxa"/>
            <w:hideMark/>
          </w:tcPr>
          <w:p w14:paraId="761A8A78" w14:textId="34751B14" w:rsidR="00AE3545" w:rsidRPr="007707A3" w:rsidRDefault="00C44939" w:rsidP="002A632F">
            <w:pPr>
              <w:jc w:val="right"/>
              <w:cnfStyle w:val="000000000000" w:firstRow="0" w:lastRow="0" w:firstColumn="0" w:lastColumn="0" w:oddVBand="0" w:evenVBand="0" w:oddHBand="0" w:evenHBand="0" w:firstRowFirstColumn="0" w:firstRowLastColumn="0" w:lastRowFirstColumn="0" w:lastRowLastColumn="0"/>
            </w:pPr>
            <w:r>
              <w:t>7.49</w:t>
            </w:r>
          </w:p>
        </w:tc>
        <w:tc>
          <w:tcPr>
            <w:tcW w:w="1134" w:type="dxa"/>
            <w:hideMark/>
          </w:tcPr>
          <w:p w14:paraId="733F1ACC" w14:textId="0B9CA1BD"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8.23</w:t>
            </w:r>
          </w:p>
        </w:tc>
        <w:tc>
          <w:tcPr>
            <w:tcW w:w="1134" w:type="dxa"/>
            <w:hideMark/>
          </w:tcPr>
          <w:p w14:paraId="56F3F207" w14:textId="12F5907A"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9.08</w:t>
            </w:r>
          </w:p>
        </w:tc>
        <w:tc>
          <w:tcPr>
            <w:tcW w:w="1134" w:type="dxa"/>
            <w:hideMark/>
          </w:tcPr>
          <w:p w14:paraId="6798E25D" w14:textId="71B4505D"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9.69</w:t>
            </w:r>
          </w:p>
        </w:tc>
        <w:tc>
          <w:tcPr>
            <w:tcW w:w="1274" w:type="dxa"/>
            <w:hideMark/>
          </w:tcPr>
          <w:p w14:paraId="6F30F23C" w14:textId="2D7BFAE5"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Pr>
                <w:b/>
                <w:bCs/>
              </w:rPr>
              <w:t>34.49</w:t>
            </w:r>
          </w:p>
        </w:tc>
      </w:tr>
      <w:tr w:rsidR="0042520F" w:rsidRPr="007707A3" w14:paraId="5B3E1954"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2F470E41" w14:textId="23FD6250" w:rsidR="00AE3545" w:rsidRPr="007707A3" w:rsidRDefault="00AE3545">
            <w:r w:rsidRPr="007707A3">
              <w:rPr>
                <w:lang w:eastAsia="en-AU"/>
              </w:rPr>
              <w:t xml:space="preserve">Total </w:t>
            </w:r>
          </w:p>
        </w:tc>
        <w:tc>
          <w:tcPr>
            <w:tcW w:w="1134" w:type="dxa"/>
            <w:hideMark/>
          </w:tcPr>
          <w:p w14:paraId="53FAA522"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209.63</w:t>
            </w:r>
          </w:p>
        </w:tc>
        <w:tc>
          <w:tcPr>
            <w:tcW w:w="1134" w:type="dxa"/>
            <w:hideMark/>
          </w:tcPr>
          <w:p w14:paraId="519DFB2B" w14:textId="0854E774"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216.</w:t>
            </w:r>
            <w:r w:rsidR="00C65845">
              <w:rPr>
                <w:b/>
                <w:bCs/>
              </w:rPr>
              <w:t>81</w:t>
            </w:r>
          </w:p>
        </w:tc>
        <w:tc>
          <w:tcPr>
            <w:tcW w:w="1134" w:type="dxa"/>
            <w:hideMark/>
          </w:tcPr>
          <w:p w14:paraId="34B97717" w14:textId="011EFFA6"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21</w:t>
            </w:r>
            <w:r>
              <w:rPr>
                <w:b/>
                <w:bCs/>
              </w:rPr>
              <w:t>8</w:t>
            </w:r>
            <w:r w:rsidR="00AE3545" w:rsidRPr="002A632F">
              <w:rPr>
                <w:b/>
                <w:bCs/>
              </w:rPr>
              <w:t>.</w:t>
            </w:r>
            <w:r>
              <w:rPr>
                <w:b/>
                <w:bCs/>
              </w:rPr>
              <w:t>18</w:t>
            </w:r>
          </w:p>
        </w:tc>
        <w:tc>
          <w:tcPr>
            <w:tcW w:w="1134" w:type="dxa"/>
            <w:hideMark/>
          </w:tcPr>
          <w:p w14:paraId="4A1A785C" w14:textId="0F92CFF6"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21</w:t>
            </w:r>
            <w:r>
              <w:rPr>
                <w:b/>
                <w:bCs/>
              </w:rPr>
              <w:t>8</w:t>
            </w:r>
            <w:r w:rsidR="00AE3545" w:rsidRPr="002A632F">
              <w:rPr>
                <w:b/>
                <w:bCs/>
              </w:rPr>
              <w:t>.</w:t>
            </w:r>
            <w:r>
              <w:rPr>
                <w:b/>
                <w:bCs/>
              </w:rPr>
              <w:t>52</w:t>
            </w:r>
          </w:p>
        </w:tc>
        <w:tc>
          <w:tcPr>
            <w:tcW w:w="1134" w:type="dxa"/>
            <w:hideMark/>
          </w:tcPr>
          <w:p w14:paraId="74883471" w14:textId="0E40DBDC"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w:t>
            </w:r>
            <w:r w:rsidR="00C65845">
              <w:rPr>
                <w:b/>
                <w:bCs/>
              </w:rPr>
              <w:t>19.00</w:t>
            </w:r>
          </w:p>
        </w:tc>
        <w:tc>
          <w:tcPr>
            <w:tcW w:w="1134" w:type="dxa"/>
            <w:hideMark/>
          </w:tcPr>
          <w:p w14:paraId="2850B6C8" w14:textId="3C945B6D" w:rsidR="00AE3545" w:rsidRPr="002A632F" w:rsidRDefault="0042520F"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22</w:t>
            </w:r>
            <w:r>
              <w:rPr>
                <w:b/>
                <w:bCs/>
              </w:rPr>
              <w:t>0</w:t>
            </w:r>
            <w:r w:rsidR="00AE3545" w:rsidRPr="002A632F">
              <w:rPr>
                <w:b/>
                <w:bCs/>
              </w:rPr>
              <w:t>.</w:t>
            </w:r>
            <w:r>
              <w:rPr>
                <w:b/>
                <w:bCs/>
              </w:rPr>
              <w:t>42</w:t>
            </w:r>
          </w:p>
        </w:tc>
        <w:tc>
          <w:tcPr>
            <w:tcW w:w="1274" w:type="dxa"/>
            <w:hideMark/>
          </w:tcPr>
          <w:p w14:paraId="3B80E781" w14:textId="228437C5" w:rsidR="00AE3545" w:rsidRPr="002A632F" w:rsidRDefault="00A43BCC" w:rsidP="002A632F">
            <w:pPr>
              <w:jc w:val="right"/>
              <w:cnfStyle w:val="000000000000" w:firstRow="0" w:lastRow="0" w:firstColumn="0" w:lastColumn="0" w:oddVBand="0" w:evenVBand="0" w:oddHBand="0" w:evenHBand="0" w:firstRowFirstColumn="0" w:firstRowLastColumn="0" w:lastRowFirstColumn="0" w:lastRowLastColumn="0"/>
              <w:rPr>
                <w:b/>
              </w:rPr>
            </w:pPr>
            <w:r>
              <w:rPr>
                <w:b/>
                <w:bCs/>
              </w:rPr>
              <w:t>876.12</w:t>
            </w:r>
          </w:p>
        </w:tc>
      </w:tr>
      <w:tr w:rsidR="0042520F" w:rsidRPr="007707A3" w14:paraId="5D27A30F" w14:textId="77777777" w:rsidTr="0054387B">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785E80B5" w14:textId="77777777" w:rsidR="00AE3545" w:rsidRPr="007707A3" w:rsidRDefault="00AE3545">
            <w:r w:rsidRPr="007707A3">
              <w:rPr>
                <w:lang w:eastAsia="en-AU"/>
              </w:rPr>
              <w:t>Total ($ per connection)</w:t>
            </w:r>
          </w:p>
        </w:tc>
        <w:tc>
          <w:tcPr>
            <w:tcW w:w="1134" w:type="dxa"/>
            <w:vAlign w:val="center"/>
            <w:hideMark/>
          </w:tcPr>
          <w:p w14:paraId="5C7C8DBF"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341</w:t>
            </w:r>
          </w:p>
        </w:tc>
        <w:tc>
          <w:tcPr>
            <w:tcW w:w="1134" w:type="dxa"/>
            <w:vAlign w:val="center"/>
            <w:hideMark/>
          </w:tcPr>
          <w:p w14:paraId="3156CB1A"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341</w:t>
            </w:r>
          </w:p>
        </w:tc>
        <w:tc>
          <w:tcPr>
            <w:tcW w:w="1134" w:type="dxa"/>
            <w:vAlign w:val="center"/>
            <w:hideMark/>
          </w:tcPr>
          <w:p w14:paraId="69BA81CE" w14:textId="1BE9E3F0"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33</w:t>
            </w:r>
            <w:r>
              <w:rPr>
                <w:b/>
                <w:bCs/>
              </w:rPr>
              <w:t>3</w:t>
            </w:r>
          </w:p>
        </w:tc>
        <w:tc>
          <w:tcPr>
            <w:tcW w:w="1134" w:type="dxa"/>
            <w:vAlign w:val="center"/>
            <w:hideMark/>
          </w:tcPr>
          <w:p w14:paraId="3312A21D" w14:textId="2A63FBC2"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w:t>
            </w:r>
            <w:r>
              <w:rPr>
                <w:b/>
                <w:bCs/>
              </w:rPr>
              <w:t>24</w:t>
            </w:r>
          </w:p>
        </w:tc>
        <w:tc>
          <w:tcPr>
            <w:tcW w:w="1134" w:type="dxa"/>
            <w:vAlign w:val="center"/>
            <w:hideMark/>
          </w:tcPr>
          <w:p w14:paraId="6CE20A0D" w14:textId="58BE06A2"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31</w:t>
            </w:r>
            <w:r w:rsidR="0042520F">
              <w:rPr>
                <w:b/>
                <w:bCs/>
              </w:rPr>
              <w:t>6</w:t>
            </w:r>
          </w:p>
        </w:tc>
        <w:tc>
          <w:tcPr>
            <w:tcW w:w="1134" w:type="dxa"/>
            <w:vAlign w:val="center"/>
            <w:hideMark/>
          </w:tcPr>
          <w:p w14:paraId="36A8748F" w14:textId="6FC7A2A5" w:rsidR="00AE3545" w:rsidRPr="002A632F" w:rsidRDefault="0042520F"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31</w:t>
            </w:r>
            <w:r>
              <w:rPr>
                <w:b/>
                <w:bCs/>
              </w:rPr>
              <w:t>0</w:t>
            </w:r>
          </w:p>
        </w:tc>
        <w:tc>
          <w:tcPr>
            <w:tcW w:w="1274" w:type="dxa"/>
            <w:vAlign w:val="center"/>
            <w:hideMark/>
          </w:tcPr>
          <w:p w14:paraId="778C51B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 </w:t>
            </w:r>
          </w:p>
        </w:tc>
      </w:tr>
    </w:tbl>
    <w:p w14:paraId="61551C71" w14:textId="77777777" w:rsidR="00714A89" w:rsidRDefault="00714A89" w:rsidP="00714A89"/>
    <w:p w14:paraId="1930FD5C" w14:textId="77777777" w:rsidR="00714A89" w:rsidRDefault="00883365" w:rsidP="005B69CD">
      <w:pPr>
        <w:pStyle w:val="Heading3"/>
      </w:pPr>
      <w:r w:rsidRPr="00883365">
        <w:t>Non-</w:t>
      </w:r>
      <w:r w:rsidR="00CD0660">
        <w:t>c</w:t>
      </w:r>
      <w:r w:rsidRPr="00883365">
        <w:t xml:space="preserve">ontrollable </w:t>
      </w:r>
      <w:r w:rsidR="00CD0660">
        <w:t>o</w:t>
      </w:r>
      <w:r w:rsidRPr="00883365">
        <w:t>pe</w:t>
      </w:r>
      <w:r>
        <w:t>rating e</w:t>
      </w:r>
      <w:r w:rsidRPr="00883365">
        <w:t>x</w:t>
      </w:r>
      <w:r>
        <w:t>penditure</w:t>
      </w:r>
    </w:p>
    <w:p w14:paraId="077471E4" w14:textId="3EEC2B8D" w:rsidR="00FD7D5F" w:rsidRDefault="00FD7D5F" w:rsidP="00FD7D5F">
      <w:r>
        <w:t>We source over 90</w:t>
      </w:r>
      <w:r w:rsidR="00880C6F">
        <w:t>%</w:t>
      </w:r>
      <w:r>
        <w:t xml:space="preserve"> of our water from our bulk suppliers, Melbourne Water and Southern Rural Water. Melbourne Water treats over 85</w:t>
      </w:r>
      <w:r w:rsidR="00880C6F">
        <w:t>%</w:t>
      </w:r>
      <w:r>
        <w:t xml:space="preserve"> of our sewage. Along with bulk costs, we also pay licence fees and levies to government authorities. Over the next four years, we are forecast to pay </w:t>
      </w:r>
      <w:r w:rsidRPr="006D7CD8">
        <w:t>$1,</w:t>
      </w:r>
      <w:r w:rsidR="00383CF8" w:rsidRPr="006D7CD8">
        <w:t>6</w:t>
      </w:r>
      <w:r w:rsidR="00383CF8">
        <w:t xml:space="preserve">44.8 </w:t>
      </w:r>
      <w:r>
        <w:t xml:space="preserve">million in non-controllable operating expenditure. This accounts for two-thirds of total operating expenditure. </w:t>
      </w:r>
    </w:p>
    <w:p w14:paraId="35C94AE9" w14:textId="4BA8BA4A" w:rsidR="006D26C5" w:rsidRDefault="006D26C5" w:rsidP="006D26C5">
      <w:pPr>
        <w:pStyle w:val="Caption"/>
      </w:pPr>
      <w:bookmarkStart w:id="139" w:name="_Ref145272780"/>
      <w:r w:rsidRPr="003423C2">
        <w:rPr>
          <w:b/>
        </w:rPr>
        <w:t xml:space="preserve">Table </w:t>
      </w:r>
      <w:r w:rsidRPr="003423C2">
        <w:rPr>
          <w:b/>
        </w:rPr>
        <w:fldChar w:fldCharType="begin"/>
      </w:r>
      <w:r w:rsidRPr="006E4ED6">
        <w:rPr>
          <w:b/>
        </w:rPr>
        <w:instrText>SEQ Table \* ARABIC</w:instrText>
      </w:r>
      <w:r w:rsidRPr="003423C2">
        <w:rPr>
          <w:b/>
        </w:rPr>
        <w:fldChar w:fldCharType="separate"/>
      </w:r>
      <w:r w:rsidR="003B42C6">
        <w:rPr>
          <w:b/>
          <w:noProof/>
        </w:rPr>
        <w:t>27</w:t>
      </w:r>
      <w:r w:rsidRPr="003423C2">
        <w:rPr>
          <w:b/>
        </w:rPr>
        <w:fldChar w:fldCharType="end"/>
      </w:r>
      <w:bookmarkEnd w:id="139"/>
      <w:r>
        <w:t xml:space="preserve"> </w:t>
      </w:r>
      <w:proofErr w:type="gramStart"/>
      <w:r w:rsidRPr="000D020E">
        <w:t>Non-controllable</w:t>
      </w:r>
      <w:proofErr w:type="gramEnd"/>
      <w:r w:rsidRPr="000D020E">
        <w:t xml:space="preserve"> </w:t>
      </w:r>
      <w:r w:rsidR="007F6DB0">
        <w:t>o</w:t>
      </w:r>
      <w:r w:rsidRPr="000D020E">
        <w:t>pe</w:t>
      </w:r>
      <w:r w:rsidR="007F6DB0">
        <w:t>rating expenditure</w:t>
      </w:r>
      <w:r w:rsidRPr="000D020E">
        <w:t xml:space="preserve"> ($million, 2023-24)</w:t>
      </w:r>
    </w:p>
    <w:tbl>
      <w:tblPr>
        <w:tblStyle w:val="GWWDefaulttable"/>
        <w:tblW w:w="5000" w:type="pct"/>
        <w:tblLook w:val="04A0" w:firstRow="1" w:lastRow="0" w:firstColumn="1" w:lastColumn="0" w:noHBand="0" w:noVBand="1"/>
      </w:tblPr>
      <w:tblGrid>
        <w:gridCol w:w="3401"/>
        <w:gridCol w:w="993"/>
        <w:gridCol w:w="993"/>
        <w:gridCol w:w="993"/>
        <w:gridCol w:w="993"/>
        <w:gridCol w:w="993"/>
        <w:gridCol w:w="1272"/>
      </w:tblGrid>
      <w:tr w:rsidR="00B1176D" w:rsidRPr="009F706B" w14:paraId="4B28E641" w14:textId="77777777" w:rsidTr="003423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14:paraId="71E94494" w14:textId="77777777" w:rsidR="00B1176D" w:rsidRPr="003423C2" w:rsidRDefault="00B1176D" w:rsidP="003423C2">
            <w:pPr>
              <w:jc w:val="right"/>
              <w:rPr>
                <w:b w:val="0"/>
              </w:rPr>
            </w:pPr>
            <w:r w:rsidRPr="003423C2">
              <w:rPr>
                <w:b w:val="0"/>
              </w:rPr>
              <w:t> </w:t>
            </w:r>
          </w:p>
        </w:tc>
        <w:tc>
          <w:tcPr>
            <w:tcW w:w="515" w:type="pct"/>
            <w:vAlign w:val="center"/>
            <w:hideMark/>
          </w:tcPr>
          <w:p w14:paraId="1CF8E6C4"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2023-24</w:t>
            </w:r>
          </w:p>
        </w:tc>
        <w:tc>
          <w:tcPr>
            <w:tcW w:w="515" w:type="pct"/>
            <w:vAlign w:val="center"/>
            <w:hideMark/>
          </w:tcPr>
          <w:p w14:paraId="13B9B091"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2024-25</w:t>
            </w:r>
          </w:p>
        </w:tc>
        <w:tc>
          <w:tcPr>
            <w:tcW w:w="515" w:type="pct"/>
            <w:vAlign w:val="center"/>
            <w:hideMark/>
          </w:tcPr>
          <w:p w14:paraId="55B76977"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2025-26</w:t>
            </w:r>
          </w:p>
        </w:tc>
        <w:tc>
          <w:tcPr>
            <w:tcW w:w="515" w:type="pct"/>
            <w:vAlign w:val="center"/>
            <w:hideMark/>
          </w:tcPr>
          <w:p w14:paraId="7855DC4F"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2026-27</w:t>
            </w:r>
          </w:p>
        </w:tc>
        <w:tc>
          <w:tcPr>
            <w:tcW w:w="515" w:type="pct"/>
            <w:vAlign w:val="center"/>
            <w:hideMark/>
          </w:tcPr>
          <w:p w14:paraId="10F1B9FD"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2027-28</w:t>
            </w:r>
          </w:p>
        </w:tc>
        <w:tc>
          <w:tcPr>
            <w:tcW w:w="661" w:type="pct"/>
            <w:vAlign w:val="center"/>
          </w:tcPr>
          <w:p w14:paraId="2478D8FB" w14:textId="30CBAE3E"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 xml:space="preserve">Total </w:t>
            </w:r>
            <w:r w:rsidR="002A4937" w:rsidRPr="00347237">
              <w:br/>
            </w:r>
            <w:r w:rsidRPr="00347237">
              <w:t>(4-years)</w:t>
            </w:r>
          </w:p>
        </w:tc>
      </w:tr>
      <w:tr w:rsidR="00B1176D" w:rsidRPr="009F706B" w14:paraId="6D1720ED"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7B1639FB" w14:textId="77777777" w:rsidR="00B1176D" w:rsidRPr="002A632F" w:rsidRDefault="00B1176D">
            <w:pPr>
              <w:rPr>
                <w:b w:val="0"/>
              </w:rPr>
            </w:pPr>
            <w:r w:rsidRPr="003423C2">
              <w:rPr>
                <w:b w:val="0"/>
              </w:rPr>
              <w:t>Melbourne Water – water  </w:t>
            </w:r>
          </w:p>
        </w:tc>
        <w:tc>
          <w:tcPr>
            <w:tcW w:w="515" w:type="pct"/>
            <w:vAlign w:val="center"/>
            <w:hideMark/>
          </w:tcPr>
          <w:p w14:paraId="1EBB4161" w14:textId="1EE1DCEB"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257.89</w:t>
            </w:r>
          </w:p>
        </w:tc>
        <w:tc>
          <w:tcPr>
            <w:tcW w:w="515" w:type="pct"/>
            <w:vAlign w:val="center"/>
            <w:hideMark/>
          </w:tcPr>
          <w:p w14:paraId="10C7EEFF" w14:textId="3B946EAF"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256.53</w:t>
            </w:r>
          </w:p>
        </w:tc>
        <w:tc>
          <w:tcPr>
            <w:tcW w:w="515" w:type="pct"/>
            <w:vAlign w:val="center"/>
            <w:hideMark/>
          </w:tcPr>
          <w:p w14:paraId="61286E6C" w14:textId="34C40EF7"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255.</w:t>
            </w:r>
            <w:r w:rsidR="00D56A5D" w:rsidRPr="00347237">
              <w:t>41</w:t>
            </w:r>
          </w:p>
        </w:tc>
        <w:tc>
          <w:tcPr>
            <w:tcW w:w="515" w:type="pct"/>
            <w:vAlign w:val="center"/>
            <w:hideMark/>
          </w:tcPr>
          <w:p w14:paraId="67211181" w14:textId="7E75FAAF"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255.78</w:t>
            </w:r>
          </w:p>
        </w:tc>
        <w:tc>
          <w:tcPr>
            <w:tcW w:w="515" w:type="pct"/>
            <w:vAlign w:val="center"/>
            <w:hideMark/>
          </w:tcPr>
          <w:p w14:paraId="7AA96DC2" w14:textId="374429E6"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257.10</w:t>
            </w:r>
          </w:p>
        </w:tc>
        <w:tc>
          <w:tcPr>
            <w:tcW w:w="661" w:type="pct"/>
            <w:vAlign w:val="center"/>
          </w:tcPr>
          <w:p w14:paraId="50E49AE5" w14:textId="4BAED9CF"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1,024.82</w:t>
            </w:r>
          </w:p>
        </w:tc>
      </w:tr>
      <w:tr w:rsidR="00B1176D" w:rsidRPr="009F706B" w14:paraId="062F4475"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2B5706DB" w14:textId="77777777" w:rsidR="00B1176D" w:rsidRPr="002A632F" w:rsidRDefault="00B1176D">
            <w:pPr>
              <w:rPr>
                <w:b w:val="0"/>
              </w:rPr>
            </w:pPr>
            <w:r w:rsidRPr="003423C2">
              <w:rPr>
                <w:b w:val="0"/>
              </w:rPr>
              <w:t>Melbourne Water – sewerage </w:t>
            </w:r>
          </w:p>
        </w:tc>
        <w:tc>
          <w:tcPr>
            <w:tcW w:w="515" w:type="pct"/>
            <w:vAlign w:val="center"/>
            <w:hideMark/>
          </w:tcPr>
          <w:p w14:paraId="44AEC29F" w14:textId="6528A5BA"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112.61</w:t>
            </w:r>
          </w:p>
        </w:tc>
        <w:tc>
          <w:tcPr>
            <w:tcW w:w="515" w:type="pct"/>
            <w:vAlign w:val="center"/>
            <w:hideMark/>
          </w:tcPr>
          <w:p w14:paraId="7F6D170A" w14:textId="11B8C60C"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115.92</w:t>
            </w:r>
          </w:p>
        </w:tc>
        <w:tc>
          <w:tcPr>
            <w:tcW w:w="515" w:type="pct"/>
            <w:vAlign w:val="center"/>
            <w:hideMark/>
          </w:tcPr>
          <w:p w14:paraId="1719CD33" w14:textId="2638C925"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119.64</w:t>
            </w:r>
          </w:p>
        </w:tc>
        <w:tc>
          <w:tcPr>
            <w:tcW w:w="515" w:type="pct"/>
            <w:vAlign w:val="center"/>
            <w:hideMark/>
          </w:tcPr>
          <w:p w14:paraId="53E1ED06" w14:textId="11A81EDE"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119.78</w:t>
            </w:r>
          </w:p>
        </w:tc>
        <w:tc>
          <w:tcPr>
            <w:tcW w:w="515" w:type="pct"/>
            <w:vAlign w:val="center"/>
            <w:hideMark/>
          </w:tcPr>
          <w:p w14:paraId="1D4EF4AB" w14:textId="29DFCD2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120.</w:t>
            </w:r>
            <w:r w:rsidR="00D56A5D" w:rsidRPr="00347237">
              <w:t>10</w:t>
            </w:r>
          </w:p>
        </w:tc>
        <w:tc>
          <w:tcPr>
            <w:tcW w:w="661" w:type="pct"/>
            <w:vAlign w:val="center"/>
          </w:tcPr>
          <w:p w14:paraId="790D16C4" w14:textId="1DFC828F"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475.45</w:t>
            </w:r>
          </w:p>
        </w:tc>
      </w:tr>
      <w:tr w:rsidR="00B1176D" w:rsidRPr="009F706B" w14:paraId="45B5895E"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5E61FBAB" w14:textId="77777777" w:rsidR="00B1176D" w:rsidRPr="002A632F" w:rsidRDefault="00B1176D">
            <w:pPr>
              <w:rPr>
                <w:b w:val="0"/>
              </w:rPr>
            </w:pPr>
            <w:r w:rsidRPr="003423C2">
              <w:rPr>
                <w:b w:val="0"/>
              </w:rPr>
              <w:t>Melbourne Water – recycled water </w:t>
            </w:r>
          </w:p>
        </w:tc>
        <w:tc>
          <w:tcPr>
            <w:tcW w:w="515" w:type="pct"/>
            <w:vAlign w:val="center"/>
            <w:hideMark/>
          </w:tcPr>
          <w:p w14:paraId="7000ADAE" w14:textId="7EE9DC2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6513CEE4" w14:textId="1E7775C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43F4E336" w14:textId="21D9B9C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24BD550D" w14:textId="2756EA63"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0E74A3AD" w14:textId="32F20BFE"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661" w:type="pct"/>
            <w:vAlign w:val="center"/>
          </w:tcPr>
          <w:p w14:paraId="2BB7D00F"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2.92</w:t>
            </w:r>
          </w:p>
        </w:tc>
      </w:tr>
      <w:tr w:rsidR="00B1176D" w:rsidRPr="009F706B" w14:paraId="5F85F4D3"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6063C4A5" w14:textId="77777777" w:rsidR="00B1176D" w:rsidRPr="002A632F" w:rsidRDefault="00B1176D">
            <w:pPr>
              <w:rPr>
                <w:b w:val="0"/>
              </w:rPr>
            </w:pPr>
            <w:r w:rsidRPr="003423C2">
              <w:rPr>
                <w:b w:val="0"/>
              </w:rPr>
              <w:t>Southern Rural Water – water </w:t>
            </w:r>
          </w:p>
        </w:tc>
        <w:tc>
          <w:tcPr>
            <w:tcW w:w="515" w:type="pct"/>
            <w:vAlign w:val="center"/>
            <w:hideMark/>
          </w:tcPr>
          <w:p w14:paraId="6E7BE48D" w14:textId="71FC934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2.58</w:t>
            </w:r>
          </w:p>
        </w:tc>
        <w:tc>
          <w:tcPr>
            <w:tcW w:w="515" w:type="pct"/>
            <w:vAlign w:val="center"/>
            <w:hideMark/>
          </w:tcPr>
          <w:p w14:paraId="21FBE3AB" w14:textId="0EB9779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2.59</w:t>
            </w:r>
          </w:p>
        </w:tc>
        <w:tc>
          <w:tcPr>
            <w:tcW w:w="515" w:type="pct"/>
            <w:vAlign w:val="center"/>
            <w:hideMark/>
          </w:tcPr>
          <w:p w14:paraId="5759E712" w14:textId="7ECB587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2.60</w:t>
            </w:r>
          </w:p>
        </w:tc>
        <w:tc>
          <w:tcPr>
            <w:tcW w:w="515" w:type="pct"/>
            <w:vAlign w:val="center"/>
            <w:hideMark/>
          </w:tcPr>
          <w:p w14:paraId="2F02701D" w14:textId="36847A3F"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2.66</w:t>
            </w:r>
          </w:p>
        </w:tc>
        <w:tc>
          <w:tcPr>
            <w:tcW w:w="515" w:type="pct"/>
            <w:vAlign w:val="center"/>
            <w:hideMark/>
          </w:tcPr>
          <w:p w14:paraId="0B93C275" w14:textId="64AF2D9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2.71</w:t>
            </w:r>
          </w:p>
        </w:tc>
        <w:tc>
          <w:tcPr>
            <w:tcW w:w="661" w:type="pct"/>
            <w:vAlign w:val="center"/>
          </w:tcPr>
          <w:p w14:paraId="3E97C5A4"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10.56</w:t>
            </w:r>
          </w:p>
        </w:tc>
      </w:tr>
      <w:tr w:rsidR="00B1176D" w:rsidRPr="009F706B" w14:paraId="4D0677CC"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310E3119" w14:textId="77777777" w:rsidR="00B1176D" w:rsidRPr="002A632F" w:rsidRDefault="00B1176D" w:rsidP="00347237">
            <w:pPr>
              <w:rPr>
                <w:b w:val="0"/>
              </w:rPr>
            </w:pPr>
            <w:r w:rsidRPr="003423C2">
              <w:rPr>
                <w:b w:val="0"/>
              </w:rPr>
              <w:t>Goulburn-Murray Water – Goulburn and Murray water entitlements </w:t>
            </w:r>
          </w:p>
        </w:tc>
        <w:tc>
          <w:tcPr>
            <w:tcW w:w="515" w:type="pct"/>
            <w:vAlign w:val="center"/>
            <w:hideMark/>
          </w:tcPr>
          <w:p w14:paraId="087E5BE2" w14:textId="64B144E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0.47</w:t>
            </w:r>
          </w:p>
        </w:tc>
        <w:tc>
          <w:tcPr>
            <w:tcW w:w="515" w:type="pct"/>
            <w:vAlign w:val="center"/>
            <w:hideMark/>
          </w:tcPr>
          <w:p w14:paraId="7297B1BC" w14:textId="0F7D2A5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0.42</w:t>
            </w:r>
          </w:p>
        </w:tc>
        <w:tc>
          <w:tcPr>
            <w:tcW w:w="515" w:type="pct"/>
            <w:vAlign w:val="center"/>
            <w:hideMark/>
          </w:tcPr>
          <w:p w14:paraId="408A61D2" w14:textId="4EE7D0E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0.40</w:t>
            </w:r>
          </w:p>
        </w:tc>
        <w:tc>
          <w:tcPr>
            <w:tcW w:w="515" w:type="pct"/>
            <w:vAlign w:val="center"/>
            <w:hideMark/>
          </w:tcPr>
          <w:p w14:paraId="17D79E1E" w14:textId="3F9BA7D3"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0.40</w:t>
            </w:r>
          </w:p>
        </w:tc>
        <w:tc>
          <w:tcPr>
            <w:tcW w:w="515" w:type="pct"/>
            <w:vAlign w:val="center"/>
            <w:hideMark/>
          </w:tcPr>
          <w:p w14:paraId="45D99CCB" w14:textId="0AD190D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0.39</w:t>
            </w:r>
          </w:p>
        </w:tc>
        <w:tc>
          <w:tcPr>
            <w:tcW w:w="661" w:type="pct"/>
            <w:vAlign w:val="center"/>
          </w:tcPr>
          <w:p w14:paraId="486104EB"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1.61</w:t>
            </w:r>
          </w:p>
        </w:tc>
      </w:tr>
      <w:tr w:rsidR="00B1176D" w:rsidRPr="009F706B" w14:paraId="3A489525"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C2EB171" w14:textId="2CAC4868" w:rsidR="00B1176D" w:rsidRPr="002A632F" w:rsidRDefault="00B1176D">
            <w:pPr>
              <w:rPr>
                <w:b w:val="0"/>
              </w:rPr>
            </w:pPr>
            <w:r w:rsidRPr="003423C2">
              <w:rPr>
                <w:b w:val="0"/>
              </w:rPr>
              <w:t xml:space="preserve">Barwon Water – </w:t>
            </w:r>
            <w:r w:rsidR="009166BD" w:rsidRPr="003423C2">
              <w:rPr>
                <w:b w:val="0"/>
              </w:rPr>
              <w:t>a</w:t>
            </w:r>
            <w:r w:rsidRPr="003423C2">
              <w:rPr>
                <w:b w:val="0"/>
              </w:rPr>
              <w:t>ccess to Melbourne Geelong Pipeline </w:t>
            </w:r>
          </w:p>
        </w:tc>
        <w:tc>
          <w:tcPr>
            <w:tcW w:w="515" w:type="pct"/>
            <w:vAlign w:val="center"/>
            <w:hideMark/>
          </w:tcPr>
          <w:p w14:paraId="7659F7D7" w14:textId="01A31822"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7485F15B" w14:textId="2DB0B785"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518932CF" w14:textId="305E6B8C"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176F07B1" w14:textId="7B4DA245"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1986D8A3" w14:textId="69E1609A"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661" w:type="pct"/>
            <w:vAlign w:val="center"/>
          </w:tcPr>
          <w:p w14:paraId="653195B1"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1.30</w:t>
            </w:r>
          </w:p>
        </w:tc>
      </w:tr>
      <w:tr w:rsidR="00B1176D" w:rsidRPr="009F706B" w14:paraId="6D020828"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D8E9139" w14:textId="77777777" w:rsidR="00B1176D" w:rsidRPr="002A632F" w:rsidRDefault="00B1176D">
            <w:pPr>
              <w:rPr>
                <w:b w:val="0"/>
              </w:rPr>
            </w:pPr>
            <w:r w:rsidRPr="003423C2">
              <w:rPr>
                <w:b w:val="0"/>
              </w:rPr>
              <w:lastRenderedPageBreak/>
              <w:t>Licence fees – Essential Services Commission </w:t>
            </w:r>
          </w:p>
        </w:tc>
        <w:tc>
          <w:tcPr>
            <w:tcW w:w="515" w:type="pct"/>
            <w:vAlign w:val="center"/>
            <w:hideMark/>
          </w:tcPr>
          <w:p w14:paraId="3165F6F3" w14:textId="1F99423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2FBF8771" w14:textId="1C97B769"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61BBD89C" w14:textId="2B85C36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7E71BB59" w14:textId="31B7BEFE"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6C2D4E00" w14:textId="7C9D084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661" w:type="pct"/>
            <w:vAlign w:val="center"/>
          </w:tcPr>
          <w:p w14:paraId="21163BD4"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2.26</w:t>
            </w:r>
          </w:p>
        </w:tc>
      </w:tr>
      <w:tr w:rsidR="00B1176D" w:rsidRPr="009F706B" w14:paraId="3BA0D130"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1FFE610" w14:textId="77777777" w:rsidR="00B1176D" w:rsidRPr="002A632F" w:rsidRDefault="00B1176D">
            <w:pPr>
              <w:rPr>
                <w:b w:val="0"/>
              </w:rPr>
            </w:pPr>
            <w:r w:rsidRPr="003423C2">
              <w:rPr>
                <w:b w:val="0"/>
              </w:rPr>
              <w:t>Licence fees – Department of Health </w:t>
            </w:r>
          </w:p>
        </w:tc>
        <w:tc>
          <w:tcPr>
            <w:tcW w:w="515" w:type="pct"/>
            <w:vAlign w:val="center"/>
            <w:hideMark/>
          </w:tcPr>
          <w:p w14:paraId="5129AD48" w14:textId="657BC92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46E98936" w14:textId="33154C7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0841B63C" w14:textId="6A402817"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5BF8D890" w14:textId="02F7B13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7498F210" w14:textId="6F39C90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661" w:type="pct"/>
            <w:vAlign w:val="center"/>
          </w:tcPr>
          <w:p w14:paraId="2A8B4347"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0.76</w:t>
            </w:r>
          </w:p>
        </w:tc>
      </w:tr>
      <w:tr w:rsidR="00B1176D" w:rsidRPr="009F706B" w14:paraId="4B39E39B"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2385E279" w14:textId="77777777" w:rsidR="00B1176D" w:rsidRPr="002A632F" w:rsidRDefault="00B1176D">
            <w:pPr>
              <w:rPr>
                <w:b w:val="0"/>
              </w:rPr>
            </w:pPr>
            <w:r w:rsidRPr="003423C2">
              <w:rPr>
                <w:b w:val="0"/>
              </w:rPr>
              <w:t>Licence fees – Environment Protection Authority </w:t>
            </w:r>
          </w:p>
        </w:tc>
        <w:tc>
          <w:tcPr>
            <w:tcW w:w="515" w:type="pct"/>
            <w:vAlign w:val="center"/>
            <w:hideMark/>
          </w:tcPr>
          <w:p w14:paraId="624E1319" w14:textId="74367B0B"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683F896F" w14:textId="56AF0DB9"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688861FB" w14:textId="02B377E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5323C149" w14:textId="6FFD755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1DBAE4F7" w14:textId="06A3E89F"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661" w:type="pct"/>
            <w:vAlign w:val="center"/>
          </w:tcPr>
          <w:p w14:paraId="25EE8A3C"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0.54</w:t>
            </w:r>
          </w:p>
        </w:tc>
      </w:tr>
      <w:tr w:rsidR="00B1176D" w:rsidRPr="009F706B" w14:paraId="4161F1FC"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6DD99EA" w14:textId="77777777" w:rsidR="00B1176D" w:rsidRPr="002A632F" w:rsidRDefault="00B1176D">
            <w:pPr>
              <w:rPr>
                <w:b w:val="0"/>
              </w:rPr>
            </w:pPr>
            <w:r w:rsidRPr="003423C2">
              <w:rPr>
                <w:b w:val="0"/>
              </w:rPr>
              <w:t>Environmental Contribution Levy </w:t>
            </w:r>
          </w:p>
        </w:tc>
        <w:tc>
          <w:tcPr>
            <w:tcW w:w="515" w:type="pct"/>
            <w:vAlign w:val="center"/>
            <w:hideMark/>
          </w:tcPr>
          <w:p w14:paraId="7E6648FF" w14:textId="4A73A2D5"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33.91</w:t>
            </w:r>
          </w:p>
        </w:tc>
        <w:tc>
          <w:tcPr>
            <w:tcW w:w="515" w:type="pct"/>
            <w:vAlign w:val="center"/>
            <w:hideMark/>
          </w:tcPr>
          <w:p w14:paraId="350B582C" w14:textId="52738813"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32.77</w:t>
            </w:r>
          </w:p>
        </w:tc>
        <w:tc>
          <w:tcPr>
            <w:tcW w:w="515" w:type="pct"/>
            <w:vAlign w:val="center"/>
            <w:hideMark/>
          </w:tcPr>
          <w:p w14:paraId="0F425B71" w14:textId="43EB2242"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31.66</w:t>
            </w:r>
          </w:p>
        </w:tc>
        <w:tc>
          <w:tcPr>
            <w:tcW w:w="515" w:type="pct"/>
            <w:vAlign w:val="center"/>
            <w:hideMark/>
          </w:tcPr>
          <w:p w14:paraId="7FBAAE27" w14:textId="19F2B898"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30.59</w:t>
            </w:r>
          </w:p>
        </w:tc>
        <w:tc>
          <w:tcPr>
            <w:tcW w:w="515" w:type="pct"/>
            <w:vAlign w:val="center"/>
            <w:hideMark/>
          </w:tcPr>
          <w:p w14:paraId="37B7FF89" w14:textId="17E701EE"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29.55</w:t>
            </w:r>
          </w:p>
        </w:tc>
        <w:tc>
          <w:tcPr>
            <w:tcW w:w="661" w:type="pct"/>
            <w:vAlign w:val="center"/>
          </w:tcPr>
          <w:p w14:paraId="28D2FDDE" w14:textId="3928F54D"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124.56</w:t>
            </w:r>
          </w:p>
        </w:tc>
      </w:tr>
      <w:tr w:rsidR="00B1176D" w:rsidRPr="009F706B" w14:paraId="36F3296E"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658D1D32" w14:textId="77777777" w:rsidR="00B1176D" w:rsidRPr="00347237" w:rsidRDefault="00B1176D">
            <w:r w:rsidRPr="00347237">
              <w:t>Total </w:t>
            </w:r>
          </w:p>
        </w:tc>
        <w:tc>
          <w:tcPr>
            <w:tcW w:w="515" w:type="pct"/>
            <w:vAlign w:val="center"/>
            <w:hideMark/>
          </w:tcPr>
          <w:p w14:paraId="71A60065" w14:textId="7722DB01"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409.41</w:t>
            </w:r>
          </w:p>
        </w:tc>
        <w:tc>
          <w:tcPr>
            <w:tcW w:w="515" w:type="pct"/>
            <w:vAlign w:val="center"/>
            <w:hideMark/>
          </w:tcPr>
          <w:p w14:paraId="086A1EDA" w14:textId="0BCE621E"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410.17</w:t>
            </w:r>
          </w:p>
        </w:tc>
        <w:tc>
          <w:tcPr>
            <w:tcW w:w="515" w:type="pct"/>
            <w:vAlign w:val="center"/>
            <w:hideMark/>
          </w:tcPr>
          <w:p w14:paraId="6A2E43EB" w14:textId="413958E1"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411.65</w:t>
            </w:r>
          </w:p>
        </w:tc>
        <w:tc>
          <w:tcPr>
            <w:tcW w:w="515" w:type="pct"/>
            <w:vAlign w:val="center"/>
            <w:hideMark/>
          </w:tcPr>
          <w:p w14:paraId="0BF08D74" w14:textId="76B961B6"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w:t>
            </w:r>
            <w:r w:rsidR="00347237" w:rsidRPr="002A632F">
              <w:rPr>
                <w:b/>
              </w:rPr>
              <w:t>16</w:t>
            </w:r>
          </w:p>
        </w:tc>
        <w:tc>
          <w:tcPr>
            <w:tcW w:w="515" w:type="pct"/>
            <w:vAlign w:val="center"/>
            <w:hideMark/>
          </w:tcPr>
          <w:p w14:paraId="266F5104" w14:textId="2C677DC3"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411.80</w:t>
            </w:r>
          </w:p>
        </w:tc>
        <w:tc>
          <w:tcPr>
            <w:tcW w:w="661" w:type="pct"/>
            <w:vAlign w:val="center"/>
          </w:tcPr>
          <w:p w14:paraId="1783D0EF" w14:textId="1B56A59D"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1,644.</w:t>
            </w:r>
            <w:r w:rsidR="00347237" w:rsidRPr="002A632F">
              <w:rPr>
                <w:b/>
              </w:rPr>
              <w:t>78</w:t>
            </w:r>
          </w:p>
        </w:tc>
      </w:tr>
    </w:tbl>
    <w:p w14:paraId="3F353C21" w14:textId="2EEB6EB2" w:rsidR="00FD7D5F" w:rsidRDefault="00FD7D5F" w:rsidP="00FD7D5F"/>
    <w:p w14:paraId="78509E91" w14:textId="77777777" w:rsidR="00714A89" w:rsidRPr="00736243" w:rsidRDefault="00F17C22" w:rsidP="002E3D99">
      <w:pPr>
        <w:pStyle w:val="Heading4"/>
      </w:pPr>
      <w:r w:rsidRPr="00F17C22">
        <w:t>Melbourne Water bulk charges</w:t>
      </w:r>
    </w:p>
    <w:p w14:paraId="47E0260C" w14:textId="77777777" w:rsidR="00FD3D87" w:rsidRDefault="00FD3D87" w:rsidP="00FD3D87">
      <w:r>
        <w:t>G</w:t>
      </w:r>
      <w:r w:rsidR="00FC4627">
        <w:t>WW</w:t>
      </w:r>
      <w:r>
        <w:t xml:space="preserve"> pays bulk charges to Melbourne Water for treatment and transport of water and sewage. This is our largest single operating expenditure cost, accounting for 60</w:t>
      </w:r>
      <w:r w:rsidR="00880C6F">
        <w:t>%</w:t>
      </w:r>
      <w:r>
        <w:t xml:space="preserve"> of total operating expenditure. Melbourne Water has provided </w:t>
      </w:r>
      <w:r w:rsidR="001545C7">
        <w:t>us</w:t>
      </w:r>
      <w:r>
        <w:t xml:space="preserve"> with a forecast of prices for the 2024-28 regulatory period. </w:t>
      </w:r>
    </w:p>
    <w:p w14:paraId="7D20807C" w14:textId="77777777" w:rsidR="00F17C22" w:rsidRDefault="00FD3D87" w:rsidP="00FD3D87">
      <w:r>
        <w:t>G</w:t>
      </w:r>
      <w:r w:rsidR="00DB1275">
        <w:t>WW</w:t>
      </w:r>
      <w:r>
        <w:t xml:space="preserve"> also pays Melbourne Water for the supply of Class A recycled water. This water is further treated at the West Werribee Salt Reduction Plant to lower its salt content.</w:t>
      </w:r>
    </w:p>
    <w:p w14:paraId="62EE04FD" w14:textId="77777777" w:rsidR="008734B3" w:rsidRPr="00736243" w:rsidRDefault="00480539" w:rsidP="00714A89">
      <w:r w:rsidRPr="00480539">
        <w:t>These costs are forecast to grow in line with G</w:t>
      </w:r>
      <w:r w:rsidR="00DB1275">
        <w:t>WW</w:t>
      </w:r>
      <w:r w:rsidRPr="00480539">
        <w:t>’s demand for bulk services and, in the case of water and sewage, in line with the price paths set out in M</w:t>
      </w:r>
      <w:r w:rsidR="00837F6F">
        <w:t xml:space="preserve">elbourne </w:t>
      </w:r>
      <w:r w:rsidRPr="00480539">
        <w:t>W</w:t>
      </w:r>
      <w:r w:rsidR="00837F6F">
        <w:t>ater</w:t>
      </w:r>
      <w:r w:rsidRPr="00480539">
        <w:t xml:space="preserve">’s 2021 determination, with stable prices assumed thereafter. </w:t>
      </w:r>
      <w:r w:rsidR="001545C7">
        <w:t>We have</w:t>
      </w:r>
      <w:r w:rsidRPr="00480539">
        <w:t xml:space="preserve"> assumed that current negotiated rates for bulk recycled water will remain stable.</w:t>
      </w:r>
    </w:p>
    <w:p w14:paraId="60424622" w14:textId="77777777" w:rsidR="00FD3D87" w:rsidRDefault="00FE7034" w:rsidP="002E3D99">
      <w:pPr>
        <w:pStyle w:val="Heading4"/>
      </w:pPr>
      <w:r w:rsidRPr="00FE7034">
        <w:t xml:space="preserve">Southern Rural Water </w:t>
      </w:r>
      <w:r w:rsidR="00C55EDC">
        <w:t>b</w:t>
      </w:r>
      <w:r w:rsidRPr="00FE7034">
        <w:t xml:space="preserve">ulk </w:t>
      </w:r>
      <w:r w:rsidR="00C55EDC">
        <w:t>w</w:t>
      </w:r>
      <w:r w:rsidRPr="00FE7034">
        <w:t>ater charges</w:t>
      </w:r>
    </w:p>
    <w:p w14:paraId="69897997" w14:textId="77777777" w:rsidR="00FE7034" w:rsidRPr="00736243" w:rsidRDefault="001A2580" w:rsidP="00FD3D87">
      <w:r w:rsidRPr="001A2580">
        <w:t>G</w:t>
      </w:r>
      <w:r w:rsidR="00C55EDC">
        <w:t>WW</w:t>
      </w:r>
      <w:r w:rsidRPr="001A2580">
        <w:t xml:space="preserve"> sources raw water from storages owned and operated by Southern Rural Water. We pay an annual fixed fee regardless of the volume of water drawn. Southern Rural Water provided us with a forecast annual fixed fee from its 2023 </w:t>
      </w:r>
      <w:r w:rsidR="00C55EDC">
        <w:t>p</w:t>
      </w:r>
      <w:r w:rsidRPr="001A2580">
        <w:t xml:space="preserve">rice </w:t>
      </w:r>
      <w:r w:rsidR="00C55EDC">
        <w:t>d</w:t>
      </w:r>
      <w:r w:rsidRPr="001A2580">
        <w:t>etermination.</w:t>
      </w:r>
    </w:p>
    <w:p w14:paraId="5A0A7DA1" w14:textId="6831EFC9" w:rsidR="001A2580" w:rsidRDefault="00640727" w:rsidP="002E3D99">
      <w:pPr>
        <w:pStyle w:val="Heading4"/>
      </w:pPr>
      <w:r w:rsidRPr="00640727">
        <w:t>G</w:t>
      </w:r>
      <w:r w:rsidR="00C55EDC">
        <w:t>oulburn-</w:t>
      </w:r>
      <w:r w:rsidRPr="00640727">
        <w:t>M</w:t>
      </w:r>
      <w:r w:rsidR="00C55EDC">
        <w:t xml:space="preserve">urray </w:t>
      </w:r>
      <w:r w:rsidRPr="00640727">
        <w:t>W</w:t>
      </w:r>
      <w:r w:rsidR="00C55EDC">
        <w:t>ater</w:t>
      </w:r>
      <w:r w:rsidRPr="00640727">
        <w:t xml:space="preserve"> </w:t>
      </w:r>
      <w:r w:rsidR="009166BD">
        <w:t>b</w:t>
      </w:r>
      <w:r w:rsidR="009166BD" w:rsidRPr="00640727">
        <w:t xml:space="preserve">ulk </w:t>
      </w:r>
      <w:r w:rsidRPr="00640727">
        <w:t>water charges</w:t>
      </w:r>
    </w:p>
    <w:p w14:paraId="5F827948" w14:textId="77777777" w:rsidR="009844D3" w:rsidRDefault="009844D3" w:rsidP="009844D3">
      <w:r>
        <w:t>G</w:t>
      </w:r>
      <w:r w:rsidR="001545C7">
        <w:t>WW</w:t>
      </w:r>
      <w:r>
        <w:t xml:space="preserve"> has a total of 30.5 GL of entitlements within the Murray and Goulburn </w:t>
      </w:r>
      <w:r w:rsidR="001545C7">
        <w:t>s</w:t>
      </w:r>
      <w:r>
        <w:t xml:space="preserve">ystems. We will continue </w:t>
      </w:r>
      <w:r w:rsidR="001545C7">
        <w:t xml:space="preserve">to </w:t>
      </w:r>
      <w:r>
        <w:t xml:space="preserve">pay bulk entitlement storage fees to Goulburn-Murray Water during the next regulatory period. As Goulburn-Murray Water’s price review is running concurrently to ours, we have based our forecast on data provided to us on </w:t>
      </w:r>
      <w:r w:rsidR="006A7AD8">
        <w:t>18 July 2023</w:t>
      </w:r>
      <w:r>
        <w:t xml:space="preserve">. </w:t>
      </w:r>
    </w:p>
    <w:p w14:paraId="2B73994C" w14:textId="77777777" w:rsidR="00640727" w:rsidRPr="00736243" w:rsidRDefault="009844D3" w:rsidP="00FD3D87">
      <w:r>
        <w:t>Prior to the final determination, we will work with the Goulburn-Murray Water and the ESC to finalise this forecast.</w:t>
      </w:r>
    </w:p>
    <w:p w14:paraId="0CCCBFCB" w14:textId="77777777" w:rsidR="009844D3" w:rsidRDefault="00273666" w:rsidP="002E3D99">
      <w:pPr>
        <w:pStyle w:val="Heading4"/>
      </w:pPr>
      <w:r w:rsidRPr="00273666">
        <w:lastRenderedPageBreak/>
        <w:t>Access to Melbourne Geelong Pipeline</w:t>
      </w:r>
    </w:p>
    <w:p w14:paraId="25E697A7" w14:textId="06234486" w:rsidR="00273666" w:rsidRPr="00736243" w:rsidRDefault="00602B9C" w:rsidP="009844D3">
      <w:r w:rsidRPr="00602B9C">
        <w:t>G</w:t>
      </w:r>
      <w:r w:rsidR="001545C7">
        <w:t>WW</w:t>
      </w:r>
      <w:r w:rsidRPr="00602B9C">
        <w:t xml:space="preserve"> </w:t>
      </w:r>
      <w:proofErr w:type="gramStart"/>
      <w:r w:rsidRPr="00602B9C">
        <w:t>entered into</w:t>
      </w:r>
      <w:proofErr w:type="gramEnd"/>
      <w:r w:rsidRPr="00602B9C">
        <w:t xml:space="preserve"> an access arrangement with Barwon Water to u</w:t>
      </w:r>
      <w:r w:rsidR="001545C7">
        <w:t>s</w:t>
      </w:r>
      <w:r w:rsidRPr="00602B9C">
        <w:t>e the Melbourne Geelong Pipeline. This pipeline has been important to ensure reliability of water in the south-western part of our network.</w:t>
      </w:r>
    </w:p>
    <w:p w14:paraId="1A54B165" w14:textId="77777777" w:rsidR="00602B9C" w:rsidRDefault="00AC705F" w:rsidP="002E3D99">
      <w:pPr>
        <w:pStyle w:val="Heading4"/>
      </w:pPr>
      <w:r w:rsidRPr="00AC705F">
        <w:t>Licence fees</w:t>
      </w:r>
    </w:p>
    <w:p w14:paraId="3E262D5C" w14:textId="77777777" w:rsidR="00824A2E" w:rsidRDefault="00824A2E" w:rsidP="00824A2E">
      <w:r>
        <w:t xml:space="preserve">We pay licence fees to three government agencies as part of our operating licence. These are paid to Department of Human Services (Drinking Water), Environment Protection Authority (EPA Licence), and Essential Services Commission (ESC licence). These are based on the costs incurred in 2022-23 and </w:t>
      </w:r>
      <w:r w:rsidR="0058114C">
        <w:t xml:space="preserve">are </w:t>
      </w:r>
      <w:r>
        <w:t>consistent with the financial template.</w:t>
      </w:r>
    </w:p>
    <w:p w14:paraId="59A6E8B4" w14:textId="77777777" w:rsidR="00AC705F" w:rsidRPr="00736243" w:rsidRDefault="00824A2E" w:rsidP="009844D3">
      <w:r>
        <w:t xml:space="preserve">We allocate </w:t>
      </w:r>
      <w:r w:rsidR="0058114C">
        <w:t>d</w:t>
      </w:r>
      <w:r>
        <w:t xml:space="preserve">rinking </w:t>
      </w:r>
      <w:r w:rsidR="0058114C">
        <w:t>w</w:t>
      </w:r>
      <w:r>
        <w:t>ater to our water costs, EPA licence to sewerage and recycled water, and the ESC licence fee is across all products.</w:t>
      </w:r>
    </w:p>
    <w:p w14:paraId="733A29C3" w14:textId="77777777" w:rsidR="000D517E" w:rsidRDefault="00442271" w:rsidP="002E3D99">
      <w:pPr>
        <w:pStyle w:val="Heading4"/>
      </w:pPr>
      <w:r w:rsidRPr="00442271">
        <w:t xml:space="preserve">Environmental </w:t>
      </w:r>
      <w:r w:rsidR="002B7D8B">
        <w:t>C</w:t>
      </w:r>
      <w:r w:rsidRPr="00442271">
        <w:t xml:space="preserve">ontribution </w:t>
      </w:r>
      <w:r w:rsidR="002B7D8B">
        <w:t>L</w:t>
      </w:r>
      <w:r w:rsidRPr="00442271">
        <w:t>evy</w:t>
      </w:r>
    </w:p>
    <w:p w14:paraId="19611F05" w14:textId="529C8149" w:rsidR="00442271" w:rsidRDefault="00454D2B" w:rsidP="00824A2E">
      <w:r w:rsidRPr="00454D2B">
        <w:t>G</w:t>
      </w:r>
      <w:r w:rsidR="0058114C">
        <w:t xml:space="preserve">WW </w:t>
      </w:r>
      <w:r w:rsidRPr="00454D2B">
        <w:t>pays the Environmental Contribution Levy t</w:t>
      </w:r>
      <w:r w:rsidR="00213D85">
        <w:t>o</w:t>
      </w:r>
      <w:r w:rsidRPr="00454D2B">
        <w:t xml:space="preserve"> </w:t>
      </w:r>
      <w:r w:rsidR="00265923">
        <w:t>DEECA</w:t>
      </w:r>
      <w:r w:rsidRPr="00454D2B">
        <w:t>. This is a nominal cost of $3</w:t>
      </w:r>
      <w:r w:rsidR="00BB3407">
        <w:t>4</w:t>
      </w:r>
      <w:r w:rsidRPr="00454D2B">
        <w:t xml:space="preserve"> million per year and has been deflated by the inflation assumptions in our financial template. These are based on the costs incurred in 2022-23 and </w:t>
      </w:r>
      <w:r w:rsidR="00AB20E6">
        <w:t>are</w:t>
      </w:r>
      <w:r w:rsidRPr="00454D2B">
        <w:t xml:space="preserve"> consistent with the financial template.</w:t>
      </w:r>
    </w:p>
    <w:p w14:paraId="3DEFBBFD" w14:textId="77777777" w:rsidR="00454D2B" w:rsidRDefault="00F07FC6" w:rsidP="005B69CD">
      <w:pPr>
        <w:pStyle w:val="Heading3"/>
      </w:pPr>
      <w:r>
        <w:t>Total operating expenditure</w:t>
      </w:r>
    </w:p>
    <w:p w14:paraId="310BA317" w14:textId="586A663A" w:rsidR="00F07FC6" w:rsidRDefault="00173B6C" w:rsidP="00824A2E">
      <w:r>
        <w:t>Annual</w:t>
      </w:r>
      <w:r w:rsidR="00C86F36">
        <w:t xml:space="preserve"> controllable operating expenditure for the regulatory period </w:t>
      </w:r>
      <w:r>
        <w:t xml:space="preserve">will increase from </w:t>
      </w:r>
      <w:r w:rsidR="00B15462">
        <w:t>$</w:t>
      </w:r>
      <w:r>
        <w:t xml:space="preserve">218.18 million in 2024-25 to </w:t>
      </w:r>
      <w:r w:rsidR="00B15462">
        <w:t xml:space="preserve">$220.42 in 2027-28, with a total </w:t>
      </w:r>
      <w:r w:rsidR="00CF6DAB">
        <w:t xml:space="preserve">operating expenditure for the </w:t>
      </w:r>
      <w:proofErr w:type="gramStart"/>
      <w:r w:rsidR="00CF6DAB">
        <w:t>four year</w:t>
      </w:r>
      <w:proofErr w:type="gramEnd"/>
      <w:r w:rsidR="00CF6DAB">
        <w:t xml:space="preserve"> regulatory period of $876.12 million. </w:t>
      </w:r>
      <w:r w:rsidR="001668D0">
        <w:t xml:space="preserve">Total </w:t>
      </w:r>
      <w:r w:rsidR="00C43B80">
        <w:t>n</w:t>
      </w:r>
      <w:r w:rsidR="001668D0">
        <w:t xml:space="preserve">on-controllable operating expenditure for the </w:t>
      </w:r>
      <w:proofErr w:type="gramStart"/>
      <w:r w:rsidR="001668D0">
        <w:t>four year</w:t>
      </w:r>
      <w:proofErr w:type="gramEnd"/>
      <w:r w:rsidR="001668D0">
        <w:t xml:space="preserve"> </w:t>
      </w:r>
      <w:r w:rsidR="00161407">
        <w:t xml:space="preserve">regulatory </w:t>
      </w:r>
      <w:r w:rsidR="001668D0">
        <w:t>period is $1</w:t>
      </w:r>
      <w:r w:rsidR="00DB5181">
        <w:t xml:space="preserve">,644.78 million, resulting in a total controllable operating expenditure </w:t>
      </w:r>
      <w:r w:rsidR="00161407">
        <w:t>of $2,520.90</w:t>
      </w:r>
      <w:r w:rsidR="00D716EB">
        <w:t xml:space="preserve"> over the regulatory period.</w:t>
      </w:r>
      <w:r w:rsidR="00161407">
        <w:t xml:space="preserve"> </w:t>
      </w:r>
      <w:r w:rsidR="00FD5698" w:rsidRPr="00FD027D">
        <w:t xml:space="preserve">The </w:t>
      </w:r>
      <w:r w:rsidR="00D716EB">
        <w:t>year</w:t>
      </w:r>
      <w:r w:rsidR="002B27C0">
        <w:t>-</w:t>
      </w:r>
      <w:r w:rsidR="00D716EB">
        <w:t>by</w:t>
      </w:r>
      <w:r w:rsidR="002B27C0">
        <w:t>-</w:t>
      </w:r>
      <w:r w:rsidR="00D716EB">
        <w:t xml:space="preserve">year breakdown of </w:t>
      </w:r>
      <w:r w:rsidR="00FD5698" w:rsidRPr="00FD027D">
        <w:t xml:space="preserve">operating expenditure for the regulatory period is </w:t>
      </w:r>
      <w:r w:rsidR="00392468">
        <w:t xml:space="preserve">outlined </w:t>
      </w:r>
      <w:r w:rsidR="00FD5698" w:rsidRPr="00FD027D">
        <w:t>in</w:t>
      </w:r>
      <w:r w:rsidR="00017A7B">
        <w:t xml:space="preserve"> </w:t>
      </w:r>
      <w:r w:rsidR="00102CA3">
        <w:fldChar w:fldCharType="begin"/>
      </w:r>
      <w:r w:rsidR="00102CA3">
        <w:instrText xml:space="preserve"> REF _Ref145273199 \h </w:instrText>
      </w:r>
      <w:r w:rsidR="00102CA3">
        <w:fldChar w:fldCharType="separate"/>
      </w:r>
      <w:r w:rsidR="003B42C6" w:rsidRPr="000C4D16">
        <w:rPr>
          <w:b/>
        </w:rPr>
        <w:t xml:space="preserve">Table </w:t>
      </w:r>
      <w:r w:rsidR="003B42C6">
        <w:rPr>
          <w:b/>
          <w:noProof/>
        </w:rPr>
        <w:t>28</w:t>
      </w:r>
      <w:r w:rsidR="00102CA3">
        <w:fldChar w:fldCharType="end"/>
      </w:r>
      <w:r w:rsidR="00A5114C">
        <w:t>.</w:t>
      </w:r>
    </w:p>
    <w:p w14:paraId="27A0FEBB" w14:textId="4326D44F" w:rsidR="006D26C5" w:rsidRDefault="006D26C5" w:rsidP="006D26C5">
      <w:pPr>
        <w:pStyle w:val="Caption"/>
      </w:pPr>
      <w:bookmarkStart w:id="140" w:name="_Ref145273199"/>
      <w:r w:rsidRPr="000C4D16">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28</w:t>
      </w:r>
      <w:r w:rsidRPr="00205D4D">
        <w:rPr>
          <w:b/>
        </w:rPr>
        <w:fldChar w:fldCharType="end"/>
      </w:r>
      <w:bookmarkEnd w:id="140"/>
      <w:r>
        <w:t xml:space="preserve"> </w:t>
      </w:r>
      <w:r w:rsidR="00FC74CC">
        <w:t>Total o</w:t>
      </w:r>
      <w:r w:rsidRPr="00E84764">
        <w:t>pe</w:t>
      </w:r>
      <w:r w:rsidR="00FC74CC">
        <w:t>rating expenditure</w:t>
      </w:r>
      <w:r w:rsidRPr="00E84764">
        <w:t xml:space="preserve"> forecast ($million, 2023-24)</w:t>
      </w:r>
    </w:p>
    <w:tbl>
      <w:tblPr>
        <w:tblStyle w:val="GWWDefaulttable"/>
        <w:tblW w:w="0" w:type="auto"/>
        <w:tblLayout w:type="fixed"/>
        <w:tblLook w:val="04A0" w:firstRow="1" w:lastRow="0" w:firstColumn="1" w:lastColumn="0" w:noHBand="0" w:noVBand="1"/>
      </w:tblPr>
      <w:tblGrid>
        <w:gridCol w:w="2127"/>
        <w:gridCol w:w="1251"/>
        <w:gridCol w:w="1252"/>
        <w:gridCol w:w="1252"/>
        <w:gridCol w:w="1252"/>
        <w:gridCol w:w="1252"/>
        <w:gridCol w:w="1252"/>
      </w:tblGrid>
      <w:tr w:rsidR="00E125F9" w:rsidRPr="006C12BA" w14:paraId="6D72C7E4" w14:textId="77777777" w:rsidTr="000C4D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5D55F32" w14:textId="77777777" w:rsidR="00E125F9" w:rsidRPr="006C12BA" w:rsidRDefault="00E125F9" w:rsidP="000C4D16">
            <w:pPr>
              <w:jc w:val="right"/>
            </w:pPr>
          </w:p>
        </w:tc>
        <w:tc>
          <w:tcPr>
            <w:tcW w:w="1251" w:type="dxa"/>
            <w:vAlign w:val="center"/>
          </w:tcPr>
          <w:p w14:paraId="35B1BA2F"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2023-24</w:t>
            </w:r>
          </w:p>
        </w:tc>
        <w:tc>
          <w:tcPr>
            <w:tcW w:w="1252" w:type="dxa"/>
            <w:vAlign w:val="center"/>
          </w:tcPr>
          <w:p w14:paraId="7E407FAD"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1252" w:type="dxa"/>
            <w:vAlign w:val="center"/>
          </w:tcPr>
          <w:p w14:paraId="0B6F118D"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1252" w:type="dxa"/>
            <w:vAlign w:val="center"/>
          </w:tcPr>
          <w:p w14:paraId="3F0111E2"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1252" w:type="dxa"/>
            <w:vAlign w:val="center"/>
          </w:tcPr>
          <w:p w14:paraId="2717E5C4"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1252" w:type="dxa"/>
            <w:vAlign w:val="center"/>
          </w:tcPr>
          <w:p w14:paraId="5AD661CC" w14:textId="375A805E"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 xml:space="preserve">Total </w:t>
            </w:r>
            <w:r w:rsidR="002A4937" w:rsidRPr="006C12BA">
              <w:br/>
            </w:r>
            <w:r w:rsidRPr="006C12BA">
              <w:t>(4</w:t>
            </w:r>
            <w:r w:rsidR="00205D4D">
              <w:t xml:space="preserve"> </w:t>
            </w:r>
            <w:r w:rsidRPr="006C12BA">
              <w:t>years)</w:t>
            </w:r>
          </w:p>
        </w:tc>
      </w:tr>
      <w:tr w:rsidR="00E125F9" w:rsidRPr="006C12BA" w14:paraId="742287E7"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676B6E89" w14:textId="77777777" w:rsidR="00E125F9" w:rsidRPr="002A632F" w:rsidRDefault="00E125F9" w:rsidP="006C12BA">
            <w:pPr>
              <w:rPr>
                <w:b w:val="0"/>
              </w:rPr>
            </w:pPr>
            <w:r w:rsidRPr="000C4D16">
              <w:rPr>
                <w:b w:val="0"/>
              </w:rPr>
              <w:t>Controllable</w:t>
            </w:r>
          </w:p>
        </w:tc>
        <w:tc>
          <w:tcPr>
            <w:tcW w:w="1251" w:type="dxa"/>
          </w:tcPr>
          <w:p w14:paraId="1F7C6F97" w14:textId="71732675" w:rsidR="00E125F9" w:rsidRPr="006C12BA" w:rsidRDefault="00E125F9" w:rsidP="002A632F">
            <w:pPr>
              <w:jc w:val="right"/>
              <w:cnfStyle w:val="000000000000" w:firstRow="0" w:lastRow="0" w:firstColumn="0" w:lastColumn="0" w:oddVBand="0" w:evenVBand="0" w:oddHBand="0" w:evenHBand="0" w:firstRowFirstColumn="0" w:firstRowLastColumn="0" w:lastRowFirstColumn="0" w:lastRowLastColumn="0"/>
            </w:pPr>
            <w:r w:rsidRPr="00EB0513">
              <w:t>216.</w:t>
            </w:r>
            <w:r w:rsidR="009536F9" w:rsidRPr="00EB0513">
              <w:t>81</w:t>
            </w:r>
          </w:p>
        </w:tc>
        <w:tc>
          <w:tcPr>
            <w:tcW w:w="1252" w:type="dxa"/>
          </w:tcPr>
          <w:p w14:paraId="03D1A3F7" w14:textId="6E67899B"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218.18</w:t>
            </w:r>
          </w:p>
        </w:tc>
        <w:tc>
          <w:tcPr>
            <w:tcW w:w="1252" w:type="dxa"/>
          </w:tcPr>
          <w:p w14:paraId="1C8BDF5F" w14:textId="29786E69"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218.52</w:t>
            </w:r>
          </w:p>
        </w:tc>
        <w:tc>
          <w:tcPr>
            <w:tcW w:w="1252" w:type="dxa"/>
          </w:tcPr>
          <w:p w14:paraId="3D051288" w14:textId="3CB0BD25"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219.00</w:t>
            </w:r>
          </w:p>
        </w:tc>
        <w:tc>
          <w:tcPr>
            <w:tcW w:w="1252" w:type="dxa"/>
          </w:tcPr>
          <w:p w14:paraId="06A4CF24" w14:textId="4D9F3988"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220.42</w:t>
            </w:r>
          </w:p>
        </w:tc>
        <w:tc>
          <w:tcPr>
            <w:tcW w:w="1252" w:type="dxa"/>
          </w:tcPr>
          <w:p w14:paraId="7BAB427C" w14:textId="6AD294C1"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876.12</w:t>
            </w:r>
          </w:p>
        </w:tc>
      </w:tr>
      <w:tr w:rsidR="00E125F9" w:rsidRPr="006C12BA" w14:paraId="6F806AD6"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6BC4A8AB" w14:textId="77777777" w:rsidR="00E125F9" w:rsidRPr="002A632F" w:rsidRDefault="00E125F9" w:rsidP="006C12BA">
            <w:pPr>
              <w:rPr>
                <w:b w:val="0"/>
              </w:rPr>
            </w:pPr>
            <w:r w:rsidRPr="000C4D16">
              <w:rPr>
                <w:b w:val="0"/>
              </w:rPr>
              <w:t>Non-controllable</w:t>
            </w:r>
          </w:p>
        </w:tc>
        <w:tc>
          <w:tcPr>
            <w:tcW w:w="1251" w:type="dxa"/>
          </w:tcPr>
          <w:p w14:paraId="72879CC8" w14:textId="73E7B154"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409.41</w:t>
            </w:r>
          </w:p>
        </w:tc>
        <w:tc>
          <w:tcPr>
            <w:tcW w:w="1252" w:type="dxa"/>
          </w:tcPr>
          <w:p w14:paraId="57969DD0" w14:textId="5918EC03"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410.17</w:t>
            </w:r>
          </w:p>
        </w:tc>
        <w:tc>
          <w:tcPr>
            <w:tcW w:w="1252" w:type="dxa"/>
          </w:tcPr>
          <w:p w14:paraId="483129D3" w14:textId="58A9F228"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411.65</w:t>
            </w:r>
          </w:p>
        </w:tc>
        <w:tc>
          <w:tcPr>
            <w:tcW w:w="1252" w:type="dxa"/>
          </w:tcPr>
          <w:p w14:paraId="211E67C2" w14:textId="606FE46E"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411.16</w:t>
            </w:r>
          </w:p>
        </w:tc>
        <w:tc>
          <w:tcPr>
            <w:tcW w:w="1252" w:type="dxa"/>
          </w:tcPr>
          <w:p w14:paraId="267F4ABB" w14:textId="43A45556"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411.80</w:t>
            </w:r>
          </w:p>
        </w:tc>
        <w:tc>
          <w:tcPr>
            <w:tcW w:w="1252" w:type="dxa"/>
          </w:tcPr>
          <w:p w14:paraId="7C62A5D2" w14:textId="1F143F3E" w:rsidR="00E125F9" w:rsidRPr="002A632F" w:rsidRDefault="007C4D3C"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1,644.78</w:t>
            </w:r>
          </w:p>
        </w:tc>
      </w:tr>
      <w:tr w:rsidR="00E125F9" w:rsidRPr="006C12BA" w14:paraId="2ED6D5E3"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2C8F9632" w14:textId="77777777" w:rsidR="00E125F9" w:rsidRPr="006C12BA" w:rsidRDefault="00E125F9" w:rsidP="006C12BA">
            <w:r w:rsidRPr="006C12BA">
              <w:t>Total</w:t>
            </w:r>
          </w:p>
        </w:tc>
        <w:tc>
          <w:tcPr>
            <w:tcW w:w="1251" w:type="dxa"/>
          </w:tcPr>
          <w:p w14:paraId="1B81B8C9" w14:textId="139906F9" w:rsidR="00E125F9" w:rsidRPr="002A632F" w:rsidRDefault="007C4D3C"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626.</w:t>
            </w:r>
            <w:r w:rsidR="009536F9" w:rsidRPr="002A632F">
              <w:rPr>
                <w:b/>
              </w:rPr>
              <w:t>21</w:t>
            </w:r>
          </w:p>
        </w:tc>
        <w:tc>
          <w:tcPr>
            <w:tcW w:w="1252" w:type="dxa"/>
          </w:tcPr>
          <w:p w14:paraId="5A9AA879" w14:textId="3F6FCEDA"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628.35</w:t>
            </w:r>
          </w:p>
        </w:tc>
        <w:tc>
          <w:tcPr>
            <w:tcW w:w="1252" w:type="dxa"/>
          </w:tcPr>
          <w:p w14:paraId="7A3DFF4C" w14:textId="450F5E27"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630.17</w:t>
            </w:r>
          </w:p>
        </w:tc>
        <w:tc>
          <w:tcPr>
            <w:tcW w:w="1252" w:type="dxa"/>
          </w:tcPr>
          <w:p w14:paraId="3778028B" w14:textId="6B1C5200"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630.16</w:t>
            </w:r>
          </w:p>
        </w:tc>
        <w:tc>
          <w:tcPr>
            <w:tcW w:w="1252" w:type="dxa"/>
          </w:tcPr>
          <w:p w14:paraId="120652C2" w14:textId="08C2AA9D"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632.22</w:t>
            </w:r>
          </w:p>
        </w:tc>
        <w:tc>
          <w:tcPr>
            <w:tcW w:w="1252" w:type="dxa"/>
          </w:tcPr>
          <w:p w14:paraId="17A1A22A" w14:textId="447BB391"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2,520.90</w:t>
            </w:r>
          </w:p>
        </w:tc>
      </w:tr>
    </w:tbl>
    <w:p w14:paraId="35B70384" w14:textId="77777777" w:rsidR="00EC01A7" w:rsidRDefault="00EC01A7" w:rsidP="0008266F">
      <w:bookmarkStart w:id="141" w:name="_Ref145923126"/>
      <w:bookmarkStart w:id="142" w:name="_Toc146004868"/>
      <w:bookmarkStart w:id="143" w:name="_Toc146004756"/>
    </w:p>
    <w:p w14:paraId="409D2738" w14:textId="52C16164" w:rsidR="0008266F" w:rsidRPr="00FB40BA" w:rsidRDefault="0008266F" w:rsidP="0008266F">
      <w:pPr>
        <w:pStyle w:val="BoxedQuote"/>
        <w:rPr>
          <w:b/>
          <w:bCs/>
        </w:rPr>
      </w:pPr>
      <w:r w:rsidRPr="00FB40BA">
        <w:rPr>
          <w:b/>
          <w:bCs/>
        </w:rPr>
        <w:t xml:space="preserve">Supporting documents for </w:t>
      </w:r>
      <w:r>
        <w:rPr>
          <w:b/>
          <w:bCs/>
        </w:rPr>
        <w:t>operating expenditure</w:t>
      </w:r>
      <w:r w:rsidRPr="00FB40BA">
        <w:rPr>
          <w:b/>
          <w:bCs/>
        </w:rPr>
        <w:t xml:space="preserve">: </w:t>
      </w:r>
    </w:p>
    <w:p w14:paraId="38EA8EC6" w14:textId="77777777" w:rsidR="006B6F76" w:rsidRDefault="006B6F76" w:rsidP="006B6F76">
      <w:pPr>
        <w:pStyle w:val="BoxedBullet"/>
      </w:pPr>
      <w:r w:rsidRPr="006B6F76">
        <w:t xml:space="preserve">Energy </w:t>
      </w:r>
      <w:proofErr w:type="spellStart"/>
      <w:r w:rsidRPr="006B6F76">
        <w:t>Forecast_Expenditure_September</w:t>
      </w:r>
      <w:proofErr w:type="spellEnd"/>
    </w:p>
    <w:p w14:paraId="7B044352" w14:textId="77777777" w:rsidR="006B6F76" w:rsidRDefault="006B6F76" w:rsidP="006B6F76">
      <w:pPr>
        <w:pStyle w:val="BoxedBullet"/>
      </w:pPr>
      <w:r>
        <w:t xml:space="preserve">Step </w:t>
      </w:r>
      <w:proofErr w:type="spellStart"/>
      <w:r>
        <w:t>Change_Security</w:t>
      </w:r>
      <w:proofErr w:type="spellEnd"/>
      <w:r>
        <w:t xml:space="preserve"> of Critical </w:t>
      </w:r>
      <w:proofErr w:type="spellStart"/>
      <w:r>
        <w:t>Infrastructure_Expenditure_September</w:t>
      </w:r>
      <w:proofErr w:type="spellEnd"/>
    </w:p>
    <w:p w14:paraId="6D979B5F" w14:textId="77777777" w:rsidR="006B6F76" w:rsidRDefault="006B6F76" w:rsidP="006B6F76">
      <w:pPr>
        <w:pStyle w:val="BoxedBullet"/>
      </w:pPr>
      <w:r>
        <w:t xml:space="preserve">Step </w:t>
      </w:r>
      <w:proofErr w:type="spellStart"/>
      <w:r>
        <w:t>Change_Traditional</w:t>
      </w:r>
      <w:proofErr w:type="spellEnd"/>
      <w:r>
        <w:t xml:space="preserve"> </w:t>
      </w:r>
      <w:proofErr w:type="spellStart"/>
      <w:r>
        <w:t>Owner_Expenditure_September</w:t>
      </w:r>
      <w:proofErr w:type="spellEnd"/>
    </w:p>
    <w:p w14:paraId="210F1A29" w14:textId="654CFD70" w:rsidR="006B6F76" w:rsidRPr="006B6F76" w:rsidRDefault="006B6F76" w:rsidP="006B6F76">
      <w:pPr>
        <w:pStyle w:val="BoxedBullet"/>
      </w:pPr>
      <w:r>
        <w:lastRenderedPageBreak/>
        <w:t xml:space="preserve">OPEX Step </w:t>
      </w:r>
      <w:proofErr w:type="spellStart"/>
      <w:r>
        <w:t>Changes_Expenditure_September</w:t>
      </w:r>
      <w:proofErr w:type="spellEnd"/>
      <w:r>
        <w:t xml:space="preserve"> (MS Excel) </w:t>
      </w:r>
    </w:p>
    <w:p w14:paraId="7B521BBF" w14:textId="1A38F834" w:rsidR="0030569D" w:rsidRPr="007D3A07" w:rsidRDefault="00A32BAF" w:rsidP="00FD494D">
      <w:pPr>
        <w:pStyle w:val="Heading2"/>
      </w:pPr>
      <w:bookmarkStart w:id="144" w:name="_Toc146746702"/>
      <w:r w:rsidRPr="00A32BAF">
        <w:t>Capitalisation of operating expenditure</w:t>
      </w:r>
      <w:bookmarkEnd w:id="141"/>
      <w:bookmarkEnd w:id="142"/>
      <w:bookmarkEnd w:id="143"/>
      <w:bookmarkEnd w:id="144"/>
    </w:p>
    <w:p w14:paraId="14DF3E7D" w14:textId="5F258143" w:rsidR="00463419" w:rsidRDefault="00961F9D" w:rsidP="00463419">
      <w:r>
        <w:t>We</w:t>
      </w:r>
      <w:r w:rsidR="00463419">
        <w:t xml:space="preserve"> propos</w:t>
      </w:r>
      <w:r>
        <w:t>e</w:t>
      </w:r>
      <w:r w:rsidR="00463419">
        <w:t xml:space="preserve"> to capitalise operating expenditure related to two major projects as the benefits of the related projects extend beyond one regulatory period. These projects are:</w:t>
      </w:r>
    </w:p>
    <w:p w14:paraId="536CF21D" w14:textId="260E8A32" w:rsidR="00463419" w:rsidRDefault="00463419">
      <w:pPr>
        <w:pStyle w:val="ListBullet"/>
        <w:numPr>
          <w:ilvl w:val="0"/>
          <w:numId w:val="127"/>
        </w:numPr>
      </w:pPr>
      <w:r w:rsidRPr="001B55AC">
        <w:rPr>
          <w:b/>
          <w:bCs/>
        </w:rPr>
        <w:t>Information Technology (SaaS and other discrete IT projects):</w:t>
      </w:r>
      <w:r>
        <w:t xml:space="preserve"> This relates to our major</w:t>
      </w:r>
      <w:r w:rsidR="00031D6F">
        <w:t xml:space="preserve"> </w:t>
      </w:r>
      <w:r>
        <w:t>IT projects:</w:t>
      </w:r>
    </w:p>
    <w:p w14:paraId="15911EED" w14:textId="001E72A5" w:rsidR="00463419" w:rsidRDefault="001E543C">
      <w:pPr>
        <w:pStyle w:val="ListBullet2"/>
        <w:numPr>
          <w:ilvl w:val="1"/>
          <w:numId w:val="127"/>
        </w:numPr>
      </w:pPr>
      <w:r>
        <w:t>A</w:t>
      </w:r>
      <w:r w:rsidR="00463419">
        <w:t xml:space="preserve"> new billing and collections system (</w:t>
      </w:r>
      <w:r w:rsidR="00922FE4">
        <w:t xml:space="preserve">Program </w:t>
      </w:r>
      <w:r w:rsidR="00463419">
        <w:t xml:space="preserve">Platypus) to replace the former City West Water and former Western Water existing core billing and collections systems with a </w:t>
      </w:r>
      <w:r w:rsidR="00463419" w:rsidRPr="001B55AC">
        <w:t>single</w:t>
      </w:r>
      <w:r w:rsidR="00463419">
        <w:t xml:space="preserve"> cloud-based solution (on a Software as a Service basis, ‘SaaS’</w:t>
      </w:r>
      <w:r w:rsidR="00922FE4">
        <w:t>)</w:t>
      </w:r>
      <w:r w:rsidR="00463419">
        <w:t xml:space="preserve">. This new system will enable GWW to better serve its customers and create efficiencies over the continued operation of the existing legacy systems. Program Platypus commenced in March 2020 and will conclude in 2023-24. </w:t>
      </w:r>
    </w:p>
    <w:p w14:paraId="7B5C1C25" w14:textId="3F8B1F6F" w:rsidR="00463419" w:rsidRDefault="00463419">
      <w:pPr>
        <w:pStyle w:val="ListBullet2"/>
        <w:numPr>
          <w:ilvl w:val="1"/>
          <w:numId w:val="127"/>
        </w:numPr>
      </w:pPr>
      <w:r>
        <w:t xml:space="preserve">Other one-off discrete IT projects for 2022-23 which include large </w:t>
      </w:r>
      <w:r w:rsidRPr="001B55AC">
        <w:t>irregular</w:t>
      </w:r>
      <w:r>
        <w:t xml:space="preserve"> operating costs that are not incurred every regulatory pricing period but provide a customer benefit over two or more regulatory periods. This includes billing and collection satellite projects that require further configuration and customisation of services.</w:t>
      </w:r>
    </w:p>
    <w:p w14:paraId="443E5166" w14:textId="16BD3020" w:rsidR="00D603B0" w:rsidRDefault="00A67AF5">
      <w:pPr>
        <w:pStyle w:val="ListBullet"/>
        <w:numPr>
          <w:ilvl w:val="0"/>
          <w:numId w:val="127"/>
        </w:numPr>
      </w:pPr>
      <w:r w:rsidRPr="00D074B3">
        <w:rPr>
          <w:rFonts w:ascii="Verdana" w:hAnsi="Verdana" w:cs="Segoe UI"/>
          <w:b/>
        </w:rPr>
        <w:t>Asset Delivery Organisational Review</w:t>
      </w:r>
      <w:r w:rsidR="008B3055" w:rsidRPr="00D074B3">
        <w:rPr>
          <w:rFonts w:ascii="Verdana" w:hAnsi="Verdana" w:cs="Segoe UI"/>
          <w:b/>
        </w:rPr>
        <w:t xml:space="preserve"> (ADOR program)</w:t>
      </w:r>
      <w:r w:rsidRPr="00D074B3">
        <w:rPr>
          <w:rFonts w:ascii="Verdana" w:hAnsi="Verdana" w:cs="Segoe UI"/>
          <w:b/>
        </w:rPr>
        <w:t>:</w:t>
      </w:r>
      <w:r>
        <w:rPr>
          <w:rFonts w:ascii="Verdana" w:hAnsi="Verdana" w:cs="Segoe UI"/>
        </w:rPr>
        <w:t xml:space="preserve"> </w:t>
      </w:r>
      <w:r w:rsidR="00463419">
        <w:t xml:space="preserve">a program that will change how </w:t>
      </w:r>
      <w:r w:rsidR="00463419" w:rsidRPr="001B55AC">
        <w:t>we</w:t>
      </w:r>
      <w:r w:rsidR="00463419">
        <w:t xml:space="preserve"> plan, </w:t>
      </w:r>
      <w:proofErr w:type="gramStart"/>
      <w:r w:rsidR="00463419">
        <w:t>design</w:t>
      </w:r>
      <w:proofErr w:type="gramEnd"/>
      <w:r w:rsidR="00463419">
        <w:t xml:space="preserve"> and build infrastructure that will enable GWW to deliver on its capital program in a prudent and efficient manner.</w:t>
      </w:r>
    </w:p>
    <w:p w14:paraId="3FF367AB" w14:textId="4655796F" w:rsidR="00ED776C" w:rsidRDefault="00025E52" w:rsidP="00431869">
      <w:r w:rsidRPr="00025E52">
        <w:t xml:space="preserve">The accounting treatment </w:t>
      </w:r>
      <w:r w:rsidR="008F76FE">
        <w:t>for</w:t>
      </w:r>
      <w:r w:rsidRPr="00025E52">
        <w:t xml:space="preserve"> the</w:t>
      </w:r>
      <w:r w:rsidR="008F76FE">
        <w:t xml:space="preserve"> </w:t>
      </w:r>
      <w:r w:rsidRPr="00025E52">
        <w:t>expenditure associated with these projects would see it expensed and not capitalised.</w:t>
      </w:r>
      <w:r w:rsidR="008F76FE">
        <w:t xml:space="preserve"> However, we are</w:t>
      </w:r>
      <w:r w:rsidR="006C772B">
        <w:t xml:space="preserve"> proposing to capitalise </w:t>
      </w:r>
      <w:r w:rsidR="00663CAD">
        <w:t>a portion (</w:t>
      </w:r>
      <w:r w:rsidR="00C04837">
        <w:t>i.e.,</w:t>
      </w:r>
      <w:r w:rsidR="00516D0B">
        <w:t xml:space="preserve"> exclud</w:t>
      </w:r>
      <w:r w:rsidR="00C04837">
        <w:t xml:space="preserve">ing operating costs </w:t>
      </w:r>
      <w:r w:rsidR="00A7125D">
        <w:t>that are ongoing</w:t>
      </w:r>
      <w:r w:rsidR="0070177B">
        <w:t xml:space="preserve"> </w:t>
      </w:r>
      <w:r w:rsidR="005A6141">
        <w:t>such as</w:t>
      </w:r>
      <w:r w:rsidR="0070177B">
        <w:t xml:space="preserve"> licence fees</w:t>
      </w:r>
      <w:r w:rsidR="005A6141">
        <w:t xml:space="preserve"> and support services</w:t>
      </w:r>
      <w:r w:rsidR="0070177B">
        <w:t>)</w:t>
      </w:r>
      <w:r w:rsidR="00663CAD">
        <w:t xml:space="preserve"> of the </w:t>
      </w:r>
      <w:r w:rsidR="00663CAD" w:rsidRPr="00663CAD">
        <w:t>operating expense</w:t>
      </w:r>
      <w:r w:rsidR="0070177B">
        <w:t xml:space="preserve">s for </w:t>
      </w:r>
      <w:r w:rsidR="006C772B">
        <w:t xml:space="preserve">the above </w:t>
      </w:r>
      <w:r w:rsidR="00094E1F">
        <w:t>projects</w:t>
      </w:r>
      <w:r w:rsidR="004E78C3">
        <w:t xml:space="preserve">, based on the </w:t>
      </w:r>
      <w:r w:rsidR="001F11D4">
        <w:t>following rationale:</w:t>
      </w:r>
    </w:p>
    <w:p w14:paraId="42803EFF" w14:textId="77777777" w:rsidR="00AA02D2" w:rsidRDefault="00AA02D2">
      <w:pPr>
        <w:pStyle w:val="ListBullet"/>
        <w:numPr>
          <w:ilvl w:val="0"/>
          <w:numId w:val="64"/>
        </w:numPr>
      </w:pPr>
      <w:r>
        <w:t xml:space="preserve">Our new billing and collections system (Platypus) and the other discrete IT projects are expected to have a life and provide benefits to GWW and its customers over a period greater than one year. This would align the cost recovery of the program with the </w:t>
      </w:r>
      <w:proofErr w:type="gramStart"/>
      <w:r>
        <w:t>time period</w:t>
      </w:r>
      <w:proofErr w:type="gramEnd"/>
      <w:r>
        <w:t xml:space="preserve"> of the benefits.</w:t>
      </w:r>
    </w:p>
    <w:p w14:paraId="4CFD846B" w14:textId="77777777" w:rsidR="00AA02D2" w:rsidRDefault="00AA02D2">
      <w:pPr>
        <w:pStyle w:val="ListBullet"/>
        <w:numPr>
          <w:ilvl w:val="0"/>
          <w:numId w:val="64"/>
        </w:numPr>
      </w:pPr>
      <w:r>
        <w:t>Consistent with ESC’s approach of forecasting operating expenditure as to comprise of the recurring controllable costs (Box 3.2 of 2024 Guidance Paper) as Program Platypus is lumpy and once-off.</w:t>
      </w:r>
    </w:p>
    <w:p w14:paraId="34CDD729" w14:textId="77777777" w:rsidR="00AA02D2" w:rsidRDefault="00AA02D2">
      <w:pPr>
        <w:pStyle w:val="ListBullet"/>
        <w:numPr>
          <w:ilvl w:val="0"/>
          <w:numId w:val="64"/>
        </w:numPr>
      </w:pPr>
      <w:r>
        <w:t>Consistent with ESC’s 2024 Guidance Paper (pages 34-35), where businesses may propose to capitalise certain statutory operating expense:</w:t>
      </w:r>
    </w:p>
    <w:p w14:paraId="57C41503" w14:textId="77777777" w:rsidR="00AA02D2" w:rsidRDefault="00AA02D2">
      <w:pPr>
        <w:pStyle w:val="ListBullet2"/>
        <w:numPr>
          <w:ilvl w:val="1"/>
          <w:numId w:val="64"/>
        </w:numPr>
      </w:pPr>
      <w:r>
        <w:t xml:space="preserve">‘In the case of a major IT-related project, the development and implementation costs of a new system might be justified as capital expenditure and recovered over the expected life of the new </w:t>
      </w:r>
      <w:proofErr w:type="gramStart"/>
      <w:r>
        <w:t>system’</w:t>
      </w:r>
      <w:proofErr w:type="gramEnd"/>
    </w:p>
    <w:p w14:paraId="2DEA327A" w14:textId="19037A24" w:rsidR="00ED776C" w:rsidRDefault="00AA02D2">
      <w:pPr>
        <w:pStyle w:val="ListParagraph"/>
        <w:numPr>
          <w:ilvl w:val="1"/>
          <w:numId w:val="64"/>
        </w:numPr>
      </w:pPr>
      <w:r>
        <w:t>’</w:t>
      </w:r>
      <w:proofErr w:type="gramStart"/>
      <w:r>
        <w:t>large</w:t>
      </w:r>
      <w:proofErr w:type="gramEnd"/>
      <w:r>
        <w:t xml:space="preserve"> irregular operating costs that are not incurred every regulatory pricing period but provide a customer benefit over two or more regulatory periods’.</w:t>
      </w:r>
    </w:p>
    <w:p w14:paraId="7DABA0B8" w14:textId="6F7FCE7A" w:rsidR="0002244F" w:rsidRDefault="006D1BEE" w:rsidP="00431869">
      <w:r>
        <w:t>A</w:t>
      </w:r>
      <w:r w:rsidR="00797926">
        <w:t xml:space="preserve"> detailed overview of </w:t>
      </w:r>
      <w:r w:rsidR="00AA73A3">
        <w:t xml:space="preserve">the capitalisation of these </w:t>
      </w:r>
      <w:r w:rsidR="002341D3">
        <w:t>two major projects</w:t>
      </w:r>
      <w:r w:rsidR="004A1874">
        <w:t xml:space="preserve"> along with the regulatory treatment </w:t>
      </w:r>
      <w:r w:rsidR="00D470F1">
        <w:t>in the ESC’s pricing template i</w:t>
      </w:r>
      <w:r w:rsidR="004A1874">
        <w:t>s provided in</w:t>
      </w:r>
      <w:r>
        <w:t xml:space="preserve"> </w:t>
      </w:r>
      <w:r w:rsidR="00FE366C">
        <w:fldChar w:fldCharType="begin"/>
      </w:r>
      <w:r w:rsidR="00FE366C">
        <w:instrText xml:space="preserve"> REF _Ref146005189 \n \h </w:instrText>
      </w:r>
      <w:r w:rsidR="0069425C">
        <w:fldChar w:fldCharType="separate"/>
      </w:r>
      <w:r w:rsidR="00FE366C">
        <w:fldChar w:fldCharType="end"/>
      </w:r>
      <w:r w:rsidR="005D60B5">
        <w:t>.</w:t>
      </w:r>
      <w:r w:rsidR="002341D3">
        <w:t xml:space="preserve"> </w:t>
      </w:r>
    </w:p>
    <w:p w14:paraId="494C1DAA" w14:textId="0395CC3C" w:rsidR="00100296" w:rsidRPr="00855D61" w:rsidRDefault="00BA5B8D" w:rsidP="00855D61">
      <w:pPr>
        <w:pStyle w:val="Heading1"/>
      </w:pPr>
      <w:bookmarkStart w:id="145" w:name="_Toc146004869"/>
      <w:bookmarkStart w:id="146" w:name="_Toc146004757"/>
      <w:bookmarkStart w:id="147" w:name="_Toc146746703"/>
      <w:r w:rsidRPr="00855D61">
        <w:lastRenderedPageBreak/>
        <w:t xml:space="preserve">Stable and </w:t>
      </w:r>
      <w:r w:rsidR="00320E89" w:rsidRPr="00855D61">
        <w:t>d</w:t>
      </w:r>
      <w:r w:rsidR="009D68F1" w:rsidRPr="00855D61">
        <w:t>eclining</w:t>
      </w:r>
      <w:r w:rsidR="00100296" w:rsidRPr="00855D61">
        <w:t xml:space="preserve"> bills during the regulatory period</w:t>
      </w:r>
      <w:bookmarkEnd w:id="145"/>
      <w:bookmarkEnd w:id="146"/>
      <w:bookmarkEnd w:id="147"/>
    </w:p>
    <w:p w14:paraId="081AF10E" w14:textId="1D8CAE38" w:rsidR="00100296" w:rsidRDefault="00100296" w:rsidP="00BB45A5">
      <w:pPr>
        <w:pStyle w:val="Heading2"/>
      </w:pPr>
      <w:bookmarkStart w:id="148" w:name="_Toc146004870"/>
      <w:bookmarkStart w:id="149" w:name="_Toc146004758"/>
      <w:bookmarkStart w:id="150" w:name="_Toc146746704"/>
      <w:r>
        <w:t>Summary of bill impacts</w:t>
      </w:r>
      <w:bookmarkEnd w:id="148"/>
      <w:bookmarkEnd w:id="149"/>
      <w:bookmarkEnd w:id="150"/>
      <w:r>
        <w:t xml:space="preserve"> </w:t>
      </w:r>
    </w:p>
    <w:p w14:paraId="0C9E67F4" w14:textId="124677DE" w:rsidR="00100296" w:rsidRDefault="00100296" w:rsidP="00696AC7">
      <w:bookmarkStart w:id="151" w:name="_Hlk144737057"/>
      <w:r w:rsidRPr="00E3078C">
        <w:t xml:space="preserve">Overall, the average residential customer will receive a </w:t>
      </w:r>
      <w:r w:rsidR="003A6FD2">
        <w:t>1.0</w:t>
      </w:r>
      <w:r w:rsidRPr="00E3078C">
        <w:t>% real bill decrease in the first year of the next period</w:t>
      </w:r>
      <w:r w:rsidR="00002D99" w:rsidRPr="00E3078C">
        <w:t>,</w:t>
      </w:r>
      <w:r w:rsidRPr="00E3078C">
        <w:t xml:space="preserve"> followed by a year-on-year real bill increase of </w:t>
      </w:r>
      <w:r w:rsidR="00643460" w:rsidRPr="00E3078C">
        <w:t>0.1</w:t>
      </w:r>
      <w:r w:rsidRPr="00E3078C">
        <w:t>% per annum excluding any future desalination water order costs.</w:t>
      </w:r>
    </w:p>
    <w:p w14:paraId="08361B8B" w14:textId="77777777" w:rsidR="00696AC7" w:rsidRDefault="006A5DD4" w:rsidP="00696AC7">
      <w:pPr>
        <w:rPr>
          <w:rStyle w:val="normaltextrun"/>
          <w:rFonts w:ascii="Verdana" w:hAnsi="Verdana"/>
          <w:color w:val="000000"/>
          <w:shd w:val="clear" w:color="auto" w:fill="FFFFFF"/>
        </w:rPr>
      </w:pPr>
      <w:r>
        <w:rPr>
          <w:rStyle w:val="normaltextrun"/>
          <w:rFonts w:ascii="Verdana" w:hAnsi="Verdana"/>
          <w:color w:val="000000"/>
          <w:shd w:val="clear" w:color="auto" w:fill="FFFFFF"/>
        </w:rPr>
        <w:t xml:space="preserve">Owner occupier customers in the central region will see an initial decline of $11 and then a small annual increase with bills at the end of the regulatory period $9 lower than current. Tenant customer bills in the central region will reduce by $20 over the period. </w:t>
      </w:r>
    </w:p>
    <w:p w14:paraId="7AA076F2" w14:textId="31D1D126" w:rsidR="00696AC7" w:rsidRDefault="006A5DD4" w:rsidP="00696AC7">
      <w:pPr>
        <w:rPr>
          <w:rStyle w:val="normaltextrun"/>
          <w:rFonts w:ascii="Verdana" w:hAnsi="Verdana"/>
          <w:color w:val="000000"/>
          <w:shd w:val="clear" w:color="auto" w:fill="FFFFFF"/>
        </w:rPr>
      </w:pPr>
      <w:r>
        <w:rPr>
          <w:rStyle w:val="normaltextrun"/>
          <w:rFonts w:ascii="Verdana" w:hAnsi="Verdana"/>
          <w:color w:val="000000"/>
          <w:shd w:val="clear" w:color="auto" w:fill="FFFFFF"/>
        </w:rPr>
        <w:t xml:space="preserve">In the western region, owner occupiers will see a bill decrease of $47 over the regulatory period. Western region tenant customers will see an increase of $26 from $348 to $374, representing a shift towards higher variable charges and lower fixed charges to </w:t>
      </w:r>
      <w:proofErr w:type="gramStart"/>
      <w:r>
        <w:rPr>
          <w:rStyle w:val="normaltextrun"/>
          <w:rFonts w:ascii="Verdana" w:hAnsi="Verdana"/>
          <w:color w:val="000000"/>
          <w:shd w:val="clear" w:color="auto" w:fill="FFFFFF"/>
        </w:rPr>
        <w:t xml:space="preserve">more closely align </w:t>
      </w:r>
      <w:r w:rsidR="00696AC7">
        <w:rPr>
          <w:rStyle w:val="normaltextrun"/>
          <w:rFonts w:ascii="Verdana" w:hAnsi="Verdana"/>
          <w:color w:val="000000"/>
          <w:shd w:val="clear" w:color="auto" w:fill="FFFFFF"/>
        </w:rPr>
        <w:t>tariffs</w:t>
      </w:r>
      <w:proofErr w:type="gramEnd"/>
      <w:r w:rsidR="00696AC7">
        <w:rPr>
          <w:rStyle w:val="normaltextrun"/>
          <w:rFonts w:ascii="Verdana" w:hAnsi="Verdana"/>
          <w:color w:val="000000"/>
          <w:shd w:val="clear" w:color="auto" w:fill="FFFFFF"/>
        </w:rPr>
        <w:t xml:space="preserve"> </w:t>
      </w:r>
      <w:r>
        <w:rPr>
          <w:rStyle w:val="normaltextrun"/>
          <w:rFonts w:ascii="Verdana" w:hAnsi="Verdana"/>
          <w:color w:val="000000"/>
          <w:shd w:val="clear" w:color="auto" w:fill="FFFFFF"/>
        </w:rPr>
        <w:t xml:space="preserve">with the central region. An increase in the funding for our customer support program will ensure that we are able to support any impacted tenant customers in the western region. </w:t>
      </w:r>
    </w:p>
    <w:p w14:paraId="33AF7EFC" w14:textId="735B25FD" w:rsidR="006A5DD4" w:rsidRDefault="006A5DD4" w:rsidP="00696AC7">
      <w:r>
        <w:rPr>
          <w:rStyle w:val="normaltextrun"/>
          <w:rFonts w:ascii="Verdana" w:hAnsi="Verdana"/>
          <w:color w:val="000000"/>
          <w:shd w:val="clear" w:color="auto" w:fill="FFFFFF"/>
        </w:rPr>
        <w:t>Non-residential customer bills will remain stable over the period, with a small decrease for small business customers in central and western regions, medium business customers in the western region and a small increase for medium</w:t>
      </w:r>
      <w:r w:rsidR="001103CD">
        <w:rPr>
          <w:rStyle w:val="normaltextrun"/>
          <w:rFonts w:ascii="Verdana" w:hAnsi="Verdana"/>
          <w:color w:val="000000"/>
          <w:shd w:val="clear" w:color="auto" w:fill="FFFFFF"/>
        </w:rPr>
        <w:t>-</w:t>
      </w:r>
      <w:r>
        <w:rPr>
          <w:rStyle w:val="normaltextrun"/>
          <w:rFonts w:ascii="Verdana" w:hAnsi="Verdana"/>
          <w:color w:val="000000"/>
          <w:shd w:val="clear" w:color="auto" w:fill="FFFFFF"/>
        </w:rPr>
        <w:t>sized businesses in the central region.</w:t>
      </w:r>
      <w:r>
        <w:rPr>
          <w:rStyle w:val="eop"/>
          <w:rFonts w:ascii="Verdana" w:hAnsi="Verdana"/>
          <w:color w:val="000000"/>
          <w:shd w:val="clear" w:color="auto" w:fill="FFFFFF"/>
        </w:rPr>
        <w:t> </w:t>
      </w:r>
    </w:p>
    <w:bookmarkEnd w:id="151"/>
    <w:p w14:paraId="00EBCCE5" w14:textId="4B784110" w:rsidR="00100296" w:rsidRDefault="00100296" w:rsidP="00100296">
      <w:pPr>
        <w:rPr>
          <w:b/>
          <w:bCs/>
        </w:rPr>
      </w:pPr>
      <w:r w:rsidRPr="00E11C57">
        <w:rPr>
          <w:b/>
          <w:bCs/>
        </w:rPr>
        <w:t>Residential bills</w:t>
      </w:r>
    </w:p>
    <w:p w14:paraId="1DBB5BF0" w14:textId="0E74B495" w:rsidR="008A17F1" w:rsidRDefault="005A203D" w:rsidP="008A17F1">
      <w:r>
        <w:fldChar w:fldCharType="begin"/>
      </w:r>
      <w:r>
        <w:instrText xml:space="preserve"> REF _Ref146032516 \h </w:instrText>
      </w:r>
      <w:r>
        <w:fldChar w:fldCharType="separate"/>
      </w:r>
      <w:r w:rsidR="003B42C6" w:rsidRPr="004B1EAF">
        <w:rPr>
          <w:b/>
        </w:rPr>
        <w:t xml:space="preserve">Table </w:t>
      </w:r>
      <w:r w:rsidR="003B42C6">
        <w:rPr>
          <w:b/>
          <w:noProof/>
        </w:rPr>
        <w:t>29</w:t>
      </w:r>
      <w:r>
        <w:fldChar w:fldCharType="end"/>
      </w:r>
      <w:r>
        <w:t xml:space="preserve"> and </w:t>
      </w:r>
      <w:r>
        <w:fldChar w:fldCharType="begin"/>
      </w:r>
      <w:r>
        <w:instrText xml:space="preserve"> REF _Ref144722881 \h </w:instrText>
      </w:r>
      <w:r>
        <w:fldChar w:fldCharType="separate"/>
      </w:r>
      <w:r w:rsidR="003B42C6" w:rsidRPr="004B1EAF">
        <w:rPr>
          <w:b/>
        </w:rPr>
        <w:t xml:space="preserve">Table </w:t>
      </w:r>
      <w:r w:rsidR="003B42C6">
        <w:rPr>
          <w:b/>
          <w:noProof/>
        </w:rPr>
        <w:t>30</w:t>
      </w:r>
      <w:r>
        <w:fldChar w:fldCharType="end"/>
      </w:r>
      <w:r>
        <w:t xml:space="preserve"> </w:t>
      </w:r>
      <w:r w:rsidR="00100296">
        <w:t>show a sample of residential and business customers bills proposed for the next regulatory period. Customers are assumed to be connected to water and sewerage services.</w:t>
      </w:r>
    </w:p>
    <w:p w14:paraId="766A2A9F" w14:textId="4CB1708D" w:rsidR="00100296" w:rsidRDefault="00100296" w:rsidP="00B11E29">
      <w:pPr>
        <w:pStyle w:val="Caption"/>
      </w:pPr>
      <w:bookmarkStart w:id="152" w:name="_Ref146032516"/>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29</w:t>
      </w:r>
      <w:r w:rsidRPr="004B1EAF">
        <w:rPr>
          <w:b/>
        </w:rPr>
        <w:fldChar w:fldCharType="end"/>
      </w:r>
      <w:bookmarkEnd w:id="152"/>
      <w:r>
        <w:t xml:space="preserve"> </w:t>
      </w:r>
      <w:r w:rsidRPr="00354D78">
        <w:t>Proposed residential bills – 150 kilolitres per annum ($, 2023-24)</w:t>
      </w:r>
    </w:p>
    <w:tbl>
      <w:tblPr>
        <w:tblStyle w:val="GWWDefaulttable"/>
        <w:tblW w:w="5000" w:type="pct"/>
        <w:tblLook w:val="04A0" w:firstRow="1" w:lastRow="0" w:firstColumn="1" w:lastColumn="0" w:noHBand="0" w:noVBand="1"/>
      </w:tblPr>
      <w:tblGrid>
        <w:gridCol w:w="1193"/>
        <w:gridCol w:w="2446"/>
        <w:gridCol w:w="1201"/>
        <w:gridCol w:w="1201"/>
        <w:gridCol w:w="1201"/>
        <w:gridCol w:w="1201"/>
        <w:gridCol w:w="1195"/>
      </w:tblGrid>
      <w:tr w:rsidR="00100296" w:rsidRPr="006C12BA" w14:paraId="36763B35" w14:textId="77777777" w:rsidTr="00205D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9" w:type="pct"/>
          </w:tcPr>
          <w:p w14:paraId="61F212AA" w14:textId="77777777" w:rsidR="00100296" w:rsidRPr="00772A3B" w:rsidRDefault="00100296" w:rsidP="006C12BA">
            <w:pPr>
              <w:rPr>
                <w:szCs w:val="18"/>
              </w:rPr>
            </w:pPr>
            <w:r w:rsidRPr="00772A3B">
              <w:rPr>
                <w:szCs w:val="18"/>
              </w:rPr>
              <w:t>Region</w:t>
            </w:r>
          </w:p>
        </w:tc>
        <w:tc>
          <w:tcPr>
            <w:tcW w:w="1269" w:type="pct"/>
          </w:tcPr>
          <w:p w14:paraId="1EC2FC2C" w14:textId="77777777" w:rsidR="00100296" w:rsidRPr="00772A3B" w:rsidRDefault="00100296" w:rsidP="006C12BA">
            <w:pPr>
              <w:cnfStyle w:val="100000000000" w:firstRow="1" w:lastRow="0" w:firstColumn="0" w:lastColumn="0" w:oddVBand="0" w:evenVBand="0" w:oddHBand="0" w:evenHBand="0" w:firstRowFirstColumn="0" w:firstRowLastColumn="0" w:lastRowFirstColumn="0" w:lastRowLastColumn="0"/>
              <w:rPr>
                <w:szCs w:val="18"/>
              </w:rPr>
            </w:pPr>
            <w:r w:rsidRPr="00772A3B">
              <w:rPr>
                <w:szCs w:val="18"/>
              </w:rPr>
              <w:t>Customer segment</w:t>
            </w:r>
          </w:p>
        </w:tc>
        <w:tc>
          <w:tcPr>
            <w:tcW w:w="623" w:type="pct"/>
            <w:vAlign w:val="center"/>
          </w:tcPr>
          <w:p w14:paraId="3950D37D"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2023-24</w:t>
            </w:r>
          </w:p>
        </w:tc>
        <w:tc>
          <w:tcPr>
            <w:tcW w:w="623" w:type="pct"/>
            <w:vAlign w:val="center"/>
          </w:tcPr>
          <w:p w14:paraId="6CCE4264"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2024-25</w:t>
            </w:r>
          </w:p>
        </w:tc>
        <w:tc>
          <w:tcPr>
            <w:tcW w:w="623" w:type="pct"/>
            <w:vAlign w:val="center"/>
          </w:tcPr>
          <w:p w14:paraId="3FD5EA51"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2025-26</w:t>
            </w:r>
          </w:p>
        </w:tc>
        <w:tc>
          <w:tcPr>
            <w:tcW w:w="623" w:type="pct"/>
            <w:vAlign w:val="center"/>
          </w:tcPr>
          <w:p w14:paraId="0C8B0629"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2026-27</w:t>
            </w:r>
          </w:p>
        </w:tc>
        <w:tc>
          <w:tcPr>
            <w:tcW w:w="620" w:type="pct"/>
            <w:vAlign w:val="center"/>
          </w:tcPr>
          <w:p w14:paraId="4C78197A"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2027-28</w:t>
            </w:r>
          </w:p>
        </w:tc>
      </w:tr>
      <w:tr w:rsidR="00D3394D" w:rsidRPr="006C12BA" w14:paraId="7D2DC932"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70CA2A95" w14:textId="77777777" w:rsidR="00D3394D" w:rsidRPr="00772A3B" w:rsidRDefault="00D3394D" w:rsidP="00D3394D">
            <w:pPr>
              <w:rPr>
                <w:b w:val="0"/>
                <w:szCs w:val="18"/>
              </w:rPr>
            </w:pPr>
            <w:r w:rsidRPr="00772A3B">
              <w:rPr>
                <w:b w:val="0"/>
                <w:szCs w:val="18"/>
              </w:rPr>
              <w:t>Overall</w:t>
            </w:r>
          </w:p>
        </w:tc>
        <w:tc>
          <w:tcPr>
            <w:tcW w:w="1269" w:type="pct"/>
          </w:tcPr>
          <w:p w14:paraId="16D0772A" w14:textId="77777777"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5678426D" w14:textId="5A8121C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$1,021</w:t>
            </w:r>
          </w:p>
        </w:tc>
        <w:tc>
          <w:tcPr>
            <w:tcW w:w="623" w:type="pct"/>
          </w:tcPr>
          <w:p w14:paraId="5E9923F7" w14:textId="412551F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$1,010</w:t>
            </w:r>
          </w:p>
        </w:tc>
        <w:tc>
          <w:tcPr>
            <w:tcW w:w="623" w:type="pct"/>
          </w:tcPr>
          <w:p w14:paraId="3405A8CD" w14:textId="118D05F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3" w:type="pct"/>
          </w:tcPr>
          <w:p w14:paraId="582993CB" w14:textId="56BEA04E"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0" w:type="pct"/>
          </w:tcPr>
          <w:p w14:paraId="4E17ABFC" w14:textId="50EEBEE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$1,012</w:t>
            </w:r>
          </w:p>
        </w:tc>
      </w:tr>
      <w:tr w:rsidR="00D3394D" w:rsidRPr="006C12BA" w14:paraId="2B11EDC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74854323" w14:textId="77777777" w:rsidR="00D3394D" w:rsidRPr="00772A3B" w:rsidRDefault="00D3394D" w:rsidP="00D3394D">
            <w:pPr>
              <w:rPr>
                <w:b w:val="0"/>
                <w:szCs w:val="18"/>
              </w:rPr>
            </w:pPr>
          </w:p>
        </w:tc>
        <w:tc>
          <w:tcPr>
            <w:tcW w:w="1269" w:type="pct"/>
          </w:tcPr>
          <w:p w14:paraId="376D7E17" w14:textId="7CA7EBBE"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7E8B133D"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386E1807" w14:textId="721D9B0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w:t>
            </w:r>
          </w:p>
        </w:tc>
        <w:tc>
          <w:tcPr>
            <w:tcW w:w="623" w:type="pct"/>
          </w:tcPr>
          <w:p w14:paraId="729C8A99" w14:textId="74D1147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3" w:type="pct"/>
          </w:tcPr>
          <w:p w14:paraId="7A7E096A" w14:textId="140BDB0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0" w:type="pct"/>
          </w:tcPr>
          <w:p w14:paraId="503C0ED5" w14:textId="25DF3AE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r>
      <w:tr w:rsidR="00D3394D" w:rsidRPr="006C12BA" w14:paraId="385882AE"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3B64A11" w14:textId="77777777" w:rsidR="00D3394D" w:rsidRPr="00772A3B" w:rsidRDefault="00D3394D" w:rsidP="00D3394D">
            <w:pPr>
              <w:rPr>
                <w:b w:val="0"/>
                <w:szCs w:val="18"/>
              </w:rPr>
            </w:pPr>
          </w:p>
        </w:tc>
        <w:tc>
          <w:tcPr>
            <w:tcW w:w="1269" w:type="pct"/>
          </w:tcPr>
          <w:p w14:paraId="6344604A" w14:textId="6D16AC23"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512EE939" w14:textId="4950689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$504</w:t>
            </w:r>
          </w:p>
        </w:tc>
        <w:tc>
          <w:tcPr>
            <w:tcW w:w="623" w:type="pct"/>
          </w:tcPr>
          <w:p w14:paraId="0FB61098" w14:textId="5999123F"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$487</w:t>
            </w:r>
          </w:p>
        </w:tc>
        <w:tc>
          <w:tcPr>
            <w:tcW w:w="623" w:type="pct"/>
          </w:tcPr>
          <w:p w14:paraId="56A74560" w14:textId="0ECD062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$488</w:t>
            </w:r>
          </w:p>
        </w:tc>
        <w:tc>
          <w:tcPr>
            <w:tcW w:w="623" w:type="pct"/>
          </w:tcPr>
          <w:p w14:paraId="6A1D4984" w14:textId="4403BD0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$489</w:t>
            </w:r>
          </w:p>
        </w:tc>
        <w:tc>
          <w:tcPr>
            <w:tcW w:w="620" w:type="pct"/>
          </w:tcPr>
          <w:p w14:paraId="009A3E66" w14:textId="3E459F2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$490</w:t>
            </w:r>
          </w:p>
        </w:tc>
      </w:tr>
      <w:tr w:rsidR="00D3394D" w:rsidRPr="006C12BA" w14:paraId="7B4F064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08C7D85" w14:textId="77777777" w:rsidR="00D3394D" w:rsidRPr="00772A3B" w:rsidRDefault="00D3394D" w:rsidP="00D3394D">
            <w:pPr>
              <w:rPr>
                <w:b w:val="0"/>
                <w:szCs w:val="18"/>
              </w:rPr>
            </w:pPr>
          </w:p>
        </w:tc>
        <w:tc>
          <w:tcPr>
            <w:tcW w:w="1269" w:type="pct"/>
          </w:tcPr>
          <w:p w14:paraId="08B848FC" w14:textId="20D7E55B"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20D4B414" w14:textId="5E7C8CC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1B0D3683" w14:textId="0FF726A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-3.3%</w:t>
            </w:r>
          </w:p>
        </w:tc>
        <w:tc>
          <w:tcPr>
            <w:tcW w:w="623" w:type="pct"/>
          </w:tcPr>
          <w:p w14:paraId="64F111DC" w14:textId="1791E6A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3" w:type="pct"/>
          </w:tcPr>
          <w:p w14:paraId="0F470FB3" w14:textId="534B3BCF"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0" w:type="pct"/>
          </w:tcPr>
          <w:p w14:paraId="3431F349" w14:textId="0842608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r>
      <w:tr w:rsidR="00D3394D" w:rsidRPr="006C12BA" w14:paraId="3EDAF58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21B05B3C" w14:textId="77777777" w:rsidR="00D3394D" w:rsidRPr="00772A3B" w:rsidRDefault="00D3394D" w:rsidP="00D3394D">
            <w:pPr>
              <w:rPr>
                <w:b w:val="0"/>
                <w:szCs w:val="18"/>
              </w:rPr>
            </w:pPr>
            <w:r w:rsidRPr="00772A3B">
              <w:rPr>
                <w:b w:val="0"/>
                <w:szCs w:val="18"/>
              </w:rPr>
              <w:t>Central</w:t>
            </w:r>
          </w:p>
        </w:tc>
        <w:tc>
          <w:tcPr>
            <w:tcW w:w="1269" w:type="pct"/>
          </w:tcPr>
          <w:p w14:paraId="05A8E272" w14:textId="54C85249"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3B03D421" w14:textId="16E75FB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$1,007</w:t>
            </w:r>
          </w:p>
        </w:tc>
        <w:tc>
          <w:tcPr>
            <w:tcW w:w="623" w:type="pct"/>
          </w:tcPr>
          <w:p w14:paraId="1CEDCFFB" w14:textId="274BD70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$996</w:t>
            </w:r>
          </w:p>
        </w:tc>
        <w:tc>
          <w:tcPr>
            <w:tcW w:w="623" w:type="pct"/>
          </w:tcPr>
          <w:p w14:paraId="6A50896D" w14:textId="1DEC2D6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$999</w:t>
            </w:r>
          </w:p>
        </w:tc>
        <w:tc>
          <w:tcPr>
            <w:tcW w:w="623" w:type="pct"/>
          </w:tcPr>
          <w:p w14:paraId="2EB5121C" w14:textId="6AB200C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$1,002</w:t>
            </w:r>
          </w:p>
        </w:tc>
        <w:tc>
          <w:tcPr>
            <w:tcW w:w="620" w:type="pct"/>
          </w:tcPr>
          <w:p w14:paraId="73848B25" w14:textId="7E63AB7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$1,005</w:t>
            </w:r>
          </w:p>
        </w:tc>
      </w:tr>
      <w:tr w:rsidR="00D3394D" w:rsidRPr="006C12BA" w14:paraId="10FB509A"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5AECACD" w14:textId="77777777" w:rsidR="00D3394D" w:rsidRPr="00772A3B" w:rsidRDefault="00D3394D" w:rsidP="00D3394D">
            <w:pPr>
              <w:rPr>
                <w:b w:val="0"/>
                <w:szCs w:val="18"/>
              </w:rPr>
            </w:pPr>
          </w:p>
        </w:tc>
        <w:tc>
          <w:tcPr>
            <w:tcW w:w="1269" w:type="pct"/>
          </w:tcPr>
          <w:p w14:paraId="5DA6EADF" w14:textId="2409AAEA"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78D4307"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31515177" w14:textId="50B56E2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-1.1%</w:t>
            </w:r>
          </w:p>
        </w:tc>
        <w:tc>
          <w:tcPr>
            <w:tcW w:w="623" w:type="pct"/>
          </w:tcPr>
          <w:p w14:paraId="17AF079E" w14:textId="5B4FFFD2"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3" w:type="pct"/>
          </w:tcPr>
          <w:p w14:paraId="30C3F385" w14:textId="27160ED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0" w:type="pct"/>
          </w:tcPr>
          <w:p w14:paraId="6861F4DA" w14:textId="1443B84E"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r>
      <w:tr w:rsidR="00D3394D" w:rsidRPr="006C12BA" w14:paraId="679E9018"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CA6650D" w14:textId="77777777" w:rsidR="00D3394D" w:rsidRPr="00772A3B" w:rsidRDefault="00D3394D" w:rsidP="00D3394D">
            <w:pPr>
              <w:rPr>
                <w:b w:val="0"/>
                <w:szCs w:val="18"/>
              </w:rPr>
            </w:pPr>
          </w:p>
        </w:tc>
        <w:tc>
          <w:tcPr>
            <w:tcW w:w="1269" w:type="pct"/>
          </w:tcPr>
          <w:p w14:paraId="267F7FE3" w14:textId="59507632"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0459EAFB" w14:textId="428F42C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$531</w:t>
            </w:r>
          </w:p>
        </w:tc>
        <w:tc>
          <w:tcPr>
            <w:tcW w:w="623" w:type="pct"/>
          </w:tcPr>
          <w:p w14:paraId="0898458D" w14:textId="2B25C5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54B0E5B3" w14:textId="40E328B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2168D5B4" w14:textId="130C94D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0" w:type="pct"/>
          </w:tcPr>
          <w:p w14:paraId="4DDB0D6B" w14:textId="6B5657F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r>
      <w:tr w:rsidR="00D3394D" w:rsidRPr="006C12BA" w14:paraId="7077D89B"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71099228" w14:textId="77777777" w:rsidR="00D3394D" w:rsidRPr="00772A3B" w:rsidRDefault="00D3394D" w:rsidP="00D3394D">
            <w:pPr>
              <w:rPr>
                <w:b w:val="0"/>
                <w:szCs w:val="18"/>
              </w:rPr>
            </w:pPr>
          </w:p>
        </w:tc>
        <w:tc>
          <w:tcPr>
            <w:tcW w:w="1269" w:type="pct"/>
          </w:tcPr>
          <w:p w14:paraId="1738F422" w14:textId="7ED34E6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7EFA6988" w14:textId="073F672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67AF748C" w14:textId="6A78A498"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-3.9%</w:t>
            </w:r>
          </w:p>
        </w:tc>
        <w:tc>
          <w:tcPr>
            <w:tcW w:w="623" w:type="pct"/>
          </w:tcPr>
          <w:p w14:paraId="51171FA9" w14:textId="314F58B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3" w:type="pct"/>
          </w:tcPr>
          <w:p w14:paraId="7F267972" w14:textId="4C0B949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0" w:type="pct"/>
          </w:tcPr>
          <w:p w14:paraId="020E0F91" w14:textId="734F2C9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r>
      <w:tr w:rsidR="00D3394D" w:rsidRPr="006C12BA" w14:paraId="0A90209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40BDB596" w14:textId="77777777" w:rsidR="00D3394D" w:rsidRPr="00772A3B" w:rsidRDefault="00D3394D" w:rsidP="00D3394D">
            <w:pPr>
              <w:rPr>
                <w:b w:val="0"/>
                <w:szCs w:val="18"/>
              </w:rPr>
            </w:pPr>
            <w:r w:rsidRPr="00772A3B">
              <w:rPr>
                <w:b w:val="0"/>
                <w:szCs w:val="18"/>
              </w:rPr>
              <w:t>Western</w:t>
            </w:r>
          </w:p>
        </w:tc>
        <w:tc>
          <w:tcPr>
            <w:tcW w:w="1269" w:type="pct"/>
          </w:tcPr>
          <w:p w14:paraId="48EC0F09" w14:textId="75932F0A"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2309BA6B" w14:textId="24C81C9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$1,099</w:t>
            </w:r>
          </w:p>
        </w:tc>
        <w:tc>
          <w:tcPr>
            <w:tcW w:w="623" w:type="pct"/>
          </w:tcPr>
          <w:p w14:paraId="47414ECC" w14:textId="370BB03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$1,092</w:t>
            </w:r>
          </w:p>
        </w:tc>
        <w:tc>
          <w:tcPr>
            <w:tcW w:w="623" w:type="pct"/>
          </w:tcPr>
          <w:p w14:paraId="2F78BD3B" w14:textId="559212A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$1,079</w:t>
            </w:r>
          </w:p>
        </w:tc>
        <w:tc>
          <w:tcPr>
            <w:tcW w:w="623" w:type="pct"/>
          </w:tcPr>
          <w:p w14:paraId="46004119" w14:textId="62DEC9E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$1,065</w:t>
            </w:r>
          </w:p>
        </w:tc>
        <w:tc>
          <w:tcPr>
            <w:tcW w:w="620" w:type="pct"/>
          </w:tcPr>
          <w:p w14:paraId="12CE2C8F" w14:textId="280A276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$1,052</w:t>
            </w:r>
          </w:p>
        </w:tc>
      </w:tr>
      <w:tr w:rsidR="00D3394D" w:rsidRPr="006C12BA" w14:paraId="01240C2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0D38E847" w14:textId="77777777" w:rsidR="00D3394D" w:rsidRPr="00772A3B" w:rsidRDefault="00D3394D" w:rsidP="00D3394D">
            <w:pPr>
              <w:rPr>
                <w:b w:val="0"/>
                <w:szCs w:val="18"/>
              </w:rPr>
            </w:pPr>
          </w:p>
        </w:tc>
        <w:tc>
          <w:tcPr>
            <w:tcW w:w="1269" w:type="pct"/>
          </w:tcPr>
          <w:p w14:paraId="5B33B1C6" w14:textId="2A80783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937EBCB"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215DB60C" w14:textId="2895868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-0.7%</w:t>
            </w:r>
          </w:p>
        </w:tc>
        <w:tc>
          <w:tcPr>
            <w:tcW w:w="623" w:type="pct"/>
          </w:tcPr>
          <w:p w14:paraId="231DA208" w14:textId="0B56140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3" w:type="pct"/>
          </w:tcPr>
          <w:p w14:paraId="42DDE52C" w14:textId="004A17A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0" w:type="pct"/>
          </w:tcPr>
          <w:p w14:paraId="55ADA1C6" w14:textId="3578FD8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-1.3%</w:t>
            </w:r>
          </w:p>
        </w:tc>
      </w:tr>
      <w:tr w:rsidR="00D3394D" w:rsidRPr="006C12BA" w14:paraId="655CE6C9"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2B08651" w14:textId="77777777" w:rsidR="00D3394D" w:rsidRPr="00772A3B" w:rsidRDefault="00D3394D" w:rsidP="00D3394D">
            <w:pPr>
              <w:rPr>
                <w:b w:val="0"/>
                <w:szCs w:val="18"/>
              </w:rPr>
            </w:pPr>
          </w:p>
        </w:tc>
        <w:tc>
          <w:tcPr>
            <w:tcW w:w="1269" w:type="pct"/>
          </w:tcPr>
          <w:p w14:paraId="291DB54F" w14:textId="7134FDB6"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73C1500B" w14:textId="5966D65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$348</w:t>
            </w:r>
          </w:p>
        </w:tc>
        <w:tc>
          <w:tcPr>
            <w:tcW w:w="623" w:type="pct"/>
          </w:tcPr>
          <w:p w14:paraId="5A28A69D" w14:textId="2AB012B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$355</w:t>
            </w:r>
          </w:p>
        </w:tc>
        <w:tc>
          <w:tcPr>
            <w:tcW w:w="623" w:type="pct"/>
          </w:tcPr>
          <w:p w14:paraId="648CAF2C" w14:textId="3F92BF7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$361</w:t>
            </w:r>
          </w:p>
        </w:tc>
        <w:tc>
          <w:tcPr>
            <w:tcW w:w="623" w:type="pct"/>
          </w:tcPr>
          <w:p w14:paraId="04291889" w14:textId="5436A3C2"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$368</w:t>
            </w:r>
          </w:p>
        </w:tc>
        <w:tc>
          <w:tcPr>
            <w:tcW w:w="620" w:type="pct"/>
          </w:tcPr>
          <w:p w14:paraId="379EE250" w14:textId="46EE913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$374</w:t>
            </w:r>
          </w:p>
        </w:tc>
      </w:tr>
      <w:tr w:rsidR="00D3394D" w:rsidRPr="006C12BA" w14:paraId="18A3F17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563E6AD6" w14:textId="77777777" w:rsidR="00D3394D" w:rsidRPr="00772A3B" w:rsidRDefault="00D3394D" w:rsidP="00D3394D">
            <w:pPr>
              <w:rPr>
                <w:szCs w:val="18"/>
              </w:rPr>
            </w:pPr>
          </w:p>
        </w:tc>
        <w:tc>
          <w:tcPr>
            <w:tcW w:w="1269" w:type="pct"/>
          </w:tcPr>
          <w:p w14:paraId="33957FDD" w14:textId="18F611C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09571F40" w14:textId="6EED1FD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6E56852E" w14:textId="49451DB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1.9%</w:t>
            </w:r>
          </w:p>
        </w:tc>
        <w:tc>
          <w:tcPr>
            <w:tcW w:w="623" w:type="pct"/>
          </w:tcPr>
          <w:p w14:paraId="084038FD" w14:textId="7B925E5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3" w:type="pct"/>
          </w:tcPr>
          <w:p w14:paraId="22D6FE61" w14:textId="393AB79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0" w:type="pct"/>
          </w:tcPr>
          <w:p w14:paraId="2CE9991E" w14:textId="1CA17F9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r>
    </w:tbl>
    <w:p w14:paraId="6473F6DD" w14:textId="77777777" w:rsidR="008A17F1" w:rsidRDefault="008A17F1" w:rsidP="00100296">
      <w:pPr>
        <w:rPr>
          <w:b/>
          <w:bCs/>
        </w:rPr>
      </w:pPr>
    </w:p>
    <w:p w14:paraId="4FD26DCD" w14:textId="77777777" w:rsidR="00100296" w:rsidRDefault="00100296" w:rsidP="00100296">
      <w:pPr>
        <w:rPr>
          <w:b/>
          <w:bCs/>
        </w:rPr>
      </w:pPr>
      <w:r w:rsidRPr="0066757B">
        <w:rPr>
          <w:b/>
          <w:bCs/>
        </w:rPr>
        <w:t>Business (non-residential) bills</w:t>
      </w:r>
    </w:p>
    <w:p w14:paraId="56CB326E" w14:textId="4D66848A" w:rsidR="00100296" w:rsidRDefault="00100296" w:rsidP="00100296">
      <w:pPr>
        <w:pStyle w:val="Caption"/>
        <w:rPr>
          <w:b/>
          <w:bCs/>
        </w:rPr>
      </w:pPr>
      <w:bookmarkStart w:id="153" w:name="_Ref144722881"/>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30</w:t>
      </w:r>
      <w:r w:rsidRPr="004B1EAF">
        <w:rPr>
          <w:b/>
        </w:rPr>
        <w:fldChar w:fldCharType="end"/>
      </w:r>
      <w:bookmarkEnd w:id="153"/>
      <w:r>
        <w:t xml:space="preserve"> Proposed business customers bills </w:t>
      </w:r>
      <w:r w:rsidRPr="00354D78">
        <w:t>($, 2023-24)</w:t>
      </w:r>
    </w:p>
    <w:tbl>
      <w:tblPr>
        <w:tblStyle w:val="GWWDefaulttable"/>
        <w:tblW w:w="5000" w:type="pct"/>
        <w:tblLook w:val="04A0" w:firstRow="1" w:lastRow="0" w:firstColumn="1" w:lastColumn="0" w:noHBand="0" w:noVBand="1"/>
      </w:tblPr>
      <w:tblGrid>
        <w:gridCol w:w="1030"/>
        <w:gridCol w:w="2863"/>
        <w:gridCol w:w="1149"/>
        <w:gridCol w:w="1149"/>
        <w:gridCol w:w="1149"/>
        <w:gridCol w:w="1149"/>
        <w:gridCol w:w="1149"/>
      </w:tblGrid>
      <w:tr w:rsidR="005F57B2" w:rsidRPr="005F57B2" w14:paraId="75D269AB" w14:textId="77777777" w:rsidTr="00205D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4" w:type="pct"/>
          </w:tcPr>
          <w:p w14:paraId="53A466C6" w14:textId="77777777" w:rsidR="005F57B2" w:rsidRPr="005F57B2" w:rsidRDefault="005F57B2" w:rsidP="005F57B2">
            <w:r w:rsidRPr="005F57B2">
              <w:t>Region</w:t>
            </w:r>
          </w:p>
        </w:tc>
        <w:tc>
          <w:tcPr>
            <w:tcW w:w="1485" w:type="pct"/>
          </w:tcPr>
          <w:p w14:paraId="65079EC9" w14:textId="77777777" w:rsidR="005F57B2" w:rsidRPr="005F57B2" w:rsidRDefault="005F57B2" w:rsidP="005F57B2">
            <w:pPr>
              <w:cnfStyle w:val="100000000000" w:firstRow="1" w:lastRow="0" w:firstColumn="0" w:lastColumn="0" w:oddVBand="0" w:evenVBand="0" w:oddHBand="0" w:evenHBand="0" w:firstRowFirstColumn="0" w:firstRowLastColumn="0" w:lastRowFirstColumn="0" w:lastRowLastColumn="0"/>
            </w:pPr>
            <w:r w:rsidRPr="005F57B2">
              <w:t>Customer segment</w:t>
            </w:r>
          </w:p>
        </w:tc>
        <w:tc>
          <w:tcPr>
            <w:tcW w:w="596" w:type="pct"/>
            <w:vAlign w:val="center"/>
          </w:tcPr>
          <w:p w14:paraId="7063623A"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2023-24</w:t>
            </w:r>
          </w:p>
        </w:tc>
        <w:tc>
          <w:tcPr>
            <w:tcW w:w="596" w:type="pct"/>
            <w:vAlign w:val="center"/>
          </w:tcPr>
          <w:p w14:paraId="2FBC49C6"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2024-25</w:t>
            </w:r>
          </w:p>
        </w:tc>
        <w:tc>
          <w:tcPr>
            <w:tcW w:w="596" w:type="pct"/>
            <w:vAlign w:val="center"/>
          </w:tcPr>
          <w:p w14:paraId="656710C3"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2025-26</w:t>
            </w:r>
          </w:p>
        </w:tc>
        <w:tc>
          <w:tcPr>
            <w:tcW w:w="596" w:type="pct"/>
            <w:vAlign w:val="center"/>
          </w:tcPr>
          <w:p w14:paraId="3DFAEEE5"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2026-27</w:t>
            </w:r>
          </w:p>
        </w:tc>
        <w:tc>
          <w:tcPr>
            <w:tcW w:w="596" w:type="pct"/>
            <w:vAlign w:val="center"/>
          </w:tcPr>
          <w:p w14:paraId="5EAB89CD"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2027-28</w:t>
            </w:r>
          </w:p>
        </w:tc>
      </w:tr>
      <w:tr w:rsidR="001B37AE" w:rsidRPr="005F57B2" w14:paraId="57CBDA5C"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242CAA0D" w14:textId="77777777" w:rsidR="001B37AE" w:rsidRPr="00772A3B" w:rsidRDefault="001B37AE" w:rsidP="001B37AE">
            <w:pPr>
              <w:rPr>
                <w:b w:val="0"/>
              </w:rPr>
            </w:pPr>
            <w:r w:rsidRPr="00772A3B">
              <w:rPr>
                <w:b w:val="0"/>
              </w:rPr>
              <w:t>Overall</w:t>
            </w:r>
          </w:p>
        </w:tc>
        <w:tc>
          <w:tcPr>
            <w:tcW w:w="1485" w:type="pct"/>
          </w:tcPr>
          <w:p w14:paraId="608481F9" w14:textId="2CCAB28E"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567B11B6" w14:textId="67AE994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$1,278</w:t>
            </w:r>
          </w:p>
        </w:tc>
        <w:tc>
          <w:tcPr>
            <w:tcW w:w="596" w:type="pct"/>
          </w:tcPr>
          <w:p w14:paraId="4A634E4E" w14:textId="17C25D14"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$1,285</w:t>
            </w:r>
          </w:p>
        </w:tc>
        <w:tc>
          <w:tcPr>
            <w:tcW w:w="596" w:type="pct"/>
          </w:tcPr>
          <w:p w14:paraId="5EBFE259" w14:textId="4DA9B86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$1,282</w:t>
            </w:r>
          </w:p>
        </w:tc>
        <w:tc>
          <w:tcPr>
            <w:tcW w:w="596" w:type="pct"/>
          </w:tcPr>
          <w:p w14:paraId="025B4C46" w14:textId="35CE385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$1,278</w:t>
            </w:r>
          </w:p>
        </w:tc>
        <w:tc>
          <w:tcPr>
            <w:tcW w:w="596" w:type="pct"/>
          </w:tcPr>
          <w:p w14:paraId="0389C80A" w14:textId="0FD5BFF9"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$1,275</w:t>
            </w:r>
          </w:p>
        </w:tc>
      </w:tr>
      <w:tr w:rsidR="001B37AE" w:rsidRPr="005F57B2" w14:paraId="0B7728BE"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2CCB6E44" w14:textId="77777777" w:rsidR="001B37AE" w:rsidRPr="00772A3B" w:rsidRDefault="001B37AE" w:rsidP="001B37AE">
            <w:pPr>
              <w:rPr>
                <w:b w:val="0"/>
              </w:rPr>
            </w:pPr>
          </w:p>
        </w:tc>
        <w:tc>
          <w:tcPr>
            <w:tcW w:w="1485" w:type="pct"/>
          </w:tcPr>
          <w:p w14:paraId="1351E344" w14:textId="7F5040AB"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478870AF"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5857C044" w14:textId="163277A5"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0.5%</w:t>
            </w:r>
          </w:p>
        </w:tc>
        <w:tc>
          <w:tcPr>
            <w:tcW w:w="596" w:type="pct"/>
          </w:tcPr>
          <w:p w14:paraId="3977D09D" w14:textId="2924B3A8"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c>
          <w:tcPr>
            <w:tcW w:w="596" w:type="pct"/>
          </w:tcPr>
          <w:p w14:paraId="448ADDB1" w14:textId="000D0F26"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c>
          <w:tcPr>
            <w:tcW w:w="596" w:type="pct"/>
          </w:tcPr>
          <w:p w14:paraId="1E67B428" w14:textId="100AD37D"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r>
      <w:tr w:rsidR="001B37AE" w:rsidRPr="005F57B2" w14:paraId="3374A5E7"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154EFCA" w14:textId="77777777" w:rsidR="001B37AE" w:rsidRPr="00772A3B" w:rsidRDefault="001B37AE" w:rsidP="001B37AE">
            <w:pPr>
              <w:rPr>
                <w:b w:val="0"/>
              </w:rPr>
            </w:pPr>
          </w:p>
        </w:tc>
        <w:tc>
          <w:tcPr>
            <w:tcW w:w="1485" w:type="pct"/>
          </w:tcPr>
          <w:p w14:paraId="727FEE06" w14:textId="5EB29042"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30DB4D9F" w14:textId="24231A0F"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$5,546</w:t>
            </w:r>
          </w:p>
        </w:tc>
        <w:tc>
          <w:tcPr>
            <w:tcW w:w="596" w:type="pct"/>
          </w:tcPr>
          <w:p w14:paraId="683DA6E6" w14:textId="5C9EE46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$5,573</w:t>
            </w:r>
          </w:p>
        </w:tc>
        <w:tc>
          <w:tcPr>
            <w:tcW w:w="596" w:type="pct"/>
          </w:tcPr>
          <w:p w14:paraId="2038B31A" w14:textId="614735C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$5,570</w:t>
            </w:r>
          </w:p>
        </w:tc>
        <w:tc>
          <w:tcPr>
            <w:tcW w:w="596" w:type="pct"/>
          </w:tcPr>
          <w:p w14:paraId="3A3BB55A" w14:textId="5E51FD2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$5,566</w:t>
            </w:r>
          </w:p>
        </w:tc>
        <w:tc>
          <w:tcPr>
            <w:tcW w:w="596" w:type="pct"/>
          </w:tcPr>
          <w:p w14:paraId="1FA90D6C" w14:textId="140FC380"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$5,563</w:t>
            </w:r>
          </w:p>
        </w:tc>
      </w:tr>
      <w:tr w:rsidR="001B37AE" w:rsidRPr="005F57B2" w14:paraId="58B8FFB4"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284EB21" w14:textId="77777777" w:rsidR="001B37AE" w:rsidRPr="00772A3B" w:rsidRDefault="001B37AE" w:rsidP="001B37AE">
            <w:pPr>
              <w:rPr>
                <w:b w:val="0"/>
              </w:rPr>
            </w:pPr>
          </w:p>
        </w:tc>
        <w:tc>
          <w:tcPr>
            <w:tcW w:w="1485" w:type="pct"/>
          </w:tcPr>
          <w:p w14:paraId="003D3B3E" w14:textId="1E63374D"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48165C5D" w14:textId="1093B7A1"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1CE24763" w14:textId="3BCBC00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2FD95C89" w14:textId="1292545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c>
          <w:tcPr>
            <w:tcW w:w="596" w:type="pct"/>
          </w:tcPr>
          <w:p w14:paraId="40BFB6C1" w14:textId="12BA3CE3"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c>
          <w:tcPr>
            <w:tcW w:w="596" w:type="pct"/>
          </w:tcPr>
          <w:p w14:paraId="15D2F2CA" w14:textId="0DBE9B8C"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r>
      <w:tr w:rsidR="001B37AE" w:rsidRPr="005F57B2" w14:paraId="5FECA8F2"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4C3691CE" w14:textId="77777777" w:rsidR="001B37AE" w:rsidRPr="00772A3B" w:rsidRDefault="001B37AE" w:rsidP="001B37AE">
            <w:pPr>
              <w:rPr>
                <w:b w:val="0"/>
              </w:rPr>
            </w:pPr>
            <w:r w:rsidRPr="00772A3B">
              <w:rPr>
                <w:b w:val="0"/>
              </w:rPr>
              <w:t>Central</w:t>
            </w:r>
          </w:p>
        </w:tc>
        <w:tc>
          <w:tcPr>
            <w:tcW w:w="1485" w:type="pct"/>
          </w:tcPr>
          <w:p w14:paraId="64845783" w14:textId="45935580"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441E27F6" w14:textId="1E465DA8"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$1,297</w:t>
            </w:r>
          </w:p>
        </w:tc>
        <w:tc>
          <w:tcPr>
            <w:tcW w:w="596" w:type="pct"/>
          </w:tcPr>
          <w:p w14:paraId="53EFED5F" w14:textId="367CFEB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$1,305</w:t>
            </w:r>
          </w:p>
        </w:tc>
        <w:tc>
          <w:tcPr>
            <w:tcW w:w="596" w:type="pct"/>
          </w:tcPr>
          <w:p w14:paraId="367229A8" w14:textId="595F2B6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$1,302</w:t>
            </w:r>
          </w:p>
        </w:tc>
        <w:tc>
          <w:tcPr>
            <w:tcW w:w="596" w:type="pct"/>
          </w:tcPr>
          <w:p w14:paraId="54B4EB32" w14:textId="5A46D94E"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$1,299</w:t>
            </w:r>
          </w:p>
        </w:tc>
        <w:tc>
          <w:tcPr>
            <w:tcW w:w="596" w:type="pct"/>
          </w:tcPr>
          <w:p w14:paraId="3BAFBCD9" w14:textId="314BB09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$1,296</w:t>
            </w:r>
          </w:p>
        </w:tc>
      </w:tr>
      <w:tr w:rsidR="001B37AE" w:rsidRPr="005F57B2" w14:paraId="5B37CEE8"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5F08F880" w14:textId="77777777" w:rsidR="001B37AE" w:rsidRPr="00772A3B" w:rsidRDefault="001B37AE" w:rsidP="001B37AE">
            <w:pPr>
              <w:rPr>
                <w:b w:val="0"/>
              </w:rPr>
            </w:pPr>
          </w:p>
        </w:tc>
        <w:tc>
          <w:tcPr>
            <w:tcW w:w="1485" w:type="pct"/>
          </w:tcPr>
          <w:p w14:paraId="76322EDF" w14:textId="4043F8D9"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7E3D222F"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0A556AFA" w14:textId="3FC3871F"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0.6%</w:t>
            </w:r>
          </w:p>
        </w:tc>
        <w:tc>
          <w:tcPr>
            <w:tcW w:w="596" w:type="pct"/>
          </w:tcPr>
          <w:p w14:paraId="09F59CB7" w14:textId="4B23956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c>
          <w:tcPr>
            <w:tcW w:w="596" w:type="pct"/>
          </w:tcPr>
          <w:p w14:paraId="2E89CC2F" w14:textId="2F27E59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c>
          <w:tcPr>
            <w:tcW w:w="596" w:type="pct"/>
          </w:tcPr>
          <w:p w14:paraId="776AE749" w14:textId="289FA2C8"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r>
      <w:tr w:rsidR="001B37AE" w:rsidRPr="005F57B2" w14:paraId="2190DD44"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56DEA747" w14:textId="77777777" w:rsidR="001B37AE" w:rsidRPr="00772A3B" w:rsidRDefault="001B37AE" w:rsidP="001B37AE">
            <w:pPr>
              <w:rPr>
                <w:b w:val="0"/>
              </w:rPr>
            </w:pPr>
          </w:p>
        </w:tc>
        <w:tc>
          <w:tcPr>
            <w:tcW w:w="1485" w:type="pct"/>
          </w:tcPr>
          <w:p w14:paraId="36C43200" w14:textId="64449C8C"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1FBEF05C" w14:textId="6E078CA4"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$5,694</w:t>
            </w:r>
          </w:p>
        </w:tc>
        <w:tc>
          <w:tcPr>
            <w:tcW w:w="596" w:type="pct"/>
          </w:tcPr>
          <w:p w14:paraId="7B17C266" w14:textId="733FFC2E"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$5,722</w:t>
            </w:r>
          </w:p>
        </w:tc>
        <w:tc>
          <w:tcPr>
            <w:tcW w:w="596" w:type="pct"/>
          </w:tcPr>
          <w:p w14:paraId="5989C01C" w14:textId="22068424"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$5,719</w:t>
            </w:r>
          </w:p>
        </w:tc>
        <w:tc>
          <w:tcPr>
            <w:tcW w:w="596" w:type="pct"/>
          </w:tcPr>
          <w:p w14:paraId="149BD228" w14:textId="25AAD4A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$5,716</w:t>
            </w:r>
          </w:p>
        </w:tc>
        <w:tc>
          <w:tcPr>
            <w:tcW w:w="596" w:type="pct"/>
          </w:tcPr>
          <w:p w14:paraId="38DA1628" w14:textId="0B531D3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$5,714</w:t>
            </w:r>
          </w:p>
        </w:tc>
      </w:tr>
      <w:tr w:rsidR="001B37AE" w:rsidRPr="005F57B2" w14:paraId="6B56953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151A3D22" w14:textId="77777777" w:rsidR="001B37AE" w:rsidRPr="00772A3B" w:rsidRDefault="001B37AE" w:rsidP="001B37AE">
            <w:pPr>
              <w:rPr>
                <w:b w:val="0"/>
              </w:rPr>
            </w:pPr>
          </w:p>
        </w:tc>
        <w:tc>
          <w:tcPr>
            <w:tcW w:w="1485" w:type="pct"/>
          </w:tcPr>
          <w:p w14:paraId="2AA80670" w14:textId="37369C46"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0B0BBC4D" w14:textId="297AB6AC"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5C437FA2" w14:textId="0E94856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24844365" w14:textId="72CE594B"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c>
          <w:tcPr>
            <w:tcW w:w="596" w:type="pct"/>
          </w:tcPr>
          <w:p w14:paraId="011A2F7E" w14:textId="714477C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c>
          <w:tcPr>
            <w:tcW w:w="596" w:type="pct"/>
          </w:tcPr>
          <w:p w14:paraId="649CB848" w14:textId="6AB3C59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r>
      <w:tr w:rsidR="001B37AE" w:rsidRPr="005F57B2" w14:paraId="1BC405C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73A87730" w14:textId="77777777" w:rsidR="001B37AE" w:rsidRPr="00772A3B" w:rsidRDefault="001B37AE" w:rsidP="001B37AE">
            <w:pPr>
              <w:rPr>
                <w:b w:val="0"/>
              </w:rPr>
            </w:pPr>
            <w:r w:rsidRPr="00772A3B">
              <w:rPr>
                <w:b w:val="0"/>
              </w:rPr>
              <w:t>Western</w:t>
            </w:r>
          </w:p>
        </w:tc>
        <w:tc>
          <w:tcPr>
            <w:tcW w:w="1485" w:type="pct"/>
          </w:tcPr>
          <w:p w14:paraId="20F15C75" w14:textId="7668F82E"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6674BD42" w14:textId="0FE0B16D"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$1,057</w:t>
            </w:r>
          </w:p>
        </w:tc>
        <w:tc>
          <w:tcPr>
            <w:tcW w:w="596" w:type="pct"/>
          </w:tcPr>
          <w:p w14:paraId="278D7521" w14:textId="2E461A5A"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$1,056</w:t>
            </w:r>
          </w:p>
        </w:tc>
        <w:tc>
          <w:tcPr>
            <w:tcW w:w="596" w:type="pct"/>
          </w:tcPr>
          <w:p w14:paraId="78D338E5" w14:textId="53F0384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$1,046</w:t>
            </w:r>
          </w:p>
        </w:tc>
        <w:tc>
          <w:tcPr>
            <w:tcW w:w="596" w:type="pct"/>
          </w:tcPr>
          <w:p w14:paraId="5A3A9516" w14:textId="7583584D"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$1,036</w:t>
            </w:r>
          </w:p>
        </w:tc>
        <w:tc>
          <w:tcPr>
            <w:tcW w:w="596" w:type="pct"/>
          </w:tcPr>
          <w:p w14:paraId="14765C6A" w14:textId="79026794"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$1,026</w:t>
            </w:r>
          </w:p>
        </w:tc>
      </w:tr>
      <w:tr w:rsidR="001B37AE" w:rsidRPr="005F57B2" w14:paraId="0D85D92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759B6BE9" w14:textId="77777777" w:rsidR="001B37AE" w:rsidRPr="00772A3B" w:rsidRDefault="001B37AE" w:rsidP="001B37AE">
            <w:pPr>
              <w:rPr>
                <w:b w:val="0"/>
              </w:rPr>
            </w:pPr>
          </w:p>
        </w:tc>
        <w:tc>
          <w:tcPr>
            <w:tcW w:w="1485" w:type="pct"/>
          </w:tcPr>
          <w:p w14:paraId="6687CDF7" w14:textId="3405E1B7"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02F5748B"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1D84BCFC" w14:textId="6C4C8C01"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-0.1%</w:t>
            </w:r>
          </w:p>
        </w:tc>
        <w:tc>
          <w:tcPr>
            <w:tcW w:w="596" w:type="pct"/>
          </w:tcPr>
          <w:p w14:paraId="0852C3C7" w14:textId="4FA3EA4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-0.9%</w:t>
            </w:r>
          </w:p>
        </w:tc>
        <w:tc>
          <w:tcPr>
            <w:tcW w:w="596" w:type="pct"/>
          </w:tcPr>
          <w:p w14:paraId="6A2D648F" w14:textId="5E5FF053"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-0.9%</w:t>
            </w:r>
          </w:p>
        </w:tc>
        <w:tc>
          <w:tcPr>
            <w:tcW w:w="596" w:type="pct"/>
          </w:tcPr>
          <w:p w14:paraId="6A77B5C9" w14:textId="21937905"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-1.0%</w:t>
            </w:r>
          </w:p>
        </w:tc>
      </w:tr>
      <w:tr w:rsidR="001B37AE" w:rsidRPr="005F57B2" w14:paraId="0D0642F5"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6EFB0535" w14:textId="77777777" w:rsidR="001B37AE" w:rsidRPr="00772A3B" w:rsidRDefault="001B37AE" w:rsidP="001B37AE">
            <w:pPr>
              <w:rPr>
                <w:b w:val="0"/>
              </w:rPr>
            </w:pPr>
          </w:p>
        </w:tc>
        <w:tc>
          <w:tcPr>
            <w:tcW w:w="1485" w:type="pct"/>
          </w:tcPr>
          <w:p w14:paraId="2F03B7F8" w14:textId="00FEBC4B"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3CB5665B" w14:textId="749E7AB9"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$3,812</w:t>
            </w:r>
          </w:p>
        </w:tc>
        <w:tc>
          <w:tcPr>
            <w:tcW w:w="596" w:type="pct"/>
          </w:tcPr>
          <w:p w14:paraId="162492EB" w14:textId="18652959"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$3,830</w:t>
            </w:r>
          </w:p>
        </w:tc>
        <w:tc>
          <w:tcPr>
            <w:tcW w:w="596" w:type="pct"/>
          </w:tcPr>
          <w:p w14:paraId="1424FD64" w14:textId="3D89D9CE"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$3,820</w:t>
            </w:r>
          </w:p>
        </w:tc>
        <w:tc>
          <w:tcPr>
            <w:tcW w:w="596" w:type="pct"/>
          </w:tcPr>
          <w:p w14:paraId="6A19ABC2" w14:textId="7342091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$3,811</w:t>
            </w:r>
          </w:p>
        </w:tc>
        <w:tc>
          <w:tcPr>
            <w:tcW w:w="596" w:type="pct"/>
          </w:tcPr>
          <w:p w14:paraId="75DF27C9" w14:textId="6C3A4C3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$3,801</w:t>
            </w:r>
          </w:p>
        </w:tc>
      </w:tr>
      <w:tr w:rsidR="001B37AE" w:rsidRPr="005F57B2" w14:paraId="551A6B99"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A1F8B9F" w14:textId="77777777" w:rsidR="001B37AE" w:rsidRPr="005F57B2" w:rsidRDefault="001B37AE" w:rsidP="001B37AE"/>
        </w:tc>
        <w:tc>
          <w:tcPr>
            <w:tcW w:w="1485" w:type="pct"/>
          </w:tcPr>
          <w:p w14:paraId="373C4028" w14:textId="478A4291"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1D761FDE" w14:textId="0ABFF382"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57B13940" w14:textId="138ADD68"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44EE2F88" w14:textId="515CA95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c>
          <w:tcPr>
            <w:tcW w:w="596" w:type="pct"/>
          </w:tcPr>
          <w:p w14:paraId="00A241BD" w14:textId="6AD917D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c>
          <w:tcPr>
            <w:tcW w:w="596" w:type="pct"/>
          </w:tcPr>
          <w:p w14:paraId="6BC08E27" w14:textId="2573830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r>
    </w:tbl>
    <w:p w14:paraId="430362EF" w14:textId="77777777" w:rsidR="00100296" w:rsidRDefault="00100296" w:rsidP="00100296">
      <w:pPr>
        <w:rPr>
          <w:b/>
          <w:bCs/>
        </w:rPr>
      </w:pPr>
    </w:p>
    <w:p w14:paraId="14C48868" w14:textId="77777777" w:rsidR="008A17F1" w:rsidRDefault="008A17F1" w:rsidP="008A17F1">
      <w:pPr>
        <w:rPr>
          <w:b/>
          <w:bCs/>
        </w:rPr>
      </w:pPr>
      <w:r w:rsidRPr="00B839AA">
        <w:rPr>
          <w:b/>
          <w:bCs/>
        </w:rPr>
        <w:t xml:space="preserve">Tenant bill rebate </w:t>
      </w:r>
    </w:p>
    <w:p w14:paraId="095C7AF3" w14:textId="29877150" w:rsidR="008A17F1" w:rsidRDefault="008A17F1" w:rsidP="008A17F1">
      <w:r w:rsidRPr="00D91C1D">
        <w:t>During the 2020 price submission, W</w:t>
      </w:r>
      <w:r w:rsidR="00002D99">
        <w:t>W</w:t>
      </w:r>
      <w:r w:rsidRPr="00D91C1D">
        <w:t xml:space="preserve"> applied a rebate to residential tenants’ bills. </w:t>
      </w:r>
      <w:r>
        <w:t xml:space="preserve">This rebate has been reduced over time and </w:t>
      </w:r>
      <w:r w:rsidRPr="00D91C1D">
        <w:t xml:space="preserve">will </w:t>
      </w:r>
      <w:r>
        <w:t xml:space="preserve">continue to </w:t>
      </w:r>
      <w:r w:rsidRPr="00D91C1D">
        <w:t>decrease by approximately $15 p</w:t>
      </w:r>
      <w:r w:rsidR="00002D99">
        <w:t xml:space="preserve">er </w:t>
      </w:r>
      <w:r w:rsidRPr="00D91C1D">
        <w:t>a</w:t>
      </w:r>
      <w:r w:rsidR="00002D99">
        <w:t>nnum</w:t>
      </w:r>
      <w:r w:rsidRPr="00D91C1D">
        <w:t xml:space="preserve"> until it is $0 in 2027-28. G</w:t>
      </w:r>
      <w:r w:rsidR="00002D99">
        <w:t>WW</w:t>
      </w:r>
      <w:r w:rsidRPr="00D91C1D">
        <w:t xml:space="preserve"> </w:t>
      </w:r>
      <w:r>
        <w:t xml:space="preserve">has been </w:t>
      </w:r>
      <w:r w:rsidRPr="00D91C1D">
        <w:t>absorb</w:t>
      </w:r>
      <w:r>
        <w:t>ing the costs associated with</w:t>
      </w:r>
      <w:r w:rsidRPr="00D91C1D">
        <w:t xml:space="preserve"> this rebate</w:t>
      </w:r>
      <w:r>
        <w:t xml:space="preserve"> and will continue to do so until it is removed completely</w:t>
      </w:r>
      <w:r w:rsidRPr="00D91C1D">
        <w:t>.</w:t>
      </w:r>
      <w:r w:rsidRPr="00276E51">
        <w:t xml:space="preserve"> </w:t>
      </w:r>
    </w:p>
    <w:p w14:paraId="3BE57021" w14:textId="620021E2" w:rsidR="008A17F1" w:rsidRDefault="008A17F1" w:rsidP="008A17F1">
      <w:pPr>
        <w:pStyle w:val="Caption"/>
      </w:pPr>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31</w:t>
      </w:r>
      <w:r w:rsidRPr="004B1EAF">
        <w:rPr>
          <w:b/>
        </w:rPr>
        <w:fldChar w:fldCharType="end"/>
      </w:r>
      <w:r>
        <w:t xml:space="preserve"> Rebate value for previous western tenant customers</w:t>
      </w:r>
      <w:r w:rsidR="00F83723">
        <w:t xml:space="preserve"> ($, nominal)</w:t>
      </w:r>
      <w:r>
        <w:t xml:space="preserve"> </w:t>
      </w:r>
    </w:p>
    <w:tbl>
      <w:tblPr>
        <w:tblStyle w:val="GWWDefaulttable"/>
        <w:tblW w:w="5000" w:type="pct"/>
        <w:tblLook w:val="04A0" w:firstRow="1" w:lastRow="0" w:firstColumn="1" w:lastColumn="0" w:noHBand="0" w:noVBand="1"/>
      </w:tblPr>
      <w:tblGrid>
        <w:gridCol w:w="2587"/>
        <w:gridCol w:w="1411"/>
        <w:gridCol w:w="1411"/>
        <w:gridCol w:w="1411"/>
        <w:gridCol w:w="1411"/>
        <w:gridCol w:w="1407"/>
      </w:tblGrid>
      <w:tr w:rsidR="008A17F1" w14:paraId="3BDBCA60" w14:textId="77777777" w:rsidTr="00205D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42" w:type="pct"/>
          </w:tcPr>
          <w:p w14:paraId="6C0B7023" w14:textId="77777777" w:rsidR="008A17F1" w:rsidRPr="007D7F69" w:rsidRDefault="008A17F1" w:rsidP="00D117D6">
            <w:pPr>
              <w:pStyle w:val="NoSpacing"/>
              <w:jc w:val="right"/>
            </w:pPr>
          </w:p>
        </w:tc>
        <w:tc>
          <w:tcPr>
            <w:tcW w:w="732" w:type="pct"/>
            <w:vAlign w:val="center"/>
          </w:tcPr>
          <w:p w14:paraId="0DD9D9DE"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2023-24</w:t>
            </w:r>
          </w:p>
        </w:tc>
        <w:tc>
          <w:tcPr>
            <w:tcW w:w="732" w:type="pct"/>
            <w:vAlign w:val="center"/>
          </w:tcPr>
          <w:p w14:paraId="7987C388"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2024-25</w:t>
            </w:r>
          </w:p>
        </w:tc>
        <w:tc>
          <w:tcPr>
            <w:tcW w:w="732" w:type="pct"/>
            <w:vAlign w:val="center"/>
          </w:tcPr>
          <w:p w14:paraId="686526D9"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2025-26</w:t>
            </w:r>
          </w:p>
        </w:tc>
        <w:tc>
          <w:tcPr>
            <w:tcW w:w="732" w:type="pct"/>
            <w:vAlign w:val="center"/>
          </w:tcPr>
          <w:p w14:paraId="0B904926"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2026-27</w:t>
            </w:r>
          </w:p>
        </w:tc>
        <w:tc>
          <w:tcPr>
            <w:tcW w:w="730" w:type="pct"/>
            <w:vAlign w:val="center"/>
          </w:tcPr>
          <w:p w14:paraId="3952E303"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2027-28</w:t>
            </w:r>
          </w:p>
        </w:tc>
      </w:tr>
      <w:tr w:rsidR="008A17F1" w14:paraId="58E55AC7" w14:textId="77777777" w:rsidTr="00205D4D">
        <w:trPr>
          <w:trHeight w:val="132"/>
        </w:trPr>
        <w:tc>
          <w:tcPr>
            <w:cnfStyle w:val="001000000000" w:firstRow="0" w:lastRow="0" w:firstColumn="1" w:lastColumn="0" w:oddVBand="0" w:evenVBand="0" w:oddHBand="0" w:evenHBand="0" w:firstRowFirstColumn="0" w:firstRowLastColumn="0" w:lastRowFirstColumn="0" w:lastRowLastColumn="0"/>
            <w:tcW w:w="1342" w:type="pct"/>
          </w:tcPr>
          <w:p w14:paraId="79EF8802" w14:textId="77777777" w:rsidR="008A17F1" w:rsidRPr="004B1EAF" w:rsidRDefault="008A17F1">
            <w:pPr>
              <w:rPr>
                <w:b w:val="0"/>
                <w:szCs w:val="20"/>
              </w:rPr>
            </w:pPr>
            <w:r w:rsidRPr="004B1EAF">
              <w:rPr>
                <w:b w:val="0"/>
                <w:szCs w:val="20"/>
              </w:rPr>
              <w:t>Rebate amount</w:t>
            </w:r>
          </w:p>
        </w:tc>
        <w:tc>
          <w:tcPr>
            <w:tcW w:w="732" w:type="pct"/>
            <w:vAlign w:val="center"/>
          </w:tcPr>
          <w:p w14:paraId="7541AB56"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60.30 </w:t>
            </w:r>
          </w:p>
        </w:tc>
        <w:tc>
          <w:tcPr>
            <w:tcW w:w="732" w:type="pct"/>
            <w:vAlign w:val="center"/>
          </w:tcPr>
          <w:p w14:paraId="7356F0C2"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45.23 </w:t>
            </w:r>
          </w:p>
        </w:tc>
        <w:tc>
          <w:tcPr>
            <w:tcW w:w="732" w:type="pct"/>
            <w:vAlign w:val="center"/>
          </w:tcPr>
          <w:p w14:paraId="695F3FAE"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30.16 </w:t>
            </w:r>
          </w:p>
        </w:tc>
        <w:tc>
          <w:tcPr>
            <w:tcW w:w="732" w:type="pct"/>
            <w:vAlign w:val="center"/>
          </w:tcPr>
          <w:p w14:paraId="061AE422"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15.09 </w:t>
            </w:r>
          </w:p>
        </w:tc>
        <w:tc>
          <w:tcPr>
            <w:tcW w:w="730" w:type="pct"/>
            <w:vAlign w:val="center"/>
          </w:tcPr>
          <w:p w14:paraId="50AEB1BC"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0.00 </w:t>
            </w:r>
          </w:p>
        </w:tc>
      </w:tr>
    </w:tbl>
    <w:p w14:paraId="71D86A31" w14:textId="77777777" w:rsidR="008A17F1" w:rsidRPr="002C6D67" w:rsidRDefault="008A17F1" w:rsidP="008A17F1"/>
    <w:p w14:paraId="166EDB34" w14:textId="77777777" w:rsidR="008A17F1" w:rsidRDefault="008A17F1" w:rsidP="008A17F1">
      <w:pPr>
        <w:rPr>
          <w:b/>
          <w:bCs/>
        </w:rPr>
      </w:pPr>
      <w:r w:rsidRPr="001D0752">
        <w:rPr>
          <w:b/>
          <w:bCs/>
        </w:rPr>
        <w:t>Weighting our bills</w:t>
      </w:r>
    </w:p>
    <w:p w14:paraId="35DC280B" w14:textId="12908F76" w:rsidR="008A17F1" w:rsidRDefault="008A17F1" w:rsidP="008A17F1">
      <w:r w:rsidRPr="00072992">
        <w:t xml:space="preserve">Given </w:t>
      </w:r>
      <w:r>
        <w:t>the two different pricing regions</w:t>
      </w:r>
      <w:r w:rsidRPr="00072992">
        <w:t xml:space="preserve">, we </w:t>
      </w:r>
      <w:r>
        <w:t xml:space="preserve">have used customer numbers shown in </w:t>
      </w:r>
      <w:r>
        <w:fldChar w:fldCharType="begin"/>
      </w:r>
      <w:r>
        <w:instrText xml:space="preserve"> REF _Ref143094120 \h </w:instrText>
      </w:r>
      <w:r>
        <w:fldChar w:fldCharType="separate"/>
      </w:r>
      <w:r w:rsidR="003B42C6" w:rsidRPr="00325B4B">
        <w:rPr>
          <w:b/>
        </w:rPr>
        <w:t xml:space="preserve">Table </w:t>
      </w:r>
      <w:r w:rsidR="003B42C6">
        <w:rPr>
          <w:b/>
          <w:noProof/>
        </w:rPr>
        <w:t>32</w:t>
      </w:r>
      <w:r>
        <w:fldChar w:fldCharType="end"/>
      </w:r>
      <w:r w:rsidR="00E3078C">
        <w:t xml:space="preserve"> </w:t>
      </w:r>
      <w:r w:rsidRPr="00072992">
        <w:t xml:space="preserve">to derive </w:t>
      </w:r>
      <w:r>
        <w:t xml:space="preserve">weighted average </w:t>
      </w:r>
      <w:r w:rsidRPr="00072992">
        <w:t>G</w:t>
      </w:r>
      <w:r w:rsidR="00002D99">
        <w:t>WW</w:t>
      </w:r>
      <w:r w:rsidRPr="00072992">
        <w:t xml:space="preserve"> bills for the 2025-2028 period.</w:t>
      </w:r>
    </w:p>
    <w:p w14:paraId="59F8F2C7" w14:textId="414B78E1" w:rsidR="008A17F1" w:rsidRDefault="008A17F1" w:rsidP="008A17F1">
      <w:pPr>
        <w:pStyle w:val="Caption"/>
      </w:pPr>
      <w:bookmarkStart w:id="154" w:name="_Ref143094120"/>
      <w:r w:rsidRPr="00325B4B">
        <w:rPr>
          <w:b/>
        </w:rPr>
        <w:t>Table</w:t>
      </w:r>
      <w:r w:rsidR="00763137" w:rsidRPr="00325B4B">
        <w:rPr>
          <w:b/>
        </w:rPr>
        <w:t xml:space="preserve"> </w:t>
      </w:r>
      <w:r w:rsidRPr="00325B4B">
        <w:rPr>
          <w:b/>
        </w:rPr>
        <w:fldChar w:fldCharType="begin"/>
      </w:r>
      <w:r w:rsidRPr="00325B4B">
        <w:rPr>
          <w:b/>
        </w:rPr>
        <w:instrText>SEQ Table \* ARABIC</w:instrText>
      </w:r>
      <w:r w:rsidRPr="00325B4B">
        <w:rPr>
          <w:b/>
        </w:rPr>
        <w:fldChar w:fldCharType="separate"/>
      </w:r>
      <w:r w:rsidR="003B42C6">
        <w:rPr>
          <w:b/>
          <w:noProof/>
        </w:rPr>
        <w:t>32</w:t>
      </w:r>
      <w:r w:rsidRPr="00325B4B">
        <w:rPr>
          <w:b/>
        </w:rPr>
        <w:fldChar w:fldCharType="end"/>
      </w:r>
      <w:bookmarkEnd w:id="154"/>
      <w:r>
        <w:t xml:space="preserve"> Customer numbers for central and western regions </w:t>
      </w:r>
    </w:p>
    <w:tbl>
      <w:tblPr>
        <w:tblStyle w:val="GWWDefaulttable"/>
        <w:tblW w:w="5000" w:type="pct"/>
        <w:tblLook w:val="04A0" w:firstRow="1" w:lastRow="0" w:firstColumn="1" w:lastColumn="0" w:noHBand="0" w:noVBand="1"/>
      </w:tblPr>
      <w:tblGrid>
        <w:gridCol w:w="3544"/>
        <w:gridCol w:w="1843"/>
        <w:gridCol w:w="1841"/>
        <w:gridCol w:w="2410"/>
      </w:tblGrid>
      <w:tr w:rsidR="008A17F1" w14:paraId="3BDDED6A" w14:textId="77777777" w:rsidTr="0020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vAlign w:val="center"/>
          </w:tcPr>
          <w:p w14:paraId="3E86B2C1" w14:textId="77777777" w:rsidR="008A17F1" w:rsidRDefault="008A17F1" w:rsidP="00D117D6">
            <w:pPr>
              <w:pStyle w:val="NoSpacing"/>
            </w:pPr>
            <w:r w:rsidRPr="007D499E">
              <w:t xml:space="preserve">ESC BED1 water customers (as </w:t>
            </w:r>
            <w:proofErr w:type="gramStart"/>
            <w:r w:rsidRPr="007D499E">
              <w:t>at</w:t>
            </w:r>
            <w:proofErr w:type="gramEnd"/>
            <w:r w:rsidRPr="007D499E">
              <w:t xml:space="preserve"> 30 June 2023)</w:t>
            </w:r>
          </w:p>
        </w:tc>
        <w:tc>
          <w:tcPr>
            <w:tcW w:w="956" w:type="pct"/>
            <w:vAlign w:val="center"/>
          </w:tcPr>
          <w:p w14:paraId="5084769F"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Central</w:t>
            </w:r>
          </w:p>
        </w:tc>
        <w:tc>
          <w:tcPr>
            <w:tcW w:w="955" w:type="pct"/>
            <w:vAlign w:val="center"/>
          </w:tcPr>
          <w:p w14:paraId="04C789CE"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Western</w:t>
            </w:r>
          </w:p>
        </w:tc>
        <w:tc>
          <w:tcPr>
            <w:tcW w:w="1250" w:type="pct"/>
            <w:vAlign w:val="center"/>
          </w:tcPr>
          <w:p w14:paraId="75FE67B8"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Total</w:t>
            </w:r>
          </w:p>
        </w:tc>
      </w:tr>
      <w:tr w:rsidR="008A17F1" w14:paraId="468BC867"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4BE9C0D1" w14:textId="77777777" w:rsidR="008A17F1" w:rsidRPr="000C6C49" w:rsidRDefault="008A17F1">
            <w:pPr>
              <w:rPr>
                <w:b w:val="0"/>
              </w:rPr>
            </w:pPr>
            <w:r w:rsidRPr="000C6C49">
              <w:rPr>
                <w:b w:val="0"/>
              </w:rPr>
              <w:t xml:space="preserve">Residential </w:t>
            </w:r>
          </w:p>
        </w:tc>
        <w:tc>
          <w:tcPr>
            <w:tcW w:w="956" w:type="pct"/>
            <w:vAlign w:val="center"/>
          </w:tcPr>
          <w:p w14:paraId="6196EC70"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rsidRPr="00A21358">
              <w:t>483,492</w:t>
            </w:r>
          </w:p>
        </w:tc>
        <w:tc>
          <w:tcPr>
            <w:tcW w:w="955" w:type="pct"/>
            <w:vAlign w:val="center"/>
          </w:tcPr>
          <w:p w14:paraId="75F96EB5"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84,775</w:t>
            </w:r>
          </w:p>
        </w:tc>
        <w:tc>
          <w:tcPr>
            <w:tcW w:w="1250" w:type="pct"/>
            <w:vAlign w:val="center"/>
          </w:tcPr>
          <w:p w14:paraId="7D1916C7"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568,267</w:t>
            </w:r>
          </w:p>
        </w:tc>
      </w:tr>
      <w:tr w:rsidR="008A17F1" w14:paraId="27478FB5"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7B93F7D9" w14:textId="77777777" w:rsidR="008A17F1" w:rsidRPr="000C6C49" w:rsidRDefault="008A17F1">
            <w:pPr>
              <w:rPr>
                <w:b w:val="0"/>
              </w:rPr>
            </w:pPr>
            <w:r w:rsidRPr="000C6C49">
              <w:rPr>
                <w:b w:val="0"/>
              </w:rPr>
              <w:t>Business</w:t>
            </w:r>
          </w:p>
        </w:tc>
        <w:tc>
          <w:tcPr>
            <w:tcW w:w="956" w:type="pct"/>
            <w:vAlign w:val="center"/>
          </w:tcPr>
          <w:p w14:paraId="76983744"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rsidRPr="00A21358">
              <w:t>43,627</w:t>
            </w:r>
          </w:p>
        </w:tc>
        <w:tc>
          <w:tcPr>
            <w:tcW w:w="955" w:type="pct"/>
            <w:vAlign w:val="center"/>
          </w:tcPr>
          <w:p w14:paraId="488D1A39"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3,725</w:t>
            </w:r>
          </w:p>
        </w:tc>
        <w:tc>
          <w:tcPr>
            <w:tcW w:w="1250" w:type="pct"/>
            <w:vAlign w:val="center"/>
          </w:tcPr>
          <w:p w14:paraId="6833D38C"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47,352</w:t>
            </w:r>
          </w:p>
        </w:tc>
      </w:tr>
      <w:tr w:rsidR="008A17F1" w14:paraId="42B2B5BD"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7F60D12A" w14:textId="77777777" w:rsidR="008A17F1" w:rsidRDefault="008A17F1">
            <w:r>
              <w:t>Total</w:t>
            </w:r>
          </w:p>
        </w:tc>
        <w:tc>
          <w:tcPr>
            <w:tcW w:w="956" w:type="pct"/>
            <w:vAlign w:val="center"/>
          </w:tcPr>
          <w:p w14:paraId="40454439"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527,119</w:t>
            </w:r>
          </w:p>
        </w:tc>
        <w:tc>
          <w:tcPr>
            <w:tcW w:w="955" w:type="pct"/>
            <w:vAlign w:val="center"/>
          </w:tcPr>
          <w:p w14:paraId="3C57243C"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88,500</w:t>
            </w:r>
          </w:p>
        </w:tc>
        <w:tc>
          <w:tcPr>
            <w:tcW w:w="1250" w:type="pct"/>
            <w:vAlign w:val="center"/>
          </w:tcPr>
          <w:p w14:paraId="7615F05A"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615,619</w:t>
            </w:r>
          </w:p>
        </w:tc>
      </w:tr>
    </w:tbl>
    <w:p w14:paraId="073E2636" w14:textId="56DF85F1" w:rsidR="00100296" w:rsidRPr="008A41A1" w:rsidRDefault="00100296" w:rsidP="008A41A1">
      <w:pPr>
        <w:pStyle w:val="Heading1"/>
        <w:rPr>
          <w:rStyle w:val="tabchar"/>
        </w:rPr>
      </w:pPr>
      <w:bookmarkStart w:id="155" w:name="_Ref145919119"/>
      <w:bookmarkStart w:id="156" w:name="_Toc146004871"/>
      <w:bookmarkStart w:id="157" w:name="_Toc146004759"/>
      <w:bookmarkStart w:id="158" w:name="_Toc146746705"/>
      <w:r w:rsidRPr="008A41A1">
        <w:lastRenderedPageBreak/>
        <w:t>Our tariff structures and fees</w:t>
      </w:r>
      <w:bookmarkEnd w:id="155"/>
      <w:bookmarkEnd w:id="156"/>
      <w:bookmarkEnd w:id="157"/>
      <w:bookmarkEnd w:id="158"/>
    </w:p>
    <w:p w14:paraId="6A20056B" w14:textId="27EFAD88" w:rsidR="00002D99" w:rsidRDefault="00100296" w:rsidP="00100296">
      <w:r w:rsidRPr="002955AB">
        <w:t xml:space="preserve">Customers told us at all stages of our engagement that affordability </w:t>
      </w:r>
      <w:r w:rsidR="4B1BF1D6">
        <w:t>is important</w:t>
      </w:r>
      <w:r>
        <w:t xml:space="preserve"> </w:t>
      </w:r>
      <w:r w:rsidR="00B11E29" w:rsidRPr="002955AB">
        <w:t>and no</w:t>
      </w:r>
      <w:r w:rsidRPr="002955AB">
        <w:t xml:space="preserve"> matter where</w:t>
      </w:r>
      <w:r w:rsidR="53B88DCC">
        <w:t xml:space="preserve"> </w:t>
      </w:r>
      <w:r w:rsidR="371D91DD">
        <w:t>customers</w:t>
      </w:r>
      <w:r w:rsidR="00002D99">
        <w:t xml:space="preserve"> </w:t>
      </w:r>
      <w:r w:rsidR="00AF18DF">
        <w:t>live,</w:t>
      </w:r>
      <w:r w:rsidR="00002D99">
        <w:t xml:space="preserve"> they</w:t>
      </w:r>
      <w:r w:rsidRPr="002955AB">
        <w:t xml:space="preserve"> should experience a similar price for a similar service.</w:t>
      </w:r>
      <w:r>
        <w:t xml:space="preserve"> </w:t>
      </w:r>
    </w:p>
    <w:p w14:paraId="764CAA53" w14:textId="1A8B3940" w:rsidR="00100296" w:rsidRDefault="00100296" w:rsidP="00100296">
      <w:r>
        <w:t>This section describes our proposed tariff reform and tariffs for the 2024-28 period.</w:t>
      </w:r>
    </w:p>
    <w:p w14:paraId="255316B8" w14:textId="3F5955D3" w:rsidR="00BC60F2" w:rsidRDefault="00DC2F11" w:rsidP="00BC60F2">
      <w:pPr>
        <w:pStyle w:val="BoxedQuoteHeading"/>
      </w:pPr>
      <w:r>
        <w:t>Summary</w:t>
      </w:r>
    </w:p>
    <w:p w14:paraId="7F9B47D6" w14:textId="41974EE2" w:rsidR="00BC60F2" w:rsidRDefault="00BC60F2" w:rsidP="00BC60F2">
      <w:pPr>
        <w:pStyle w:val="BoxedBullet"/>
      </w:pPr>
      <w:r>
        <w:t xml:space="preserve">Average residential customer bills will decrease by </w:t>
      </w:r>
      <w:r w:rsidR="00CC41AB">
        <w:t>1.</w:t>
      </w:r>
      <w:r>
        <w:t>0% and remain stable over the regulatory period.</w:t>
      </w:r>
    </w:p>
    <w:p w14:paraId="031FE963" w14:textId="6851B4D9" w:rsidR="00BC60F2" w:rsidRDefault="00BC60F2" w:rsidP="00BC60F2">
      <w:pPr>
        <w:pStyle w:val="BoxedBullet"/>
      </w:pPr>
      <w:r>
        <w:t>Distinct central and western pricing areas will continue throughout the period.</w:t>
      </w:r>
    </w:p>
    <w:p w14:paraId="7A492C31" w14:textId="0A07B630" w:rsidR="00BC60F2" w:rsidRDefault="0038464B" w:rsidP="00BC60F2">
      <w:pPr>
        <w:pStyle w:val="BoxedBullet"/>
      </w:pPr>
      <w:r>
        <w:t>Our t</w:t>
      </w:r>
      <w:r w:rsidR="00BC60F2">
        <w:t>ariff strategy will deliver transition to similar prices for similar services across the pricing areas over time.</w:t>
      </w:r>
    </w:p>
    <w:p w14:paraId="64313A9A" w14:textId="307FC17D" w:rsidR="00BC60F2" w:rsidRDefault="001A2C14" w:rsidP="00BC60F2">
      <w:pPr>
        <w:pStyle w:val="BoxedBullet"/>
      </w:pPr>
      <w:r>
        <w:t>The p</w:t>
      </w:r>
      <w:r w:rsidR="00BC60F2">
        <w:t>roposed tariff reform will:</w:t>
      </w:r>
    </w:p>
    <w:p w14:paraId="4FA21EF4" w14:textId="57302310" w:rsidR="00BC60F2" w:rsidRDefault="00BC60F2" w:rsidP="00BC60F2">
      <w:pPr>
        <w:pStyle w:val="BoxedBullet2"/>
      </w:pPr>
      <w:r>
        <w:t xml:space="preserve">remove the residential sewage disposal charge for central customers in 2024-25 </w:t>
      </w:r>
    </w:p>
    <w:p w14:paraId="198A5DE5" w14:textId="52160F06" w:rsidR="00BC60F2" w:rsidRDefault="00BC60F2" w:rsidP="00BC60F2">
      <w:pPr>
        <w:pStyle w:val="BoxedBullet2"/>
      </w:pPr>
      <w:r>
        <w:t xml:space="preserve">introduce residential potable water volumetric tariffs conditional on service connection availability for central customers in 2024-25 </w:t>
      </w:r>
    </w:p>
    <w:p w14:paraId="26AD00E2" w14:textId="6C40D934" w:rsidR="00BC60F2" w:rsidRPr="0093311C" w:rsidRDefault="00BC60F2" w:rsidP="00BC60F2">
      <w:pPr>
        <w:pStyle w:val="BoxedBullet2"/>
      </w:pPr>
      <w:r>
        <w:t>remove the third step charge of the residential volumetric potable water tariff for western customers in 2024-25.</w:t>
      </w:r>
    </w:p>
    <w:p w14:paraId="5D01CAE4" w14:textId="77777777" w:rsidR="00100296" w:rsidRDefault="00100296" w:rsidP="00BB45A5">
      <w:pPr>
        <w:pStyle w:val="Heading2"/>
      </w:pPr>
      <w:bookmarkStart w:id="159" w:name="_Toc146004872"/>
      <w:bookmarkStart w:id="160" w:name="_Toc146004760"/>
      <w:bookmarkStart w:id="161" w:name="_Toc146746706"/>
      <w:r>
        <w:t>Our tariff strategy</w:t>
      </w:r>
      <w:bookmarkEnd w:id="159"/>
      <w:bookmarkEnd w:id="160"/>
      <w:bookmarkEnd w:id="161"/>
    </w:p>
    <w:p w14:paraId="28D18205" w14:textId="41DADB57" w:rsidR="00100296" w:rsidRDefault="00100296" w:rsidP="00100296">
      <w:r>
        <w:t xml:space="preserve">GWW has operated under unique circumstances with two distinct determinations for two regions in our service area. Customers </w:t>
      </w:r>
      <w:r w:rsidR="002507F2">
        <w:t>receive</w:t>
      </w:r>
      <w:r>
        <w:t xml:space="preserve"> different tariff structures </w:t>
      </w:r>
      <w:r w:rsidR="00281992">
        <w:t>in</w:t>
      </w:r>
      <w:r w:rsidR="00CE7711">
        <w:t xml:space="preserve"> each region </w:t>
      </w:r>
      <w:r>
        <w:t xml:space="preserve">and, subsequently, different </w:t>
      </w:r>
      <w:r w:rsidR="00E34821">
        <w:t>price</w:t>
      </w:r>
      <w:r w:rsidR="000E2359">
        <w:t>s</w:t>
      </w:r>
      <w:r w:rsidR="00E34821">
        <w:t xml:space="preserve"> and </w:t>
      </w:r>
      <w:r>
        <w:t>bills</w:t>
      </w:r>
      <w:r w:rsidR="000E2359">
        <w:t>.</w:t>
      </w:r>
      <w:r>
        <w:t xml:space="preserve"> </w:t>
      </w:r>
    </w:p>
    <w:p w14:paraId="211F5294" w14:textId="7D1C08F8" w:rsidR="001079C6" w:rsidRDefault="000E2359" w:rsidP="0078229A">
      <w:r>
        <w:t>GWW</w:t>
      </w:r>
      <w:r w:rsidR="00100296">
        <w:t xml:space="preserve"> mitigated some of these differences through </w:t>
      </w:r>
      <w:r w:rsidR="00077315">
        <w:t>the application of</w:t>
      </w:r>
      <w:r w:rsidR="00100296">
        <w:t xml:space="preserve"> our tariff basket</w:t>
      </w:r>
      <w:r w:rsidR="00994354">
        <w:t>,</w:t>
      </w:r>
      <w:r w:rsidR="00732571">
        <w:t xml:space="preserve"> </w:t>
      </w:r>
      <w:r w:rsidR="00CE3E64">
        <w:t>limiting the</w:t>
      </w:r>
      <w:r w:rsidR="00A229E9">
        <w:t xml:space="preserve"> annual </w:t>
      </w:r>
      <w:r w:rsidR="00100296">
        <w:t xml:space="preserve">divergence of similar charges across the region. </w:t>
      </w:r>
      <w:r w:rsidR="00F879B2">
        <w:t xml:space="preserve">This was </w:t>
      </w:r>
      <w:r w:rsidR="005D6A45">
        <w:t>guided by</w:t>
      </w:r>
      <w:r w:rsidR="00255B20">
        <w:t xml:space="preserve"> </w:t>
      </w:r>
      <w:r w:rsidR="00065386">
        <w:t>our tariff strategy of providing a</w:t>
      </w:r>
      <w:r w:rsidR="00255B20">
        <w:t xml:space="preserve"> </w:t>
      </w:r>
      <w:r w:rsidR="00EA18DD">
        <w:t xml:space="preserve">similar price for a similar service across </w:t>
      </w:r>
      <w:r w:rsidR="002047C4">
        <w:t>our</w:t>
      </w:r>
      <w:r w:rsidR="00A31624">
        <w:t xml:space="preserve"> service area</w:t>
      </w:r>
      <w:r w:rsidR="001F21B4">
        <w:t xml:space="preserve"> and making sensible al</w:t>
      </w:r>
      <w:r w:rsidR="00411D4A">
        <w:t xml:space="preserve">ignments </w:t>
      </w:r>
      <w:r w:rsidR="00A400C1">
        <w:t xml:space="preserve">within the </w:t>
      </w:r>
      <w:r w:rsidR="0056691A">
        <w:t>framework</w:t>
      </w:r>
      <w:r w:rsidR="00A400C1">
        <w:t xml:space="preserve"> of the </w:t>
      </w:r>
      <w:r w:rsidR="00EF66E4">
        <w:t xml:space="preserve">existing </w:t>
      </w:r>
      <w:r w:rsidR="000D549B">
        <w:t>determinations</w:t>
      </w:r>
      <w:r w:rsidR="00A44E8E">
        <w:t xml:space="preserve">. </w:t>
      </w:r>
    </w:p>
    <w:p w14:paraId="1B95B247" w14:textId="2E96430A" w:rsidR="00047CC5" w:rsidRDefault="00DB0809" w:rsidP="00100296">
      <w:r>
        <w:t>Thro</w:t>
      </w:r>
      <w:r w:rsidR="00C85BBA">
        <w:t>ugh the current period we</w:t>
      </w:r>
      <w:r w:rsidR="007E6E47">
        <w:t xml:space="preserve"> focused on</w:t>
      </w:r>
      <w:r w:rsidR="00E8486C">
        <w:t xml:space="preserve"> delivering </w:t>
      </w:r>
      <w:r w:rsidR="006C1DD8">
        <w:t xml:space="preserve">average </w:t>
      </w:r>
      <w:r w:rsidR="00E8486C">
        <w:t xml:space="preserve">customer bills that </w:t>
      </w:r>
      <w:r w:rsidR="00BC740F">
        <w:t>were lowe</w:t>
      </w:r>
      <w:r w:rsidR="00763447">
        <w:t xml:space="preserve">r than </w:t>
      </w:r>
      <w:r w:rsidR="00D22F9A">
        <w:t xml:space="preserve">the bills customers would have </w:t>
      </w:r>
      <w:r w:rsidR="00CB6343">
        <w:t xml:space="preserve">received under the price paths approved in the </w:t>
      </w:r>
      <w:r w:rsidR="000E3FAF">
        <w:t xml:space="preserve">CWW and WW </w:t>
      </w:r>
      <w:r w:rsidR="0078229A">
        <w:t>determinations.</w:t>
      </w:r>
      <w:r w:rsidR="00047CC5">
        <w:t xml:space="preserve"> </w:t>
      </w:r>
      <w:r w:rsidR="00047CC5" w:rsidRPr="000D49D9">
        <w:t>GWW has absorbed the revenue shortfall from these lower prices, ensuring customers were better off as we integrated the business.</w:t>
      </w:r>
    </w:p>
    <w:p w14:paraId="2604623B" w14:textId="67B5E2F9" w:rsidR="00100296" w:rsidRDefault="00100296" w:rsidP="00100296">
      <w:r>
        <w:t xml:space="preserve">This price submission is our opportunity to deliver and stage key tariff reform </w:t>
      </w:r>
      <w:r w:rsidR="008C3185">
        <w:t xml:space="preserve">under a new GWW determination. </w:t>
      </w:r>
      <w:r w:rsidR="00382911">
        <w:t xml:space="preserve">Our proposals </w:t>
      </w:r>
      <w:r>
        <w:t>align with our long-term tariff strategy</w:t>
      </w:r>
      <w:r w:rsidR="002047C4">
        <w:t>,</w:t>
      </w:r>
      <w:r>
        <w:t xml:space="preserve"> customer preferences of similar prices for similar services</w:t>
      </w:r>
      <w:r w:rsidR="00E16EE5">
        <w:t xml:space="preserve"> and customer </w:t>
      </w:r>
      <w:r w:rsidR="00700C4B">
        <w:t xml:space="preserve">views on tariff </w:t>
      </w:r>
      <w:r w:rsidR="009D12D1">
        <w:t>structures across our service area</w:t>
      </w:r>
      <w:r>
        <w:t>.</w:t>
      </w:r>
    </w:p>
    <w:p w14:paraId="59CAFEFC" w14:textId="35555556" w:rsidR="00100296" w:rsidRPr="000C716B" w:rsidRDefault="00D464F2" w:rsidP="00BC60F2">
      <w:pPr>
        <w:pStyle w:val="Heading3-nonumber"/>
      </w:pPr>
      <w:r>
        <w:t>W</w:t>
      </w:r>
      <w:r w:rsidR="00100296" w:rsidRPr="000C716B">
        <w:t xml:space="preserve">e want all customers to experience </w:t>
      </w:r>
      <w:r>
        <w:t>a</w:t>
      </w:r>
      <w:r w:rsidR="00100296" w:rsidRPr="000C716B">
        <w:t xml:space="preserve"> similar level of service at a fair </w:t>
      </w:r>
      <w:proofErr w:type="gramStart"/>
      <w:r w:rsidR="00100296" w:rsidRPr="000C716B">
        <w:t>price</w:t>
      </w:r>
      <w:proofErr w:type="gramEnd"/>
    </w:p>
    <w:p w14:paraId="6B43422C" w14:textId="3C9B3AFC" w:rsidR="00100296" w:rsidRPr="006B234B" w:rsidRDefault="00100296" w:rsidP="000D49D9">
      <w:r>
        <w:t xml:space="preserve">For our customers, we expect that, whether you live in the CBD or in Melton, you will experience </w:t>
      </w:r>
      <w:r w:rsidR="007F2892">
        <w:t>a similar</w:t>
      </w:r>
      <w:r>
        <w:t xml:space="preserve"> level of service for a fair and similar price. We will deliver this by</w:t>
      </w:r>
      <w:r w:rsidR="0021639D">
        <w:t xml:space="preserve"> </w:t>
      </w:r>
      <w:r w:rsidRPr="006B234B">
        <w:lastRenderedPageBreak/>
        <w:t xml:space="preserve">simplifying tariff structures </w:t>
      </w:r>
      <w:r w:rsidR="009A1F38">
        <w:t>and transition</w:t>
      </w:r>
      <w:r w:rsidR="002047C4">
        <w:t>ing</w:t>
      </w:r>
      <w:r w:rsidRPr="006B234B">
        <w:t xml:space="preserve"> prices across our</w:t>
      </w:r>
      <w:r w:rsidR="00E33A84">
        <w:t xml:space="preserve"> service</w:t>
      </w:r>
      <w:r w:rsidRPr="006B234B">
        <w:t xml:space="preserve"> region over time</w:t>
      </w:r>
      <w:r w:rsidR="00BF15A3">
        <w:t xml:space="preserve"> while maintaining distinct </w:t>
      </w:r>
      <w:r w:rsidR="00EC07A6">
        <w:t>c</w:t>
      </w:r>
      <w:r w:rsidR="00BF15A3">
        <w:t xml:space="preserve">entral and </w:t>
      </w:r>
      <w:r w:rsidR="00EC07A6">
        <w:t>w</w:t>
      </w:r>
      <w:r w:rsidR="00BF15A3">
        <w:t>estern pricing zones d</w:t>
      </w:r>
      <w:r w:rsidR="006D78C2">
        <w:t>uring the period</w:t>
      </w:r>
      <w:r w:rsidR="0021639D">
        <w:t>.</w:t>
      </w:r>
    </w:p>
    <w:p w14:paraId="0B6F254E" w14:textId="4AA55CA5" w:rsidR="00F3016F" w:rsidRDefault="00100296" w:rsidP="00F3016F">
      <w:r>
        <w:t>To enact our long-term tariff strategy, we propose to</w:t>
      </w:r>
      <w:r w:rsidR="00A7696F">
        <w:t xml:space="preserve"> undertake the following tariff structure reform</w:t>
      </w:r>
      <w:r>
        <w:t>:</w:t>
      </w:r>
    </w:p>
    <w:p w14:paraId="2CA7402C" w14:textId="44971327" w:rsidR="00100296" w:rsidRPr="00CD749E" w:rsidRDefault="00EC07A6">
      <w:pPr>
        <w:pStyle w:val="ListBullet"/>
        <w:numPr>
          <w:ilvl w:val="0"/>
          <w:numId w:val="128"/>
        </w:numPr>
      </w:pPr>
      <w:r>
        <w:t>R</w:t>
      </w:r>
      <w:r w:rsidR="00100296" w:rsidRPr="00CD749E">
        <w:t xml:space="preserve">emove the residential sewage disposal (as </w:t>
      </w:r>
      <w:r w:rsidR="00CB5027">
        <w:t>committed to</w:t>
      </w:r>
      <w:r w:rsidR="00CB5027" w:rsidRPr="00CD749E">
        <w:t xml:space="preserve"> </w:t>
      </w:r>
      <w:r w:rsidR="00100296" w:rsidRPr="00CD749E">
        <w:t>in CWW’s 2018 price submission) and introduce a residential water volumetric tariff conditional on service connection availability for central customers in 2024-25</w:t>
      </w:r>
      <w:r w:rsidR="00A9307D">
        <w:t>.</w:t>
      </w:r>
    </w:p>
    <w:p w14:paraId="27559FB1" w14:textId="4F8F0E83" w:rsidR="00100296" w:rsidRDefault="00EC07A6">
      <w:pPr>
        <w:pStyle w:val="ListBullet"/>
        <w:numPr>
          <w:ilvl w:val="0"/>
          <w:numId w:val="128"/>
        </w:numPr>
      </w:pPr>
      <w:r>
        <w:t>R</w:t>
      </w:r>
      <w:r w:rsidR="00100296" w:rsidRPr="00CD749E">
        <w:t>emove the third step charge of the residential volumetric potable water tariff for western customers in 2024-25.</w:t>
      </w:r>
    </w:p>
    <w:p w14:paraId="0C050E3A" w14:textId="17FB05A8" w:rsidR="00956E90" w:rsidRDefault="00507D02" w:rsidP="00064CC7">
      <w:r>
        <w:t xml:space="preserve">These </w:t>
      </w:r>
      <w:r w:rsidR="006B2E5C">
        <w:t>proposed structural changes</w:t>
      </w:r>
      <w:r>
        <w:t xml:space="preserve"> </w:t>
      </w:r>
      <w:r w:rsidR="007D5DF1">
        <w:t xml:space="preserve">reflect the </w:t>
      </w:r>
      <w:r w:rsidR="00CF1662">
        <w:t xml:space="preserve">preferences of our customers and </w:t>
      </w:r>
      <w:r w:rsidR="004761F4">
        <w:t xml:space="preserve">will simplify key components of our </w:t>
      </w:r>
      <w:r w:rsidR="001C6126">
        <w:t xml:space="preserve">residential </w:t>
      </w:r>
      <w:r w:rsidR="0049049C">
        <w:t xml:space="preserve">tariff structures </w:t>
      </w:r>
      <w:r w:rsidR="00355EFD">
        <w:t xml:space="preserve">across our service region </w:t>
      </w:r>
      <w:r w:rsidR="008B3AAB">
        <w:t>during the 2024</w:t>
      </w:r>
      <w:r w:rsidR="00EC07A6">
        <w:t>-</w:t>
      </w:r>
      <w:r w:rsidR="008B3AAB">
        <w:t>28 regulatory period</w:t>
      </w:r>
      <w:r w:rsidR="00054C60">
        <w:t xml:space="preserve">. </w:t>
      </w:r>
      <w:r w:rsidR="00100296">
        <w:t xml:space="preserve">We will continue to investigate </w:t>
      </w:r>
      <w:r w:rsidR="00033789">
        <w:t xml:space="preserve">and </w:t>
      </w:r>
      <w:r w:rsidR="00C74476">
        <w:t xml:space="preserve">engage with our customers on </w:t>
      </w:r>
      <w:r w:rsidR="00100296">
        <w:t xml:space="preserve">other avenues </w:t>
      </w:r>
      <w:r w:rsidR="00C74476">
        <w:t>for</w:t>
      </w:r>
      <w:r w:rsidR="00100296">
        <w:t xml:space="preserve"> alignment of tariff structures in the </w:t>
      </w:r>
      <w:r w:rsidR="00C74476">
        <w:t>following period</w:t>
      </w:r>
      <w:r w:rsidR="001C6126">
        <w:t>.</w:t>
      </w:r>
    </w:p>
    <w:p w14:paraId="2D70F0F4" w14:textId="77777777" w:rsidR="00100296" w:rsidRDefault="00100296" w:rsidP="00BB45A5">
      <w:pPr>
        <w:pStyle w:val="Heading2"/>
      </w:pPr>
      <w:bookmarkStart w:id="162" w:name="_Toc146004873"/>
      <w:bookmarkStart w:id="163" w:name="_Toc146004761"/>
      <w:bookmarkStart w:id="164" w:name="_Toc146746707"/>
      <w:r>
        <w:t xml:space="preserve">Our core </w:t>
      </w:r>
      <w:proofErr w:type="gramStart"/>
      <w:r>
        <w:t>services</w:t>
      </w:r>
      <w:bookmarkEnd w:id="162"/>
      <w:bookmarkEnd w:id="163"/>
      <w:bookmarkEnd w:id="164"/>
      <w:proofErr w:type="gramEnd"/>
    </w:p>
    <w:p w14:paraId="60D88A12" w14:textId="4CE5937C" w:rsidR="00100296" w:rsidRDefault="00100296" w:rsidP="00100296">
      <w:r w:rsidRPr="00D30205">
        <w:t xml:space="preserve">Our core services include potable water, sewerage, recycled </w:t>
      </w:r>
      <w:proofErr w:type="gramStart"/>
      <w:r w:rsidRPr="00D30205">
        <w:t>water</w:t>
      </w:r>
      <w:proofErr w:type="gramEnd"/>
      <w:r w:rsidRPr="00D30205">
        <w:t xml:space="preserve"> and trade waste services for residential and business</w:t>
      </w:r>
      <w:r w:rsidR="00AB623B">
        <w:t xml:space="preserve"> (</w:t>
      </w:r>
      <w:r w:rsidRPr="00D30205">
        <w:t>non-residential</w:t>
      </w:r>
      <w:r w:rsidR="00AB623B">
        <w:t>)</w:t>
      </w:r>
      <w:r w:rsidRPr="00D30205">
        <w:t xml:space="preserve"> customers.</w:t>
      </w:r>
      <w:r w:rsidR="00A03E5B">
        <w:t xml:space="preserve"> </w:t>
      </w:r>
    </w:p>
    <w:p w14:paraId="6E35AEAD" w14:textId="77777777" w:rsidR="00100296" w:rsidRDefault="00100296" w:rsidP="005B69CD">
      <w:pPr>
        <w:pStyle w:val="Heading3"/>
      </w:pPr>
      <w:r>
        <w:t>Residential services</w:t>
      </w:r>
    </w:p>
    <w:p w14:paraId="057C5B30" w14:textId="0AD3C4B6" w:rsidR="000A39CA" w:rsidRPr="000A39CA" w:rsidRDefault="000A39CA" w:rsidP="007A61F1">
      <w:r>
        <w:t xml:space="preserve">A summary of our current and proposed billing practices for residential customers in the central and western areas from 1 July 2024 can be found in </w:t>
      </w:r>
      <w:r w:rsidR="00781286">
        <w:t>the</w:t>
      </w:r>
      <w:r w:rsidR="00E40EEF">
        <w:t xml:space="preserve"> summary billing practice supporting document</w:t>
      </w:r>
      <w:r>
        <w:t>.</w:t>
      </w:r>
    </w:p>
    <w:p w14:paraId="24590216" w14:textId="17046C9B" w:rsidR="00100296" w:rsidRDefault="00100296" w:rsidP="00100296">
      <w:pPr>
        <w:pStyle w:val="Heading4"/>
      </w:pPr>
      <w:r>
        <w:t>Our proposed tariff reform for residential charges</w:t>
      </w:r>
    </w:p>
    <w:p w14:paraId="05B1B9D9" w14:textId="1E31E052" w:rsidR="00100296" w:rsidRDefault="004C134A" w:rsidP="00100296">
      <w:pPr>
        <w:pStyle w:val="Heading5"/>
      </w:pPr>
      <w:r>
        <w:t xml:space="preserve">How we engaged with </w:t>
      </w:r>
      <w:r w:rsidR="00100296">
        <w:t>customers</w:t>
      </w:r>
    </w:p>
    <w:p w14:paraId="0E33619F" w14:textId="0436B9AE" w:rsidR="00100296" w:rsidRPr="00553E2D" w:rsidRDefault="00100296" w:rsidP="00100296">
      <w:r w:rsidRPr="00553E2D">
        <w:t xml:space="preserve">We explored four key tariff questions with our customers in late 2021, as part of a joint metropolitan water business tariff customer research with </w:t>
      </w:r>
      <w:proofErr w:type="gramStart"/>
      <w:r w:rsidRPr="00553E2D">
        <w:t>South East</w:t>
      </w:r>
      <w:proofErr w:type="gramEnd"/>
      <w:r w:rsidRPr="00553E2D">
        <w:t xml:space="preserve"> Water and Yarra Valley Water</w:t>
      </w:r>
      <w:r w:rsidR="00EC7581">
        <w:t>:</w:t>
      </w:r>
      <w:r w:rsidR="0084356A">
        <w:rPr>
          <w:rStyle w:val="EndnoteReference"/>
        </w:rPr>
        <w:endnoteReference w:id="12"/>
      </w:r>
    </w:p>
    <w:p w14:paraId="6434D58B" w14:textId="77777777" w:rsidR="00100296" w:rsidRPr="00952983" w:rsidRDefault="00100296">
      <w:pPr>
        <w:pStyle w:val="ListBullet"/>
        <w:numPr>
          <w:ilvl w:val="0"/>
          <w:numId w:val="129"/>
        </w:numPr>
      </w:pPr>
      <w:r w:rsidRPr="00952983">
        <w:t>How much of the water/wastewater charges should be fixed and how much should be based on usage?</w:t>
      </w:r>
    </w:p>
    <w:p w14:paraId="59F12BF5" w14:textId="32956083" w:rsidR="00100296" w:rsidRPr="00952983" w:rsidRDefault="00100296">
      <w:pPr>
        <w:pStyle w:val="ListBullet"/>
        <w:numPr>
          <w:ilvl w:val="0"/>
          <w:numId w:val="129"/>
        </w:numPr>
      </w:pPr>
      <w:r w:rsidRPr="00952983">
        <w:t>Should a household pay the same price for every kilolitre of water they use or should the price increase in steps?</w:t>
      </w:r>
    </w:p>
    <w:p w14:paraId="14303684" w14:textId="77777777" w:rsidR="00100296" w:rsidRPr="00952983" w:rsidRDefault="00100296">
      <w:pPr>
        <w:pStyle w:val="ListBullet"/>
        <w:numPr>
          <w:ilvl w:val="0"/>
          <w:numId w:val="129"/>
        </w:numPr>
      </w:pPr>
      <w:r w:rsidRPr="00952983">
        <w:t>Should the sewage disposal charge be removed and spread across other charges?</w:t>
      </w:r>
    </w:p>
    <w:p w14:paraId="18A817A2" w14:textId="77777777" w:rsidR="00100296" w:rsidRPr="00952983" w:rsidRDefault="00100296">
      <w:pPr>
        <w:pStyle w:val="ListBullet"/>
        <w:numPr>
          <w:ilvl w:val="0"/>
          <w:numId w:val="129"/>
        </w:numPr>
      </w:pPr>
      <w:r w:rsidRPr="00952983">
        <w:t>Should the water service charge be related to the size of the water meter at the property?</w:t>
      </w:r>
    </w:p>
    <w:p w14:paraId="039F65BE" w14:textId="0F7622DE" w:rsidR="00100296" w:rsidRDefault="00100296" w:rsidP="00100296">
      <w:r>
        <w:t xml:space="preserve">These questions were explored in five focus groups for each water business, with approximately 44 GWW customers participating. These customers were representative of the community and the focus groups were segmented by income status, political </w:t>
      </w:r>
      <w:proofErr w:type="gramStart"/>
      <w:r>
        <w:t>views</w:t>
      </w:r>
      <w:proofErr w:type="gramEnd"/>
      <w:r>
        <w:t xml:space="preserve"> and a group for financial</w:t>
      </w:r>
      <w:r w:rsidR="00C23AA2">
        <w:t>ly</w:t>
      </w:r>
      <w:r>
        <w:t xml:space="preserve"> vulnerable customers.</w:t>
      </w:r>
    </w:p>
    <w:p w14:paraId="6F743160" w14:textId="54C26D9C" w:rsidR="00062E08" w:rsidRPr="000661AE" w:rsidRDefault="00DC79E4" w:rsidP="009D3D00">
      <w:pPr>
        <w:pStyle w:val="Heading5"/>
      </w:pPr>
      <w:r w:rsidRPr="000661AE">
        <w:t xml:space="preserve">Fixed and variable </w:t>
      </w:r>
      <w:r w:rsidR="00062E08" w:rsidRPr="000661AE">
        <w:t>ratio</w:t>
      </w:r>
    </w:p>
    <w:p w14:paraId="17A4B989" w14:textId="77777777" w:rsidR="00682FDD" w:rsidRPr="001F23BA" w:rsidRDefault="00682FDD" w:rsidP="003778CC">
      <w:pPr>
        <w:pStyle w:val="Heading6"/>
      </w:pPr>
      <w:r w:rsidRPr="001F23BA">
        <w:t>What we heard</w:t>
      </w:r>
    </w:p>
    <w:p w14:paraId="403C21C1" w14:textId="774A9739" w:rsidR="001632B8" w:rsidRDefault="00100296" w:rsidP="00100296">
      <w:r>
        <w:t>On the current fixed to variable ratio of tariffs, three of the five GWW focus groups including the financial</w:t>
      </w:r>
      <w:r w:rsidR="003F3C21">
        <w:t>ly</w:t>
      </w:r>
      <w:r>
        <w:t xml:space="preserve"> vulnerable group wanted </w:t>
      </w:r>
      <w:r w:rsidR="00924FC2">
        <w:t>‘</w:t>
      </w:r>
      <w:r>
        <w:t xml:space="preserve">slightly more’ variable tariffs, with the </w:t>
      </w:r>
      <w:r>
        <w:lastRenderedPageBreak/>
        <w:t xml:space="preserve">remaining two groups wanting ‘somewhat more’ variable tariffs (somewhat being larger than slightly). </w:t>
      </w:r>
      <w:r w:rsidR="00682FDD">
        <w:t>M</w:t>
      </w:r>
      <w:r>
        <w:t xml:space="preserve">ost participants justified their choice for more variable tariffs as it was perceived to encourage water conservation and reflected more of a user pays system with greater control over their bills. However, across the focus groups, some customers recognised that a more variable rate </w:t>
      </w:r>
      <w:r w:rsidR="00D22574">
        <w:t>directly</w:t>
      </w:r>
      <w:r>
        <w:t xml:space="preserve"> </w:t>
      </w:r>
      <w:r w:rsidR="005060CB">
        <w:t>impacted</w:t>
      </w:r>
      <w:r>
        <w:t xml:space="preserve"> renters and opted to maintain the status quo.</w:t>
      </w:r>
    </w:p>
    <w:p w14:paraId="1B07C113" w14:textId="536AA5F3" w:rsidR="001632B8" w:rsidRPr="00FF0BE9" w:rsidRDefault="001632B8" w:rsidP="00100296">
      <w:pPr>
        <w:rPr>
          <w:b/>
        </w:rPr>
      </w:pPr>
      <w:r w:rsidRPr="00EA081F">
        <w:rPr>
          <w:b/>
        </w:rPr>
        <w:t>Our proposal</w:t>
      </w:r>
    </w:p>
    <w:p w14:paraId="150ECCDE" w14:textId="2CE9B8A6" w:rsidR="00100296" w:rsidRDefault="00E715F2" w:rsidP="00100296">
      <w:r>
        <w:t xml:space="preserve">Existing </w:t>
      </w:r>
      <w:r w:rsidRPr="00E715F2">
        <w:t xml:space="preserve">fixed-variable </w:t>
      </w:r>
      <w:r>
        <w:t xml:space="preserve">ratios </w:t>
      </w:r>
      <w:r w:rsidR="00D27FC7">
        <w:t xml:space="preserve">are different </w:t>
      </w:r>
      <w:r w:rsidR="00AD3242">
        <w:t xml:space="preserve">between </w:t>
      </w:r>
      <w:r w:rsidR="007C0708">
        <w:t xml:space="preserve">the </w:t>
      </w:r>
      <w:r w:rsidR="00AD3242">
        <w:t xml:space="preserve">two </w:t>
      </w:r>
      <w:r w:rsidR="007C0708">
        <w:t xml:space="preserve">regions in our service area, </w:t>
      </w:r>
      <w:r w:rsidR="00185EFC">
        <w:t xml:space="preserve">with the </w:t>
      </w:r>
      <w:r w:rsidR="0064140A">
        <w:t>w</w:t>
      </w:r>
      <w:r w:rsidR="00185EFC">
        <w:t xml:space="preserve">estern region </w:t>
      </w:r>
      <w:r>
        <w:t>having</w:t>
      </w:r>
      <w:r w:rsidR="00185EFC">
        <w:t xml:space="preserve"> a m</w:t>
      </w:r>
      <w:r w:rsidR="00222286">
        <w:t>u</w:t>
      </w:r>
      <w:r w:rsidR="00185EFC">
        <w:t>ch higher fixed component</w:t>
      </w:r>
      <w:r w:rsidR="00454AFA">
        <w:t>.</w:t>
      </w:r>
      <w:r>
        <w:t xml:space="preserve"> </w:t>
      </w:r>
      <w:r w:rsidR="0064140A">
        <w:t>Our</w:t>
      </w:r>
      <w:r w:rsidR="00454AFA">
        <w:t xml:space="preserve"> </w:t>
      </w:r>
      <w:r w:rsidRPr="00E715F2">
        <w:t xml:space="preserve">proposed tariff strategy </w:t>
      </w:r>
      <w:r w:rsidR="0064140A">
        <w:t xml:space="preserve">is </w:t>
      </w:r>
      <w:r w:rsidRPr="00E715F2">
        <w:t xml:space="preserve">to align charges over time, </w:t>
      </w:r>
      <w:r w:rsidR="00E32DAD">
        <w:t xml:space="preserve">with </w:t>
      </w:r>
      <w:r w:rsidRPr="00E715F2">
        <w:t xml:space="preserve">the proportion of variable relative to fixed </w:t>
      </w:r>
      <w:r w:rsidR="00E32DAD">
        <w:t>increasing</w:t>
      </w:r>
      <w:r w:rsidRPr="00E715F2">
        <w:t xml:space="preserve"> in the western region</w:t>
      </w:r>
      <w:r w:rsidR="00A639D2">
        <w:t>.</w:t>
      </w:r>
      <w:r w:rsidRPr="00E715F2">
        <w:t xml:space="preserve"> </w:t>
      </w:r>
      <w:r w:rsidR="00A639D2">
        <w:t>This will</w:t>
      </w:r>
      <w:r w:rsidRPr="00E715F2">
        <w:t xml:space="preserve"> better align with the existing fixed to variable balance across the central region. Given th</w:t>
      </w:r>
      <w:r w:rsidR="00FF393B">
        <w:t>e</w:t>
      </w:r>
      <w:r w:rsidRPr="00E715F2">
        <w:t xml:space="preserve"> unique circumstance of our different fixed</w:t>
      </w:r>
      <w:r w:rsidR="00E32DAD">
        <w:t>-</w:t>
      </w:r>
      <w:r w:rsidRPr="00E715F2">
        <w:t xml:space="preserve">variable balance, we propose to hold off on any changes for the central region until charges are </w:t>
      </w:r>
      <w:r w:rsidR="00997E3B">
        <w:t xml:space="preserve">more </w:t>
      </w:r>
      <w:r w:rsidRPr="00E715F2">
        <w:t>close</w:t>
      </w:r>
      <w:r w:rsidR="00997E3B">
        <w:t>ly</w:t>
      </w:r>
      <w:r w:rsidR="00B215A9">
        <w:t xml:space="preserve"> </w:t>
      </w:r>
      <w:r w:rsidRPr="00E715F2">
        <w:t>aligned.</w:t>
      </w:r>
      <w:r w:rsidR="00100296">
        <w:t xml:space="preserve"> </w:t>
      </w:r>
    </w:p>
    <w:p w14:paraId="0D4716EB" w14:textId="606A8F7F" w:rsidR="00FF393B" w:rsidRPr="009D3D00" w:rsidRDefault="0082305E" w:rsidP="009D3D00">
      <w:pPr>
        <w:pStyle w:val="Heading5"/>
      </w:pPr>
      <w:r w:rsidRPr="000661AE">
        <w:t xml:space="preserve">Water usage </w:t>
      </w:r>
      <w:r w:rsidR="00CA0502" w:rsidRPr="000661AE">
        <w:t xml:space="preserve">price </w:t>
      </w:r>
      <w:r w:rsidRPr="000661AE">
        <w:t>steps</w:t>
      </w:r>
    </w:p>
    <w:p w14:paraId="725BF7DA" w14:textId="77777777" w:rsidR="00E32DAD" w:rsidRPr="001F23BA" w:rsidRDefault="00E32DAD" w:rsidP="00B20AE0">
      <w:pPr>
        <w:pStyle w:val="Heading6"/>
      </w:pPr>
      <w:r w:rsidRPr="001F23BA">
        <w:t>What we heard</w:t>
      </w:r>
    </w:p>
    <w:p w14:paraId="0EFA757D" w14:textId="12C1D85B" w:rsidR="00C2176F" w:rsidRDefault="00100296" w:rsidP="00100296">
      <w:r>
        <w:t xml:space="preserve">On the number of steps in the water usage charge, three of the five GWW focus groups </w:t>
      </w:r>
      <w:r w:rsidR="00496F81">
        <w:t>preferred</w:t>
      </w:r>
      <w:r>
        <w:t xml:space="preserve"> a three-step tariff </w:t>
      </w:r>
      <w:r w:rsidR="00222286">
        <w:t>and</w:t>
      </w:r>
      <w:r>
        <w:t xml:space="preserve"> two groups </w:t>
      </w:r>
      <w:r w:rsidR="007A2151">
        <w:t>preferred</w:t>
      </w:r>
      <w:r>
        <w:t xml:space="preserve"> a two-step tariff. We found that customer preferences were mixed across the focus groups </w:t>
      </w:r>
      <w:r w:rsidR="00BE0C62">
        <w:t xml:space="preserve">and the </w:t>
      </w:r>
      <w:r w:rsidR="007A2151">
        <w:t>financially</w:t>
      </w:r>
      <w:r w:rsidR="00DB308C">
        <w:t xml:space="preserve"> </w:t>
      </w:r>
      <w:r w:rsidR="00BE0C62">
        <w:t xml:space="preserve">vulnerable group preferred a two-step tariff. </w:t>
      </w:r>
      <w:r w:rsidR="00416A2C">
        <w:t>This group, and several participants across the other groups</w:t>
      </w:r>
      <w:r w:rsidR="007535A7">
        <w:t>,</w:t>
      </w:r>
      <w:r w:rsidR="00416A2C">
        <w:t xml:space="preserve"> were </w:t>
      </w:r>
      <w:r>
        <w:t xml:space="preserve">more aware of the </w:t>
      </w:r>
      <w:r w:rsidR="00A104F3">
        <w:t xml:space="preserve">unfair </w:t>
      </w:r>
      <w:r>
        <w:t>impact</w:t>
      </w:r>
      <w:r w:rsidR="00AE4162">
        <w:t xml:space="preserve"> of the </w:t>
      </w:r>
      <w:r w:rsidR="00D11940">
        <w:t>three-step tariff</w:t>
      </w:r>
      <w:r>
        <w:t xml:space="preserve"> on large households </w:t>
      </w:r>
      <w:r w:rsidR="00E32DAD">
        <w:t xml:space="preserve">that </w:t>
      </w:r>
      <w:r w:rsidR="00985228">
        <w:t xml:space="preserve">may be efficient </w:t>
      </w:r>
      <w:r w:rsidR="00EF1C45">
        <w:t xml:space="preserve">with water use </w:t>
      </w:r>
      <w:r w:rsidR="000F2517">
        <w:t xml:space="preserve">per </w:t>
      </w:r>
      <w:r w:rsidR="003C0AC5">
        <w:t>person,</w:t>
      </w:r>
      <w:r w:rsidR="000F2517">
        <w:t xml:space="preserve"> but </w:t>
      </w:r>
      <w:r w:rsidR="00C72736">
        <w:t xml:space="preserve">total </w:t>
      </w:r>
      <w:r w:rsidR="007535A7">
        <w:t xml:space="preserve">household </w:t>
      </w:r>
      <w:r w:rsidR="00C72736">
        <w:t xml:space="preserve">usage </w:t>
      </w:r>
      <w:r w:rsidR="00584DAD">
        <w:t>enters the higher priced steps</w:t>
      </w:r>
      <w:r w:rsidR="00A104F3">
        <w:t>.</w:t>
      </w:r>
      <w:r w:rsidR="0031056B">
        <w:t xml:space="preserve"> This sentiment </w:t>
      </w:r>
      <w:r w:rsidR="00EA1956">
        <w:t>has come through</w:t>
      </w:r>
      <w:r w:rsidR="00585BC6">
        <w:t xml:space="preserve"> from participants across several </w:t>
      </w:r>
      <w:r w:rsidR="00867BD7">
        <w:t>stages</w:t>
      </w:r>
      <w:r w:rsidR="00585BC6">
        <w:t xml:space="preserve"> of our</w:t>
      </w:r>
      <w:r w:rsidR="00867BD7">
        <w:t xml:space="preserve"> </w:t>
      </w:r>
      <w:r w:rsidR="005232D5">
        <w:t xml:space="preserve">broader </w:t>
      </w:r>
      <w:r>
        <w:t>engagement</w:t>
      </w:r>
      <w:r w:rsidR="00867BD7">
        <w:t xml:space="preserve"> program</w:t>
      </w:r>
      <w:r w:rsidR="003C0AC5">
        <w:t xml:space="preserve"> a</w:t>
      </w:r>
      <w:r w:rsidR="00912D11">
        <w:t xml:space="preserve">nd </w:t>
      </w:r>
      <w:r w:rsidR="00FC6242">
        <w:t xml:space="preserve">is </w:t>
      </w:r>
      <w:r w:rsidR="00CA19CB">
        <w:t>regularly</w:t>
      </w:r>
      <w:r w:rsidR="00FC6242">
        <w:t xml:space="preserve"> expressed to </w:t>
      </w:r>
      <w:r w:rsidR="004532DD">
        <w:t xml:space="preserve">our customer </w:t>
      </w:r>
      <w:r w:rsidR="0088253F">
        <w:t>service team</w:t>
      </w:r>
      <w:r w:rsidR="00C2176F">
        <w:t>.</w:t>
      </w:r>
    </w:p>
    <w:p w14:paraId="3C6EE3EC" w14:textId="77777777" w:rsidR="00E32DAD" w:rsidRPr="00EA081F" w:rsidRDefault="00E32DAD" w:rsidP="00B20AE0">
      <w:pPr>
        <w:pStyle w:val="Heading6"/>
      </w:pPr>
      <w:r w:rsidRPr="00EA081F">
        <w:t>Our proposal</w:t>
      </w:r>
    </w:p>
    <w:p w14:paraId="1D13D96F" w14:textId="1AFDE28D" w:rsidR="007729C9" w:rsidRDefault="006B14C2" w:rsidP="007729C9">
      <w:r>
        <w:t xml:space="preserve">The </w:t>
      </w:r>
      <w:r w:rsidR="00493C93">
        <w:t>e</w:t>
      </w:r>
      <w:r>
        <w:t>xisting number of water usage steps differ</w:t>
      </w:r>
      <w:r w:rsidR="00E32DAD">
        <w:t>s</w:t>
      </w:r>
      <w:r>
        <w:t xml:space="preserve"> across </w:t>
      </w:r>
      <w:r w:rsidR="00260C70">
        <w:t xml:space="preserve">the regions in our service area. </w:t>
      </w:r>
      <w:r w:rsidR="007729C9">
        <w:t xml:space="preserve">We propose to reduce the number of potable water usage </w:t>
      </w:r>
      <w:r w:rsidR="00260C70">
        <w:t>steps from three to two in</w:t>
      </w:r>
      <w:r w:rsidR="007729C9">
        <w:t xml:space="preserve"> the western region in line with the </w:t>
      </w:r>
      <w:r w:rsidR="00260C70">
        <w:t xml:space="preserve">existing two </w:t>
      </w:r>
      <w:r w:rsidR="007729C9">
        <w:t xml:space="preserve">steps in the central region. </w:t>
      </w:r>
      <w:r w:rsidR="00AC666E">
        <w:t xml:space="preserve">On balance, direct feedback from customers through our engagement, particularly those </w:t>
      </w:r>
      <w:r w:rsidR="00A105E0">
        <w:t xml:space="preserve">in </w:t>
      </w:r>
      <w:r w:rsidR="00DC0D9F">
        <w:t xml:space="preserve">vulnerable groups, </w:t>
      </w:r>
      <w:r w:rsidR="008D3D6D">
        <w:t xml:space="preserve">and broader feedback </w:t>
      </w:r>
      <w:r w:rsidR="00C827AB">
        <w:t>recognises</w:t>
      </w:r>
      <w:r w:rsidR="008D3D6D">
        <w:t xml:space="preserve"> </w:t>
      </w:r>
      <w:r w:rsidR="00B22847">
        <w:t xml:space="preserve">the impact </w:t>
      </w:r>
      <w:r w:rsidR="00C827AB">
        <w:t xml:space="preserve">of </w:t>
      </w:r>
      <w:r w:rsidR="00B22847">
        <w:t>three</w:t>
      </w:r>
      <w:r w:rsidR="00C827AB">
        <w:t xml:space="preserve"> </w:t>
      </w:r>
      <w:r w:rsidR="00B22847">
        <w:t xml:space="preserve">steps on large families </w:t>
      </w:r>
      <w:r w:rsidR="00C827AB">
        <w:t>and supports</w:t>
      </w:r>
      <w:r w:rsidR="008831DF">
        <w:t xml:space="preserve"> our prop</w:t>
      </w:r>
      <w:r w:rsidR="001F37D6">
        <w:t>osal</w:t>
      </w:r>
      <w:r w:rsidR="009A4C6C">
        <w:t xml:space="preserve">. </w:t>
      </w:r>
      <w:r w:rsidR="006F46FB">
        <w:t xml:space="preserve">A two-step usage tariff across </w:t>
      </w:r>
      <w:r w:rsidR="00E33A84">
        <w:t>the service</w:t>
      </w:r>
      <w:r w:rsidR="006F46FB">
        <w:t xml:space="preserve"> </w:t>
      </w:r>
      <w:r w:rsidR="00F633CF">
        <w:t>region will continue to promote efficient water use and is better a</w:t>
      </w:r>
      <w:r w:rsidR="008561BE">
        <w:t>ligned with the ESC’s position on water usage steps</w:t>
      </w:r>
      <w:r w:rsidR="00854143">
        <w:t xml:space="preserve">. </w:t>
      </w:r>
      <w:r w:rsidR="00154FE1">
        <w:t>Two</w:t>
      </w:r>
      <w:r w:rsidR="001B09FA">
        <w:t>-</w:t>
      </w:r>
      <w:r w:rsidR="00154FE1">
        <w:t>step usage tariffs will</w:t>
      </w:r>
      <w:r w:rsidR="007729C9">
        <w:t xml:space="preserve"> apply from 2024-25.</w:t>
      </w:r>
    </w:p>
    <w:p w14:paraId="470CBCCF" w14:textId="6F5A6CAF" w:rsidR="00AC3241" w:rsidRPr="00C96004" w:rsidRDefault="00154FE1" w:rsidP="00C96004">
      <w:pPr>
        <w:pStyle w:val="Heading5"/>
      </w:pPr>
      <w:r w:rsidRPr="00C96004">
        <w:t>Sew</w:t>
      </w:r>
      <w:r w:rsidR="00450165" w:rsidRPr="00C96004">
        <w:t>age</w:t>
      </w:r>
      <w:r w:rsidRPr="00C96004">
        <w:t xml:space="preserve"> disposal charge</w:t>
      </w:r>
    </w:p>
    <w:p w14:paraId="5D652F69" w14:textId="77777777" w:rsidR="00386089" w:rsidRPr="001F23BA" w:rsidRDefault="00386089" w:rsidP="00B20AE0">
      <w:pPr>
        <w:pStyle w:val="Heading6"/>
      </w:pPr>
      <w:r w:rsidRPr="001F23BA">
        <w:t>What we heard</w:t>
      </w:r>
    </w:p>
    <w:p w14:paraId="203D2465" w14:textId="26806DDE" w:rsidR="00386089" w:rsidRDefault="00154FE1" w:rsidP="003A505E">
      <w:pPr>
        <w:rPr>
          <w:b/>
        </w:rPr>
      </w:pPr>
      <w:r>
        <w:t>On the removal of the sewage disposal charge</w:t>
      </w:r>
      <w:r w:rsidR="004C30AA">
        <w:t xml:space="preserve"> in the </w:t>
      </w:r>
      <w:r w:rsidR="00386089">
        <w:t>c</w:t>
      </w:r>
      <w:r w:rsidR="004C30AA">
        <w:t>entral region</w:t>
      </w:r>
      <w:r>
        <w:t xml:space="preserve">, four of five groups chose to remove the charge and recover the revenue through other charges. We found that customers wanted to abolish the charge </w:t>
      </w:r>
      <w:r w:rsidR="00D55323">
        <w:t>as it was complex</w:t>
      </w:r>
      <w:r w:rsidR="00386089">
        <w:t xml:space="preserve"> and </w:t>
      </w:r>
      <w:r w:rsidR="00D55323">
        <w:t>difficult to un</w:t>
      </w:r>
      <w:r w:rsidR="007A4D18">
        <w:t xml:space="preserve">derstand </w:t>
      </w:r>
      <w:r w:rsidR="00534C1E">
        <w:t>and to</w:t>
      </w:r>
      <w:r>
        <w:t xml:space="preserve"> ‘simplify’ their bill, believing ‘accuracy’ will enable them to better ‘control’ their bills. </w:t>
      </w:r>
    </w:p>
    <w:p w14:paraId="0443C93D" w14:textId="77777777" w:rsidR="00386089" w:rsidRPr="00EA081F" w:rsidRDefault="00386089" w:rsidP="00B20AE0">
      <w:pPr>
        <w:pStyle w:val="Heading6"/>
      </w:pPr>
      <w:r w:rsidRPr="00EA081F">
        <w:t>Our proposal</w:t>
      </w:r>
    </w:p>
    <w:p w14:paraId="415BD273" w14:textId="6398459A" w:rsidR="003A505E" w:rsidRDefault="003A505E" w:rsidP="003A505E">
      <w:r>
        <w:t xml:space="preserve">We propose to combine the residential water usage and sewage disposal charges into a two-step potable water usage tariff that is conditional on the type of service </w:t>
      </w:r>
      <w:r>
        <w:lastRenderedPageBreak/>
        <w:t>connections available to the customer in the central region. For example, customers connected to both water and sewerage services will be charged this new combined two-step potable water usage in the central region. For customers who only have a water service connection and no sewerage connection available, these customers will pay a lower set of two-step potable water usage tariffs.</w:t>
      </w:r>
      <w:r w:rsidR="00B86431">
        <w:t xml:space="preserve"> This will apply from 2024-25.</w:t>
      </w:r>
    </w:p>
    <w:p w14:paraId="73D625E1" w14:textId="5026BDB9" w:rsidR="00100296" w:rsidRDefault="00B86431" w:rsidP="00100296">
      <w:r>
        <w:t xml:space="preserve">There is currently no </w:t>
      </w:r>
      <w:r w:rsidR="0025395B">
        <w:t xml:space="preserve">sewage disposal charge in the </w:t>
      </w:r>
      <w:r w:rsidR="00386089">
        <w:t>w</w:t>
      </w:r>
      <w:r w:rsidR="0025395B">
        <w:t>estern region</w:t>
      </w:r>
      <w:r w:rsidR="00715F0C">
        <w:t>. Removing it</w:t>
      </w:r>
      <w:r w:rsidR="0025395B">
        <w:t xml:space="preserve"> in the </w:t>
      </w:r>
      <w:r w:rsidR="00715F0C">
        <w:t>c</w:t>
      </w:r>
      <w:r w:rsidR="0025395B">
        <w:t xml:space="preserve">entral region will </w:t>
      </w:r>
      <w:r w:rsidR="004456D8">
        <w:t xml:space="preserve">bring consistency across </w:t>
      </w:r>
      <w:r w:rsidR="00051B21">
        <w:t xml:space="preserve">Melbourne following the removal of </w:t>
      </w:r>
      <w:r w:rsidR="006F6AD4">
        <w:t>sewage</w:t>
      </w:r>
      <w:r w:rsidR="00051B21">
        <w:t xml:space="preserve"> disposal charges by Yarra Valley Water and </w:t>
      </w:r>
      <w:proofErr w:type="gramStart"/>
      <w:r w:rsidR="00051B21">
        <w:t>South East</w:t>
      </w:r>
      <w:proofErr w:type="gramEnd"/>
      <w:r w:rsidR="00051B21">
        <w:t xml:space="preserve"> Water in </w:t>
      </w:r>
      <w:r w:rsidR="00E47662">
        <w:t xml:space="preserve">the 2023 price review. </w:t>
      </w:r>
      <w:r w:rsidR="00F42331">
        <w:t xml:space="preserve">We </w:t>
      </w:r>
      <w:r w:rsidR="00F067D5">
        <w:t xml:space="preserve">also acknowledge the ESC’s </w:t>
      </w:r>
      <w:r w:rsidR="007849BE">
        <w:t xml:space="preserve">position on </w:t>
      </w:r>
      <w:r w:rsidR="007114CD">
        <w:t xml:space="preserve">removal of </w:t>
      </w:r>
      <w:r w:rsidR="007849BE">
        <w:t xml:space="preserve">sewer disposal charges </w:t>
      </w:r>
      <w:r w:rsidR="007114CD">
        <w:t>in our guidance paper</w:t>
      </w:r>
      <w:r w:rsidR="00097495">
        <w:t>.</w:t>
      </w:r>
    </w:p>
    <w:p w14:paraId="64FB83D5" w14:textId="79C03588" w:rsidR="00B43860" w:rsidRPr="00C96004" w:rsidRDefault="00B43860" w:rsidP="00C96004">
      <w:pPr>
        <w:pStyle w:val="Heading5"/>
      </w:pPr>
      <w:r w:rsidRPr="00C96004">
        <w:t xml:space="preserve">Meter-based charging </w:t>
      </w:r>
    </w:p>
    <w:p w14:paraId="7B3FCB16" w14:textId="77777777" w:rsidR="00715F0C" w:rsidRPr="00C96004" w:rsidRDefault="00715F0C" w:rsidP="00B20AE0">
      <w:pPr>
        <w:pStyle w:val="Heading6"/>
      </w:pPr>
      <w:r w:rsidRPr="00C96004">
        <w:t>What we heard</w:t>
      </w:r>
    </w:p>
    <w:p w14:paraId="10D6022A" w14:textId="077A3C7C" w:rsidR="00100296" w:rsidRDefault="00100296" w:rsidP="00100296">
      <w:r>
        <w:t>On the introduction of meter-based charging</w:t>
      </w:r>
      <w:r w:rsidR="00422F8E">
        <w:t xml:space="preserve"> in the </w:t>
      </w:r>
      <w:r w:rsidR="00715F0C">
        <w:t>c</w:t>
      </w:r>
      <w:r w:rsidR="00422F8E">
        <w:t>entral region</w:t>
      </w:r>
      <w:r>
        <w:t xml:space="preserve">, all five groups </w:t>
      </w:r>
      <w:r w:rsidR="001875D3">
        <w:t xml:space="preserve">supported a </w:t>
      </w:r>
      <w:r>
        <w:t xml:space="preserve">water service charge </w:t>
      </w:r>
      <w:r w:rsidR="001875D3">
        <w:t>that</w:t>
      </w:r>
      <w:r>
        <w:t xml:space="preserve"> relate</w:t>
      </w:r>
      <w:r w:rsidR="00715F0C">
        <w:t>s</w:t>
      </w:r>
      <w:r>
        <w:t xml:space="preserve"> to the size of the meter. Similarly, across all questions, customers often based this on user pays principles.</w:t>
      </w:r>
    </w:p>
    <w:p w14:paraId="64A9EDB0" w14:textId="77777777" w:rsidR="004F6C42" w:rsidRPr="00C96004" w:rsidRDefault="00715F0C" w:rsidP="00B20AE0">
      <w:pPr>
        <w:pStyle w:val="Heading6"/>
      </w:pPr>
      <w:r w:rsidRPr="00C96004">
        <w:t>Our proposal</w:t>
      </w:r>
    </w:p>
    <w:p w14:paraId="1A982683" w14:textId="04B3A5FC" w:rsidR="00DA25CE" w:rsidRDefault="0072342F" w:rsidP="00422F8E">
      <w:r>
        <w:t xml:space="preserve">We </w:t>
      </w:r>
      <w:r w:rsidR="00CA0502">
        <w:t>have not proposed</w:t>
      </w:r>
      <w:r>
        <w:t xml:space="preserve"> meter-based </w:t>
      </w:r>
      <w:r w:rsidR="00313DB0">
        <w:t>charging</w:t>
      </w:r>
      <w:r>
        <w:t xml:space="preserve"> for the </w:t>
      </w:r>
      <w:r w:rsidR="00715F0C">
        <w:t>c</w:t>
      </w:r>
      <w:r>
        <w:t xml:space="preserve">entral region </w:t>
      </w:r>
      <w:r w:rsidR="00DA25CE">
        <w:t xml:space="preserve">as part of this price submission. The current meter-based charging structure will continue in the </w:t>
      </w:r>
      <w:r w:rsidR="00715F0C">
        <w:t>w</w:t>
      </w:r>
      <w:r w:rsidR="00DA25CE">
        <w:t>estern region for this period.</w:t>
      </w:r>
    </w:p>
    <w:p w14:paraId="54877091" w14:textId="4BF1252B" w:rsidR="00422F8E" w:rsidRDefault="00422F8E" w:rsidP="00100296">
      <w:r w:rsidRPr="00AB6CBA">
        <w:t>We investigated the feasibility of implementing meter-based charging</w:t>
      </w:r>
      <w:r w:rsidR="003A1F07">
        <w:t xml:space="preserve"> in the central region</w:t>
      </w:r>
      <w:r w:rsidRPr="00AB6CBA">
        <w:t xml:space="preserve">, however </w:t>
      </w:r>
      <w:r w:rsidR="0066014D">
        <w:t xml:space="preserve">further investigation </w:t>
      </w:r>
      <w:r w:rsidR="00AE2142">
        <w:t xml:space="preserve">is needed </w:t>
      </w:r>
      <w:r w:rsidR="001140F1">
        <w:t xml:space="preserve">to understand the impact </w:t>
      </w:r>
      <w:r w:rsidR="00413839">
        <w:t xml:space="preserve">of the change </w:t>
      </w:r>
      <w:r w:rsidR="001140F1">
        <w:t xml:space="preserve">on customers </w:t>
      </w:r>
      <w:r w:rsidR="0066014D">
        <w:t xml:space="preserve">and </w:t>
      </w:r>
      <w:r w:rsidR="001140F1">
        <w:t>the business</w:t>
      </w:r>
      <w:r w:rsidR="001237A2">
        <w:t xml:space="preserve"> before proposing </w:t>
      </w:r>
      <w:r w:rsidR="004511D8">
        <w:t>any reform</w:t>
      </w:r>
      <w:r w:rsidR="00413839">
        <w:t>.</w:t>
      </w:r>
      <w:r w:rsidRPr="00AB6CBA">
        <w:t xml:space="preserve"> </w:t>
      </w:r>
      <w:r w:rsidR="00CA0502">
        <w:t>T</w:t>
      </w:r>
      <w:r w:rsidRPr="00AB6CBA">
        <w:t xml:space="preserve">he new billing system </w:t>
      </w:r>
      <w:r w:rsidR="00F766E8">
        <w:t>(being implemented as part of Program Platypus)</w:t>
      </w:r>
      <w:r w:rsidRPr="00AB6CBA">
        <w:t xml:space="preserve"> </w:t>
      </w:r>
      <w:r w:rsidR="00A70C03">
        <w:t xml:space="preserve">has </w:t>
      </w:r>
      <w:r w:rsidR="00E75E12">
        <w:t>meter</w:t>
      </w:r>
      <w:r w:rsidR="00715F0C">
        <w:t>-</w:t>
      </w:r>
      <w:r w:rsidR="00E75E12">
        <w:t xml:space="preserve">based charging </w:t>
      </w:r>
      <w:r w:rsidR="00CA0502">
        <w:t>capability</w:t>
      </w:r>
      <w:r w:rsidR="00F766E8">
        <w:t>,</w:t>
      </w:r>
      <w:r w:rsidR="00CA0502">
        <w:t xml:space="preserve"> </w:t>
      </w:r>
      <w:r w:rsidR="00900D62">
        <w:t>which</w:t>
      </w:r>
      <w:r w:rsidRPr="00AB6CBA">
        <w:t xml:space="preserve"> </w:t>
      </w:r>
      <w:r w:rsidR="00A70C03">
        <w:t xml:space="preserve">we </w:t>
      </w:r>
      <w:r w:rsidRPr="00AB6CBA">
        <w:t>will explore with our customers over the following regulatory period.</w:t>
      </w:r>
    </w:p>
    <w:p w14:paraId="2CEF4252" w14:textId="443C3A5E" w:rsidR="00100296" w:rsidRPr="00C96004" w:rsidRDefault="00100296" w:rsidP="00C96004">
      <w:pPr>
        <w:rPr>
          <w:b/>
          <w:bCs/>
        </w:rPr>
      </w:pPr>
      <w:r w:rsidRPr="00C96004">
        <w:rPr>
          <w:b/>
          <w:bCs/>
        </w:rPr>
        <w:t>Assessment against WIRO and ESC principles</w:t>
      </w:r>
    </w:p>
    <w:p w14:paraId="71D019BB" w14:textId="42CED2FA" w:rsidR="00100296" w:rsidRDefault="00100296" w:rsidP="00100296">
      <w:r>
        <w:t xml:space="preserve">Our proposal to remove the sewage disposal charge </w:t>
      </w:r>
      <w:r w:rsidR="00806EB5">
        <w:t xml:space="preserve">for central residential customers </w:t>
      </w:r>
      <w:r>
        <w:t>is consistent with the ESC’s 2024 water price review guidance paper</w:t>
      </w:r>
      <w:r w:rsidR="00715F0C">
        <w:t>, which</w:t>
      </w:r>
      <w:r>
        <w:t xml:space="preserve"> considers variable sewerage tariffs difficult to understand and </w:t>
      </w:r>
      <w:r w:rsidR="001F6849">
        <w:t xml:space="preserve">favours </w:t>
      </w:r>
      <w:r>
        <w:t>proposals for a single fixed charge for retail sewage disposal for residential customers.</w:t>
      </w:r>
      <w:r w:rsidR="0084356A">
        <w:rPr>
          <w:rStyle w:val="EndnoteReference"/>
        </w:rPr>
        <w:endnoteReference w:id="13"/>
      </w:r>
      <w:r w:rsidR="0084356A">
        <w:t xml:space="preserve"> </w:t>
      </w:r>
      <w:r>
        <w:t>This approach is also consistent with current metropolitan businesses</w:t>
      </w:r>
      <w:r w:rsidR="00372093">
        <w:t>’</w:t>
      </w:r>
      <w:r>
        <w:t xml:space="preserve"> charging practi</w:t>
      </w:r>
      <w:r w:rsidR="001F6849">
        <w:t>c</w:t>
      </w:r>
      <w:r>
        <w:t>e.</w:t>
      </w:r>
      <w:r w:rsidR="00806EB5">
        <w:t xml:space="preserve"> </w:t>
      </w:r>
    </w:p>
    <w:p w14:paraId="577801E2" w14:textId="3BE08121" w:rsidR="0084356A" w:rsidRDefault="00100296" w:rsidP="00100296">
      <w:r>
        <w:t xml:space="preserve">Our proposal to reduce the number of tiers </w:t>
      </w:r>
      <w:r w:rsidR="00806EB5">
        <w:t>for the western region is in line</w:t>
      </w:r>
      <w:r w:rsidR="007149EA">
        <w:t xml:space="preserve"> with the ESC’s preference for a single volumetric charge for water services on efficiency grounds.</w:t>
      </w:r>
      <w:r w:rsidR="0084356A">
        <w:rPr>
          <w:rStyle w:val="EndnoteReference"/>
        </w:rPr>
        <w:endnoteReference w:id="14"/>
      </w:r>
    </w:p>
    <w:p w14:paraId="31ED2B1F" w14:textId="067A37BB" w:rsidR="00100296" w:rsidRPr="0062163A" w:rsidRDefault="00100296" w:rsidP="00100296">
      <w:pPr>
        <w:rPr>
          <w:spacing w:val="0"/>
        </w:rPr>
      </w:pPr>
      <w:r w:rsidRPr="0062163A">
        <w:rPr>
          <w:spacing w:val="0"/>
        </w:rPr>
        <w:t>We have assessed both proposals against the Water Industry Regulatory Order (WIRO)</w:t>
      </w:r>
      <w:r w:rsidR="007D52D5">
        <w:rPr>
          <w:spacing w:val="0"/>
        </w:rPr>
        <w:t>. The</w:t>
      </w:r>
      <w:r w:rsidRPr="0062163A">
        <w:rPr>
          <w:spacing w:val="0"/>
        </w:rPr>
        <w:t xml:space="preserve"> proposed tariff better meets each pricing principle</w:t>
      </w:r>
      <w:r w:rsidR="00234E52" w:rsidRPr="0062163A">
        <w:rPr>
          <w:spacing w:val="0"/>
        </w:rPr>
        <w:t>,</w:t>
      </w:r>
      <w:r w:rsidRPr="0062163A">
        <w:rPr>
          <w:spacing w:val="0"/>
        </w:rPr>
        <w:t xml:space="preserve"> as outlined in</w:t>
      </w:r>
      <w:r w:rsidR="00C72B67">
        <w:rPr>
          <w:spacing w:val="0"/>
        </w:rPr>
        <w:t xml:space="preserve"> </w:t>
      </w:r>
      <w:r w:rsidR="0078186C">
        <w:rPr>
          <w:b/>
          <w:bCs/>
          <w:spacing w:val="0"/>
        </w:rPr>
        <w:fldChar w:fldCharType="begin"/>
      </w:r>
      <w:r w:rsidR="0078186C">
        <w:rPr>
          <w:spacing w:val="0"/>
        </w:rPr>
        <w:instrText xml:space="preserve"> REF _Ref145334853 \h </w:instrText>
      </w:r>
      <w:r w:rsidR="0078186C">
        <w:rPr>
          <w:b/>
          <w:bCs/>
          <w:spacing w:val="0"/>
        </w:rPr>
      </w:r>
      <w:r w:rsidR="0078186C">
        <w:rPr>
          <w:b/>
          <w:bCs/>
          <w:spacing w:val="0"/>
        </w:rPr>
        <w:fldChar w:fldCharType="separate"/>
      </w:r>
      <w:r w:rsidR="003B42C6" w:rsidRPr="00E3460B">
        <w:rPr>
          <w:b/>
        </w:rPr>
        <w:t xml:space="preserve">Table </w:t>
      </w:r>
      <w:r w:rsidR="003B42C6">
        <w:rPr>
          <w:b/>
          <w:noProof/>
        </w:rPr>
        <w:t>33</w:t>
      </w:r>
      <w:r w:rsidR="0078186C">
        <w:rPr>
          <w:b/>
          <w:bCs/>
          <w:spacing w:val="0"/>
        </w:rPr>
        <w:fldChar w:fldCharType="end"/>
      </w:r>
      <w:r w:rsidR="00851765">
        <w:rPr>
          <w:spacing w:val="0"/>
        </w:rPr>
        <w:t>.</w:t>
      </w:r>
    </w:p>
    <w:p w14:paraId="4AF5CDB4" w14:textId="77777777" w:rsidR="00851765" w:rsidRPr="0062163A" w:rsidRDefault="00851765" w:rsidP="00100296">
      <w:pPr>
        <w:rPr>
          <w:spacing w:val="0"/>
        </w:rPr>
      </w:pPr>
    </w:p>
    <w:p w14:paraId="729C0CF0" w14:textId="18585791" w:rsidR="00100296" w:rsidRPr="008A5508" w:rsidRDefault="00100296" w:rsidP="00100296">
      <w:pPr>
        <w:pStyle w:val="Caption"/>
      </w:pPr>
      <w:bookmarkStart w:id="165" w:name="_Ref145334853"/>
      <w:r w:rsidRPr="00E3460B">
        <w:rPr>
          <w:b/>
        </w:rPr>
        <w:lastRenderedPageBreak/>
        <w:t xml:space="preserve">Table </w:t>
      </w:r>
      <w:r w:rsidRPr="00E3460B">
        <w:rPr>
          <w:b/>
        </w:rPr>
        <w:fldChar w:fldCharType="begin"/>
      </w:r>
      <w:r w:rsidRPr="00E3460B">
        <w:rPr>
          <w:b/>
        </w:rPr>
        <w:instrText>SEQ Table \* ARABIC</w:instrText>
      </w:r>
      <w:r w:rsidRPr="00E3460B">
        <w:rPr>
          <w:b/>
        </w:rPr>
        <w:fldChar w:fldCharType="separate"/>
      </w:r>
      <w:r w:rsidR="003B42C6">
        <w:rPr>
          <w:b/>
          <w:noProof/>
        </w:rPr>
        <w:t>33</w:t>
      </w:r>
      <w:r w:rsidRPr="00E3460B">
        <w:rPr>
          <w:b/>
        </w:rPr>
        <w:fldChar w:fldCharType="end"/>
      </w:r>
      <w:bookmarkEnd w:id="165"/>
      <w:r>
        <w:t xml:space="preserve"> Assessment against Water Industry Regulatory Order principles</w:t>
      </w:r>
    </w:p>
    <w:tbl>
      <w:tblPr>
        <w:tblStyle w:val="GWWDefaulttable"/>
        <w:tblW w:w="5000" w:type="pct"/>
        <w:tblLook w:val="04A0" w:firstRow="1" w:lastRow="0" w:firstColumn="1" w:lastColumn="0" w:noHBand="0" w:noVBand="1"/>
      </w:tblPr>
      <w:tblGrid>
        <w:gridCol w:w="3266"/>
        <w:gridCol w:w="2997"/>
        <w:gridCol w:w="3375"/>
      </w:tblGrid>
      <w:tr w:rsidR="00100296" w:rsidRPr="00394198" w14:paraId="1EEB438C" w14:textId="77777777" w:rsidTr="00E3460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94" w:type="pct"/>
          </w:tcPr>
          <w:p w14:paraId="67A95ABB" w14:textId="77777777" w:rsidR="00100296" w:rsidRPr="00394198" w:rsidRDefault="00100296" w:rsidP="00394198">
            <w:r w:rsidRPr="00394198">
              <w:t>WIRO pricing principle</w:t>
            </w:r>
          </w:p>
        </w:tc>
        <w:tc>
          <w:tcPr>
            <w:tcW w:w="3306" w:type="pct"/>
            <w:gridSpan w:val="2"/>
          </w:tcPr>
          <w:p w14:paraId="670AA866" w14:textId="77777777" w:rsidR="00100296" w:rsidRPr="00394198" w:rsidRDefault="00100296" w:rsidP="00394198">
            <w:pPr>
              <w:cnfStyle w:val="100000000000" w:firstRow="1" w:lastRow="0" w:firstColumn="0" w:lastColumn="0" w:oddVBand="0" w:evenVBand="0" w:oddHBand="0" w:evenHBand="0" w:firstRowFirstColumn="0" w:firstRowLastColumn="0" w:lastRowFirstColumn="0" w:lastRowLastColumn="0"/>
            </w:pPr>
            <w:r w:rsidRPr="00394198">
              <w:t>How the new tariff structure meets WIRO pricing principles</w:t>
            </w:r>
          </w:p>
        </w:tc>
      </w:tr>
      <w:tr w:rsidR="00100296" w:rsidRPr="00394198" w14:paraId="48693F21" w14:textId="77777777" w:rsidTr="00E3460B">
        <w:trPr>
          <w:trHeight w:val="696"/>
        </w:trPr>
        <w:tc>
          <w:tcPr>
            <w:cnfStyle w:val="001000000000" w:firstRow="0" w:lastRow="0" w:firstColumn="1" w:lastColumn="0" w:oddVBand="0" w:evenVBand="0" w:oddHBand="0" w:evenHBand="0" w:firstRowFirstColumn="0" w:firstRowLastColumn="0" w:lastRowFirstColumn="0" w:lastRowLastColumn="0"/>
            <w:tcW w:w="1694" w:type="pct"/>
            <w:shd w:val="clear" w:color="auto" w:fill="1A206C" w:themeFill="text2"/>
          </w:tcPr>
          <w:p w14:paraId="428B1A51" w14:textId="77777777" w:rsidR="00100296" w:rsidRPr="00E3460B" w:rsidRDefault="00100296" w:rsidP="00394198">
            <w:pPr>
              <w:rPr>
                <w:b w:val="0"/>
              </w:rPr>
            </w:pPr>
          </w:p>
        </w:tc>
        <w:tc>
          <w:tcPr>
            <w:tcW w:w="1555" w:type="pct"/>
            <w:shd w:val="clear" w:color="auto" w:fill="1A206C" w:themeFill="text2"/>
          </w:tcPr>
          <w:p w14:paraId="6D7D61B3" w14:textId="2BF19285"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Remove SDC and introduce new </w:t>
            </w:r>
            <w:r w:rsidR="0078087A" w:rsidRPr="00394198">
              <w:t>w</w:t>
            </w:r>
            <w:r w:rsidRPr="00394198">
              <w:t>ater usage charges conditional of connection</w:t>
            </w:r>
          </w:p>
        </w:tc>
        <w:tc>
          <w:tcPr>
            <w:tcW w:w="1751" w:type="pct"/>
            <w:shd w:val="clear" w:color="auto" w:fill="1A206C" w:themeFill="text2"/>
          </w:tcPr>
          <w:p w14:paraId="7E1A0CC8"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Drop step 3 for western customers</w:t>
            </w:r>
          </w:p>
        </w:tc>
      </w:tr>
      <w:tr w:rsidR="00100296" w:rsidRPr="00394198" w14:paraId="34CABEBE" w14:textId="77777777" w:rsidTr="00E3460B">
        <w:tc>
          <w:tcPr>
            <w:cnfStyle w:val="001000000000" w:firstRow="0" w:lastRow="0" w:firstColumn="1" w:lastColumn="0" w:oddVBand="0" w:evenVBand="0" w:oddHBand="0" w:evenHBand="0" w:firstRowFirstColumn="0" w:firstRowLastColumn="0" w:lastRowFirstColumn="0" w:lastRowLastColumn="0"/>
            <w:tcW w:w="1694" w:type="pct"/>
          </w:tcPr>
          <w:p w14:paraId="08A7B32D" w14:textId="77777777" w:rsidR="00100296" w:rsidRPr="00E3460B" w:rsidRDefault="00100296" w:rsidP="00394198">
            <w:pPr>
              <w:rPr>
                <w:b w:val="0"/>
              </w:rPr>
            </w:pPr>
            <w:r w:rsidRPr="00E3460B">
              <w:rPr>
                <w:b w:val="0"/>
              </w:rPr>
              <w:t>11(d) (</w:t>
            </w:r>
            <w:proofErr w:type="spellStart"/>
            <w:r w:rsidRPr="00E3460B">
              <w:rPr>
                <w:b w:val="0"/>
              </w:rPr>
              <w:t>i</w:t>
            </w:r>
            <w:proofErr w:type="spellEnd"/>
            <w:r w:rsidRPr="00E3460B">
              <w:rPr>
                <w:b w:val="0"/>
              </w:rPr>
              <w:t xml:space="preserve">) enable customers or potential customers of the regulated entity to easily understand the prices charged by the regulated entity for prescribed services or the </w:t>
            </w:r>
            <w:proofErr w:type="gramStart"/>
            <w:r w:rsidRPr="00E3460B">
              <w:rPr>
                <w:b w:val="0"/>
              </w:rPr>
              <w:t>manner in which</w:t>
            </w:r>
            <w:proofErr w:type="gramEnd"/>
            <w:r w:rsidRPr="00E3460B">
              <w:rPr>
                <w:b w:val="0"/>
              </w:rPr>
              <w:t xml:space="preserve"> such prices are calculated, determined or otherwise regulated;</w:t>
            </w:r>
          </w:p>
        </w:tc>
        <w:tc>
          <w:tcPr>
            <w:tcW w:w="1555" w:type="pct"/>
          </w:tcPr>
          <w:p w14:paraId="24918530" w14:textId="62A7EFD2"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Customers and the ESC have indicated that the SDC is difficult to understand, and the way it is currently calculated is not transparent.</w:t>
            </w:r>
          </w:p>
          <w:p w14:paraId="7DAF52FB"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A0F7180"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Removing the SDC will enable customers to understand their water usage charges better.</w:t>
            </w:r>
          </w:p>
        </w:tc>
        <w:tc>
          <w:tcPr>
            <w:tcW w:w="1751" w:type="pct"/>
          </w:tcPr>
          <w:p w14:paraId="4D822154" w14:textId="71B7F158"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We consider reducing the number of steps to 2 from 3 for customers in the western region is easy for customers to understand as it is a simplification of the existing </w:t>
            </w:r>
            <w:r w:rsidR="0077424B" w:rsidRPr="00394198">
              <w:t xml:space="preserve">2-step </w:t>
            </w:r>
            <w:r w:rsidRPr="00394198">
              <w:t>tariff structure.</w:t>
            </w:r>
          </w:p>
          <w:p w14:paraId="14456797"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5A3B7B0"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We consider the alignment of the number of steps across the region to simplify any differences between regions and provides for easier explanation of charges levied across the </w:t>
            </w:r>
            <w:proofErr w:type="gramStart"/>
            <w:r w:rsidRPr="00394198">
              <w:t>region as a whole</w:t>
            </w:r>
            <w:proofErr w:type="gramEnd"/>
            <w:r w:rsidRPr="00394198">
              <w:t>.</w:t>
            </w:r>
          </w:p>
        </w:tc>
      </w:tr>
      <w:tr w:rsidR="00100296" w:rsidRPr="00394198" w14:paraId="62D33FFB" w14:textId="77777777" w:rsidTr="00E3460B">
        <w:tc>
          <w:tcPr>
            <w:cnfStyle w:val="001000000000" w:firstRow="0" w:lastRow="0" w:firstColumn="1" w:lastColumn="0" w:oddVBand="0" w:evenVBand="0" w:oddHBand="0" w:evenHBand="0" w:firstRowFirstColumn="0" w:firstRowLastColumn="0" w:lastRowFirstColumn="0" w:lastRowLastColumn="0"/>
            <w:tcW w:w="1694" w:type="pct"/>
          </w:tcPr>
          <w:p w14:paraId="610456C3" w14:textId="77777777" w:rsidR="00100296" w:rsidRPr="00E3460B" w:rsidRDefault="00100296" w:rsidP="00394198">
            <w:pPr>
              <w:rPr>
                <w:b w:val="0"/>
              </w:rPr>
            </w:pPr>
            <w:r w:rsidRPr="00E3460B">
              <w:rPr>
                <w:b w:val="0"/>
              </w:rPr>
              <w:t>11(d) (ii) provide signals about the efficient costs of providing prescribed services to customers (either collectively or to an individual customer or class of customers) while avoiding price shocks where possible; and</w:t>
            </w:r>
          </w:p>
        </w:tc>
        <w:tc>
          <w:tcPr>
            <w:tcW w:w="1555" w:type="pct"/>
          </w:tcPr>
          <w:p w14:paraId="7E816B93"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We consider the removal of the SDC:</w:t>
            </w:r>
          </w:p>
          <w:p w14:paraId="4608E674" w14:textId="25D60774" w:rsidR="00100296" w:rsidRPr="00394198" w:rsidRDefault="00F87DB9" w:rsidP="00825E89">
            <w:pPr>
              <w:pStyle w:val="TableBullet"/>
              <w:cnfStyle w:val="000000000000" w:firstRow="0" w:lastRow="0" w:firstColumn="0" w:lastColumn="0" w:oddVBand="0" w:evenVBand="0" w:oddHBand="0" w:evenHBand="0" w:firstRowFirstColumn="0" w:firstRowLastColumn="0" w:lastRowFirstColumn="0" w:lastRowLastColumn="0"/>
            </w:pPr>
            <w:r w:rsidRPr="00394198">
              <w:t>p</w:t>
            </w:r>
            <w:r w:rsidR="00100296" w:rsidRPr="00394198">
              <w:t>rovides the true signal of using water (and the cost to treat what goes down the drain)</w:t>
            </w:r>
          </w:p>
          <w:p w14:paraId="5E7DDA50" w14:textId="40A1B10A" w:rsidR="00100296" w:rsidRPr="00394198" w:rsidRDefault="0078087A" w:rsidP="00825E89">
            <w:pPr>
              <w:pStyle w:val="TableBullet"/>
              <w:cnfStyle w:val="000000000000" w:firstRow="0" w:lastRow="0" w:firstColumn="0" w:lastColumn="0" w:oddVBand="0" w:evenVBand="0" w:oddHBand="0" w:evenHBand="0" w:firstRowFirstColumn="0" w:firstRowLastColumn="0" w:lastRowFirstColumn="0" w:lastRowLastColumn="0"/>
            </w:pPr>
            <w:r w:rsidRPr="00394198">
              <w:t>a</w:t>
            </w:r>
            <w:r w:rsidR="00100296" w:rsidRPr="00394198">
              <w:t xml:space="preserve">voids price shock as customers already pay sewerage usage when moving to new water usage </w:t>
            </w:r>
            <w:proofErr w:type="gramStart"/>
            <w:r w:rsidR="00100296" w:rsidRPr="00394198">
              <w:t>charge</w:t>
            </w:r>
            <w:proofErr w:type="gramEnd"/>
          </w:p>
          <w:p w14:paraId="1D2D17AA" w14:textId="23C9B7DE" w:rsidR="00100296" w:rsidRPr="00394198" w:rsidRDefault="0078087A" w:rsidP="00825E89">
            <w:pPr>
              <w:pStyle w:val="TableBullet"/>
              <w:cnfStyle w:val="000000000000" w:firstRow="0" w:lastRow="0" w:firstColumn="0" w:lastColumn="0" w:oddVBand="0" w:evenVBand="0" w:oddHBand="0" w:evenHBand="0" w:firstRowFirstColumn="0" w:firstRowLastColumn="0" w:lastRowFirstColumn="0" w:lastRowLastColumn="0"/>
            </w:pPr>
            <w:r w:rsidRPr="00394198">
              <w:t>p</w:t>
            </w:r>
            <w:r w:rsidR="00100296" w:rsidRPr="00394198">
              <w:t>roposed prices net out the impact for customers</w:t>
            </w:r>
            <w:r w:rsidRPr="00394198">
              <w:t>.</w:t>
            </w:r>
          </w:p>
        </w:tc>
        <w:tc>
          <w:tcPr>
            <w:tcW w:w="1751" w:type="pct"/>
          </w:tcPr>
          <w:p w14:paraId="65F19E1C" w14:textId="4BDD2B2F"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We consider the removal of the third step provides </w:t>
            </w:r>
            <w:r w:rsidR="00A750F6" w:rsidRPr="00394198">
              <w:t>improved price</w:t>
            </w:r>
            <w:r w:rsidRPr="00394198">
              <w:t xml:space="preserve"> signals to the cost of providing services to customers</w:t>
            </w:r>
            <w:r w:rsidR="003004DC" w:rsidRPr="00394198">
              <w:t xml:space="preserve">, bringing the structure closed to the ESC’s </w:t>
            </w:r>
            <w:r w:rsidR="002B1502" w:rsidRPr="00394198">
              <w:t>efficiency</w:t>
            </w:r>
            <w:r w:rsidR="003B42DE" w:rsidRPr="00394198">
              <w:t xml:space="preserve"> </w:t>
            </w:r>
            <w:r w:rsidR="00CE4686" w:rsidRPr="00394198">
              <w:t>preference.</w:t>
            </w:r>
          </w:p>
          <w:p w14:paraId="014B91B6"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B21980E" w14:textId="0AC41929"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rPr>
                <w:highlight w:val="yellow"/>
              </w:rPr>
            </w:pPr>
            <w:r w:rsidRPr="00394198">
              <w:t xml:space="preserve">This proposal avoids price shocks as step 3 volume customers will now be charged a lower price for the same volume of water – with large </w:t>
            </w:r>
            <w:r w:rsidR="00855687" w:rsidRPr="00394198">
              <w:t xml:space="preserve">households </w:t>
            </w:r>
            <w:r w:rsidRPr="00394198">
              <w:t>benefiting from the removal the most.</w:t>
            </w:r>
          </w:p>
        </w:tc>
      </w:tr>
      <w:tr w:rsidR="00100296" w:rsidRPr="00394198" w14:paraId="7ACC520C" w14:textId="77777777" w:rsidTr="00E3460B">
        <w:trPr>
          <w:trHeight w:val="963"/>
        </w:trPr>
        <w:tc>
          <w:tcPr>
            <w:cnfStyle w:val="001000000000" w:firstRow="0" w:lastRow="0" w:firstColumn="1" w:lastColumn="0" w:oddVBand="0" w:evenVBand="0" w:oddHBand="0" w:evenHBand="0" w:firstRowFirstColumn="0" w:firstRowLastColumn="0" w:lastRowFirstColumn="0" w:lastRowLastColumn="0"/>
            <w:tcW w:w="1694" w:type="pct"/>
          </w:tcPr>
          <w:p w14:paraId="5D4A5EE4" w14:textId="77777777" w:rsidR="00100296" w:rsidRPr="00E3460B" w:rsidRDefault="00100296" w:rsidP="00394198">
            <w:pPr>
              <w:rPr>
                <w:b w:val="0"/>
              </w:rPr>
            </w:pPr>
            <w:r w:rsidRPr="00E3460B">
              <w:rPr>
                <w:b w:val="0"/>
              </w:rPr>
              <w:t xml:space="preserve">11(d) (iii) </w:t>
            </w:r>
            <w:proofErr w:type="gramStart"/>
            <w:r w:rsidRPr="00E3460B">
              <w:rPr>
                <w:b w:val="0"/>
              </w:rPr>
              <w:t>take into account</w:t>
            </w:r>
            <w:proofErr w:type="gramEnd"/>
            <w:r w:rsidRPr="00E3460B">
              <w:rPr>
                <w:b w:val="0"/>
              </w:rPr>
              <w:t xml:space="preserve"> the interests of customers of the regulated entity, including low income and vulnerable customers.</w:t>
            </w:r>
          </w:p>
        </w:tc>
        <w:tc>
          <w:tcPr>
            <w:tcW w:w="1555" w:type="pct"/>
          </w:tcPr>
          <w:p w14:paraId="09274173"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Removal of the SDC was supported by </w:t>
            </w:r>
            <w:proofErr w:type="gramStart"/>
            <w:r w:rsidRPr="00394198">
              <w:t>low income</w:t>
            </w:r>
            <w:proofErr w:type="gramEnd"/>
            <w:r w:rsidRPr="00394198">
              <w:t xml:space="preserve"> customers but was not supported by vulnerable customers in the focus group due to its potential impact on large households in the bill simulator.</w:t>
            </w:r>
          </w:p>
          <w:p w14:paraId="10480AE6" w14:textId="663343F4"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tc>
        <w:tc>
          <w:tcPr>
            <w:tcW w:w="1751" w:type="pct"/>
          </w:tcPr>
          <w:p w14:paraId="36D6E695" w14:textId="5749702A"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Removal of step 3 received mixed support from low income and vulnerable customers, with </w:t>
            </w:r>
            <w:proofErr w:type="gramStart"/>
            <w:r w:rsidRPr="00394198">
              <w:t>low</w:t>
            </w:r>
            <w:r w:rsidR="0078087A" w:rsidRPr="00394198">
              <w:t xml:space="preserve"> </w:t>
            </w:r>
            <w:r w:rsidRPr="00394198">
              <w:t>income</w:t>
            </w:r>
            <w:proofErr w:type="gramEnd"/>
            <w:r w:rsidRPr="00394198">
              <w:t xml:space="preserve"> customer</w:t>
            </w:r>
            <w:r w:rsidR="0078087A" w:rsidRPr="00394198">
              <w:t>s</w:t>
            </w:r>
            <w:r w:rsidRPr="00394198">
              <w:t xml:space="preserve"> opting for 3 step tariff</w:t>
            </w:r>
            <w:r w:rsidR="0078087A" w:rsidRPr="00394198">
              <w:t>s</w:t>
            </w:r>
            <w:r w:rsidRPr="00394198">
              <w:t xml:space="preserve"> and financially vulnerable customer</w:t>
            </w:r>
            <w:r w:rsidR="0078087A" w:rsidRPr="00394198">
              <w:t>s</w:t>
            </w:r>
            <w:r w:rsidRPr="00394198">
              <w:t xml:space="preserve"> opting for a 2 step tariff driven by equity concerns for large families.</w:t>
            </w:r>
          </w:p>
          <w:p w14:paraId="7E9D7CDE" w14:textId="759CFA74" w:rsidR="005E6E87" w:rsidRPr="00394198" w:rsidRDefault="005E6E87" w:rsidP="00394198">
            <w:pPr>
              <w:cnfStyle w:val="000000000000" w:firstRow="0" w:lastRow="0" w:firstColumn="0" w:lastColumn="0" w:oddVBand="0" w:evenVBand="0" w:oddHBand="0" w:evenHBand="0" w:firstRowFirstColumn="0" w:firstRowLastColumn="0" w:lastRowFirstColumn="0" w:lastRowLastColumn="0"/>
            </w:pPr>
          </w:p>
        </w:tc>
      </w:tr>
    </w:tbl>
    <w:p w14:paraId="0B748AE0" w14:textId="77777777" w:rsidR="00100296" w:rsidRDefault="00100296" w:rsidP="00100296"/>
    <w:p w14:paraId="0B517978" w14:textId="77777777" w:rsidR="00A046BC" w:rsidRDefault="00A046BC">
      <w:pPr>
        <w:spacing w:before="0" w:after="160" w:line="259" w:lineRule="auto"/>
        <w:rPr>
          <w:rFonts w:asciiTheme="majorHAnsi" w:eastAsiaTheme="majorEastAsia" w:hAnsiTheme="majorHAnsi" w:cstheme="majorBidi"/>
          <w:color w:val="1A206C" w:themeColor="text2"/>
        </w:rPr>
      </w:pPr>
      <w:r>
        <w:br w:type="page"/>
      </w:r>
    </w:p>
    <w:p w14:paraId="1100783D" w14:textId="4FE47B0D" w:rsidR="00100296" w:rsidRDefault="00100296" w:rsidP="00100296">
      <w:pPr>
        <w:pStyle w:val="Heading5"/>
      </w:pPr>
      <w:r>
        <w:lastRenderedPageBreak/>
        <w:t xml:space="preserve">Bill impacts from tariff </w:t>
      </w:r>
      <w:proofErr w:type="gramStart"/>
      <w:r>
        <w:t>reform</w:t>
      </w:r>
      <w:proofErr w:type="gramEnd"/>
    </w:p>
    <w:p w14:paraId="38A14CE1" w14:textId="1F8AE28C" w:rsidR="002A69E8" w:rsidRDefault="00B622B9" w:rsidP="00A046BC">
      <w:r w:rsidRPr="00B622B9">
        <w:t>The below figures present</w:t>
      </w:r>
      <w:r w:rsidR="00CF720D">
        <w:t xml:space="preserve"> </w:t>
      </w:r>
      <w:r w:rsidR="00100296">
        <w:t xml:space="preserve">average owner occupier and tenant bills in the central region before and after removing the sewage disposal charge. Both owner occupiers and tenants with an existing water and sewerage connection will see their bills </w:t>
      </w:r>
      <w:r w:rsidR="003F4385">
        <w:t>remain stable or falling.</w:t>
      </w:r>
    </w:p>
    <w:p w14:paraId="7B4690A1" w14:textId="4B12BECB" w:rsidR="00760A87" w:rsidRDefault="00760A87" w:rsidP="002A69E8">
      <w:pPr>
        <w:keepNext/>
      </w:pPr>
    </w:p>
    <w:p w14:paraId="0B7713D2" w14:textId="1E58B409" w:rsidR="00100296" w:rsidRDefault="006373ED" w:rsidP="001E7B56">
      <w:pPr>
        <w:pStyle w:val="Caption"/>
      </w:pPr>
      <w:r>
        <w:rPr>
          <w:b/>
          <w:noProof/>
        </w:rPr>
        <w:drawing>
          <wp:inline distT="0" distB="0" distL="0" distR="0" wp14:anchorId="203D57A4" wp14:editId="2F9192C3">
            <wp:extent cx="6120765" cy="3420110"/>
            <wp:effectExtent l="0" t="0" r="0" b="8890"/>
            <wp:docPr id="730749632" name="Picture 730749632" descr="Bar graph which shows the totals for Water fixed, Sewer fixed, Water variable and Sewer Variable over years 2018-19 through to 2027-28. Values are 2018-19 $1124, 2019-20 $1143, 2020-21 $1110, 2021-22 $1045, 2022-23 $1007, 2023-24 $1007, 2024-25 $996, 2025-26 $999, 2026-27 $1002, 2027-28 $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2" name="Picture 730749632" descr="Bar graph which shows the totals for Water fixed, Sewer fixed, Water variable and Sewer Variable over years 2018-19 through to 2027-28. Values are 2018-19 $1124, 2019-20 $1143, 2020-21 $1110, 2021-22 $1045, 2022-23 $1007, 2023-24 $1007, 2024-25 $996, 2025-26 $999, 2026-27 $1002, 2027-28 $1005.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2A69E8" w:rsidRPr="00E3460B">
        <w:rPr>
          <w:b/>
        </w:rPr>
        <w:t>Figure</w:t>
      </w:r>
      <w:r w:rsidR="002A69E8" w:rsidRPr="00EC668D">
        <w:rPr>
          <w:b/>
        </w:rPr>
        <w:t xml:space="preserve"> </w:t>
      </w:r>
      <w:r w:rsidR="001F7221" w:rsidRPr="00EC668D">
        <w:rPr>
          <w:b/>
        </w:rPr>
        <w:fldChar w:fldCharType="begin"/>
      </w:r>
      <w:r w:rsidR="001F7221" w:rsidRPr="00EC668D">
        <w:rPr>
          <w:b/>
        </w:rPr>
        <w:instrText xml:space="preserve"> SEQ Figure \* ARABIC </w:instrText>
      </w:r>
      <w:r w:rsidR="001F7221" w:rsidRPr="00EC668D">
        <w:rPr>
          <w:b/>
        </w:rPr>
        <w:fldChar w:fldCharType="separate"/>
      </w:r>
      <w:r w:rsidR="003B42C6">
        <w:rPr>
          <w:b/>
          <w:noProof/>
        </w:rPr>
        <w:t>6</w:t>
      </w:r>
      <w:r w:rsidR="001F7221" w:rsidRPr="00EC668D">
        <w:rPr>
          <w:b/>
        </w:rPr>
        <w:fldChar w:fldCharType="end"/>
      </w:r>
      <w:r w:rsidR="0013000C">
        <w:t xml:space="preserve"> </w:t>
      </w:r>
      <w:r w:rsidR="0013000C" w:rsidRPr="0013000C">
        <w:t>Average owner occupier bill with water and sewer connection - 150kL (central)</w:t>
      </w:r>
      <w:r w:rsidR="005712E4">
        <w:t xml:space="preserve"> ($, 2023-24)</w:t>
      </w:r>
    </w:p>
    <w:p w14:paraId="29C8AF92" w14:textId="301B8CBC" w:rsidR="00AC0042" w:rsidRPr="009F7B92" w:rsidRDefault="001E7B56" w:rsidP="00AC0042">
      <w:pPr>
        <w:pStyle w:val="Caption"/>
      </w:pPr>
      <w:bookmarkStart w:id="166" w:name="_Toc145498144"/>
      <w:r>
        <w:rPr>
          <w:b/>
          <w:noProof/>
        </w:rPr>
        <w:drawing>
          <wp:inline distT="0" distB="0" distL="0" distR="0" wp14:anchorId="23E52BEF" wp14:editId="45EE71CD">
            <wp:extent cx="6120765" cy="3420110"/>
            <wp:effectExtent l="0" t="0" r="0" b="8890"/>
            <wp:docPr id="730749634" name="Picture 7307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4" name="Picture 7307496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Figure</w:t>
      </w:r>
      <w:r w:rsidR="00AC0042" w:rsidRPr="00EC668D">
        <w:rPr>
          <w:b/>
        </w:rPr>
        <w:t xml:space="preserve"> </w:t>
      </w:r>
      <w:r w:rsidR="00AC0042" w:rsidRPr="00EC668D">
        <w:rPr>
          <w:b/>
        </w:rPr>
        <w:fldChar w:fldCharType="begin"/>
      </w:r>
      <w:r w:rsidR="00AC0042" w:rsidRPr="00EC668D">
        <w:rPr>
          <w:b/>
          <w:iCs w:val="0"/>
        </w:rPr>
        <w:instrText xml:space="preserve"> SEQ Figure \* ARABIC </w:instrText>
      </w:r>
      <w:r w:rsidR="00AC0042" w:rsidRPr="00EC668D">
        <w:rPr>
          <w:b/>
        </w:rPr>
        <w:fldChar w:fldCharType="separate"/>
      </w:r>
      <w:r w:rsidR="003B42C6">
        <w:rPr>
          <w:b/>
          <w:iCs w:val="0"/>
          <w:noProof/>
        </w:rPr>
        <w:t>7</w:t>
      </w:r>
      <w:r w:rsidR="00AC0042" w:rsidRPr="00EC668D">
        <w:rPr>
          <w:b/>
        </w:rPr>
        <w:fldChar w:fldCharType="end"/>
      </w:r>
      <w:r w:rsidR="00AC0042">
        <w:t xml:space="preserve"> Average tenant bill with water and sewer connection - 150kL (central)</w:t>
      </w:r>
      <w:bookmarkEnd w:id="166"/>
      <w:r w:rsidR="005712E4">
        <w:t xml:space="preserve"> ($, 2023-24)</w:t>
      </w:r>
    </w:p>
    <w:p w14:paraId="5A7018D5" w14:textId="77777777" w:rsidR="00A046BC" w:rsidRPr="00A046BC" w:rsidRDefault="00A046BC" w:rsidP="00A046BC"/>
    <w:p w14:paraId="17E99BC4" w14:textId="70E1EED1" w:rsidR="00E66B3A" w:rsidRPr="002A16F3" w:rsidRDefault="00283050" w:rsidP="00100296">
      <w:pPr>
        <w:rPr>
          <w:spacing w:val="-4"/>
        </w:rPr>
      </w:pPr>
      <w:r w:rsidRPr="00B20AE0">
        <w:rPr>
          <w:spacing w:val="-4"/>
        </w:rPr>
        <w:lastRenderedPageBreak/>
        <w:t xml:space="preserve">For customers with only a water connection, owner occupiers and tenants will </w:t>
      </w:r>
      <w:r w:rsidR="00781EA2">
        <w:rPr>
          <w:spacing w:val="-4"/>
        </w:rPr>
        <w:t xml:space="preserve">have no significant impact to their </w:t>
      </w:r>
      <w:r w:rsidRPr="00B20AE0">
        <w:rPr>
          <w:spacing w:val="-4"/>
        </w:rPr>
        <w:t xml:space="preserve">bill. We have implemented our tariff reform to ensure that these customers, albeit </w:t>
      </w:r>
      <w:r w:rsidR="00F31E95" w:rsidRPr="00B20AE0">
        <w:rPr>
          <w:spacing w:val="-4"/>
        </w:rPr>
        <w:t xml:space="preserve">a </w:t>
      </w:r>
      <w:r w:rsidRPr="00B20AE0">
        <w:rPr>
          <w:spacing w:val="-4"/>
        </w:rPr>
        <w:t xml:space="preserve">marginal group, see no significant impact to their bills. </w:t>
      </w:r>
    </w:p>
    <w:p w14:paraId="76BA2926" w14:textId="0B630B28" w:rsidR="00BD6701" w:rsidRDefault="002A16F3" w:rsidP="00494CA8">
      <w:pPr>
        <w:pStyle w:val="Caption"/>
      </w:pPr>
      <w:bookmarkStart w:id="167" w:name="_Toc145498145"/>
      <w:r>
        <w:rPr>
          <w:b/>
          <w:noProof/>
        </w:rPr>
        <w:drawing>
          <wp:inline distT="0" distB="0" distL="0" distR="0" wp14:anchorId="3BED755A" wp14:editId="3F83B8C7">
            <wp:extent cx="6120765" cy="3420110"/>
            <wp:effectExtent l="0" t="0" r="0" b="8890"/>
            <wp:docPr id="126" name="Picture 126" descr="Bar graph which shows the totals for Water fixed and Water Variable over years 2018-19 to 2027-28. Values are 2018-19 $714, 2019-20 $739, 2020-21 $715, 2021-22 $700, 2022-23 $659, 2023-24 $650, 2024-25 $657, 2025-26 $657, 2026-27 $657, 2027-28 $6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Bar graph which shows the totals for Water fixed and Water Variable over years 2018-19 to 2027-28. Values are 2018-19 $714, 2019-20 $739, 2020-21 $715, 2021-22 $700, 2022-23 $659, 2023-24 $650, 2024-25 $657, 2025-26 $657, 2026-27 $657, 2027-28 $657.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 xml:space="preserve">Figure </w:t>
      </w:r>
      <w:r w:rsidR="00AC0042" w:rsidRPr="00EC668D">
        <w:rPr>
          <w:b/>
        </w:rPr>
        <w:fldChar w:fldCharType="begin"/>
      </w:r>
      <w:r w:rsidR="00AC0042" w:rsidRPr="00EC668D">
        <w:rPr>
          <w:b/>
        </w:rPr>
        <w:instrText>SEQ Figure \* ARABIC</w:instrText>
      </w:r>
      <w:r w:rsidR="00AC0042" w:rsidRPr="00EC668D">
        <w:rPr>
          <w:b/>
        </w:rPr>
        <w:fldChar w:fldCharType="separate"/>
      </w:r>
      <w:r w:rsidR="003B42C6">
        <w:rPr>
          <w:b/>
          <w:noProof/>
        </w:rPr>
        <w:t>8</w:t>
      </w:r>
      <w:r w:rsidR="00AC0042" w:rsidRPr="00EC668D">
        <w:rPr>
          <w:b/>
        </w:rPr>
        <w:fldChar w:fldCharType="end"/>
      </w:r>
      <w:r w:rsidR="00AC0042" w:rsidRPr="00EC668D">
        <w:rPr>
          <w:b/>
        </w:rPr>
        <w:t xml:space="preserve"> </w:t>
      </w:r>
      <w:r w:rsidR="00AC0042">
        <w:t>Average owner occupier bill with only a water connection - 150kL (central)</w:t>
      </w:r>
      <w:bookmarkEnd w:id="167"/>
      <w:r w:rsidR="005712E4">
        <w:t xml:space="preserve"> ($, 2023-24)</w:t>
      </w:r>
    </w:p>
    <w:p w14:paraId="311873EA" w14:textId="1A0F97F0" w:rsidR="00E06B29" w:rsidRDefault="00E06B29" w:rsidP="00100296"/>
    <w:p w14:paraId="1CBC3ED8" w14:textId="33B01B35" w:rsidR="00AC0042" w:rsidRPr="009F7B92" w:rsidRDefault="009A4C65" w:rsidP="00AC0042">
      <w:pPr>
        <w:pStyle w:val="Caption"/>
      </w:pPr>
      <w:bookmarkStart w:id="168" w:name="_Toc145498146"/>
      <w:r>
        <w:rPr>
          <w:b/>
          <w:noProof/>
        </w:rPr>
        <w:drawing>
          <wp:inline distT="0" distB="0" distL="0" distR="0" wp14:anchorId="3EC538E2" wp14:editId="40B35B9D">
            <wp:extent cx="6120765" cy="3420110"/>
            <wp:effectExtent l="0" t="0" r="0" b="8890"/>
            <wp:docPr id="730749635" name="Picture 730749635" descr="Bar graph which shows the totals for Water Variable over years 2018-19 to 2027-28. Values are 2018-19 $441, 2019-20 $470, 2020-21 $475, 2021-22 $466, 2022-23 $438, 2023-24 $444, 2024-25 $444, 2025-26 $444, 2026-27 $444, 2027-28 $4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5" name="Picture 730749635" descr="Bar graph which shows the totals for Water Variable over years 2018-19 to 2027-28. Values are 2018-19 $441, 2019-20 $470, 2020-21 $475, 2021-22 $466, 2022-23 $438, 2023-24 $444, 2024-25 $444, 2025-26 $444, 2026-27 $444, 2027-28 $444.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 xml:space="preserve">Figure </w:t>
      </w:r>
      <w:r w:rsidR="00AC0042" w:rsidRPr="00EC668D">
        <w:rPr>
          <w:b/>
        </w:rPr>
        <w:fldChar w:fldCharType="begin"/>
      </w:r>
      <w:r w:rsidR="00AC0042" w:rsidRPr="00EC668D">
        <w:rPr>
          <w:b/>
        </w:rPr>
        <w:instrText>SEQ Figure \* ARABIC</w:instrText>
      </w:r>
      <w:r w:rsidR="00AC0042" w:rsidRPr="00EC668D">
        <w:rPr>
          <w:b/>
        </w:rPr>
        <w:fldChar w:fldCharType="separate"/>
      </w:r>
      <w:r w:rsidR="003B42C6">
        <w:rPr>
          <w:b/>
          <w:noProof/>
        </w:rPr>
        <w:t>9</w:t>
      </w:r>
      <w:r w:rsidR="00AC0042" w:rsidRPr="00EC668D">
        <w:rPr>
          <w:b/>
        </w:rPr>
        <w:fldChar w:fldCharType="end"/>
      </w:r>
      <w:r w:rsidR="00AC0042">
        <w:t xml:space="preserve"> Average tenant bill with only a water connection - 150kL (central)</w:t>
      </w:r>
      <w:bookmarkEnd w:id="168"/>
      <w:r w:rsidR="00494CA8">
        <w:t xml:space="preserve"> </w:t>
      </w:r>
      <w:r w:rsidR="001F1F56" w:rsidRPr="001F1F56">
        <w:t>($, 2023-24)</w:t>
      </w:r>
    </w:p>
    <w:p w14:paraId="0A179185" w14:textId="77777777" w:rsidR="00A046BC" w:rsidRDefault="00A046BC">
      <w:pPr>
        <w:spacing w:before="0" w:after="160" w:line="259" w:lineRule="auto"/>
        <w:rPr>
          <w:b/>
          <w:bCs/>
          <w:color w:val="1A206C" w:themeColor="text2"/>
          <w:spacing w:val="-6"/>
          <w:szCs w:val="24"/>
        </w:rPr>
      </w:pPr>
      <w:r>
        <w:br w:type="page"/>
      </w:r>
    </w:p>
    <w:p w14:paraId="2A310357" w14:textId="3759C642" w:rsidR="00100296" w:rsidRDefault="00100296" w:rsidP="00100296">
      <w:pPr>
        <w:pStyle w:val="Heading4"/>
      </w:pPr>
      <w:r>
        <w:lastRenderedPageBreak/>
        <w:t>Residential tariffs</w:t>
      </w:r>
    </w:p>
    <w:p w14:paraId="3559F4D3" w14:textId="235A9089" w:rsidR="00100296" w:rsidRPr="00C75ECE" w:rsidRDefault="001C4DCB" w:rsidP="00100296">
      <w:r>
        <w:fldChar w:fldCharType="begin"/>
      </w:r>
      <w:r>
        <w:instrText xml:space="preserve"> REF _Ref144731914 \h </w:instrText>
      </w:r>
      <w:r>
        <w:fldChar w:fldCharType="separate"/>
      </w:r>
      <w:r w:rsidR="003B42C6" w:rsidRPr="00850F1F">
        <w:rPr>
          <w:b/>
        </w:rPr>
        <w:t xml:space="preserve">Table </w:t>
      </w:r>
      <w:r w:rsidR="003B42C6">
        <w:rPr>
          <w:b/>
          <w:noProof/>
        </w:rPr>
        <w:t>34</w:t>
      </w:r>
      <w:r>
        <w:fldChar w:fldCharType="end"/>
      </w:r>
      <w:r>
        <w:t xml:space="preserve"> and </w:t>
      </w:r>
      <w:r>
        <w:fldChar w:fldCharType="begin"/>
      </w:r>
      <w:r>
        <w:instrText xml:space="preserve"> REF _Ref144731915 \h </w:instrText>
      </w:r>
      <w:r>
        <w:fldChar w:fldCharType="separate"/>
      </w:r>
      <w:r w:rsidR="003B42C6" w:rsidRPr="003B330B">
        <w:rPr>
          <w:b/>
        </w:rPr>
        <w:t xml:space="preserve">Table </w:t>
      </w:r>
      <w:r w:rsidR="003B42C6">
        <w:rPr>
          <w:b/>
          <w:noProof/>
        </w:rPr>
        <w:t>35</w:t>
      </w:r>
      <w:r>
        <w:fldChar w:fldCharType="end"/>
      </w:r>
      <w:r>
        <w:t xml:space="preserve"> </w:t>
      </w:r>
      <w:r w:rsidR="00100296">
        <w:t>show our proposed residential water and sewerage tariffs and prices for the next regulatory period.</w:t>
      </w:r>
    </w:p>
    <w:p w14:paraId="571222C9" w14:textId="3A71C019" w:rsidR="00100296" w:rsidRDefault="00100296" w:rsidP="00100296">
      <w:pPr>
        <w:pStyle w:val="Caption"/>
      </w:pPr>
      <w:bookmarkStart w:id="169" w:name="_Ref144731914"/>
      <w:r w:rsidRPr="00850F1F">
        <w:rPr>
          <w:b/>
        </w:rPr>
        <w:t xml:space="preserve">Table </w:t>
      </w:r>
      <w:r w:rsidRPr="00850F1F">
        <w:rPr>
          <w:b/>
        </w:rPr>
        <w:fldChar w:fldCharType="begin"/>
      </w:r>
      <w:r w:rsidRPr="00850F1F">
        <w:rPr>
          <w:b/>
        </w:rPr>
        <w:instrText>SEQ Table \* ARABIC</w:instrText>
      </w:r>
      <w:r w:rsidRPr="00850F1F">
        <w:rPr>
          <w:b/>
        </w:rPr>
        <w:fldChar w:fldCharType="separate"/>
      </w:r>
      <w:r w:rsidR="003B42C6">
        <w:rPr>
          <w:b/>
          <w:noProof/>
        </w:rPr>
        <w:t>34</w:t>
      </w:r>
      <w:r w:rsidRPr="00850F1F">
        <w:rPr>
          <w:b/>
        </w:rPr>
        <w:fldChar w:fldCharType="end"/>
      </w:r>
      <w:bookmarkEnd w:id="169"/>
      <w:r>
        <w:t xml:space="preserve"> Proposed residential water and sewerage tariffs and prices </w:t>
      </w:r>
      <w:r w:rsidR="005712E4">
        <w:t>–</w:t>
      </w:r>
      <w:r>
        <w:t xml:space="preserve"> central</w:t>
      </w:r>
      <w:r w:rsidR="005712E4">
        <w:t xml:space="preserve"> ($, 2023-24)</w:t>
      </w:r>
    </w:p>
    <w:tbl>
      <w:tblPr>
        <w:tblStyle w:val="GWWDefaulttable"/>
        <w:tblW w:w="5000" w:type="pct"/>
        <w:tblLook w:val="04A0" w:firstRow="1" w:lastRow="0" w:firstColumn="1" w:lastColumn="0" w:noHBand="0" w:noVBand="1"/>
      </w:tblPr>
      <w:tblGrid>
        <w:gridCol w:w="3372"/>
        <w:gridCol w:w="1157"/>
        <w:gridCol w:w="1020"/>
        <w:gridCol w:w="1020"/>
        <w:gridCol w:w="1020"/>
        <w:gridCol w:w="1020"/>
        <w:gridCol w:w="1029"/>
      </w:tblGrid>
      <w:tr w:rsidR="00825E89" w:rsidRPr="00976CE6" w14:paraId="3BE5F9D0" w14:textId="77777777" w:rsidTr="001F1F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651DF06" w14:textId="1792D29F" w:rsidR="002B2FE1" w:rsidRPr="00976CE6" w:rsidRDefault="002B2FE1" w:rsidP="00F5508D">
            <w:r w:rsidRPr="00976CE6">
              <w:t>Central region</w:t>
            </w:r>
          </w:p>
        </w:tc>
        <w:tc>
          <w:tcPr>
            <w:tcW w:w="600" w:type="pct"/>
            <w:vAlign w:val="center"/>
          </w:tcPr>
          <w:p w14:paraId="7DE5C5B6" w14:textId="77777777" w:rsidR="002B2FE1" w:rsidRPr="00976CE6" w:rsidRDefault="002B2FE1" w:rsidP="006C5602">
            <w:pPr>
              <w:jc w:val="center"/>
              <w:cnfStyle w:val="100000000000" w:firstRow="1" w:lastRow="0" w:firstColumn="0" w:lastColumn="0" w:oddVBand="0" w:evenVBand="0" w:oddHBand="0" w:evenHBand="0" w:firstRowFirstColumn="0" w:firstRowLastColumn="0" w:lastRowFirstColumn="0" w:lastRowLastColumn="0"/>
            </w:pPr>
          </w:p>
        </w:tc>
        <w:tc>
          <w:tcPr>
            <w:tcW w:w="529" w:type="pct"/>
            <w:vAlign w:val="center"/>
          </w:tcPr>
          <w:p w14:paraId="72DEE3D4" w14:textId="77777777" w:rsidR="002B2FE1" w:rsidRPr="00976CE6" w:rsidRDefault="002B2FE1" w:rsidP="00F5508D">
            <w:pPr>
              <w:cnfStyle w:val="100000000000" w:firstRow="1" w:lastRow="0" w:firstColumn="0" w:lastColumn="0" w:oddVBand="0" w:evenVBand="0" w:oddHBand="0" w:evenHBand="0" w:firstRowFirstColumn="0" w:firstRowLastColumn="0" w:lastRowFirstColumn="0" w:lastRowLastColumn="0"/>
            </w:pPr>
          </w:p>
        </w:tc>
        <w:tc>
          <w:tcPr>
            <w:tcW w:w="2120" w:type="pct"/>
            <w:gridSpan w:val="4"/>
            <w:vAlign w:val="center"/>
          </w:tcPr>
          <w:p w14:paraId="6BD74103" w14:textId="77777777" w:rsidR="002B2FE1" w:rsidRPr="00976CE6" w:rsidRDefault="002B2FE1" w:rsidP="00F5508D">
            <w:pPr>
              <w:cnfStyle w:val="100000000000" w:firstRow="1" w:lastRow="0" w:firstColumn="0" w:lastColumn="0" w:oddVBand="0" w:evenVBand="0" w:oddHBand="0" w:evenHBand="0" w:firstRowFirstColumn="0" w:firstRowLastColumn="0" w:lastRowFirstColumn="0" w:lastRowLastColumn="0"/>
            </w:pPr>
            <w:r w:rsidRPr="00976CE6">
              <w:t>Proposed price movement</w:t>
            </w:r>
          </w:p>
        </w:tc>
      </w:tr>
      <w:tr w:rsidR="00857CDF" w:rsidRPr="00857CDF" w14:paraId="6C8AA834"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1750" w:type="pct"/>
            <w:shd w:val="clear" w:color="auto" w:fill="B3C5E6" w:themeFill="accent2"/>
            <w:vAlign w:val="center"/>
          </w:tcPr>
          <w:p w14:paraId="00AD85CB" w14:textId="77777777" w:rsidR="002B2FE1" w:rsidRPr="00857CDF" w:rsidRDefault="002B2FE1" w:rsidP="00F5508D">
            <w:pPr>
              <w:rPr>
                <w:rStyle w:val="Bold"/>
                <w:b/>
                <w:bCs/>
                <w:color w:val="auto"/>
              </w:rPr>
            </w:pPr>
          </w:p>
        </w:tc>
        <w:tc>
          <w:tcPr>
            <w:tcW w:w="600" w:type="pct"/>
            <w:shd w:val="clear" w:color="auto" w:fill="B3C5E6" w:themeFill="accent2"/>
            <w:vAlign w:val="center"/>
          </w:tcPr>
          <w:p w14:paraId="1BF27F6F" w14:textId="77777777" w:rsidR="002B2FE1" w:rsidRPr="00857CDF" w:rsidRDefault="002B2FE1" w:rsidP="00431E9B">
            <w:pPr>
              <w:jc w:val="center"/>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Unit</w:t>
            </w:r>
          </w:p>
        </w:tc>
        <w:tc>
          <w:tcPr>
            <w:tcW w:w="529" w:type="pct"/>
            <w:shd w:val="clear" w:color="auto" w:fill="B3C5E6" w:themeFill="accent2"/>
          </w:tcPr>
          <w:p w14:paraId="410F9221"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2023-24</w:t>
            </w:r>
          </w:p>
        </w:tc>
        <w:tc>
          <w:tcPr>
            <w:tcW w:w="529" w:type="pct"/>
            <w:shd w:val="clear" w:color="auto" w:fill="B3C5E6" w:themeFill="accent2"/>
          </w:tcPr>
          <w:p w14:paraId="0D65C1F0"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2024-25</w:t>
            </w:r>
          </w:p>
        </w:tc>
        <w:tc>
          <w:tcPr>
            <w:tcW w:w="529" w:type="pct"/>
            <w:shd w:val="clear" w:color="auto" w:fill="B3C5E6" w:themeFill="accent2"/>
          </w:tcPr>
          <w:p w14:paraId="13CDC9FD"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2025-26</w:t>
            </w:r>
          </w:p>
        </w:tc>
        <w:tc>
          <w:tcPr>
            <w:tcW w:w="529" w:type="pct"/>
            <w:shd w:val="clear" w:color="auto" w:fill="B3C5E6" w:themeFill="accent2"/>
          </w:tcPr>
          <w:p w14:paraId="58CAB26B"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2026-27</w:t>
            </w:r>
          </w:p>
        </w:tc>
        <w:tc>
          <w:tcPr>
            <w:tcW w:w="533" w:type="pct"/>
            <w:shd w:val="clear" w:color="auto" w:fill="B3C5E6" w:themeFill="accent2"/>
          </w:tcPr>
          <w:p w14:paraId="732BA5F5"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2027-28</w:t>
            </w:r>
          </w:p>
        </w:tc>
      </w:tr>
      <w:tr w:rsidR="002B2FE1" w:rsidRPr="00976CE6" w14:paraId="756F9F6E"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E63CB01" w14:textId="77777777" w:rsidR="002B2FE1" w:rsidRPr="00976CE6" w:rsidRDefault="002B2FE1" w:rsidP="00F5508D">
            <w:r w:rsidRPr="00976CE6">
              <w:t>Residential water tariff</w:t>
            </w:r>
          </w:p>
        </w:tc>
      </w:tr>
      <w:tr w:rsidR="002B2FE1" w:rsidRPr="00976CE6" w14:paraId="11E7AF37"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56443665" w14:textId="77777777" w:rsidR="002B2FE1" w:rsidRPr="00976CE6" w:rsidRDefault="002B2FE1" w:rsidP="00F5508D">
            <w:r w:rsidRPr="00976CE6">
              <w:t>Fixed potable water prices</w:t>
            </w:r>
          </w:p>
        </w:tc>
      </w:tr>
      <w:tr w:rsidR="00825E89" w:rsidRPr="00976CE6" w14:paraId="0C734B36"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0398163" w14:textId="77777777" w:rsidR="002B2FE1" w:rsidRPr="00F658D0" w:rsidRDefault="002B2FE1" w:rsidP="00F5508D">
            <w:pPr>
              <w:rPr>
                <w:b w:val="0"/>
              </w:rPr>
            </w:pPr>
            <w:r w:rsidRPr="00F658D0">
              <w:rPr>
                <w:b w:val="0"/>
              </w:rPr>
              <w:t>Water network fee</w:t>
            </w:r>
          </w:p>
        </w:tc>
        <w:tc>
          <w:tcPr>
            <w:tcW w:w="600" w:type="pct"/>
            <w:vAlign w:val="center"/>
          </w:tcPr>
          <w:p w14:paraId="3925737B"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tcPr>
          <w:p w14:paraId="6CCBF83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$206.40</w:t>
            </w:r>
          </w:p>
        </w:tc>
        <w:tc>
          <w:tcPr>
            <w:tcW w:w="529" w:type="pct"/>
          </w:tcPr>
          <w:p w14:paraId="67FE6FF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$212.59</w:t>
            </w:r>
          </w:p>
        </w:tc>
        <w:tc>
          <w:tcPr>
            <w:tcW w:w="529" w:type="pct"/>
          </w:tcPr>
          <w:p w14:paraId="2719EE5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tcPr>
          <w:p w14:paraId="28D9150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tcPr>
          <w:p w14:paraId="2B08D22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60631AE0"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3E1901B4" w14:textId="6C6D2EC1" w:rsidR="002B2FE1" w:rsidRPr="00976CE6" w:rsidRDefault="002B2FE1" w:rsidP="00F5508D">
            <w:r w:rsidRPr="00976CE6">
              <w:t>Volumetric potable water prices</w:t>
            </w:r>
          </w:p>
        </w:tc>
      </w:tr>
      <w:tr w:rsidR="00825E89" w:rsidRPr="00976CE6" w14:paraId="07350D27"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50ADDF6" w14:textId="758D6013" w:rsidR="002B2FE1" w:rsidRPr="00976CE6" w:rsidRDefault="002B2FE1" w:rsidP="00C149DB">
            <w:pPr>
              <w:ind w:left="720"/>
            </w:pPr>
            <w:r w:rsidRPr="00F658D0">
              <w:rPr>
                <w:b w:val="0"/>
              </w:rPr>
              <w:t xml:space="preserve">Price step 1 </w:t>
            </w:r>
            <w:r w:rsidR="00431E9B">
              <w:rPr>
                <w:bCs/>
              </w:rPr>
              <w:br/>
            </w:r>
            <w:r w:rsidRPr="00F658D0">
              <w:rPr>
                <w:b w:val="0"/>
              </w:rPr>
              <w:t>(0-440 litres/day)</w:t>
            </w:r>
          </w:p>
        </w:tc>
        <w:tc>
          <w:tcPr>
            <w:tcW w:w="600" w:type="pct"/>
            <w:vAlign w:val="center"/>
          </w:tcPr>
          <w:p w14:paraId="1CF2175D"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76FAF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$2.9499</w:t>
            </w:r>
          </w:p>
        </w:tc>
        <w:tc>
          <w:tcPr>
            <w:tcW w:w="529" w:type="pct"/>
            <w:vAlign w:val="center"/>
          </w:tcPr>
          <w:p w14:paraId="0586A7B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19DC734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393FC1FD"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5E01D42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825E89" w:rsidRPr="00976CE6" w14:paraId="227CE290"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94645FF" w14:textId="427B9E7E" w:rsidR="002B2FE1" w:rsidRPr="00976CE6" w:rsidRDefault="002B2FE1" w:rsidP="00C149DB">
            <w:pPr>
              <w:ind w:left="720"/>
            </w:pPr>
            <w:r w:rsidRPr="00F658D0">
              <w:rPr>
                <w:b w:val="0"/>
              </w:rPr>
              <w:t xml:space="preserve">Price step 2 </w:t>
            </w:r>
            <w:r w:rsidR="00431E9B">
              <w:rPr>
                <w:bCs/>
              </w:rPr>
              <w:br/>
            </w:r>
            <w:r w:rsidRPr="00F658D0">
              <w:rPr>
                <w:b w:val="0"/>
              </w:rPr>
              <w:t>(441+ litres/day)</w:t>
            </w:r>
          </w:p>
        </w:tc>
        <w:tc>
          <w:tcPr>
            <w:tcW w:w="600" w:type="pct"/>
            <w:vAlign w:val="center"/>
          </w:tcPr>
          <w:p w14:paraId="37F7FD49"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3FBCB57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$3.4722</w:t>
            </w:r>
          </w:p>
        </w:tc>
        <w:tc>
          <w:tcPr>
            <w:tcW w:w="529" w:type="pct"/>
            <w:vAlign w:val="center"/>
          </w:tcPr>
          <w:p w14:paraId="458A1E7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EBFE10C"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02296214"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08A44F2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2B2FE1" w:rsidRPr="00976CE6" w14:paraId="72ED4E1F"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2C0C678D" w14:textId="0BE20F80" w:rsidR="002B2FE1" w:rsidRPr="00976CE6" w:rsidRDefault="002B2FE1" w:rsidP="00F5508D">
            <w:r w:rsidRPr="00976CE6">
              <w:t>Volumetric potable water prices (for customers receiving both water and sewerage services)</w:t>
            </w:r>
          </w:p>
        </w:tc>
      </w:tr>
      <w:tr w:rsidR="002B2FE1" w:rsidRPr="00976CE6" w14:paraId="3FB6A842"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4DADECF" w14:textId="3609B8AF" w:rsidR="002B2FE1" w:rsidRPr="00F658D0" w:rsidRDefault="002B2FE1" w:rsidP="00152DFB">
            <w:pPr>
              <w:ind w:left="720"/>
              <w:rPr>
                <w:b w:val="0"/>
              </w:rPr>
            </w:pPr>
            <w:r w:rsidRPr="00F658D0">
              <w:rPr>
                <w:b w:val="0"/>
              </w:rPr>
              <w:t xml:space="preserve">Price step 1 </w:t>
            </w:r>
            <w:r w:rsidR="00152DFB">
              <w:rPr>
                <w:b w:val="0"/>
                <w:bCs/>
              </w:rPr>
              <w:br/>
            </w:r>
            <w:r w:rsidRPr="00F658D0">
              <w:rPr>
                <w:b w:val="0"/>
              </w:rPr>
              <w:t>(0-440 litres/day)</w:t>
            </w:r>
          </w:p>
        </w:tc>
        <w:tc>
          <w:tcPr>
            <w:tcW w:w="600" w:type="pct"/>
            <w:vAlign w:val="center"/>
          </w:tcPr>
          <w:p w14:paraId="2BA2577C"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02F0F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21E1E634" w14:textId="0E6276D3" w:rsidR="002B2FE1" w:rsidRPr="00976CE6" w:rsidRDefault="00AC5B36" w:rsidP="003B330B">
            <w:pPr>
              <w:jc w:val="right"/>
              <w:cnfStyle w:val="000000000000" w:firstRow="0" w:lastRow="0" w:firstColumn="0" w:lastColumn="0" w:oddVBand="0" w:evenVBand="0" w:oddHBand="0" w:evenHBand="0" w:firstRowFirstColumn="0" w:firstRowLastColumn="0" w:lastRowFirstColumn="0" w:lastRowLastColumn="0"/>
            </w:pPr>
            <w:r w:rsidRPr="00976CE6">
              <w:t>$3.3945</w:t>
            </w:r>
          </w:p>
        </w:tc>
        <w:tc>
          <w:tcPr>
            <w:tcW w:w="529" w:type="pct"/>
            <w:vAlign w:val="center"/>
          </w:tcPr>
          <w:p w14:paraId="7249298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7BCA7182"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2071903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457139A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D61C5BD" w14:textId="48C4B546" w:rsidR="002B2FE1" w:rsidRPr="00F658D0" w:rsidRDefault="002B2FE1" w:rsidP="00152DFB">
            <w:pPr>
              <w:ind w:left="720"/>
              <w:rPr>
                <w:b w:val="0"/>
              </w:rPr>
            </w:pPr>
            <w:r w:rsidRPr="00F658D0">
              <w:rPr>
                <w:b w:val="0"/>
              </w:rPr>
              <w:t xml:space="preserve">Price step 2 </w:t>
            </w:r>
            <w:r w:rsidR="00152DFB">
              <w:rPr>
                <w:b w:val="0"/>
                <w:bCs/>
              </w:rPr>
              <w:br/>
            </w:r>
            <w:r w:rsidRPr="00F658D0">
              <w:rPr>
                <w:b w:val="0"/>
              </w:rPr>
              <w:t>(441+ litres/day)</w:t>
            </w:r>
          </w:p>
        </w:tc>
        <w:tc>
          <w:tcPr>
            <w:tcW w:w="600" w:type="pct"/>
            <w:vAlign w:val="center"/>
          </w:tcPr>
          <w:p w14:paraId="0AEBD4BB"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144CC11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F98107A" w14:textId="6396B349" w:rsidR="002B2FE1" w:rsidRPr="00976CE6" w:rsidRDefault="00AC5B36" w:rsidP="003B330B">
            <w:pPr>
              <w:jc w:val="right"/>
              <w:cnfStyle w:val="000000000000" w:firstRow="0" w:lastRow="0" w:firstColumn="0" w:lastColumn="0" w:oddVBand="0" w:evenVBand="0" w:oddHBand="0" w:evenHBand="0" w:firstRowFirstColumn="0" w:firstRowLastColumn="0" w:lastRowFirstColumn="0" w:lastRowLastColumn="0"/>
            </w:pPr>
            <w:r w:rsidRPr="00976CE6">
              <w:t>$3.8895</w:t>
            </w:r>
          </w:p>
        </w:tc>
        <w:tc>
          <w:tcPr>
            <w:tcW w:w="529" w:type="pct"/>
            <w:vAlign w:val="center"/>
          </w:tcPr>
          <w:p w14:paraId="67BD0DF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5ACD509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11996981"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162F3741"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23BC9F12" w14:textId="77777777" w:rsidR="002B2FE1" w:rsidRPr="00976CE6" w:rsidRDefault="002B2FE1" w:rsidP="00F5508D">
            <w:r w:rsidRPr="00976CE6">
              <w:t>Volumetric potable water prices (for customers receiving only water services)</w:t>
            </w:r>
          </w:p>
        </w:tc>
      </w:tr>
      <w:tr w:rsidR="00825E89" w:rsidRPr="00976CE6" w14:paraId="7FA57D86"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C67778E" w14:textId="7C9EE3E3" w:rsidR="002B2FE1" w:rsidRPr="00F658D0" w:rsidRDefault="002B2FE1" w:rsidP="00152DFB">
            <w:pPr>
              <w:ind w:left="720"/>
              <w:rPr>
                <w:b w:val="0"/>
              </w:rPr>
            </w:pPr>
            <w:r w:rsidRPr="00F658D0">
              <w:rPr>
                <w:b w:val="0"/>
              </w:rPr>
              <w:t xml:space="preserve">Price step 1 </w:t>
            </w:r>
            <w:r w:rsidR="00152DFB">
              <w:rPr>
                <w:b w:val="0"/>
                <w:bCs/>
              </w:rPr>
              <w:br/>
            </w:r>
            <w:r w:rsidRPr="00F658D0">
              <w:rPr>
                <w:b w:val="0"/>
              </w:rPr>
              <w:t>(0-440 litres/day)</w:t>
            </w:r>
          </w:p>
        </w:tc>
        <w:tc>
          <w:tcPr>
            <w:tcW w:w="600" w:type="pct"/>
            <w:vAlign w:val="center"/>
          </w:tcPr>
          <w:p w14:paraId="18624C3E"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13AF3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24353F1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$2.9499</w:t>
            </w:r>
          </w:p>
        </w:tc>
        <w:tc>
          <w:tcPr>
            <w:tcW w:w="529" w:type="pct"/>
            <w:vAlign w:val="center"/>
          </w:tcPr>
          <w:p w14:paraId="29C185EF"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003BE6FD"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15191E2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825E89" w:rsidRPr="00976CE6" w14:paraId="078BA21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ACD8C54" w14:textId="784A0215" w:rsidR="002B2FE1" w:rsidRPr="00F658D0" w:rsidRDefault="002B2FE1" w:rsidP="00152DFB">
            <w:pPr>
              <w:ind w:left="720"/>
              <w:rPr>
                <w:b w:val="0"/>
              </w:rPr>
            </w:pPr>
            <w:r w:rsidRPr="00F658D0">
              <w:rPr>
                <w:b w:val="0"/>
              </w:rPr>
              <w:t xml:space="preserve">Price step 2 </w:t>
            </w:r>
            <w:r w:rsidR="003C3AD1">
              <w:rPr>
                <w:b w:val="0"/>
              </w:rPr>
              <w:br/>
            </w:r>
            <w:r w:rsidRPr="00F658D0">
              <w:rPr>
                <w:b w:val="0"/>
              </w:rPr>
              <w:t>(441+ litres/day)</w:t>
            </w:r>
          </w:p>
        </w:tc>
        <w:tc>
          <w:tcPr>
            <w:tcW w:w="600" w:type="pct"/>
            <w:vAlign w:val="center"/>
          </w:tcPr>
          <w:p w14:paraId="0A8D27F1"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64420F9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55CA87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$3.4661</w:t>
            </w:r>
          </w:p>
        </w:tc>
        <w:tc>
          <w:tcPr>
            <w:tcW w:w="529" w:type="pct"/>
            <w:vAlign w:val="center"/>
          </w:tcPr>
          <w:p w14:paraId="5EB78ED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42EF64A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74F574B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199E2FC9"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2D53D52" w14:textId="77777777" w:rsidR="002B2FE1" w:rsidRPr="00976CE6" w:rsidRDefault="002B2FE1" w:rsidP="00F5508D">
            <w:r w:rsidRPr="00976CE6">
              <w:t>Residential sewerage tariff</w:t>
            </w:r>
          </w:p>
        </w:tc>
      </w:tr>
      <w:tr w:rsidR="002B2FE1" w:rsidRPr="00976CE6" w14:paraId="4AEB5461"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49BDFF3" w14:textId="77777777" w:rsidR="002B2FE1" w:rsidRPr="00976CE6" w:rsidRDefault="002B2FE1" w:rsidP="00F5508D">
            <w:r w:rsidRPr="00976CE6">
              <w:t>Fixed sewerage prices</w:t>
            </w:r>
          </w:p>
        </w:tc>
      </w:tr>
      <w:tr w:rsidR="00825E89" w:rsidRPr="00976CE6" w14:paraId="43ACB08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4110E4AE" w14:textId="77777777" w:rsidR="002B2FE1" w:rsidRPr="00F658D0" w:rsidRDefault="002B2FE1" w:rsidP="00F5508D">
            <w:pPr>
              <w:rPr>
                <w:b w:val="0"/>
              </w:rPr>
            </w:pPr>
            <w:r w:rsidRPr="00F658D0">
              <w:rPr>
                <w:b w:val="0"/>
              </w:rPr>
              <w:t>Sewerage network fee</w:t>
            </w:r>
          </w:p>
        </w:tc>
        <w:tc>
          <w:tcPr>
            <w:tcW w:w="600" w:type="pct"/>
            <w:vAlign w:val="center"/>
          </w:tcPr>
          <w:p w14:paraId="4021C014"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vAlign w:val="center"/>
          </w:tcPr>
          <w:p w14:paraId="69D2831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$269.56</w:t>
            </w:r>
          </w:p>
        </w:tc>
        <w:tc>
          <w:tcPr>
            <w:tcW w:w="529" w:type="pct"/>
            <w:vAlign w:val="center"/>
          </w:tcPr>
          <w:p w14:paraId="4BFB5880" w14:textId="26BB9AED"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$272.59</w:t>
            </w:r>
          </w:p>
        </w:tc>
        <w:tc>
          <w:tcPr>
            <w:tcW w:w="529" w:type="pct"/>
            <w:vAlign w:val="center"/>
          </w:tcPr>
          <w:p w14:paraId="047F1639" w14:textId="1C5FAB1C"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1.11%</w:t>
            </w:r>
          </w:p>
        </w:tc>
        <w:tc>
          <w:tcPr>
            <w:tcW w:w="529" w:type="pct"/>
            <w:vAlign w:val="center"/>
          </w:tcPr>
          <w:p w14:paraId="1A843584" w14:textId="4B0AA71D"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1.10%</w:t>
            </w:r>
          </w:p>
        </w:tc>
        <w:tc>
          <w:tcPr>
            <w:tcW w:w="533" w:type="pct"/>
            <w:vAlign w:val="center"/>
          </w:tcPr>
          <w:p w14:paraId="5D05D441" w14:textId="5EF5BBC0"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1.09%</w:t>
            </w:r>
          </w:p>
        </w:tc>
      </w:tr>
      <w:tr w:rsidR="002B2FE1" w:rsidRPr="00976CE6" w14:paraId="31F57A3B"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52FC3E79" w14:textId="77777777" w:rsidR="002B2FE1" w:rsidRPr="00976CE6" w:rsidRDefault="002B2FE1" w:rsidP="00F5508D">
            <w:r w:rsidRPr="00976CE6">
              <w:lastRenderedPageBreak/>
              <w:t>Volumetric sewerage prices</w:t>
            </w:r>
          </w:p>
        </w:tc>
      </w:tr>
      <w:tr w:rsidR="00825E89" w:rsidRPr="00976CE6" w14:paraId="363ADC37"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15EEDD8" w14:textId="77777777" w:rsidR="002B2FE1" w:rsidRPr="00F658D0" w:rsidRDefault="002B2FE1" w:rsidP="00F5508D">
            <w:pPr>
              <w:rPr>
                <w:b w:val="0"/>
              </w:rPr>
            </w:pPr>
            <w:r w:rsidRPr="00F658D0">
              <w:rPr>
                <w:b w:val="0"/>
              </w:rPr>
              <w:t>Sewerage disposal fee</w:t>
            </w:r>
          </w:p>
        </w:tc>
        <w:tc>
          <w:tcPr>
            <w:tcW w:w="600" w:type="pct"/>
            <w:vAlign w:val="center"/>
          </w:tcPr>
          <w:p w14:paraId="21D74B17"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5B68801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$0.7898</w:t>
            </w:r>
          </w:p>
        </w:tc>
        <w:tc>
          <w:tcPr>
            <w:tcW w:w="529" w:type="pct"/>
            <w:vAlign w:val="center"/>
          </w:tcPr>
          <w:p w14:paraId="530761FA"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D46895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760EA59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2AF28DE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2B2FE1" w:rsidRPr="00976CE6" w14:paraId="40AE77C7"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B1F0925" w14:textId="77777777" w:rsidR="002B2FE1" w:rsidRPr="00976CE6" w:rsidRDefault="002B2FE1" w:rsidP="00F5508D">
            <w:r w:rsidRPr="00976CE6">
              <w:t>Residential recycled water (Class A) tariff</w:t>
            </w:r>
          </w:p>
        </w:tc>
      </w:tr>
      <w:tr w:rsidR="002B2FE1" w:rsidRPr="00976CE6" w14:paraId="31049D19"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035F4FF" w14:textId="77777777" w:rsidR="002B2FE1" w:rsidRPr="00976CE6" w:rsidRDefault="002B2FE1" w:rsidP="00F5508D">
            <w:r w:rsidRPr="00976CE6">
              <w:t>Fixed recycled water prices</w:t>
            </w:r>
          </w:p>
        </w:tc>
      </w:tr>
      <w:tr w:rsidR="00825E89" w:rsidRPr="00976CE6" w14:paraId="60559216"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90BA659" w14:textId="77777777" w:rsidR="002B2FE1" w:rsidRPr="00F658D0" w:rsidRDefault="002B2FE1" w:rsidP="00F5508D">
            <w:pPr>
              <w:rPr>
                <w:b w:val="0"/>
              </w:rPr>
            </w:pPr>
            <w:r w:rsidRPr="00F658D0">
              <w:rPr>
                <w:b w:val="0"/>
              </w:rPr>
              <w:t>Recycled water network fee</w:t>
            </w:r>
          </w:p>
        </w:tc>
        <w:tc>
          <w:tcPr>
            <w:tcW w:w="600" w:type="pct"/>
            <w:vAlign w:val="center"/>
          </w:tcPr>
          <w:p w14:paraId="6EF95329"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vAlign w:val="center"/>
          </w:tcPr>
          <w:p w14:paraId="6DF839E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$35.92</w:t>
            </w:r>
          </w:p>
        </w:tc>
        <w:tc>
          <w:tcPr>
            <w:tcW w:w="529" w:type="pct"/>
            <w:vAlign w:val="center"/>
          </w:tcPr>
          <w:p w14:paraId="66D1AC2E" w14:textId="38CA7E20"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$38.12</w:t>
            </w:r>
          </w:p>
        </w:tc>
        <w:tc>
          <w:tcPr>
            <w:tcW w:w="529" w:type="pct"/>
            <w:vAlign w:val="center"/>
          </w:tcPr>
          <w:p w14:paraId="14C73E26" w14:textId="2FEB8250"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5.77%</w:t>
            </w:r>
          </w:p>
        </w:tc>
        <w:tc>
          <w:tcPr>
            <w:tcW w:w="529" w:type="pct"/>
            <w:vAlign w:val="center"/>
          </w:tcPr>
          <w:p w14:paraId="3AA7FEB0" w14:textId="114FA839"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5.46%</w:t>
            </w:r>
          </w:p>
        </w:tc>
        <w:tc>
          <w:tcPr>
            <w:tcW w:w="533" w:type="pct"/>
            <w:vAlign w:val="center"/>
          </w:tcPr>
          <w:p w14:paraId="59E27955" w14:textId="62647D05"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5.18%</w:t>
            </w:r>
          </w:p>
        </w:tc>
      </w:tr>
      <w:tr w:rsidR="002B2FE1" w:rsidRPr="00976CE6" w14:paraId="14CF410D"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DD23886" w14:textId="33A79102" w:rsidR="002B2FE1" w:rsidRPr="00976CE6" w:rsidRDefault="002B2FE1" w:rsidP="00F5508D">
            <w:r w:rsidRPr="00976CE6">
              <w:t>Volumetric recycled water prices</w:t>
            </w:r>
          </w:p>
        </w:tc>
      </w:tr>
      <w:tr w:rsidR="002B2FE1" w:rsidRPr="00976CE6" w14:paraId="1B46A633"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DFF576D" w14:textId="77777777" w:rsidR="002B2FE1" w:rsidRPr="00F658D0" w:rsidRDefault="002B2FE1" w:rsidP="00F5508D">
            <w:pPr>
              <w:rPr>
                <w:b w:val="0"/>
              </w:rPr>
            </w:pPr>
            <w:r w:rsidRPr="00F658D0">
              <w:rPr>
                <w:b w:val="0"/>
              </w:rPr>
              <w:t>Recycled water usage fee</w:t>
            </w:r>
          </w:p>
        </w:tc>
        <w:tc>
          <w:tcPr>
            <w:tcW w:w="600" w:type="pct"/>
            <w:vAlign w:val="center"/>
          </w:tcPr>
          <w:p w14:paraId="77C9EA47"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182DA56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$2.5074</w:t>
            </w:r>
          </w:p>
        </w:tc>
        <w:tc>
          <w:tcPr>
            <w:tcW w:w="529" w:type="pct"/>
            <w:vAlign w:val="center"/>
          </w:tcPr>
          <w:p w14:paraId="2A2EFA6B" w14:textId="25B0B742"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$2.4994</w:t>
            </w:r>
          </w:p>
        </w:tc>
        <w:tc>
          <w:tcPr>
            <w:tcW w:w="529" w:type="pct"/>
            <w:vAlign w:val="center"/>
          </w:tcPr>
          <w:p w14:paraId="6749B5D5" w14:textId="4AFEE43E"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c>
          <w:tcPr>
            <w:tcW w:w="529" w:type="pct"/>
            <w:vAlign w:val="center"/>
          </w:tcPr>
          <w:p w14:paraId="11D199DA" w14:textId="0B9193F1"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c>
          <w:tcPr>
            <w:tcW w:w="533" w:type="pct"/>
            <w:vAlign w:val="center"/>
          </w:tcPr>
          <w:p w14:paraId="31080222" w14:textId="0BC13559"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r>
      <w:tr w:rsidR="002B2FE1" w:rsidRPr="00976CE6" w14:paraId="64FFD517"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062AFD3" w14:textId="77777777" w:rsidR="002B2FE1" w:rsidRPr="00976CE6" w:rsidRDefault="002B2FE1" w:rsidP="00F5508D">
            <w:r w:rsidRPr="00976CE6">
              <w:t>Other tariffs</w:t>
            </w:r>
          </w:p>
        </w:tc>
      </w:tr>
      <w:tr w:rsidR="002B2FE1" w:rsidRPr="00976CE6" w14:paraId="78AB5A91" w14:textId="77777777" w:rsidTr="003E2C2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59ED056" w14:textId="77777777" w:rsidR="002B2FE1" w:rsidRPr="00976CE6" w:rsidRDefault="002B2FE1" w:rsidP="00F5508D">
            <w:r w:rsidRPr="00976CE6">
              <w:t>Private fire service connections</w:t>
            </w:r>
          </w:p>
        </w:tc>
      </w:tr>
      <w:tr w:rsidR="00825E89" w:rsidRPr="00976CE6" w14:paraId="4233F993"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0BE5905" w14:textId="77777777" w:rsidR="002B2FE1" w:rsidRPr="00F658D0" w:rsidRDefault="002B2FE1" w:rsidP="00F5508D">
            <w:pPr>
              <w:rPr>
                <w:b w:val="0"/>
              </w:rPr>
            </w:pPr>
            <w:r w:rsidRPr="00F658D0">
              <w:rPr>
                <w:b w:val="0"/>
              </w:rPr>
              <w:t>Private fire service connections</w:t>
            </w:r>
          </w:p>
        </w:tc>
        <w:tc>
          <w:tcPr>
            <w:tcW w:w="600" w:type="pct"/>
            <w:vAlign w:val="center"/>
          </w:tcPr>
          <w:p w14:paraId="016A07D6"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connection</w:t>
            </w:r>
          </w:p>
        </w:tc>
        <w:tc>
          <w:tcPr>
            <w:tcW w:w="529" w:type="pct"/>
            <w:vAlign w:val="center"/>
          </w:tcPr>
          <w:p w14:paraId="5BBB494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$119.96</w:t>
            </w:r>
          </w:p>
        </w:tc>
        <w:tc>
          <w:tcPr>
            <w:tcW w:w="529" w:type="pct"/>
            <w:vAlign w:val="center"/>
          </w:tcPr>
          <w:p w14:paraId="3AF5F20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$123.56</w:t>
            </w:r>
          </w:p>
        </w:tc>
        <w:tc>
          <w:tcPr>
            <w:tcW w:w="529" w:type="pct"/>
            <w:vAlign w:val="center"/>
          </w:tcPr>
          <w:p w14:paraId="0853747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04A8360E"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442E605F"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bl>
    <w:p w14:paraId="45B5935C" w14:textId="77777777" w:rsidR="00100296" w:rsidRPr="0080116A" w:rsidRDefault="00100296" w:rsidP="00100296"/>
    <w:p w14:paraId="61E318CC" w14:textId="581C6DCA" w:rsidR="00100296" w:rsidRPr="0080116A" w:rsidRDefault="00100296" w:rsidP="00100296">
      <w:pPr>
        <w:pStyle w:val="Caption"/>
      </w:pPr>
      <w:bookmarkStart w:id="170" w:name="_Ref144731915"/>
      <w:r w:rsidRPr="003B330B">
        <w:rPr>
          <w:b/>
        </w:rPr>
        <w:t xml:space="preserve">Table </w:t>
      </w:r>
      <w:r w:rsidRPr="003B330B">
        <w:rPr>
          <w:b/>
        </w:rPr>
        <w:fldChar w:fldCharType="begin"/>
      </w:r>
      <w:r w:rsidRPr="003B330B">
        <w:rPr>
          <w:b/>
        </w:rPr>
        <w:instrText>SEQ Table \* ARABIC</w:instrText>
      </w:r>
      <w:r w:rsidRPr="003B330B">
        <w:rPr>
          <w:b/>
        </w:rPr>
        <w:fldChar w:fldCharType="separate"/>
      </w:r>
      <w:r w:rsidR="003B42C6">
        <w:rPr>
          <w:b/>
          <w:noProof/>
        </w:rPr>
        <w:t>35</w:t>
      </w:r>
      <w:r w:rsidRPr="003B330B">
        <w:rPr>
          <w:b/>
        </w:rPr>
        <w:fldChar w:fldCharType="end"/>
      </w:r>
      <w:bookmarkEnd w:id="170"/>
      <w:r>
        <w:t xml:space="preserve"> Proposed residential water and sewerage tariffs and prices </w:t>
      </w:r>
      <w:r w:rsidR="005712E4">
        <w:t>–</w:t>
      </w:r>
      <w:r>
        <w:t xml:space="preserve"> western</w:t>
      </w:r>
      <w:r w:rsidR="005712E4">
        <w:t xml:space="preserve"> ($, 2023-24)</w:t>
      </w:r>
    </w:p>
    <w:tbl>
      <w:tblPr>
        <w:tblStyle w:val="GWWDefaulttable"/>
        <w:tblW w:w="5000" w:type="pct"/>
        <w:tblLook w:val="04A0" w:firstRow="1" w:lastRow="0" w:firstColumn="1" w:lastColumn="0" w:noHBand="0" w:noVBand="1"/>
      </w:tblPr>
      <w:tblGrid>
        <w:gridCol w:w="3062"/>
        <w:gridCol w:w="1088"/>
        <w:gridCol w:w="1197"/>
        <w:gridCol w:w="1197"/>
        <w:gridCol w:w="1030"/>
        <w:gridCol w:w="1031"/>
        <w:gridCol w:w="1033"/>
      </w:tblGrid>
      <w:tr w:rsidR="001B2B71" w:rsidRPr="00976CE6" w14:paraId="3ED55019" w14:textId="77777777" w:rsidTr="00446EA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85A9E6D" w14:textId="29BFF04E" w:rsidR="001B2B71" w:rsidRPr="00976CE6" w:rsidRDefault="001B2B71" w:rsidP="001B2B71">
            <w:pPr>
              <w:rPr>
                <w:szCs w:val="20"/>
              </w:rPr>
            </w:pPr>
            <w:r w:rsidRPr="00976CE6">
              <w:rPr>
                <w:szCs w:val="20"/>
              </w:rPr>
              <w:t>Western region</w:t>
            </w:r>
          </w:p>
        </w:tc>
        <w:tc>
          <w:tcPr>
            <w:tcW w:w="585" w:type="pct"/>
            <w:vAlign w:val="center"/>
          </w:tcPr>
          <w:p w14:paraId="377C92F7" w14:textId="77777777" w:rsidR="001B2B71" w:rsidRPr="00976CE6" w:rsidRDefault="001B2B71" w:rsidP="00EF3BFA">
            <w:pPr>
              <w:jc w:val="center"/>
              <w:cnfStyle w:val="100000000000" w:firstRow="1" w:lastRow="0" w:firstColumn="0" w:lastColumn="0" w:oddVBand="0" w:evenVBand="0" w:oddHBand="0" w:evenHBand="0" w:firstRowFirstColumn="0" w:firstRowLastColumn="0" w:lastRowFirstColumn="0" w:lastRowLastColumn="0"/>
              <w:rPr>
                <w:szCs w:val="20"/>
              </w:rPr>
            </w:pPr>
          </w:p>
        </w:tc>
        <w:tc>
          <w:tcPr>
            <w:tcW w:w="585" w:type="pct"/>
          </w:tcPr>
          <w:p w14:paraId="411EDFA1" w14:textId="77777777" w:rsidR="001B2B71" w:rsidRPr="00976CE6" w:rsidRDefault="001B2B71" w:rsidP="001B2B71">
            <w:pPr>
              <w:cnfStyle w:val="100000000000" w:firstRow="1" w:lastRow="0" w:firstColumn="0" w:lastColumn="0" w:oddVBand="0" w:evenVBand="0" w:oddHBand="0" w:evenHBand="0" w:firstRowFirstColumn="0" w:firstRowLastColumn="0" w:lastRowFirstColumn="0" w:lastRowLastColumn="0"/>
              <w:rPr>
                <w:szCs w:val="20"/>
              </w:rPr>
            </w:pPr>
          </w:p>
        </w:tc>
        <w:tc>
          <w:tcPr>
            <w:tcW w:w="2222" w:type="pct"/>
            <w:gridSpan w:val="4"/>
          </w:tcPr>
          <w:p w14:paraId="5875EB6B" w14:textId="7A8075D1" w:rsidR="001B2B71" w:rsidRPr="00976CE6" w:rsidRDefault="001B2B71" w:rsidP="001B2B71">
            <w:pPr>
              <w:cnfStyle w:val="100000000000" w:firstRow="1" w:lastRow="0" w:firstColumn="0" w:lastColumn="0" w:oddVBand="0" w:evenVBand="0" w:oddHBand="0" w:evenHBand="0" w:firstRowFirstColumn="0" w:firstRowLastColumn="0" w:lastRowFirstColumn="0" w:lastRowLastColumn="0"/>
              <w:rPr>
                <w:szCs w:val="20"/>
              </w:rPr>
            </w:pPr>
            <w:r w:rsidRPr="00976CE6">
              <w:rPr>
                <w:szCs w:val="20"/>
              </w:rPr>
              <w:t>Proposed price movement</w:t>
            </w:r>
          </w:p>
        </w:tc>
      </w:tr>
      <w:tr w:rsidR="00572916" w:rsidRPr="00976CE6" w14:paraId="098D011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shd w:val="clear" w:color="auto" w:fill="B3C5E6" w:themeFill="accent2"/>
            <w:vAlign w:val="center"/>
          </w:tcPr>
          <w:p w14:paraId="186E9BF6" w14:textId="77777777" w:rsidR="001B2B71" w:rsidRPr="00F436AB" w:rsidRDefault="001B2B71" w:rsidP="00572916">
            <w:pPr>
              <w:rPr>
                <w:rStyle w:val="Bold"/>
                <w:b/>
                <w:color w:val="auto"/>
              </w:rPr>
            </w:pPr>
          </w:p>
        </w:tc>
        <w:tc>
          <w:tcPr>
            <w:tcW w:w="585" w:type="pct"/>
            <w:shd w:val="clear" w:color="auto" w:fill="B3C5E6" w:themeFill="accent2"/>
            <w:vAlign w:val="center"/>
          </w:tcPr>
          <w:p w14:paraId="6661EDC7" w14:textId="77777777" w:rsidR="001B2B71" w:rsidRPr="00572916" w:rsidRDefault="001B2B71" w:rsidP="008861DC">
            <w:pPr>
              <w:jc w:val="center"/>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Unit</w:t>
            </w:r>
          </w:p>
        </w:tc>
        <w:tc>
          <w:tcPr>
            <w:tcW w:w="585" w:type="pct"/>
            <w:shd w:val="clear" w:color="auto" w:fill="B3C5E6" w:themeFill="accent2"/>
          </w:tcPr>
          <w:p w14:paraId="55EBDB16"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2023-24</w:t>
            </w:r>
          </w:p>
        </w:tc>
        <w:tc>
          <w:tcPr>
            <w:tcW w:w="555" w:type="pct"/>
            <w:shd w:val="clear" w:color="auto" w:fill="B3C5E6" w:themeFill="accent2"/>
          </w:tcPr>
          <w:p w14:paraId="5440B521"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2024-25</w:t>
            </w:r>
          </w:p>
        </w:tc>
        <w:tc>
          <w:tcPr>
            <w:tcW w:w="555" w:type="pct"/>
            <w:shd w:val="clear" w:color="auto" w:fill="B3C5E6" w:themeFill="accent2"/>
          </w:tcPr>
          <w:p w14:paraId="5171A088"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2025-26</w:t>
            </w:r>
          </w:p>
        </w:tc>
        <w:tc>
          <w:tcPr>
            <w:tcW w:w="555" w:type="pct"/>
            <w:shd w:val="clear" w:color="auto" w:fill="B3C5E6" w:themeFill="accent2"/>
          </w:tcPr>
          <w:p w14:paraId="0F2870AE"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2026-27</w:t>
            </w:r>
          </w:p>
        </w:tc>
        <w:tc>
          <w:tcPr>
            <w:tcW w:w="555" w:type="pct"/>
            <w:shd w:val="clear" w:color="auto" w:fill="B3C5E6" w:themeFill="accent2"/>
          </w:tcPr>
          <w:p w14:paraId="1D776C93"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2027-28</w:t>
            </w:r>
          </w:p>
        </w:tc>
      </w:tr>
      <w:tr w:rsidR="001B2B71" w:rsidRPr="00976CE6" w14:paraId="140DC1AB"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16ED5D3" w14:textId="77777777" w:rsidR="001B2B71" w:rsidRPr="00976CE6" w:rsidRDefault="001B2B71" w:rsidP="001B2B71">
            <w:pPr>
              <w:rPr>
                <w:szCs w:val="20"/>
              </w:rPr>
            </w:pPr>
            <w:r w:rsidRPr="00976CE6">
              <w:rPr>
                <w:szCs w:val="20"/>
              </w:rPr>
              <w:t>Residential water tariff</w:t>
            </w:r>
          </w:p>
        </w:tc>
      </w:tr>
      <w:tr w:rsidR="001B2B71" w:rsidRPr="00976CE6" w14:paraId="0DD0D914"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ECB7192" w14:textId="77777777" w:rsidR="001B2B71" w:rsidRPr="00976CE6" w:rsidRDefault="001B2B71" w:rsidP="001B2B71">
            <w:pPr>
              <w:rPr>
                <w:szCs w:val="20"/>
              </w:rPr>
            </w:pPr>
            <w:r w:rsidRPr="00976CE6">
              <w:rPr>
                <w:szCs w:val="20"/>
              </w:rPr>
              <w:t>Fixed potable water prices</w:t>
            </w:r>
          </w:p>
        </w:tc>
      </w:tr>
      <w:tr w:rsidR="00290A1A" w:rsidRPr="00976CE6" w14:paraId="0B16D6EB"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02486D8" w14:textId="77777777" w:rsidR="001B2B71" w:rsidRPr="009E0A08" w:rsidRDefault="001B2B71" w:rsidP="00DC1E68">
            <w:pPr>
              <w:ind w:left="720"/>
              <w:rPr>
                <w:b w:val="0"/>
                <w:szCs w:val="20"/>
              </w:rPr>
            </w:pPr>
            <w:r w:rsidRPr="009E0A08">
              <w:rPr>
                <w:b w:val="0"/>
                <w:szCs w:val="20"/>
              </w:rPr>
              <w:t>Water network fee – 20 mm</w:t>
            </w:r>
          </w:p>
        </w:tc>
        <w:tc>
          <w:tcPr>
            <w:tcW w:w="585" w:type="pct"/>
            <w:vAlign w:val="center"/>
          </w:tcPr>
          <w:p w14:paraId="3455D74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5C2F705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$206.37</w:t>
            </w:r>
          </w:p>
        </w:tc>
        <w:tc>
          <w:tcPr>
            <w:tcW w:w="555" w:type="pct"/>
            <w:vAlign w:val="center"/>
          </w:tcPr>
          <w:p w14:paraId="22F68FE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$212.56</w:t>
            </w:r>
          </w:p>
        </w:tc>
        <w:tc>
          <w:tcPr>
            <w:tcW w:w="555" w:type="pct"/>
            <w:vAlign w:val="center"/>
          </w:tcPr>
          <w:p w14:paraId="67FA7A6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0F36050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266BA7F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770859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63FAD59" w14:textId="77777777" w:rsidR="001B2B71" w:rsidRPr="009E0A08" w:rsidRDefault="001B2B71" w:rsidP="00DC1E68">
            <w:pPr>
              <w:ind w:left="720"/>
              <w:rPr>
                <w:b w:val="0"/>
                <w:szCs w:val="20"/>
              </w:rPr>
            </w:pPr>
            <w:r w:rsidRPr="009E0A08">
              <w:rPr>
                <w:b w:val="0"/>
                <w:szCs w:val="20"/>
              </w:rPr>
              <w:t>Water network fee – 25 mm</w:t>
            </w:r>
          </w:p>
        </w:tc>
        <w:tc>
          <w:tcPr>
            <w:tcW w:w="585" w:type="pct"/>
            <w:vAlign w:val="center"/>
          </w:tcPr>
          <w:p w14:paraId="53E9D6BE"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CE025B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$340.18</w:t>
            </w:r>
          </w:p>
        </w:tc>
        <w:tc>
          <w:tcPr>
            <w:tcW w:w="555" w:type="pct"/>
            <w:vAlign w:val="center"/>
          </w:tcPr>
          <w:p w14:paraId="4E12DC0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$332.13</w:t>
            </w:r>
          </w:p>
        </w:tc>
        <w:tc>
          <w:tcPr>
            <w:tcW w:w="555" w:type="pct"/>
            <w:vAlign w:val="center"/>
          </w:tcPr>
          <w:p w14:paraId="448EF0F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3AC05049"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ED4DEB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073E72C"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2C1E8C4" w14:textId="77777777" w:rsidR="001B2B71" w:rsidRPr="009E0A08" w:rsidRDefault="001B2B71" w:rsidP="00DC1E68">
            <w:pPr>
              <w:ind w:left="720"/>
              <w:rPr>
                <w:b w:val="0"/>
                <w:szCs w:val="20"/>
              </w:rPr>
            </w:pPr>
            <w:r w:rsidRPr="009E0A08">
              <w:rPr>
                <w:b w:val="0"/>
                <w:szCs w:val="20"/>
              </w:rPr>
              <w:t>Water network fee – 32 mm</w:t>
            </w:r>
          </w:p>
        </w:tc>
        <w:tc>
          <w:tcPr>
            <w:tcW w:w="585" w:type="pct"/>
            <w:vAlign w:val="center"/>
          </w:tcPr>
          <w:p w14:paraId="240B8B29"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69E6633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$577.47</w:t>
            </w:r>
          </w:p>
        </w:tc>
        <w:tc>
          <w:tcPr>
            <w:tcW w:w="555" w:type="pct"/>
            <w:vAlign w:val="center"/>
          </w:tcPr>
          <w:p w14:paraId="4678D4C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$544.16</w:t>
            </w:r>
          </w:p>
        </w:tc>
        <w:tc>
          <w:tcPr>
            <w:tcW w:w="555" w:type="pct"/>
            <w:vAlign w:val="center"/>
          </w:tcPr>
          <w:p w14:paraId="2486A43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C55A87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D2DC88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2ACB878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397858EE" w14:textId="77777777" w:rsidR="001B2B71" w:rsidRPr="009E0A08" w:rsidRDefault="001B2B71" w:rsidP="00DC1E68">
            <w:pPr>
              <w:ind w:left="720"/>
              <w:rPr>
                <w:b w:val="0"/>
                <w:szCs w:val="20"/>
              </w:rPr>
            </w:pPr>
            <w:r w:rsidRPr="009E0A08">
              <w:rPr>
                <w:b w:val="0"/>
                <w:szCs w:val="20"/>
              </w:rPr>
              <w:lastRenderedPageBreak/>
              <w:t>Water network fee – 40 mm</w:t>
            </w:r>
          </w:p>
        </w:tc>
        <w:tc>
          <w:tcPr>
            <w:tcW w:w="585" w:type="pct"/>
            <w:vAlign w:val="center"/>
          </w:tcPr>
          <w:p w14:paraId="58F8630C"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BFCB33A"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$920.06</w:t>
            </w:r>
          </w:p>
        </w:tc>
        <w:tc>
          <w:tcPr>
            <w:tcW w:w="555" w:type="pct"/>
            <w:vAlign w:val="center"/>
          </w:tcPr>
          <w:p w14:paraId="3874992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$850.25</w:t>
            </w:r>
          </w:p>
        </w:tc>
        <w:tc>
          <w:tcPr>
            <w:tcW w:w="555" w:type="pct"/>
            <w:vAlign w:val="center"/>
          </w:tcPr>
          <w:p w14:paraId="6C253CC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6B99413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16780F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18D0079"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D1B335D" w14:textId="77777777" w:rsidR="001B2B71" w:rsidRPr="009E0A08" w:rsidRDefault="001B2B71" w:rsidP="00DC1E68">
            <w:pPr>
              <w:ind w:left="720"/>
              <w:rPr>
                <w:b w:val="0"/>
                <w:szCs w:val="20"/>
              </w:rPr>
            </w:pPr>
            <w:r w:rsidRPr="009E0A08">
              <w:rPr>
                <w:b w:val="0"/>
                <w:szCs w:val="20"/>
              </w:rPr>
              <w:t>Water network fee – 50 mm</w:t>
            </w:r>
          </w:p>
        </w:tc>
        <w:tc>
          <w:tcPr>
            <w:tcW w:w="585" w:type="pct"/>
            <w:vAlign w:val="center"/>
          </w:tcPr>
          <w:p w14:paraId="778E5125"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29CBFAE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$1,455.33</w:t>
            </w:r>
          </w:p>
        </w:tc>
        <w:tc>
          <w:tcPr>
            <w:tcW w:w="555" w:type="pct"/>
            <w:vAlign w:val="center"/>
          </w:tcPr>
          <w:p w14:paraId="1164DFD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$1,328.51</w:t>
            </w:r>
          </w:p>
        </w:tc>
        <w:tc>
          <w:tcPr>
            <w:tcW w:w="555" w:type="pct"/>
            <w:vAlign w:val="center"/>
          </w:tcPr>
          <w:p w14:paraId="65EAE00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EA0CEC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A2A3DA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0B92BA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957E7B7" w14:textId="77777777" w:rsidR="001B2B71" w:rsidRPr="009E0A08" w:rsidRDefault="001B2B71" w:rsidP="00DC1E68">
            <w:pPr>
              <w:ind w:left="720"/>
              <w:rPr>
                <w:b w:val="0"/>
                <w:szCs w:val="20"/>
              </w:rPr>
            </w:pPr>
            <w:r w:rsidRPr="009E0A08">
              <w:rPr>
                <w:b w:val="0"/>
                <w:szCs w:val="20"/>
              </w:rPr>
              <w:t>Water network fee – 80 mm</w:t>
            </w:r>
          </w:p>
        </w:tc>
        <w:tc>
          <w:tcPr>
            <w:tcW w:w="585" w:type="pct"/>
            <w:vAlign w:val="center"/>
          </w:tcPr>
          <w:p w14:paraId="1C61357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584C0159"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$3,774.79</w:t>
            </w:r>
          </w:p>
        </w:tc>
        <w:tc>
          <w:tcPr>
            <w:tcW w:w="555" w:type="pct"/>
            <w:vAlign w:val="center"/>
          </w:tcPr>
          <w:p w14:paraId="76DC903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$3,400.99</w:t>
            </w:r>
          </w:p>
        </w:tc>
        <w:tc>
          <w:tcPr>
            <w:tcW w:w="555" w:type="pct"/>
            <w:vAlign w:val="center"/>
          </w:tcPr>
          <w:p w14:paraId="06967D5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653D60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694615A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5C5312BD"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ACBFE1C" w14:textId="77777777" w:rsidR="001B2B71" w:rsidRPr="009E0A08" w:rsidRDefault="001B2B71" w:rsidP="00DC1E68">
            <w:pPr>
              <w:ind w:left="720"/>
              <w:rPr>
                <w:b w:val="0"/>
                <w:szCs w:val="20"/>
              </w:rPr>
            </w:pPr>
            <w:r w:rsidRPr="009E0A08">
              <w:rPr>
                <w:b w:val="0"/>
                <w:szCs w:val="20"/>
              </w:rPr>
              <w:t>Water network fee – 100 mm</w:t>
            </w:r>
          </w:p>
        </w:tc>
        <w:tc>
          <w:tcPr>
            <w:tcW w:w="585" w:type="pct"/>
            <w:vAlign w:val="center"/>
          </w:tcPr>
          <w:p w14:paraId="1EE02F3F"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19814AC6"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$5,915.81</w:t>
            </w:r>
          </w:p>
        </w:tc>
        <w:tc>
          <w:tcPr>
            <w:tcW w:w="555" w:type="pct"/>
            <w:vAlign w:val="center"/>
          </w:tcPr>
          <w:p w14:paraId="101E3AF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$5,314.05</w:t>
            </w:r>
          </w:p>
        </w:tc>
        <w:tc>
          <w:tcPr>
            <w:tcW w:w="555" w:type="pct"/>
            <w:vAlign w:val="center"/>
          </w:tcPr>
          <w:p w14:paraId="72C8CF9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1CD01CE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6F2D14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160E731E"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A02D25F" w14:textId="77777777" w:rsidR="001B2B71" w:rsidRPr="009E0A08" w:rsidRDefault="001B2B71" w:rsidP="00DC1E68">
            <w:pPr>
              <w:ind w:left="720"/>
              <w:rPr>
                <w:b w:val="0"/>
                <w:szCs w:val="20"/>
              </w:rPr>
            </w:pPr>
            <w:r w:rsidRPr="009E0A08">
              <w:rPr>
                <w:b w:val="0"/>
                <w:szCs w:val="20"/>
              </w:rPr>
              <w:t>Water network fee – 150 mm</w:t>
            </w:r>
          </w:p>
        </w:tc>
        <w:tc>
          <w:tcPr>
            <w:tcW w:w="585" w:type="pct"/>
            <w:vAlign w:val="center"/>
          </w:tcPr>
          <w:p w14:paraId="594D6E1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0A8436D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$13,349.98</w:t>
            </w:r>
          </w:p>
        </w:tc>
        <w:tc>
          <w:tcPr>
            <w:tcW w:w="555" w:type="pct"/>
            <w:vAlign w:val="center"/>
          </w:tcPr>
          <w:p w14:paraId="0D391746"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$11,956.62</w:t>
            </w:r>
          </w:p>
        </w:tc>
        <w:tc>
          <w:tcPr>
            <w:tcW w:w="555" w:type="pct"/>
            <w:vAlign w:val="center"/>
          </w:tcPr>
          <w:p w14:paraId="623E963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1616C31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0247C2F2"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1B2B71" w:rsidRPr="00976CE6" w14:paraId="46D202E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362F807" w14:textId="77777777" w:rsidR="001B2B71" w:rsidRPr="00976CE6" w:rsidRDefault="001B2B71" w:rsidP="001B2B71">
            <w:pPr>
              <w:rPr>
                <w:szCs w:val="20"/>
              </w:rPr>
            </w:pPr>
            <w:r w:rsidRPr="00976CE6">
              <w:rPr>
                <w:szCs w:val="20"/>
              </w:rPr>
              <w:t>Volumetric potable water prices</w:t>
            </w:r>
          </w:p>
        </w:tc>
      </w:tr>
      <w:tr w:rsidR="00290A1A" w:rsidRPr="00976CE6" w14:paraId="4B67D949"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1C53F85" w14:textId="7D3DB3D5" w:rsidR="001B2B71" w:rsidRPr="007F6C03" w:rsidRDefault="001B2B71" w:rsidP="00AE720B">
            <w:pPr>
              <w:ind w:left="720"/>
              <w:rPr>
                <w:b w:val="0"/>
                <w:szCs w:val="20"/>
              </w:rPr>
            </w:pPr>
            <w:r w:rsidRPr="007F6C03">
              <w:rPr>
                <w:b w:val="0"/>
                <w:szCs w:val="20"/>
              </w:rPr>
              <w:t xml:space="preserve">Price step 1 </w:t>
            </w:r>
            <w:r w:rsidR="00AE720B">
              <w:rPr>
                <w:b w:val="0"/>
                <w:bCs/>
                <w:szCs w:val="20"/>
              </w:rPr>
              <w:br/>
            </w:r>
            <w:r w:rsidRPr="007F6C03">
              <w:rPr>
                <w:b w:val="0"/>
                <w:szCs w:val="20"/>
              </w:rPr>
              <w:t>(0-440 litres/day)</w:t>
            </w:r>
          </w:p>
        </w:tc>
        <w:tc>
          <w:tcPr>
            <w:tcW w:w="585" w:type="pct"/>
            <w:vAlign w:val="center"/>
          </w:tcPr>
          <w:p w14:paraId="07227343"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4FAC8FA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$2.3071</w:t>
            </w:r>
          </w:p>
        </w:tc>
        <w:tc>
          <w:tcPr>
            <w:tcW w:w="555" w:type="pct"/>
            <w:vAlign w:val="center"/>
          </w:tcPr>
          <w:p w14:paraId="2A10FBD7" w14:textId="2719A18C"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$2.3511</w:t>
            </w:r>
          </w:p>
        </w:tc>
        <w:tc>
          <w:tcPr>
            <w:tcW w:w="555" w:type="pct"/>
            <w:vAlign w:val="center"/>
          </w:tcPr>
          <w:p w14:paraId="689A3867" w14:textId="1B97763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1.87%</w:t>
            </w:r>
          </w:p>
        </w:tc>
        <w:tc>
          <w:tcPr>
            <w:tcW w:w="555" w:type="pct"/>
            <w:vAlign w:val="center"/>
          </w:tcPr>
          <w:p w14:paraId="7F72A453" w14:textId="01BC9AB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1.84%</w:t>
            </w:r>
          </w:p>
        </w:tc>
        <w:tc>
          <w:tcPr>
            <w:tcW w:w="555" w:type="pct"/>
            <w:vAlign w:val="center"/>
          </w:tcPr>
          <w:p w14:paraId="6C170D58" w14:textId="6716236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1.81%</w:t>
            </w:r>
          </w:p>
        </w:tc>
      </w:tr>
      <w:tr w:rsidR="00290A1A" w:rsidRPr="00976CE6" w14:paraId="098EE8E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A07AA25" w14:textId="073A5E74" w:rsidR="0084356A" w:rsidRPr="007F6C03" w:rsidRDefault="001B2B71" w:rsidP="00C62F1A">
            <w:pPr>
              <w:ind w:left="720"/>
              <w:rPr>
                <w:b w:val="0"/>
                <w:szCs w:val="20"/>
              </w:rPr>
            </w:pPr>
            <w:r w:rsidRPr="007F6C03">
              <w:rPr>
                <w:b w:val="0"/>
                <w:szCs w:val="20"/>
              </w:rPr>
              <w:t xml:space="preserve">Price step 2 </w:t>
            </w:r>
            <w:r w:rsidR="00C62F1A">
              <w:rPr>
                <w:b w:val="0"/>
                <w:bCs/>
                <w:szCs w:val="20"/>
              </w:rPr>
              <w:br/>
            </w:r>
            <w:r w:rsidRPr="007F6C03">
              <w:rPr>
                <w:b w:val="0"/>
                <w:szCs w:val="20"/>
              </w:rPr>
              <w:t>(441-880 litres/day)</w:t>
            </w:r>
            <w:r w:rsidR="0084356A" w:rsidRPr="007F6C03">
              <w:rPr>
                <w:b w:val="0"/>
                <w:szCs w:val="20"/>
                <w:vertAlign w:val="superscript"/>
              </w:rPr>
              <w:endnoteReference w:id="15"/>
            </w:r>
          </w:p>
        </w:tc>
        <w:tc>
          <w:tcPr>
            <w:tcW w:w="585" w:type="pct"/>
            <w:vAlign w:val="center"/>
          </w:tcPr>
          <w:p w14:paraId="43174B79"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6FB7285C" w14:textId="77777777" w:rsidR="001B2B71" w:rsidRPr="00976CE6" w:rsidRDefault="001B2B71" w:rsidP="00FE4640">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$3.0611</w:t>
            </w:r>
          </w:p>
        </w:tc>
        <w:tc>
          <w:tcPr>
            <w:tcW w:w="555" w:type="pct"/>
            <w:vAlign w:val="center"/>
          </w:tcPr>
          <w:p w14:paraId="60945598" w14:textId="24AC05E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$3.0778</w:t>
            </w:r>
          </w:p>
        </w:tc>
        <w:tc>
          <w:tcPr>
            <w:tcW w:w="555" w:type="pct"/>
            <w:vAlign w:val="center"/>
          </w:tcPr>
          <w:p w14:paraId="35A491F2" w14:textId="4E45477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c>
          <w:tcPr>
            <w:tcW w:w="555" w:type="pct"/>
            <w:vAlign w:val="center"/>
          </w:tcPr>
          <w:p w14:paraId="057FAFB5" w14:textId="48C24134"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c>
          <w:tcPr>
            <w:tcW w:w="555" w:type="pct"/>
            <w:vAlign w:val="center"/>
          </w:tcPr>
          <w:p w14:paraId="0E846E7A" w14:textId="65C239B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r>
      <w:tr w:rsidR="00290A1A" w:rsidRPr="00976CE6" w14:paraId="5B34A24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A88E02C" w14:textId="1E6766CC" w:rsidR="001B2B71" w:rsidRPr="00976CE6" w:rsidRDefault="001B2B71" w:rsidP="00C62F1A">
            <w:pPr>
              <w:ind w:left="720"/>
              <w:rPr>
                <w:szCs w:val="20"/>
              </w:rPr>
            </w:pPr>
            <w:r w:rsidRPr="007F6C03">
              <w:rPr>
                <w:b w:val="0"/>
                <w:szCs w:val="20"/>
              </w:rPr>
              <w:t xml:space="preserve">Price step 3 </w:t>
            </w:r>
            <w:r w:rsidR="00C62F1A">
              <w:rPr>
                <w:b w:val="0"/>
                <w:bCs/>
                <w:szCs w:val="20"/>
              </w:rPr>
              <w:br/>
            </w:r>
            <w:r w:rsidRPr="007F6C03">
              <w:rPr>
                <w:b w:val="0"/>
                <w:szCs w:val="20"/>
              </w:rPr>
              <w:t>(881+ litres/</w:t>
            </w:r>
            <w:proofErr w:type="gramStart"/>
            <w:r w:rsidRPr="007F6C03">
              <w:rPr>
                <w:b w:val="0"/>
                <w:szCs w:val="20"/>
              </w:rPr>
              <w:t>day)</w:t>
            </w:r>
            <w:r w:rsidR="00857CDF">
              <w:rPr>
                <w:b w:val="0"/>
                <w:szCs w:val="20"/>
                <w:vertAlign w:val="superscript"/>
              </w:rPr>
              <w:t>xiv</w:t>
            </w:r>
            <w:proofErr w:type="gramEnd"/>
          </w:p>
        </w:tc>
        <w:tc>
          <w:tcPr>
            <w:tcW w:w="585" w:type="pct"/>
            <w:vAlign w:val="center"/>
          </w:tcPr>
          <w:p w14:paraId="000CC91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058A0C76" w14:textId="77777777" w:rsidR="001B2B71" w:rsidRPr="00976CE6" w:rsidRDefault="001B2B71" w:rsidP="00FE4640">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$3.9364</w:t>
            </w:r>
          </w:p>
        </w:tc>
        <w:tc>
          <w:tcPr>
            <w:tcW w:w="555" w:type="pct"/>
            <w:vAlign w:val="center"/>
          </w:tcPr>
          <w:p w14:paraId="1C0CAD57" w14:textId="77777777" w:rsidR="001B2B71" w:rsidRPr="00976CE6" w:rsidRDefault="001B2B71" w:rsidP="000C76B4">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2D6292A8"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39A0F333" w14:textId="77777777" w:rsidR="001B2B71" w:rsidRPr="00976CE6" w:rsidRDefault="001B2B71" w:rsidP="00EF3BFA">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6E9EBFE5" w14:textId="77777777" w:rsidR="001B2B71" w:rsidRPr="00976CE6" w:rsidRDefault="001B2B71" w:rsidP="00EF3BFA">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r>
      <w:tr w:rsidR="001B2B71" w:rsidRPr="00976CE6" w14:paraId="2D328782"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D41B7BD" w14:textId="77777777" w:rsidR="001B2B71" w:rsidRPr="00976CE6" w:rsidRDefault="001B2B71" w:rsidP="001B2B71">
            <w:pPr>
              <w:rPr>
                <w:szCs w:val="20"/>
              </w:rPr>
            </w:pPr>
            <w:r w:rsidRPr="00976CE6">
              <w:rPr>
                <w:szCs w:val="20"/>
              </w:rPr>
              <w:t>Residential sewerage tariff</w:t>
            </w:r>
          </w:p>
        </w:tc>
      </w:tr>
      <w:tr w:rsidR="001B2B71" w:rsidRPr="00976CE6" w14:paraId="4150F110"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6854266" w14:textId="77777777" w:rsidR="001B2B71" w:rsidRPr="00976CE6" w:rsidRDefault="001B2B71" w:rsidP="001B2B71">
            <w:pPr>
              <w:rPr>
                <w:szCs w:val="20"/>
              </w:rPr>
            </w:pPr>
            <w:r w:rsidRPr="00976CE6">
              <w:rPr>
                <w:szCs w:val="20"/>
              </w:rPr>
              <w:t>Fixed sewerage prices</w:t>
            </w:r>
          </w:p>
        </w:tc>
      </w:tr>
      <w:tr w:rsidR="00290A1A" w:rsidRPr="00976CE6" w14:paraId="01A2130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93CBA85" w14:textId="77777777" w:rsidR="001B2B71" w:rsidRPr="007F6C03" w:rsidRDefault="001B2B71" w:rsidP="001B2B71">
            <w:pPr>
              <w:rPr>
                <w:b w:val="0"/>
                <w:szCs w:val="20"/>
              </w:rPr>
            </w:pPr>
            <w:r w:rsidRPr="007F6C03">
              <w:rPr>
                <w:b w:val="0"/>
                <w:szCs w:val="20"/>
              </w:rPr>
              <w:t>Sewerage network fee</w:t>
            </w:r>
          </w:p>
        </w:tc>
        <w:tc>
          <w:tcPr>
            <w:tcW w:w="585" w:type="pct"/>
            <w:vAlign w:val="center"/>
          </w:tcPr>
          <w:p w14:paraId="09CC53A4"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7EB16D7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$544.54</w:t>
            </w:r>
          </w:p>
        </w:tc>
        <w:tc>
          <w:tcPr>
            <w:tcW w:w="555" w:type="pct"/>
            <w:vAlign w:val="center"/>
          </w:tcPr>
          <w:p w14:paraId="77C0E1CA" w14:textId="4A1549B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$524.61</w:t>
            </w:r>
          </w:p>
        </w:tc>
        <w:tc>
          <w:tcPr>
            <w:tcW w:w="555" w:type="pct"/>
            <w:vAlign w:val="center"/>
          </w:tcPr>
          <w:p w14:paraId="3DA2FCE4" w14:textId="4D1ED8E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-3.80%</w:t>
            </w:r>
          </w:p>
        </w:tc>
        <w:tc>
          <w:tcPr>
            <w:tcW w:w="555" w:type="pct"/>
            <w:vAlign w:val="center"/>
          </w:tcPr>
          <w:p w14:paraId="30CC9012" w14:textId="71AF4AE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-3.95%</w:t>
            </w:r>
          </w:p>
        </w:tc>
        <w:tc>
          <w:tcPr>
            <w:tcW w:w="555" w:type="pct"/>
            <w:vAlign w:val="center"/>
          </w:tcPr>
          <w:p w14:paraId="32BFC2D4" w14:textId="4A3883AD"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-4.11%</w:t>
            </w:r>
          </w:p>
        </w:tc>
      </w:tr>
      <w:tr w:rsidR="001B2B71" w:rsidRPr="00976CE6" w14:paraId="03647C5B"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41C02551" w14:textId="77777777" w:rsidR="001B2B71" w:rsidRPr="00976CE6" w:rsidRDefault="001B2B71" w:rsidP="001B2B71">
            <w:pPr>
              <w:rPr>
                <w:szCs w:val="20"/>
              </w:rPr>
            </w:pPr>
            <w:r w:rsidRPr="00976CE6">
              <w:rPr>
                <w:szCs w:val="20"/>
              </w:rPr>
              <w:t>Residential and non-residential recycled water (Class A) tariff</w:t>
            </w:r>
          </w:p>
        </w:tc>
      </w:tr>
      <w:tr w:rsidR="001B2B71" w:rsidRPr="00976CE6" w14:paraId="3B40E3EC"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1036B87" w14:textId="77777777" w:rsidR="001B2B71" w:rsidRPr="00976CE6" w:rsidRDefault="001B2B71" w:rsidP="001B2B71">
            <w:pPr>
              <w:rPr>
                <w:szCs w:val="20"/>
              </w:rPr>
            </w:pPr>
            <w:r w:rsidRPr="00976CE6">
              <w:rPr>
                <w:szCs w:val="20"/>
              </w:rPr>
              <w:t>Fixed recycled water prices</w:t>
            </w:r>
          </w:p>
        </w:tc>
      </w:tr>
      <w:tr w:rsidR="00290A1A" w:rsidRPr="00976CE6" w14:paraId="689279FD"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374B252" w14:textId="77777777" w:rsidR="001B2B71" w:rsidRPr="007F6C03" w:rsidRDefault="001B2B71" w:rsidP="003C68C5">
            <w:pPr>
              <w:ind w:left="720"/>
              <w:rPr>
                <w:b w:val="0"/>
                <w:szCs w:val="20"/>
              </w:rPr>
            </w:pPr>
            <w:r w:rsidRPr="007F6C03">
              <w:rPr>
                <w:b w:val="0"/>
                <w:szCs w:val="20"/>
              </w:rPr>
              <w:t>Recycled water network fee – 20 mm</w:t>
            </w:r>
          </w:p>
        </w:tc>
        <w:tc>
          <w:tcPr>
            <w:tcW w:w="585" w:type="pct"/>
            <w:vAlign w:val="center"/>
          </w:tcPr>
          <w:p w14:paraId="6EE9C89B"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19C1D3D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$131.44</w:t>
            </w:r>
          </w:p>
        </w:tc>
        <w:tc>
          <w:tcPr>
            <w:tcW w:w="555" w:type="pct"/>
            <w:vAlign w:val="center"/>
          </w:tcPr>
          <w:p w14:paraId="3BE826AF" w14:textId="4CF832F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$123.02</w:t>
            </w:r>
          </w:p>
        </w:tc>
        <w:tc>
          <w:tcPr>
            <w:tcW w:w="555" w:type="pct"/>
            <w:vAlign w:val="center"/>
          </w:tcPr>
          <w:p w14:paraId="5420EA07" w14:textId="2202C802"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0DBF0250" w14:textId="423FDB6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73C85C86" w14:textId="6BB6FAA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-7.92%</w:t>
            </w:r>
          </w:p>
        </w:tc>
      </w:tr>
      <w:tr w:rsidR="00290A1A" w:rsidRPr="00976CE6" w14:paraId="052B9A15"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65EBBBF" w14:textId="77777777" w:rsidR="001B2B71" w:rsidRPr="007F6C03" w:rsidRDefault="001B2B71" w:rsidP="003C68C5">
            <w:pPr>
              <w:ind w:left="720"/>
              <w:rPr>
                <w:b w:val="0"/>
                <w:szCs w:val="20"/>
              </w:rPr>
            </w:pPr>
            <w:r w:rsidRPr="007F6C03">
              <w:rPr>
                <w:b w:val="0"/>
                <w:szCs w:val="20"/>
              </w:rPr>
              <w:t>Recycled water network fee – 25 mm</w:t>
            </w:r>
          </w:p>
        </w:tc>
        <w:tc>
          <w:tcPr>
            <w:tcW w:w="585" w:type="pct"/>
            <w:vAlign w:val="center"/>
          </w:tcPr>
          <w:p w14:paraId="0B556A4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66D9E74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$205.50</w:t>
            </w:r>
          </w:p>
        </w:tc>
        <w:tc>
          <w:tcPr>
            <w:tcW w:w="555" w:type="pct"/>
            <w:vAlign w:val="center"/>
          </w:tcPr>
          <w:p w14:paraId="50895F76" w14:textId="5CF320D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$192.34</w:t>
            </w:r>
          </w:p>
        </w:tc>
        <w:tc>
          <w:tcPr>
            <w:tcW w:w="555" w:type="pct"/>
            <w:vAlign w:val="center"/>
          </w:tcPr>
          <w:p w14:paraId="41200A35" w14:textId="027D196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05347304" w14:textId="7BEE77A3"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482D192C" w14:textId="23332F3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6137A65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C2DD16" w14:textId="77777777" w:rsidR="001B2B71" w:rsidRPr="007F6C03" w:rsidRDefault="001B2B71" w:rsidP="003C68C5">
            <w:pPr>
              <w:ind w:left="720"/>
              <w:rPr>
                <w:b w:val="0"/>
                <w:szCs w:val="20"/>
              </w:rPr>
            </w:pPr>
            <w:r w:rsidRPr="007F6C03">
              <w:rPr>
                <w:b w:val="0"/>
                <w:szCs w:val="20"/>
              </w:rPr>
              <w:lastRenderedPageBreak/>
              <w:t>Recycled water network fee – 32 mm</w:t>
            </w:r>
          </w:p>
        </w:tc>
        <w:tc>
          <w:tcPr>
            <w:tcW w:w="585" w:type="pct"/>
            <w:vAlign w:val="center"/>
          </w:tcPr>
          <w:p w14:paraId="72A87D7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4E139F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$336.68</w:t>
            </w:r>
          </w:p>
        </w:tc>
        <w:tc>
          <w:tcPr>
            <w:tcW w:w="555" w:type="pct"/>
            <w:vAlign w:val="center"/>
          </w:tcPr>
          <w:p w14:paraId="0F7A3B9C" w14:textId="051DC94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$315.12</w:t>
            </w:r>
          </w:p>
        </w:tc>
        <w:tc>
          <w:tcPr>
            <w:tcW w:w="555" w:type="pct"/>
            <w:vAlign w:val="center"/>
          </w:tcPr>
          <w:p w14:paraId="5F4D98F3" w14:textId="6ED0FCF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3EF194D8" w14:textId="62FB0E1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54E7F1E4" w14:textId="65D7548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1280692C"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F57B1A" w14:textId="77777777" w:rsidR="001B2B71" w:rsidRPr="007F6C03" w:rsidRDefault="001B2B71" w:rsidP="003C68C5">
            <w:pPr>
              <w:ind w:left="720"/>
              <w:rPr>
                <w:b w:val="0"/>
                <w:szCs w:val="20"/>
              </w:rPr>
            </w:pPr>
            <w:r w:rsidRPr="007F6C03">
              <w:rPr>
                <w:b w:val="0"/>
                <w:szCs w:val="20"/>
              </w:rPr>
              <w:t>Recycled water network fee – 40 mm</w:t>
            </w:r>
          </w:p>
        </w:tc>
        <w:tc>
          <w:tcPr>
            <w:tcW w:w="585" w:type="pct"/>
            <w:vAlign w:val="center"/>
          </w:tcPr>
          <w:p w14:paraId="1A8054F6"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84823E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$526.07</w:t>
            </w:r>
          </w:p>
        </w:tc>
        <w:tc>
          <w:tcPr>
            <w:tcW w:w="555" w:type="pct"/>
            <w:vAlign w:val="center"/>
          </w:tcPr>
          <w:p w14:paraId="12963A26" w14:textId="1D73FB5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$492.39</w:t>
            </w:r>
          </w:p>
        </w:tc>
        <w:tc>
          <w:tcPr>
            <w:tcW w:w="555" w:type="pct"/>
            <w:vAlign w:val="center"/>
          </w:tcPr>
          <w:p w14:paraId="2841867E" w14:textId="2651F41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74D15C92" w14:textId="5B63D35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1ED95436" w14:textId="6C959347"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591C040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34F7062" w14:textId="77777777" w:rsidR="001B2B71" w:rsidRPr="007F6C03" w:rsidRDefault="001B2B71" w:rsidP="000E0C73">
            <w:pPr>
              <w:ind w:left="720"/>
              <w:rPr>
                <w:b w:val="0"/>
                <w:szCs w:val="20"/>
              </w:rPr>
            </w:pPr>
            <w:r w:rsidRPr="007F6C03">
              <w:rPr>
                <w:b w:val="0"/>
                <w:szCs w:val="20"/>
              </w:rPr>
              <w:t>Recycled water network fee – 50 mm</w:t>
            </w:r>
          </w:p>
        </w:tc>
        <w:tc>
          <w:tcPr>
            <w:tcW w:w="585" w:type="pct"/>
            <w:vAlign w:val="center"/>
          </w:tcPr>
          <w:p w14:paraId="799750AA"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3CFE8DA2"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$822.05</w:t>
            </w:r>
          </w:p>
        </w:tc>
        <w:tc>
          <w:tcPr>
            <w:tcW w:w="555" w:type="pct"/>
            <w:vAlign w:val="center"/>
          </w:tcPr>
          <w:p w14:paraId="0C8C4DB5" w14:textId="5774FA6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$769.41</w:t>
            </w:r>
          </w:p>
        </w:tc>
        <w:tc>
          <w:tcPr>
            <w:tcW w:w="555" w:type="pct"/>
            <w:vAlign w:val="center"/>
          </w:tcPr>
          <w:p w14:paraId="7D8DC1A9" w14:textId="36742D7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424B7757" w14:textId="00789B68"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642E23B0" w14:textId="0EDA5FCD"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4F36CB9E"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2D392BB" w14:textId="77777777" w:rsidR="001B2B71" w:rsidRPr="007F6C03" w:rsidRDefault="001B2B71" w:rsidP="000E0C73">
            <w:pPr>
              <w:ind w:left="720"/>
              <w:rPr>
                <w:b w:val="0"/>
                <w:szCs w:val="20"/>
              </w:rPr>
            </w:pPr>
            <w:r w:rsidRPr="007F6C03">
              <w:rPr>
                <w:b w:val="0"/>
                <w:szCs w:val="20"/>
              </w:rPr>
              <w:t>Recycled water network fee – 80 mm</w:t>
            </w:r>
          </w:p>
        </w:tc>
        <w:tc>
          <w:tcPr>
            <w:tcW w:w="585" w:type="pct"/>
            <w:vAlign w:val="center"/>
          </w:tcPr>
          <w:p w14:paraId="29B0D206"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7F75EB98"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$2,104.63</w:t>
            </w:r>
          </w:p>
        </w:tc>
        <w:tc>
          <w:tcPr>
            <w:tcW w:w="555" w:type="pct"/>
            <w:vAlign w:val="center"/>
          </w:tcPr>
          <w:p w14:paraId="69DC27FE" w14:textId="7B8C2A4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$1,969.85</w:t>
            </w:r>
          </w:p>
        </w:tc>
        <w:tc>
          <w:tcPr>
            <w:tcW w:w="555" w:type="pct"/>
            <w:vAlign w:val="center"/>
          </w:tcPr>
          <w:p w14:paraId="3DF72C31" w14:textId="2ADD0CC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4E672360" w14:textId="02E7101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65C4EFF7" w14:textId="6D3E1C9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4969344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42E5407" w14:textId="77777777" w:rsidR="001B2B71" w:rsidRPr="007F6C03" w:rsidRDefault="001B2B71" w:rsidP="000E0C73">
            <w:pPr>
              <w:ind w:left="720"/>
              <w:rPr>
                <w:b w:val="0"/>
                <w:szCs w:val="20"/>
              </w:rPr>
            </w:pPr>
            <w:r w:rsidRPr="007F6C03">
              <w:rPr>
                <w:b w:val="0"/>
                <w:szCs w:val="20"/>
              </w:rPr>
              <w:t>Recycled water network fee – 100 mm</w:t>
            </w:r>
          </w:p>
        </w:tc>
        <w:tc>
          <w:tcPr>
            <w:tcW w:w="585" w:type="pct"/>
            <w:vAlign w:val="center"/>
          </w:tcPr>
          <w:p w14:paraId="005A4C0A"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2323D7A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$3,288.54</w:t>
            </w:r>
          </w:p>
        </w:tc>
        <w:tc>
          <w:tcPr>
            <w:tcW w:w="555" w:type="pct"/>
            <w:vAlign w:val="center"/>
          </w:tcPr>
          <w:p w14:paraId="3114E81A" w14:textId="6B087C1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$3,077.94</w:t>
            </w:r>
          </w:p>
        </w:tc>
        <w:tc>
          <w:tcPr>
            <w:tcW w:w="555" w:type="pct"/>
            <w:vAlign w:val="center"/>
          </w:tcPr>
          <w:p w14:paraId="0A190BC9" w14:textId="3A53F39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7DE5C56E" w14:textId="13AE449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72D3FBA1" w14:textId="50377CA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14EC350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406FA61" w14:textId="77777777" w:rsidR="001B2B71" w:rsidRPr="007F6C03" w:rsidRDefault="001B2B71" w:rsidP="000E0C73">
            <w:pPr>
              <w:ind w:left="720"/>
              <w:rPr>
                <w:b w:val="0"/>
                <w:szCs w:val="20"/>
              </w:rPr>
            </w:pPr>
            <w:r w:rsidRPr="007F6C03">
              <w:rPr>
                <w:b w:val="0"/>
                <w:szCs w:val="20"/>
              </w:rPr>
              <w:t>Recycled water network fee – 150 mm</w:t>
            </w:r>
          </w:p>
        </w:tc>
        <w:tc>
          <w:tcPr>
            <w:tcW w:w="585" w:type="pct"/>
            <w:vAlign w:val="center"/>
          </w:tcPr>
          <w:p w14:paraId="7AC047BB"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3D8CD1B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$7,399.32</w:t>
            </w:r>
          </w:p>
        </w:tc>
        <w:tc>
          <w:tcPr>
            <w:tcW w:w="555" w:type="pct"/>
            <w:vAlign w:val="center"/>
          </w:tcPr>
          <w:p w14:paraId="5E56FC6D" w14:textId="7D1C243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$6,925.45</w:t>
            </w:r>
          </w:p>
        </w:tc>
        <w:tc>
          <w:tcPr>
            <w:tcW w:w="555" w:type="pct"/>
            <w:vAlign w:val="center"/>
          </w:tcPr>
          <w:p w14:paraId="4A1EC75A" w14:textId="187135FC"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19D294CD" w14:textId="0B20A07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3EA32C6D" w14:textId="2C6070C4"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1B2B71" w:rsidRPr="00976CE6" w14:paraId="5B1949D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4BB28CE" w14:textId="3D207B1A" w:rsidR="001B2B71" w:rsidRPr="00976CE6" w:rsidRDefault="001B2B71" w:rsidP="001B2B71">
            <w:pPr>
              <w:rPr>
                <w:szCs w:val="20"/>
              </w:rPr>
            </w:pPr>
            <w:r w:rsidRPr="00976CE6">
              <w:rPr>
                <w:szCs w:val="20"/>
              </w:rPr>
              <w:t>Volumetric recycled water prices</w:t>
            </w:r>
          </w:p>
        </w:tc>
      </w:tr>
      <w:tr w:rsidR="00290A1A" w:rsidRPr="00976CE6" w14:paraId="4995995B"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31AEBD" w14:textId="77777777" w:rsidR="001B2B71" w:rsidRPr="007F6C03" w:rsidRDefault="001B2B71" w:rsidP="00B2405A">
            <w:pPr>
              <w:ind w:left="720"/>
              <w:rPr>
                <w:b w:val="0"/>
                <w:szCs w:val="20"/>
              </w:rPr>
            </w:pPr>
            <w:r w:rsidRPr="007F6C03">
              <w:rPr>
                <w:b w:val="0"/>
                <w:szCs w:val="20"/>
              </w:rPr>
              <w:t>Recycled water usage fee</w:t>
            </w:r>
          </w:p>
        </w:tc>
        <w:tc>
          <w:tcPr>
            <w:tcW w:w="585" w:type="pct"/>
            <w:vAlign w:val="center"/>
          </w:tcPr>
          <w:p w14:paraId="3109845E"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5527DFCA"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$1.9606</w:t>
            </w:r>
          </w:p>
        </w:tc>
        <w:tc>
          <w:tcPr>
            <w:tcW w:w="555" w:type="pct"/>
            <w:vAlign w:val="center"/>
          </w:tcPr>
          <w:p w14:paraId="75C139D2" w14:textId="60E158C3"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$2.0134</w:t>
            </w:r>
          </w:p>
        </w:tc>
        <w:tc>
          <w:tcPr>
            <w:tcW w:w="555" w:type="pct"/>
            <w:vAlign w:val="center"/>
          </w:tcPr>
          <w:p w14:paraId="10D42DA5" w14:textId="597C04B1"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2.62%</w:t>
            </w:r>
          </w:p>
        </w:tc>
        <w:tc>
          <w:tcPr>
            <w:tcW w:w="555" w:type="pct"/>
            <w:vAlign w:val="center"/>
          </w:tcPr>
          <w:p w14:paraId="36E7CC43" w14:textId="1E73995E"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2.55%</w:t>
            </w:r>
          </w:p>
        </w:tc>
        <w:tc>
          <w:tcPr>
            <w:tcW w:w="555" w:type="pct"/>
            <w:vAlign w:val="center"/>
          </w:tcPr>
          <w:p w14:paraId="7593FE74" w14:textId="4BA35635"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2.49%</w:t>
            </w:r>
          </w:p>
        </w:tc>
      </w:tr>
    </w:tbl>
    <w:p w14:paraId="35F26A1D" w14:textId="77777777" w:rsidR="00100296" w:rsidRPr="00D10CE0" w:rsidRDefault="00100296" w:rsidP="00100296"/>
    <w:p w14:paraId="2FDDBA38" w14:textId="11AF4629" w:rsidR="00100296" w:rsidRDefault="00100296" w:rsidP="005B69CD">
      <w:pPr>
        <w:pStyle w:val="Heading3"/>
      </w:pPr>
      <w:r>
        <w:t xml:space="preserve">Business </w:t>
      </w:r>
      <w:r w:rsidR="00F31E95">
        <w:t xml:space="preserve">and </w:t>
      </w:r>
      <w:r>
        <w:t>non-residential services</w:t>
      </w:r>
    </w:p>
    <w:p w14:paraId="228259E6" w14:textId="259007CA" w:rsidR="00100296" w:rsidRPr="007A61F1" w:rsidRDefault="000A39CA" w:rsidP="00100296">
      <w:r>
        <w:t xml:space="preserve">A summary of our current and proposed billing practices for residential customers in the central and western areas from 1 July 2024 can be found in </w:t>
      </w:r>
      <w:r w:rsidR="00E40EEF">
        <w:t>the summary billing practice supporting document.</w:t>
      </w:r>
      <w:r w:rsidR="00C549BF">
        <w:t xml:space="preserve"> We propose no change to our</w:t>
      </w:r>
      <w:r w:rsidR="00051FD1">
        <w:t xml:space="preserve"> core non-residential services</w:t>
      </w:r>
      <w:r w:rsidR="00C549BF">
        <w:t xml:space="preserve"> tariff structures across our service region. </w:t>
      </w:r>
    </w:p>
    <w:p w14:paraId="7DBF959B" w14:textId="77777777" w:rsidR="00100296" w:rsidRDefault="00100296" w:rsidP="00100296">
      <w:pPr>
        <w:pStyle w:val="Heading4"/>
      </w:pPr>
      <w:r>
        <w:t>Business (non-residential) tariffs</w:t>
      </w:r>
    </w:p>
    <w:p w14:paraId="39DB5F55" w14:textId="71B563B1" w:rsidR="00100296" w:rsidRPr="00C75ECE" w:rsidRDefault="001C4DCB" w:rsidP="00100296">
      <w:r>
        <w:fldChar w:fldCharType="begin"/>
      </w:r>
      <w:r>
        <w:instrText xml:space="preserve"> REF _Ref144732000 \h </w:instrText>
      </w:r>
      <w:r>
        <w:fldChar w:fldCharType="separate"/>
      </w:r>
      <w:r w:rsidR="003B42C6" w:rsidRPr="00CB4D99">
        <w:rPr>
          <w:b/>
        </w:rPr>
        <w:t xml:space="preserve">Table </w:t>
      </w:r>
      <w:r w:rsidR="003B42C6">
        <w:rPr>
          <w:b/>
          <w:noProof/>
        </w:rPr>
        <w:t>36</w:t>
      </w:r>
      <w:r>
        <w:fldChar w:fldCharType="end"/>
      </w:r>
      <w:r>
        <w:t xml:space="preserve"> and </w:t>
      </w:r>
      <w:r>
        <w:fldChar w:fldCharType="begin"/>
      </w:r>
      <w:r>
        <w:instrText xml:space="preserve"> REF _Ref144732004 \h </w:instrText>
      </w:r>
      <w:r>
        <w:fldChar w:fldCharType="separate"/>
      </w:r>
      <w:r w:rsidR="003B42C6" w:rsidRPr="00CB4D99">
        <w:rPr>
          <w:b/>
        </w:rPr>
        <w:t xml:space="preserve">Table </w:t>
      </w:r>
      <w:r w:rsidR="003B42C6">
        <w:rPr>
          <w:b/>
          <w:noProof/>
        </w:rPr>
        <w:t>37</w:t>
      </w:r>
      <w:r>
        <w:fldChar w:fldCharType="end"/>
      </w:r>
      <w:r>
        <w:t xml:space="preserve"> </w:t>
      </w:r>
      <w:r w:rsidR="00100296">
        <w:t>show our proposed business (non-residential) water and sewerage tariffs and prices for the next regulatory period.</w:t>
      </w:r>
    </w:p>
    <w:p w14:paraId="2FE51BD1" w14:textId="284B0A74" w:rsidR="00100296" w:rsidRDefault="00100296" w:rsidP="00100296">
      <w:pPr>
        <w:pStyle w:val="Caption"/>
      </w:pPr>
      <w:bookmarkStart w:id="171" w:name="_Ref144732000"/>
      <w:r w:rsidRPr="00CB4D99">
        <w:rPr>
          <w:b/>
        </w:rPr>
        <w:t xml:space="preserve">Table </w:t>
      </w:r>
      <w:r w:rsidRPr="00CB4D99">
        <w:rPr>
          <w:b/>
        </w:rPr>
        <w:fldChar w:fldCharType="begin"/>
      </w:r>
      <w:r w:rsidRPr="00CB4D99">
        <w:rPr>
          <w:b/>
        </w:rPr>
        <w:instrText>SEQ Table \* ARABIC</w:instrText>
      </w:r>
      <w:r w:rsidRPr="00CB4D99">
        <w:rPr>
          <w:b/>
        </w:rPr>
        <w:fldChar w:fldCharType="separate"/>
      </w:r>
      <w:r w:rsidR="003B42C6">
        <w:rPr>
          <w:b/>
          <w:noProof/>
        </w:rPr>
        <w:t>36</w:t>
      </w:r>
      <w:r w:rsidRPr="00CB4D99">
        <w:rPr>
          <w:b/>
        </w:rPr>
        <w:fldChar w:fldCharType="end"/>
      </w:r>
      <w:bookmarkEnd w:id="171"/>
      <w:r>
        <w:t xml:space="preserve"> Proposed business (non-residential) water and sewerage tariffs and prices </w:t>
      </w:r>
      <w:r w:rsidR="005712E4">
        <w:t>–</w:t>
      </w:r>
      <w:r>
        <w:t xml:space="preserve"> central</w:t>
      </w:r>
      <w:r w:rsidR="005712E4">
        <w:t xml:space="preserve"> ($, 2023-24)</w:t>
      </w:r>
    </w:p>
    <w:tbl>
      <w:tblPr>
        <w:tblStyle w:val="GWWDefaulttable"/>
        <w:tblW w:w="9639" w:type="dxa"/>
        <w:tblLayout w:type="fixed"/>
        <w:tblLook w:val="04A0" w:firstRow="1" w:lastRow="0" w:firstColumn="1" w:lastColumn="0" w:noHBand="0" w:noVBand="1"/>
      </w:tblPr>
      <w:tblGrid>
        <w:gridCol w:w="1407"/>
        <w:gridCol w:w="962"/>
        <w:gridCol w:w="1814"/>
        <w:gridCol w:w="928"/>
        <w:gridCol w:w="928"/>
        <w:gridCol w:w="900"/>
        <w:gridCol w:w="900"/>
        <w:gridCol w:w="900"/>
        <w:gridCol w:w="900"/>
      </w:tblGrid>
      <w:tr w:rsidR="00B865DF" w:rsidRPr="00976CE6" w14:paraId="7533B0C7" w14:textId="77777777" w:rsidTr="0082380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7CCF777" w14:textId="77777777" w:rsidR="0082380C" w:rsidRPr="00976CE6" w:rsidRDefault="0082380C" w:rsidP="00F47276">
            <w:pPr>
              <w:rPr>
                <w:szCs w:val="20"/>
              </w:rPr>
            </w:pPr>
            <w:r w:rsidRPr="00976CE6">
              <w:rPr>
                <w:szCs w:val="20"/>
              </w:rPr>
              <w:t>Central region</w:t>
            </w:r>
          </w:p>
        </w:tc>
        <w:tc>
          <w:tcPr>
            <w:tcW w:w="3497" w:type="dxa"/>
            <w:gridSpan w:val="2"/>
            <w:vAlign w:val="center"/>
          </w:tcPr>
          <w:p w14:paraId="0D3E8F9D" w14:textId="77777777" w:rsidR="0082380C" w:rsidRPr="00976CE6" w:rsidRDefault="0082380C" w:rsidP="00F47276">
            <w:pPr>
              <w:cnfStyle w:val="100000000000" w:firstRow="1" w:lastRow="0" w:firstColumn="0" w:lastColumn="0" w:oddVBand="0" w:evenVBand="0" w:oddHBand="0" w:evenHBand="0" w:firstRowFirstColumn="0" w:firstRowLastColumn="0" w:lastRowFirstColumn="0" w:lastRowLastColumn="0"/>
              <w:rPr>
                <w:b w:val="0"/>
                <w:szCs w:val="20"/>
              </w:rPr>
            </w:pPr>
          </w:p>
        </w:tc>
        <w:tc>
          <w:tcPr>
            <w:tcW w:w="4394" w:type="dxa"/>
            <w:gridSpan w:val="6"/>
            <w:vAlign w:val="center"/>
          </w:tcPr>
          <w:p w14:paraId="015356C0" w14:textId="77777777" w:rsidR="00B865DF" w:rsidRPr="00976CE6" w:rsidRDefault="00B865DF" w:rsidP="00F47276">
            <w:pPr>
              <w:cnfStyle w:val="100000000000" w:firstRow="1" w:lastRow="0" w:firstColumn="0" w:lastColumn="0" w:oddVBand="0" w:evenVBand="0" w:oddHBand="0" w:evenHBand="0" w:firstRowFirstColumn="0" w:firstRowLastColumn="0" w:lastRowFirstColumn="0" w:lastRowLastColumn="0"/>
              <w:rPr>
                <w:szCs w:val="20"/>
              </w:rPr>
            </w:pPr>
            <w:r w:rsidRPr="00976CE6">
              <w:rPr>
                <w:szCs w:val="20"/>
              </w:rPr>
              <w:t>Proposed price movement</w:t>
            </w:r>
          </w:p>
        </w:tc>
      </w:tr>
      <w:tr w:rsidR="00105225" w:rsidRPr="001F1F56" w14:paraId="5A9A5513"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3"/>
            <w:shd w:val="clear" w:color="auto" w:fill="B3C5E6" w:themeFill="accent2"/>
            <w:vAlign w:val="center"/>
          </w:tcPr>
          <w:p w14:paraId="5B11C8DD" w14:textId="77777777" w:rsidR="00B865DF" w:rsidRPr="000475D1" w:rsidRDefault="00B865DF" w:rsidP="00B865DF">
            <w:pPr>
              <w:rPr>
                <w:color w:val="auto"/>
                <w:szCs w:val="20"/>
              </w:rPr>
            </w:pPr>
          </w:p>
        </w:tc>
        <w:tc>
          <w:tcPr>
            <w:tcW w:w="1134" w:type="dxa"/>
            <w:shd w:val="clear" w:color="auto" w:fill="B3C5E6" w:themeFill="accent2"/>
            <w:vAlign w:val="center"/>
          </w:tcPr>
          <w:p w14:paraId="5453B45B" w14:textId="77777777" w:rsidR="00B865DF" w:rsidRPr="001F1F56" w:rsidRDefault="00B865DF" w:rsidP="004E646B">
            <w:pPr>
              <w:jc w:val="center"/>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Unit</w:t>
            </w:r>
          </w:p>
        </w:tc>
        <w:tc>
          <w:tcPr>
            <w:tcW w:w="1134" w:type="dxa"/>
            <w:shd w:val="clear" w:color="auto" w:fill="B3C5E6" w:themeFill="accent2"/>
          </w:tcPr>
          <w:p w14:paraId="2A3ADA61"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2023-24</w:t>
            </w:r>
          </w:p>
        </w:tc>
        <w:tc>
          <w:tcPr>
            <w:tcW w:w="1098" w:type="dxa"/>
            <w:shd w:val="clear" w:color="auto" w:fill="B3C5E6" w:themeFill="accent2"/>
          </w:tcPr>
          <w:p w14:paraId="2ED8947B"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2024-25</w:t>
            </w:r>
          </w:p>
        </w:tc>
        <w:tc>
          <w:tcPr>
            <w:tcW w:w="1099" w:type="dxa"/>
            <w:shd w:val="clear" w:color="auto" w:fill="B3C5E6" w:themeFill="accent2"/>
          </w:tcPr>
          <w:p w14:paraId="45C4F2F9"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2025-26</w:t>
            </w:r>
          </w:p>
        </w:tc>
        <w:tc>
          <w:tcPr>
            <w:tcW w:w="1098" w:type="dxa"/>
            <w:shd w:val="clear" w:color="auto" w:fill="B3C5E6" w:themeFill="accent2"/>
          </w:tcPr>
          <w:p w14:paraId="2FAA0E74"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2026-27</w:t>
            </w:r>
          </w:p>
        </w:tc>
        <w:tc>
          <w:tcPr>
            <w:tcW w:w="1099" w:type="dxa"/>
            <w:shd w:val="clear" w:color="auto" w:fill="B3C5E6" w:themeFill="accent2"/>
          </w:tcPr>
          <w:p w14:paraId="29F9435F"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2027-28</w:t>
            </w:r>
          </w:p>
        </w:tc>
      </w:tr>
      <w:tr w:rsidR="00B865DF" w:rsidRPr="00976CE6" w14:paraId="42D7D5F7"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6DBE9144" w14:textId="77777777" w:rsidR="00B865DF" w:rsidRPr="00A5085A" w:rsidRDefault="00B865DF" w:rsidP="00B865DF">
            <w:pPr>
              <w:rPr>
                <w:szCs w:val="20"/>
              </w:rPr>
            </w:pPr>
            <w:r w:rsidRPr="00A5085A">
              <w:rPr>
                <w:szCs w:val="20"/>
              </w:rPr>
              <w:t>Non-residential water tariff</w:t>
            </w:r>
          </w:p>
        </w:tc>
      </w:tr>
      <w:tr w:rsidR="00B865DF" w:rsidRPr="00976CE6" w14:paraId="1F19177E"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6D382CBC" w14:textId="77777777" w:rsidR="00B865DF" w:rsidRPr="00A5085A" w:rsidRDefault="00B865DF" w:rsidP="00B865DF">
            <w:pPr>
              <w:rPr>
                <w:szCs w:val="20"/>
              </w:rPr>
            </w:pPr>
            <w:r w:rsidRPr="00A5085A">
              <w:rPr>
                <w:szCs w:val="20"/>
              </w:rPr>
              <w:lastRenderedPageBreak/>
              <w:t>Fixed potable water prices</w:t>
            </w:r>
          </w:p>
        </w:tc>
      </w:tr>
      <w:tr w:rsidR="00EF4894" w:rsidRPr="00976CE6" w14:paraId="312F388F"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0A70588" w14:textId="77777777" w:rsidR="00B865DF" w:rsidRPr="00DF0BF8" w:rsidRDefault="00B865DF" w:rsidP="00B865DF">
            <w:pPr>
              <w:rPr>
                <w:b w:val="0"/>
                <w:szCs w:val="20"/>
              </w:rPr>
            </w:pPr>
            <w:r w:rsidRPr="00DF0BF8">
              <w:rPr>
                <w:b w:val="0"/>
                <w:szCs w:val="20"/>
              </w:rPr>
              <w:t>Water network fee</w:t>
            </w:r>
          </w:p>
        </w:tc>
        <w:tc>
          <w:tcPr>
            <w:tcW w:w="1134" w:type="dxa"/>
            <w:vAlign w:val="center"/>
          </w:tcPr>
          <w:p w14:paraId="428BF432"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1134" w:type="dxa"/>
            <w:vAlign w:val="center"/>
          </w:tcPr>
          <w:p w14:paraId="0E23E813"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$299.20</w:t>
            </w:r>
          </w:p>
        </w:tc>
        <w:tc>
          <w:tcPr>
            <w:tcW w:w="1098" w:type="dxa"/>
            <w:gridSpan w:val="2"/>
            <w:vAlign w:val="center"/>
          </w:tcPr>
          <w:p w14:paraId="128AE670"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$307.35</w:t>
            </w:r>
          </w:p>
        </w:tc>
        <w:tc>
          <w:tcPr>
            <w:tcW w:w="1099" w:type="dxa"/>
            <w:vAlign w:val="center"/>
          </w:tcPr>
          <w:p w14:paraId="75B71FBD"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0D4999B0"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B99AA83"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4F771B59"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B999F09" w14:textId="77777777" w:rsidR="00B865DF" w:rsidRPr="00976CE6" w:rsidRDefault="00B865DF" w:rsidP="00B865DF">
            <w:pPr>
              <w:rPr>
                <w:szCs w:val="20"/>
              </w:rPr>
            </w:pPr>
            <w:r w:rsidRPr="00976CE6">
              <w:rPr>
                <w:szCs w:val="20"/>
              </w:rPr>
              <w:t>Volumetric potable water prices</w:t>
            </w:r>
          </w:p>
        </w:tc>
      </w:tr>
      <w:tr w:rsidR="00EF4894" w:rsidRPr="00976CE6" w14:paraId="07994D8F"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7610192" w14:textId="77777777" w:rsidR="00B865DF" w:rsidRPr="00DF0BF8" w:rsidRDefault="00B865DF" w:rsidP="00B865DF">
            <w:pPr>
              <w:rPr>
                <w:b w:val="0"/>
                <w:szCs w:val="20"/>
              </w:rPr>
            </w:pPr>
            <w:r w:rsidRPr="00DF0BF8">
              <w:rPr>
                <w:b w:val="0"/>
                <w:szCs w:val="20"/>
              </w:rPr>
              <w:t>Water usage fee</w:t>
            </w:r>
          </w:p>
        </w:tc>
        <w:tc>
          <w:tcPr>
            <w:tcW w:w="1134" w:type="dxa"/>
            <w:vAlign w:val="center"/>
          </w:tcPr>
          <w:p w14:paraId="4F860884"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64019EEC"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$3.0762</w:t>
            </w:r>
          </w:p>
        </w:tc>
        <w:tc>
          <w:tcPr>
            <w:tcW w:w="1098" w:type="dxa"/>
            <w:gridSpan w:val="2"/>
            <w:vAlign w:val="center"/>
          </w:tcPr>
          <w:p w14:paraId="2D3A9DF3" w14:textId="3E56328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$3.0830</w:t>
            </w:r>
          </w:p>
        </w:tc>
        <w:tc>
          <w:tcPr>
            <w:tcW w:w="1099" w:type="dxa"/>
            <w:vAlign w:val="center"/>
          </w:tcPr>
          <w:p w14:paraId="3CCA416E" w14:textId="3384C6B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363CDDBF" w14:textId="6BB3599F"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813B87C" w14:textId="2E1D9FC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1F5A9C60"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1F4118A1" w14:textId="77777777" w:rsidR="00B865DF" w:rsidRPr="00976CE6" w:rsidRDefault="00B865DF" w:rsidP="00B865DF">
            <w:pPr>
              <w:rPr>
                <w:szCs w:val="20"/>
              </w:rPr>
            </w:pPr>
            <w:r w:rsidRPr="00976CE6">
              <w:rPr>
                <w:szCs w:val="20"/>
              </w:rPr>
              <w:t>Non-residential sewerage tariff</w:t>
            </w:r>
          </w:p>
        </w:tc>
      </w:tr>
      <w:tr w:rsidR="00B865DF" w:rsidRPr="00976CE6" w14:paraId="63C762DC"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22DD814" w14:textId="77777777" w:rsidR="00B865DF" w:rsidRPr="00976CE6" w:rsidRDefault="00B865DF" w:rsidP="00B865DF">
            <w:pPr>
              <w:rPr>
                <w:szCs w:val="20"/>
              </w:rPr>
            </w:pPr>
            <w:r w:rsidRPr="00976CE6">
              <w:rPr>
                <w:szCs w:val="20"/>
              </w:rPr>
              <w:t>Fixed sewerage prices</w:t>
            </w:r>
          </w:p>
        </w:tc>
      </w:tr>
      <w:tr w:rsidR="00EF4894" w:rsidRPr="00976CE6" w14:paraId="77A7898A"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73288BD4" w14:textId="77777777" w:rsidR="00B865DF" w:rsidRPr="00DF0BF8" w:rsidRDefault="00B865DF" w:rsidP="00B865DF">
            <w:pPr>
              <w:rPr>
                <w:b w:val="0"/>
                <w:szCs w:val="20"/>
              </w:rPr>
            </w:pPr>
            <w:r w:rsidRPr="00DF0BF8">
              <w:rPr>
                <w:b w:val="0"/>
                <w:szCs w:val="20"/>
              </w:rPr>
              <w:t>Sewerage network fee</w:t>
            </w:r>
          </w:p>
        </w:tc>
        <w:tc>
          <w:tcPr>
            <w:tcW w:w="1134" w:type="dxa"/>
            <w:vAlign w:val="center"/>
          </w:tcPr>
          <w:p w14:paraId="75893228"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1134" w:type="dxa"/>
            <w:vAlign w:val="center"/>
          </w:tcPr>
          <w:p w14:paraId="2B562956"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$509.40</w:t>
            </w:r>
          </w:p>
        </w:tc>
        <w:tc>
          <w:tcPr>
            <w:tcW w:w="1098" w:type="dxa"/>
            <w:gridSpan w:val="2"/>
            <w:vAlign w:val="center"/>
          </w:tcPr>
          <w:p w14:paraId="237C8503" w14:textId="1AF85028"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$506.55</w:t>
            </w:r>
          </w:p>
        </w:tc>
        <w:tc>
          <w:tcPr>
            <w:tcW w:w="1099" w:type="dxa"/>
            <w:vAlign w:val="center"/>
          </w:tcPr>
          <w:p w14:paraId="7B07837A" w14:textId="50DF9FDF"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-0.56%</w:t>
            </w:r>
          </w:p>
        </w:tc>
        <w:tc>
          <w:tcPr>
            <w:tcW w:w="1098" w:type="dxa"/>
            <w:vAlign w:val="center"/>
          </w:tcPr>
          <w:p w14:paraId="6A4BD2C8" w14:textId="4ED28BD1"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-0.57%</w:t>
            </w:r>
          </w:p>
        </w:tc>
        <w:tc>
          <w:tcPr>
            <w:tcW w:w="1099" w:type="dxa"/>
            <w:vAlign w:val="center"/>
          </w:tcPr>
          <w:p w14:paraId="79E23F69" w14:textId="0FE6DDB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-0.57%</w:t>
            </w:r>
          </w:p>
        </w:tc>
      </w:tr>
      <w:tr w:rsidR="00B865DF" w:rsidRPr="00976CE6" w14:paraId="4F7200A5"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15470A3" w14:textId="77777777" w:rsidR="00B865DF" w:rsidRPr="00976CE6" w:rsidRDefault="00B865DF" w:rsidP="00B865DF">
            <w:pPr>
              <w:rPr>
                <w:szCs w:val="20"/>
              </w:rPr>
            </w:pPr>
            <w:r w:rsidRPr="00976CE6">
              <w:rPr>
                <w:szCs w:val="20"/>
              </w:rPr>
              <w:t>Volumetric sewerage prices</w:t>
            </w:r>
          </w:p>
        </w:tc>
      </w:tr>
      <w:tr w:rsidR="00EF4894" w:rsidRPr="00976CE6" w14:paraId="1C8B8747"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638F9547" w14:textId="77777777" w:rsidR="00B865DF" w:rsidRPr="00DF0BF8" w:rsidRDefault="00B865DF" w:rsidP="00B865DF">
            <w:pPr>
              <w:rPr>
                <w:b w:val="0"/>
                <w:szCs w:val="20"/>
              </w:rPr>
            </w:pPr>
            <w:r w:rsidRPr="00DF0BF8">
              <w:rPr>
                <w:b w:val="0"/>
                <w:szCs w:val="20"/>
              </w:rPr>
              <w:t>Sewerage disposal fee</w:t>
            </w:r>
          </w:p>
        </w:tc>
        <w:tc>
          <w:tcPr>
            <w:tcW w:w="1134" w:type="dxa"/>
            <w:vAlign w:val="center"/>
          </w:tcPr>
          <w:p w14:paraId="165EAEBF"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496282B8"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$2.0097</w:t>
            </w:r>
          </w:p>
        </w:tc>
        <w:tc>
          <w:tcPr>
            <w:tcW w:w="1098" w:type="dxa"/>
            <w:gridSpan w:val="2"/>
            <w:vAlign w:val="center"/>
          </w:tcPr>
          <w:p w14:paraId="633DA28F" w14:textId="05D37805"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$2.0279</w:t>
            </w:r>
          </w:p>
        </w:tc>
        <w:tc>
          <w:tcPr>
            <w:tcW w:w="1099" w:type="dxa"/>
            <w:vAlign w:val="center"/>
          </w:tcPr>
          <w:p w14:paraId="4E92405C" w14:textId="66532E8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5BBBDF4A" w14:textId="372F6C5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171F9DD" w14:textId="4047DBED"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0FBC36D8"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2FD1692A" w14:textId="77777777" w:rsidR="00B865DF" w:rsidRPr="00976CE6" w:rsidRDefault="00B865DF" w:rsidP="00B865DF">
            <w:pPr>
              <w:rPr>
                <w:szCs w:val="20"/>
              </w:rPr>
            </w:pPr>
            <w:r w:rsidRPr="00976CE6">
              <w:rPr>
                <w:szCs w:val="20"/>
              </w:rPr>
              <w:t>Non-residential recycled water (Class A) tariff</w:t>
            </w:r>
          </w:p>
        </w:tc>
      </w:tr>
      <w:tr w:rsidR="00B865DF" w:rsidRPr="00976CE6" w14:paraId="4455E19A"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4290B3FE" w14:textId="3811E2FB" w:rsidR="00B865DF" w:rsidRPr="00976CE6" w:rsidRDefault="00B865DF" w:rsidP="00B865DF">
            <w:pPr>
              <w:rPr>
                <w:szCs w:val="20"/>
              </w:rPr>
            </w:pPr>
            <w:r w:rsidRPr="00976CE6">
              <w:rPr>
                <w:szCs w:val="20"/>
              </w:rPr>
              <w:t>Volumetric recycled water prices</w:t>
            </w:r>
          </w:p>
        </w:tc>
      </w:tr>
      <w:tr w:rsidR="00EF4894" w:rsidRPr="00976CE6" w14:paraId="0E84CF42"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DBCB1FB" w14:textId="77777777" w:rsidR="00B865DF" w:rsidRPr="00DF0BF8" w:rsidRDefault="00B865DF" w:rsidP="00B865DF">
            <w:pPr>
              <w:rPr>
                <w:b w:val="0"/>
                <w:szCs w:val="20"/>
              </w:rPr>
            </w:pPr>
            <w:r w:rsidRPr="00DF0BF8">
              <w:rPr>
                <w:b w:val="0"/>
                <w:szCs w:val="20"/>
              </w:rPr>
              <w:t>Recycled water usage fee</w:t>
            </w:r>
          </w:p>
        </w:tc>
        <w:tc>
          <w:tcPr>
            <w:tcW w:w="1134" w:type="dxa"/>
            <w:vAlign w:val="center"/>
          </w:tcPr>
          <w:p w14:paraId="3B04A647"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3C6BBF32"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$2.6148</w:t>
            </w:r>
          </w:p>
        </w:tc>
        <w:tc>
          <w:tcPr>
            <w:tcW w:w="1098" w:type="dxa"/>
            <w:gridSpan w:val="2"/>
            <w:vAlign w:val="center"/>
          </w:tcPr>
          <w:p w14:paraId="0C92ACFF" w14:textId="1A0EF45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$2.6083</w:t>
            </w:r>
          </w:p>
        </w:tc>
        <w:tc>
          <w:tcPr>
            <w:tcW w:w="1099" w:type="dxa"/>
            <w:vAlign w:val="center"/>
          </w:tcPr>
          <w:p w14:paraId="72035F37" w14:textId="57ACAC7E"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c>
          <w:tcPr>
            <w:tcW w:w="1098" w:type="dxa"/>
            <w:vAlign w:val="center"/>
          </w:tcPr>
          <w:p w14:paraId="0668C41C" w14:textId="7ED45816"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c>
          <w:tcPr>
            <w:tcW w:w="1099" w:type="dxa"/>
            <w:vAlign w:val="center"/>
          </w:tcPr>
          <w:p w14:paraId="7C3814D9" w14:textId="0F350B7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r>
      <w:tr w:rsidR="00B865DF" w:rsidRPr="00976CE6" w14:paraId="30131E9C"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180FC55C" w14:textId="77777777" w:rsidR="00B865DF" w:rsidRPr="00976CE6" w:rsidRDefault="00B865DF" w:rsidP="00B865DF">
            <w:pPr>
              <w:rPr>
                <w:szCs w:val="20"/>
              </w:rPr>
            </w:pPr>
            <w:r w:rsidRPr="00976CE6">
              <w:rPr>
                <w:szCs w:val="20"/>
              </w:rPr>
              <w:t>Other tariffs</w:t>
            </w:r>
          </w:p>
        </w:tc>
      </w:tr>
      <w:tr w:rsidR="00B865DF" w:rsidRPr="00976CE6" w14:paraId="11FD8215"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688A0562" w14:textId="77777777" w:rsidR="00B865DF" w:rsidRPr="00976CE6" w:rsidRDefault="00B865DF" w:rsidP="00B865DF">
            <w:pPr>
              <w:rPr>
                <w:szCs w:val="20"/>
              </w:rPr>
            </w:pPr>
            <w:r w:rsidRPr="00976CE6">
              <w:rPr>
                <w:szCs w:val="20"/>
              </w:rPr>
              <w:t>Private fire service connections</w:t>
            </w:r>
          </w:p>
        </w:tc>
      </w:tr>
      <w:tr w:rsidR="00EF4894" w:rsidRPr="00976CE6" w14:paraId="7AEFD88A"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45740E4F" w14:textId="77777777" w:rsidR="00B865DF" w:rsidRPr="00DF0BF8" w:rsidRDefault="00B865DF" w:rsidP="00B865DF">
            <w:pPr>
              <w:rPr>
                <w:b w:val="0"/>
                <w:szCs w:val="20"/>
              </w:rPr>
            </w:pPr>
            <w:r w:rsidRPr="00DF0BF8">
              <w:rPr>
                <w:b w:val="0"/>
                <w:szCs w:val="20"/>
              </w:rPr>
              <w:t>Private fire service connections</w:t>
            </w:r>
          </w:p>
        </w:tc>
        <w:tc>
          <w:tcPr>
            <w:tcW w:w="1134" w:type="dxa"/>
            <w:vAlign w:val="center"/>
          </w:tcPr>
          <w:p w14:paraId="1055CCC3"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connection</w:t>
            </w:r>
          </w:p>
        </w:tc>
        <w:tc>
          <w:tcPr>
            <w:tcW w:w="1134" w:type="dxa"/>
            <w:vAlign w:val="center"/>
          </w:tcPr>
          <w:p w14:paraId="469D0312"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$119.96</w:t>
            </w:r>
          </w:p>
        </w:tc>
        <w:tc>
          <w:tcPr>
            <w:tcW w:w="1098" w:type="dxa"/>
            <w:gridSpan w:val="2"/>
            <w:vAlign w:val="center"/>
          </w:tcPr>
          <w:p w14:paraId="108BA627" w14:textId="0161D5F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$123.56</w:t>
            </w:r>
          </w:p>
        </w:tc>
        <w:tc>
          <w:tcPr>
            <w:tcW w:w="1099" w:type="dxa"/>
            <w:vAlign w:val="center"/>
          </w:tcPr>
          <w:p w14:paraId="5871ED20" w14:textId="2502E5E1"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25A2BEFE" w14:textId="388EAD8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6F85CBFF" w14:textId="569DE7B2"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bl>
    <w:p w14:paraId="420265B6" w14:textId="36E57CC4" w:rsidR="00CF720D" w:rsidRPr="00CB4D99" w:rsidRDefault="00CF720D" w:rsidP="00100296">
      <w:pPr>
        <w:rPr>
          <w:b/>
        </w:rPr>
      </w:pPr>
    </w:p>
    <w:p w14:paraId="7104DF91" w14:textId="68BBA230" w:rsidR="00100296" w:rsidRPr="0080116A" w:rsidRDefault="00100296" w:rsidP="00100296">
      <w:pPr>
        <w:pStyle w:val="Caption"/>
      </w:pPr>
      <w:bookmarkStart w:id="172" w:name="_Ref144732004"/>
      <w:r w:rsidRPr="00CB4D99">
        <w:rPr>
          <w:b/>
        </w:rPr>
        <w:t xml:space="preserve">Table </w:t>
      </w:r>
      <w:r w:rsidRPr="00CB4D99">
        <w:rPr>
          <w:b/>
        </w:rPr>
        <w:fldChar w:fldCharType="begin"/>
      </w:r>
      <w:r w:rsidRPr="00CB4D99">
        <w:rPr>
          <w:b/>
        </w:rPr>
        <w:instrText>SEQ Table \* ARABIC</w:instrText>
      </w:r>
      <w:r w:rsidRPr="00CB4D99">
        <w:rPr>
          <w:b/>
        </w:rPr>
        <w:fldChar w:fldCharType="separate"/>
      </w:r>
      <w:r w:rsidR="003B42C6">
        <w:rPr>
          <w:b/>
          <w:noProof/>
        </w:rPr>
        <w:t>37</w:t>
      </w:r>
      <w:r w:rsidRPr="00CB4D99">
        <w:rPr>
          <w:b/>
        </w:rPr>
        <w:fldChar w:fldCharType="end"/>
      </w:r>
      <w:bookmarkEnd w:id="172"/>
      <w:r>
        <w:t xml:space="preserve"> Proposed non-residential (business) water and sewerage tariffs and prices </w:t>
      </w:r>
      <w:r w:rsidR="005712E4">
        <w:t>–</w:t>
      </w:r>
      <w:r>
        <w:t xml:space="preserve"> western</w:t>
      </w:r>
      <w:r w:rsidR="005712E4">
        <w:t xml:space="preserve"> ($, 2023-24)</w:t>
      </w:r>
    </w:p>
    <w:tbl>
      <w:tblPr>
        <w:tblStyle w:val="GWWDefaulttable"/>
        <w:tblW w:w="5000" w:type="pct"/>
        <w:tblLook w:val="04A0" w:firstRow="1" w:lastRow="0" w:firstColumn="1" w:lastColumn="0" w:noHBand="0" w:noVBand="1"/>
      </w:tblPr>
      <w:tblGrid>
        <w:gridCol w:w="3431"/>
        <w:gridCol w:w="1008"/>
        <w:gridCol w:w="1201"/>
        <w:gridCol w:w="1197"/>
        <w:gridCol w:w="933"/>
        <w:gridCol w:w="935"/>
        <w:gridCol w:w="933"/>
      </w:tblGrid>
      <w:tr w:rsidR="00100296" w:rsidRPr="00076B68" w14:paraId="31CAB5A9" w14:textId="77777777" w:rsidTr="00393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04F26FE" w14:textId="097455CD" w:rsidR="00100296" w:rsidRPr="00076B68" w:rsidRDefault="00100296" w:rsidP="006C12BA">
            <w:pPr>
              <w:rPr>
                <w:szCs w:val="20"/>
              </w:rPr>
            </w:pPr>
            <w:r w:rsidRPr="00076B68">
              <w:rPr>
                <w:szCs w:val="20"/>
              </w:rPr>
              <w:t>Western region</w:t>
            </w:r>
          </w:p>
        </w:tc>
        <w:tc>
          <w:tcPr>
            <w:tcW w:w="523" w:type="pct"/>
            <w:vAlign w:val="center"/>
          </w:tcPr>
          <w:p w14:paraId="0797AFCD" w14:textId="77777777" w:rsidR="00100296" w:rsidRPr="00076B68" w:rsidRDefault="00100296" w:rsidP="00333DFD">
            <w:pPr>
              <w:jc w:val="center"/>
              <w:cnfStyle w:val="100000000000" w:firstRow="1" w:lastRow="0" w:firstColumn="0" w:lastColumn="0" w:oddVBand="0" w:evenVBand="0" w:oddHBand="0" w:evenHBand="0" w:firstRowFirstColumn="0" w:firstRowLastColumn="0" w:lastRowFirstColumn="0" w:lastRowLastColumn="0"/>
              <w:rPr>
                <w:szCs w:val="20"/>
              </w:rPr>
            </w:pPr>
          </w:p>
        </w:tc>
        <w:tc>
          <w:tcPr>
            <w:tcW w:w="623" w:type="pct"/>
            <w:vAlign w:val="center"/>
          </w:tcPr>
          <w:p w14:paraId="613FF08F" w14:textId="77777777" w:rsidR="00100296" w:rsidRPr="00076B68" w:rsidRDefault="00100296" w:rsidP="00333DFD">
            <w:pPr>
              <w:jc w:val="right"/>
              <w:cnfStyle w:val="100000000000" w:firstRow="1" w:lastRow="0" w:firstColumn="0" w:lastColumn="0" w:oddVBand="0" w:evenVBand="0" w:oddHBand="0" w:evenHBand="0" w:firstRowFirstColumn="0" w:firstRowLastColumn="0" w:lastRowFirstColumn="0" w:lastRowLastColumn="0"/>
              <w:rPr>
                <w:szCs w:val="20"/>
              </w:rPr>
            </w:pPr>
          </w:p>
        </w:tc>
        <w:tc>
          <w:tcPr>
            <w:tcW w:w="2074" w:type="pct"/>
            <w:gridSpan w:val="4"/>
            <w:vAlign w:val="center"/>
          </w:tcPr>
          <w:p w14:paraId="6CFC9AC7" w14:textId="0DB48EC8" w:rsidR="00100296" w:rsidRPr="00076B68" w:rsidRDefault="00100296" w:rsidP="006C12BA">
            <w:pPr>
              <w:cnfStyle w:val="100000000000" w:firstRow="1" w:lastRow="0" w:firstColumn="0" w:lastColumn="0" w:oddVBand="0" w:evenVBand="0" w:oddHBand="0" w:evenHBand="0" w:firstRowFirstColumn="0" w:firstRowLastColumn="0" w:lastRowFirstColumn="0" w:lastRowLastColumn="0"/>
              <w:rPr>
                <w:szCs w:val="20"/>
              </w:rPr>
            </w:pPr>
            <w:r w:rsidRPr="00076B68">
              <w:rPr>
                <w:szCs w:val="20"/>
              </w:rPr>
              <w:t xml:space="preserve">Proposed </w:t>
            </w:r>
            <w:r w:rsidR="00F31E95" w:rsidRPr="00076B68">
              <w:rPr>
                <w:szCs w:val="20"/>
              </w:rPr>
              <w:t>price movement</w:t>
            </w:r>
          </w:p>
        </w:tc>
      </w:tr>
      <w:tr w:rsidR="00105225" w:rsidRPr="00F47276" w14:paraId="2C10AEF1" w14:textId="77777777" w:rsidTr="00AC3B14">
        <w:trPr>
          <w:trHeight w:val="227"/>
        </w:trPr>
        <w:tc>
          <w:tcPr>
            <w:cnfStyle w:val="001000000000" w:firstRow="0" w:lastRow="0" w:firstColumn="1" w:lastColumn="0" w:oddVBand="0" w:evenVBand="0" w:oddHBand="0" w:evenHBand="0" w:firstRowFirstColumn="0" w:firstRowLastColumn="0" w:lastRowFirstColumn="0" w:lastRowLastColumn="0"/>
            <w:tcW w:w="1780" w:type="pct"/>
            <w:shd w:val="clear" w:color="auto" w:fill="B3C5E6" w:themeFill="accent2"/>
            <w:vAlign w:val="center"/>
          </w:tcPr>
          <w:p w14:paraId="48A7E77D" w14:textId="77777777" w:rsidR="00100296" w:rsidRPr="00C23EE1" w:rsidRDefault="00100296" w:rsidP="006C12BA">
            <w:pPr>
              <w:rPr>
                <w:color w:val="auto"/>
                <w:szCs w:val="20"/>
              </w:rPr>
            </w:pPr>
          </w:p>
        </w:tc>
        <w:tc>
          <w:tcPr>
            <w:tcW w:w="523" w:type="pct"/>
            <w:shd w:val="clear" w:color="auto" w:fill="B3C5E6" w:themeFill="accent2"/>
            <w:vAlign w:val="center"/>
          </w:tcPr>
          <w:p w14:paraId="6C68911B" w14:textId="77777777" w:rsidR="00100296" w:rsidRPr="00F47276" w:rsidRDefault="00100296" w:rsidP="00400F7E">
            <w:pPr>
              <w:jc w:val="center"/>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Unit</w:t>
            </w:r>
          </w:p>
        </w:tc>
        <w:tc>
          <w:tcPr>
            <w:tcW w:w="623" w:type="pct"/>
            <w:shd w:val="clear" w:color="auto" w:fill="B3C5E6" w:themeFill="accent2"/>
            <w:vAlign w:val="center"/>
          </w:tcPr>
          <w:p w14:paraId="0293ABD4"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2023-24</w:t>
            </w:r>
          </w:p>
        </w:tc>
        <w:tc>
          <w:tcPr>
            <w:tcW w:w="621" w:type="pct"/>
            <w:shd w:val="clear" w:color="auto" w:fill="B3C5E6" w:themeFill="accent2"/>
            <w:vAlign w:val="center"/>
          </w:tcPr>
          <w:p w14:paraId="76339098"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2024-25</w:t>
            </w:r>
          </w:p>
        </w:tc>
        <w:tc>
          <w:tcPr>
            <w:tcW w:w="484" w:type="pct"/>
            <w:shd w:val="clear" w:color="auto" w:fill="B3C5E6" w:themeFill="accent2"/>
            <w:vAlign w:val="center"/>
          </w:tcPr>
          <w:p w14:paraId="333F1A59"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2025-26</w:t>
            </w:r>
          </w:p>
        </w:tc>
        <w:tc>
          <w:tcPr>
            <w:tcW w:w="485" w:type="pct"/>
            <w:shd w:val="clear" w:color="auto" w:fill="B3C5E6" w:themeFill="accent2"/>
            <w:vAlign w:val="center"/>
          </w:tcPr>
          <w:p w14:paraId="16E28DF1"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2026-27</w:t>
            </w:r>
          </w:p>
        </w:tc>
        <w:tc>
          <w:tcPr>
            <w:tcW w:w="484" w:type="pct"/>
            <w:shd w:val="clear" w:color="auto" w:fill="B3C5E6" w:themeFill="accent2"/>
            <w:vAlign w:val="center"/>
          </w:tcPr>
          <w:p w14:paraId="0C6C2694"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2027-28</w:t>
            </w:r>
          </w:p>
        </w:tc>
      </w:tr>
      <w:tr w:rsidR="00100296" w:rsidRPr="00076B68" w14:paraId="7C7742FD"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7142FB7" w14:textId="77777777" w:rsidR="00100296" w:rsidRPr="00076B68" w:rsidRDefault="00100296" w:rsidP="006C12BA">
            <w:pPr>
              <w:rPr>
                <w:szCs w:val="20"/>
              </w:rPr>
            </w:pPr>
            <w:r w:rsidRPr="00076B68">
              <w:rPr>
                <w:szCs w:val="20"/>
              </w:rPr>
              <w:lastRenderedPageBreak/>
              <w:t>Non-residential water tariff</w:t>
            </w:r>
          </w:p>
        </w:tc>
      </w:tr>
      <w:tr w:rsidR="00100296" w:rsidRPr="00076B68" w14:paraId="0CB1F4D8"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651D701" w14:textId="77777777" w:rsidR="00100296" w:rsidRPr="00076B68" w:rsidRDefault="00100296" w:rsidP="006C12BA">
            <w:pPr>
              <w:rPr>
                <w:szCs w:val="20"/>
              </w:rPr>
            </w:pPr>
            <w:r w:rsidRPr="00076B68">
              <w:rPr>
                <w:szCs w:val="20"/>
              </w:rPr>
              <w:t>Fixed potable water prices</w:t>
            </w:r>
          </w:p>
        </w:tc>
      </w:tr>
      <w:tr w:rsidR="00290A1A" w:rsidRPr="00076B68" w14:paraId="3B9677D8"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220AADC8" w14:textId="77777777" w:rsidR="008746AA" w:rsidRPr="00400F7E" w:rsidRDefault="008746AA" w:rsidP="00400F7E">
            <w:pPr>
              <w:ind w:left="720"/>
              <w:rPr>
                <w:b w:val="0"/>
                <w:szCs w:val="20"/>
              </w:rPr>
            </w:pPr>
            <w:r w:rsidRPr="00400F7E">
              <w:rPr>
                <w:b w:val="0"/>
                <w:szCs w:val="20"/>
              </w:rPr>
              <w:t>Water network fee – 20 mm</w:t>
            </w:r>
          </w:p>
        </w:tc>
        <w:tc>
          <w:tcPr>
            <w:tcW w:w="523" w:type="pct"/>
            <w:vAlign w:val="center"/>
          </w:tcPr>
          <w:p w14:paraId="0EB984B0"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7E23FBCC" w14:textId="0A300CA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$206.37</w:t>
            </w:r>
          </w:p>
        </w:tc>
        <w:tc>
          <w:tcPr>
            <w:tcW w:w="621" w:type="pct"/>
            <w:vAlign w:val="center"/>
          </w:tcPr>
          <w:p w14:paraId="457FB33A" w14:textId="57217A7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$212.56</w:t>
            </w:r>
          </w:p>
        </w:tc>
        <w:tc>
          <w:tcPr>
            <w:tcW w:w="484" w:type="pct"/>
            <w:vAlign w:val="center"/>
          </w:tcPr>
          <w:p w14:paraId="4F0B841F" w14:textId="15C6C4D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07D8811E" w14:textId="2825EC1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17DE05F0" w14:textId="69EA2F5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199E32BA"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6806107" w14:textId="77777777" w:rsidR="008746AA" w:rsidRPr="00400F7E" w:rsidRDefault="008746AA" w:rsidP="00400F7E">
            <w:pPr>
              <w:ind w:left="720"/>
              <w:rPr>
                <w:b w:val="0"/>
                <w:szCs w:val="20"/>
              </w:rPr>
            </w:pPr>
            <w:r w:rsidRPr="00400F7E">
              <w:rPr>
                <w:b w:val="0"/>
                <w:szCs w:val="20"/>
              </w:rPr>
              <w:t>Water network fee – 25 mm</w:t>
            </w:r>
          </w:p>
        </w:tc>
        <w:tc>
          <w:tcPr>
            <w:tcW w:w="523" w:type="pct"/>
            <w:vAlign w:val="center"/>
          </w:tcPr>
          <w:p w14:paraId="56170EED"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DA47B94" w14:textId="5FB3F93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$340.18</w:t>
            </w:r>
          </w:p>
        </w:tc>
        <w:tc>
          <w:tcPr>
            <w:tcW w:w="621" w:type="pct"/>
            <w:vAlign w:val="center"/>
          </w:tcPr>
          <w:p w14:paraId="3A25C2AB" w14:textId="65BDC5B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$332.13</w:t>
            </w:r>
          </w:p>
        </w:tc>
        <w:tc>
          <w:tcPr>
            <w:tcW w:w="484" w:type="pct"/>
            <w:vAlign w:val="center"/>
          </w:tcPr>
          <w:p w14:paraId="55A9F528" w14:textId="132F229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42EF3F8" w14:textId="4932FDC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8525546" w14:textId="60DB176B"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A28F2C7"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650CCA4E" w14:textId="77777777" w:rsidR="008746AA" w:rsidRPr="00400F7E" w:rsidRDefault="008746AA" w:rsidP="00400F7E">
            <w:pPr>
              <w:ind w:left="720"/>
              <w:rPr>
                <w:b w:val="0"/>
                <w:szCs w:val="20"/>
              </w:rPr>
            </w:pPr>
            <w:r w:rsidRPr="00400F7E">
              <w:rPr>
                <w:b w:val="0"/>
                <w:szCs w:val="20"/>
              </w:rPr>
              <w:t>Water network fee – 32 mm</w:t>
            </w:r>
          </w:p>
        </w:tc>
        <w:tc>
          <w:tcPr>
            <w:tcW w:w="523" w:type="pct"/>
            <w:vAlign w:val="center"/>
          </w:tcPr>
          <w:p w14:paraId="36BA102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B0A0DF2" w14:textId="380C08E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$577.47</w:t>
            </w:r>
          </w:p>
        </w:tc>
        <w:tc>
          <w:tcPr>
            <w:tcW w:w="621" w:type="pct"/>
            <w:vAlign w:val="center"/>
          </w:tcPr>
          <w:p w14:paraId="6BC5C0B9" w14:textId="7CC3F7B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$544.16</w:t>
            </w:r>
          </w:p>
        </w:tc>
        <w:tc>
          <w:tcPr>
            <w:tcW w:w="484" w:type="pct"/>
            <w:vAlign w:val="center"/>
          </w:tcPr>
          <w:p w14:paraId="1C7F61CF" w14:textId="12F1A62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5DD80B8D" w14:textId="5B30A001"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44019C2" w14:textId="40626B4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25F57A54"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3FF6AB30" w14:textId="77777777" w:rsidR="008746AA" w:rsidRPr="00400F7E" w:rsidRDefault="008746AA" w:rsidP="00400F7E">
            <w:pPr>
              <w:ind w:left="720"/>
              <w:rPr>
                <w:b w:val="0"/>
                <w:szCs w:val="20"/>
              </w:rPr>
            </w:pPr>
            <w:r w:rsidRPr="00400F7E">
              <w:rPr>
                <w:b w:val="0"/>
                <w:szCs w:val="20"/>
              </w:rPr>
              <w:t>Water network fee – 40 mm</w:t>
            </w:r>
          </w:p>
        </w:tc>
        <w:tc>
          <w:tcPr>
            <w:tcW w:w="523" w:type="pct"/>
            <w:vAlign w:val="center"/>
          </w:tcPr>
          <w:p w14:paraId="751223A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3EFC2D8" w14:textId="0C1BB9B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$920.06</w:t>
            </w:r>
          </w:p>
        </w:tc>
        <w:tc>
          <w:tcPr>
            <w:tcW w:w="621" w:type="pct"/>
            <w:vAlign w:val="center"/>
          </w:tcPr>
          <w:p w14:paraId="3012C365" w14:textId="1920D8B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$850.25</w:t>
            </w:r>
          </w:p>
        </w:tc>
        <w:tc>
          <w:tcPr>
            <w:tcW w:w="484" w:type="pct"/>
            <w:vAlign w:val="center"/>
          </w:tcPr>
          <w:p w14:paraId="5ADEB4E2" w14:textId="02607C49"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2CCE2EF9" w14:textId="10D2EC2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CECDD5F" w14:textId="0E4AA18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FCC802A"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562A2E2" w14:textId="77777777" w:rsidR="008746AA" w:rsidRPr="00400F7E" w:rsidRDefault="008746AA" w:rsidP="00400F7E">
            <w:pPr>
              <w:ind w:left="720"/>
              <w:rPr>
                <w:b w:val="0"/>
                <w:szCs w:val="20"/>
              </w:rPr>
            </w:pPr>
            <w:r w:rsidRPr="00400F7E">
              <w:rPr>
                <w:b w:val="0"/>
                <w:szCs w:val="20"/>
              </w:rPr>
              <w:t>Water network fee – 50 mm</w:t>
            </w:r>
          </w:p>
        </w:tc>
        <w:tc>
          <w:tcPr>
            <w:tcW w:w="523" w:type="pct"/>
            <w:vAlign w:val="center"/>
          </w:tcPr>
          <w:p w14:paraId="440FA50C"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273B9B3F" w14:textId="41C25C7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$1,455.33</w:t>
            </w:r>
          </w:p>
        </w:tc>
        <w:tc>
          <w:tcPr>
            <w:tcW w:w="621" w:type="pct"/>
            <w:vAlign w:val="center"/>
          </w:tcPr>
          <w:p w14:paraId="34BF8A37" w14:textId="6CF6BA9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$1,328.51</w:t>
            </w:r>
          </w:p>
        </w:tc>
        <w:tc>
          <w:tcPr>
            <w:tcW w:w="484" w:type="pct"/>
            <w:vAlign w:val="center"/>
          </w:tcPr>
          <w:p w14:paraId="33264104" w14:textId="41B335C7"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5D98F28B" w14:textId="3D40AAE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F9DB242" w14:textId="40F550E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04DDE378"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35DC492" w14:textId="77777777" w:rsidR="008746AA" w:rsidRPr="00400F7E" w:rsidRDefault="008746AA" w:rsidP="00400F7E">
            <w:pPr>
              <w:ind w:left="720"/>
              <w:rPr>
                <w:b w:val="0"/>
                <w:szCs w:val="20"/>
              </w:rPr>
            </w:pPr>
            <w:r w:rsidRPr="00400F7E">
              <w:rPr>
                <w:b w:val="0"/>
                <w:szCs w:val="20"/>
              </w:rPr>
              <w:t>Water network fee – 80 mm</w:t>
            </w:r>
          </w:p>
        </w:tc>
        <w:tc>
          <w:tcPr>
            <w:tcW w:w="523" w:type="pct"/>
            <w:vAlign w:val="center"/>
          </w:tcPr>
          <w:p w14:paraId="0F4ACB8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36E3C74" w14:textId="4997640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$3,774.79</w:t>
            </w:r>
          </w:p>
        </w:tc>
        <w:tc>
          <w:tcPr>
            <w:tcW w:w="621" w:type="pct"/>
            <w:vAlign w:val="center"/>
          </w:tcPr>
          <w:p w14:paraId="7711FC23" w14:textId="568B3B1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$3,400.99</w:t>
            </w:r>
          </w:p>
        </w:tc>
        <w:tc>
          <w:tcPr>
            <w:tcW w:w="484" w:type="pct"/>
            <w:vAlign w:val="center"/>
          </w:tcPr>
          <w:p w14:paraId="0802CE4B" w14:textId="1BF4D83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6EB0C539" w14:textId="44368BD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0E8AFB78" w14:textId="2BA0C0A2"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1D96D70"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F6C20E6" w14:textId="77777777" w:rsidR="008746AA" w:rsidRPr="00400F7E" w:rsidRDefault="008746AA" w:rsidP="00400F7E">
            <w:pPr>
              <w:ind w:left="720"/>
              <w:rPr>
                <w:b w:val="0"/>
                <w:szCs w:val="20"/>
              </w:rPr>
            </w:pPr>
            <w:r w:rsidRPr="00400F7E">
              <w:rPr>
                <w:b w:val="0"/>
                <w:szCs w:val="20"/>
              </w:rPr>
              <w:t>Water network fee – 100 mm</w:t>
            </w:r>
          </w:p>
        </w:tc>
        <w:tc>
          <w:tcPr>
            <w:tcW w:w="523" w:type="pct"/>
            <w:vAlign w:val="center"/>
          </w:tcPr>
          <w:p w14:paraId="0236FB23"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24D308E" w14:textId="2727515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$5,915.81</w:t>
            </w:r>
          </w:p>
        </w:tc>
        <w:tc>
          <w:tcPr>
            <w:tcW w:w="621" w:type="pct"/>
            <w:vAlign w:val="center"/>
          </w:tcPr>
          <w:p w14:paraId="364C6BF7" w14:textId="62637F5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$5,314.05</w:t>
            </w:r>
          </w:p>
        </w:tc>
        <w:tc>
          <w:tcPr>
            <w:tcW w:w="484" w:type="pct"/>
            <w:vAlign w:val="center"/>
          </w:tcPr>
          <w:p w14:paraId="2CD6ABF0" w14:textId="1C72BB3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28EDB6C" w14:textId="14AAD60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D8491C7" w14:textId="56E995E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D9E4615"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6D483C20" w14:textId="77777777" w:rsidR="008746AA" w:rsidRPr="00400F7E" w:rsidRDefault="008746AA" w:rsidP="00400F7E">
            <w:pPr>
              <w:ind w:left="720"/>
              <w:rPr>
                <w:b w:val="0"/>
                <w:szCs w:val="20"/>
              </w:rPr>
            </w:pPr>
            <w:r w:rsidRPr="00400F7E">
              <w:rPr>
                <w:b w:val="0"/>
                <w:szCs w:val="20"/>
              </w:rPr>
              <w:t>Water network fee – 150 mm</w:t>
            </w:r>
          </w:p>
        </w:tc>
        <w:tc>
          <w:tcPr>
            <w:tcW w:w="523" w:type="pct"/>
            <w:vAlign w:val="center"/>
          </w:tcPr>
          <w:p w14:paraId="07377AAF"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766A4424" w14:textId="7E23DD7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$13,349.98</w:t>
            </w:r>
          </w:p>
        </w:tc>
        <w:tc>
          <w:tcPr>
            <w:tcW w:w="621" w:type="pct"/>
            <w:vAlign w:val="center"/>
          </w:tcPr>
          <w:p w14:paraId="65C51E99" w14:textId="0EB9BB1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$11,956.62</w:t>
            </w:r>
          </w:p>
        </w:tc>
        <w:tc>
          <w:tcPr>
            <w:tcW w:w="484" w:type="pct"/>
            <w:vAlign w:val="center"/>
          </w:tcPr>
          <w:p w14:paraId="5633C7CB" w14:textId="01863BF9"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1B84AC63" w14:textId="36E9CD3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4" w:type="pct"/>
            <w:vAlign w:val="center"/>
          </w:tcPr>
          <w:p w14:paraId="4BD60C2F" w14:textId="42D82B1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100296" w:rsidRPr="00076B68" w14:paraId="7692D12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BF379C1" w14:textId="77777777" w:rsidR="00100296" w:rsidRPr="00076B68" w:rsidRDefault="00100296" w:rsidP="006C12BA">
            <w:pPr>
              <w:rPr>
                <w:szCs w:val="20"/>
              </w:rPr>
            </w:pPr>
            <w:r w:rsidRPr="00076B68">
              <w:rPr>
                <w:szCs w:val="20"/>
              </w:rPr>
              <w:t>Volumetric potable water prices</w:t>
            </w:r>
          </w:p>
        </w:tc>
      </w:tr>
      <w:tr w:rsidR="00290A1A" w:rsidRPr="00076B68" w14:paraId="12D89C0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796DCE1B" w14:textId="77777777" w:rsidR="00100296" w:rsidRPr="00400F7E" w:rsidRDefault="00100296" w:rsidP="006C12BA">
            <w:pPr>
              <w:rPr>
                <w:b w:val="0"/>
                <w:szCs w:val="20"/>
              </w:rPr>
            </w:pPr>
            <w:r w:rsidRPr="00400F7E">
              <w:rPr>
                <w:b w:val="0"/>
                <w:szCs w:val="20"/>
              </w:rPr>
              <w:t>Water usage fee</w:t>
            </w:r>
          </w:p>
        </w:tc>
        <w:tc>
          <w:tcPr>
            <w:tcW w:w="523" w:type="pct"/>
            <w:vAlign w:val="center"/>
          </w:tcPr>
          <w:p w14:paraId="0488CA0A" w14:textId="77777777" w:rsidR="00100296" w:rsidRPr="00076B68" w:rsidRDefault="00100296"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kL</w:t>
            </w:r>
          </w:p>
        </w:tc>
        <w:tc>
          <w:tcPr>
            <w:tcW w:w="623" w:type="pct"/>
            <w:vAlign w:val="center"/>
          </w:tcPr>
          <w:p w14:paraId="0EBB8839" w14:textId="7419A31D" w:rsidR="00100296" w:rsidRPr="00076B68" w:rsidRDefault="00100296"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$3.0611</w:t>
            </w:r>
          </w:p>
        </w:tc>
        <w:tc>
          <w:tcPr>
            <w:tcW w:w="621" w:type="pct"/>
            <w:vAlign w:val="center"/>
          </w:tcPr>
          <w:p w14:paraId="4B65BB16" w14:textId="5DB694D9"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$3.0830</w:t>
            </w:r>
          </w:p>
        </w:tc>
        <w:tc>
          <w:tcPr>
            <w:tcW w:w="484" w:type="pct"/>
            <w:vAlign w:val="center"/>
          </w:tcPr>
          <w:p w14:paraId="18C726AB" w14:textId="5569A675"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c>
          <w:tcPr>
            <w:tcW w:w="485" w:type="pct"/>
            <w:vAlign w:val="center"/>
          </w:tcPr>
          <w:p w14:paraId="2B232246" w14:textId="6B3339EB"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c>
          <w:tcPr>
            <w:tcW w:w="484" w:type="pct"/>
            <w:vAlign w:val="center"/>
          </w:tcPr>
          <w:p w14:paraId="7DE69B16" w14:textId="06A13EE4"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r>
      <w:tr w:rsidR="00100296" w:rsidRPr="00076B68" w14:paraId="0DD49DA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AE63D91" w14:textId="77777777" w:rsidR="00100296" w:rsidRPr="00076B68" w:rsidRDefault="00100296" w:rsidP="006C12BA">
            <w:pPr>
              <w:rPr>
                <w:szCs w:val="20"/>
              </w:rPr>
            </w:pPr>
            <w:r w:rsidRPr="00076B68">
              <w:rPr>
                <w:szCs w:val="20"/>
              </w:rPr>
              <w:t>Non-residential sewerage tariff</w:t>
            </w:r>
          </w:p>
        </w:tc>
      </w:tr>
      <w:tr w:rsidR="00100296" w:rsidRPr="00076B68" w14:paraId="285E01F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30B19997" w14:textId="77777777" w:rsidR="00100296" w:rsidRPr="00076B68" w:rsidRDefault="00100296" w:rsidP="006C12BA">
            <w:pPr>
              <w:rPr>
                <w:szCs w:val="20"/>
              </w:rPr>
            </w:pPr>
            <w:r w:rsidRPr="00076B68">
              <w:rPr>
                <w:szCs w:val="20"/>
              </w:rPr>
              <w:t>Fixed sewerage prices</w:t>
            </w:r>
          </w:p>
        </w:tc>
      </w:tr>
      <w:tr w:rsidR="00290A1A" w:rsidRPr="00076B68" w14:paraId="46F04E1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397EE901" w14:textId="77777777" w:rsidR="008746AA" w:rsidRPr="00400F7E" w:rsidRDefault="008746AA" w:rsidP="006C12BA">
            <w:pPr>
              <w:rPr>
                <w:b w:val="0"/>
                <w:szCs w:val="20"/>
              </w:rPr>
            </w:pPr>
            <w:r w:rsidRPr="00400F7E">
              <w:rPr>
                <w:b w:val="0"/>
                <w:szCs w:val="20"/>
              </w:rPr>
              <w:t>Sewerage network fee</w:t>
            </w:r>
          </w:p>
        </w:tc>
        <w:tc>
          <w:tcPr>
            <w:tcW w:w="523" w:type="pct"/>
            <w:vAlign w:val="center"/>
          </w:tcPr>
          <w:p w14:paraId="54BD97A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086F44F9" w14:textId="704D111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$544.54</w:t>
            </w:r>
          </w:p>
        </w:tc>
        <w:tc>
          <w:tcPr>
            <w:tcW w:w="621" w:type="pct"/>
            <w:vAlign w:val="center"/>
          </w:tcPr>
          <w:p w14:paraId="2FB5C87E" w14:textId="2FF0423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$534.67</w:t>
            </w:r>
          </w:p>
        </w:tc>
        <w:tc>
          <w:tcPr>
            <w:tcW w:w="484" w:type="pct"/>
            <w:vAlign w:val="center"/>
          </w:tcPr>
          <w:p w14:paraId="6BD960EA" w14:textId="5421C09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-1.85%</w:t>
            </w:r>
          </w:p>
        </w:tc>
        <w:tc>
          <w:tcPr>
            <w:tcW w:w="485" w:type="pct"/>
            <w:vAlign w:val="center"/>
          </w:tcPr>
          <w:p w14:paraId="0D67D45E" w14:textId="30D5537E"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-1.88%</w:t>
            </w:r>
          </w:p>
        </w:tc>
        <w:tc>
          <w:tcPr>
            <w:tcW w:w="484" w:type="pct"/>
            <w:vAlign w:val="center"/>
          </w:tcPr>
          <w:p w14:paraId="634AC83A" w14:textId="3593ABD8"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-1.92%</w:t>
            </w:r>
          </w:p>
        </w:tc>
      </w:tr>
      <w:tr w:rsidR="00100296" w:rsidRPr="00076B68" w14:paraId="44B1B120"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BF15760" w14:textId="77777777" w:rsidR="00100296" w:rsidRPr="00076B68" w:rsidRDefault="00100296" w:rsidP="006C12BA">
            <w:pPr>
              <w:rPr>
                <w:szCs w:val="20"/>
              </w:rPr>
            </w:pPr>
            <w:r w:rsidRPr="00076B68">
              <w:rPr>
                <w:szCs w:val="20"/>
              </w:rPr>
              <w:t>Non-residential recycled water (Class A) tariff</w:t>
            </w:r>
          </w:p>
        </w:tc>
      </w:tr>
      <w:tr w:rsidR="00100296" w:rsidRPr="00076B68" w14:paraId="3E9B00DE"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FE4FBC1" w14:textId="77777777" w:rsidR="00100296" w:rsidRPr="00076B68" w:rsidRDefault="00100296" w:rsidP="006C12BA">
            <w:pPr>
              <w:rPr>
                <w:szCs w:val="20"/>
              </w:rPr>
            </w:pPr>
            <w:r w:rsidRPr="00076B68">
              <w:rPr>
                <w:szCs w:val="20"/>
              </w:rPr>
              <w:t>Fixed recycled water prices</w:t>
            </w:r>
          </w:p>
        </w:tc>
      </w:tr>
      <w:tr w:rsidR="00290A1A" w:rsidRPr="00076B68" w14:paraId="78D2C593"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B7D11E6" w14:textId="77777777" w:rsidR="008746AA" w:rsidRPr="00400F7E" w:rsidRDefault="008746AA" w:rsidP="00400F7E">
            <w:pPr>
              <w:ind w:left="720"/>
              <w:rPr>
                <w:b w:val="0"/>
                <w:szCs w:val="20"/>
              </w:rPr>
            </w:pPr>
            <w:r w:rsidRPr="00400F7E">
              <w:rPr>
                <w:b w:val="0"/>
                <w:szCs w:val="20"/>
              </w:rPr>
              <w:lastRenderedPageBreak/>
              <w:t>Recycled water network fee – 20 mm</w:t>
            </w:r>
          </w:p>
        </w:tc>
        <w:tc>
          <w:tcPr>
            <w:tcW w:w="523" w:type="pct"/>
            <w:vAlign w:val="center"/>
          </w:tcPr>
          <w:p w14:paraId="682488C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CA14863" w14:textId="0763A58B"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$131.44</w:t>
            </w:r>
          </w:p>
        </w:tc>
        <w:tc>
          <w:tcPr>
            <w:tcW w:w="621" w:type="pct"/>
            <w:vAlign w:val="center"/>
          </w:tcPr>
          <w:p w14:paraId="3262D9FA" w14:textId="2A6BF6CB"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$123.02</w:t>
            </w:r>
          </w:p>
        </w:tc>
        <w:tc>
          <w:tcPr>
            <w:tcW w:w="484" w:type="pct"/>
            <w:vAlign w:val="center"/>
          </w:tcPr>
          <w:p w14:paraId="155127C3" w14:textId="611ED4A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56F1271" w14:textId="4F21443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71237880" w14:textId="6866871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-7.92%</w:t>
            </w:r>
          </w:p>
        </w:tc>
      </w:tr>
      <w:tr w:rsidR="00290A1A" w:rsidRPr="00076B68" w14:paraId="3078E4D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8F29B01" w14:textId="77777777" w:rsidR="008746AA" w:rsidRPr="00400F7E" w:rsidRDefault="008746AA" w:rsidP="00400F7E">
            <w:pPr>
              <w:ind w:left="720"/>
              <w:rPr>
                <w:b w:val="0"/>
                <w:szCs w:val="20"/>
              </w:rPr>
            </w:pPr>
            <w:r w:rsidRPr="00400F7E">
              <w:rPr>
                <w:b w:val="0"/>
                <w:szCs w:val="20"/>
              </w:rPr>
              <w:t>Recycled water network fee – 25 mm</w:t>
            </w:r>
          </w:p>
        </w:tc>
        <w:tc>
          <w:tcPr>
            <w:tcW w:w="523" w:type="pct"/>
            <w:vAlign w:val="center"/>
          </w:tcPr>
          <w:p w14:paraId="1E313FEB"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626DE9F1" w14:textId="1E7562C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$205.50</w:t>
            </w:r>
          </w:p>
        </w:tc>
        <w:tc>
          <w:tcPr>
            <w:tcW w:w="621" w:type="pct"/>
            <w:vAlign w:val="center"/>
          </w:tcPr>
          <w:p w14:paraId="2DB4BF02" w14:textId="707A816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$192.34</w:t>
            </w:r>
          </w:p>
        </w:tc>
        <w:tc>
          <w:tcPr>
            <w:tcW w:w="484" w:type="pct"/>
            <w:vAlign w:val="center"/>
          </w:tcPr>
          <w:p w14:paraId="0A107E41" w14:textId="5C1EA357"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35C844E0" w14:textId="2026604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5F07273B" w14:textId="0FA8CCA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06A6C0E"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28EEEC5C" w14:textId="77777777" w:rsidR="008746AA" w:rsidRPr="00400F7E" w:rsidRDefault="008746AA" w:rsidP="00400F7E">
            <w:pPr>
              <w:ind w:left="720"/>
              <w:rPr>
                <w:b w:val="0"/>
                <w:szCs w:val="20"/>
              </w:rPr>
            </w:pPr>
            <w:r w:rsidRPr="00400F7E">
              <w:rPr>
                <w:b w:val="0"/>
                <w:szCs w:val="20"/>
              </w:rPr>
              <w:t>Recycled water network fee – 32 mm</w:t>
            </w:r>
          </w:p>
        </w:tc>
        <w:tc>
          <w:tcPr>
            <w:tcW w:w="523" w:type="pct"/>
            <w:vAlign w:val="center"/>
          </w:tcPr>
          <w:p w14:paraId="70EE555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024DF016" w14:textId="6CE9661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$336.68</w:t>
            </w:r>
          </w:p>
        </w:tc>
        <w:tc>
          <w:tcPr>
            <w:tcW w:w="621" w:type="pct"/>
            <w:vAlign w:val="center"/>
          </w:tcPr>
          <w:p w14:paraId="03003611" w14:textId="4CF6C180"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$315.12</w:t>
            </w:r>
          </w:p>
        </w:tc>
        <w:tc>
          <w:tcPr>
            <w:tcW w:w="484" w:type="pct"/>
            <w:vAlign w:val="center"/>
          </w:tcPr>
          <w:p w14:paraId="3A26D4E3" w14:textId="7D1DB3A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7EC1E777" w14:textId="576F5A7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6FD9C513" w14:textId="0D474E8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77604B1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DC01C31" w14:textId="77777777" w:rsidR="008746AA" w:rsidRPr="00400F7E" w:rsidRDefault="008746AA" w:rsidP="00400F7E">
            <w:pPr>
              <w:ind w:left="720"/>
              <w:rPr>
                <w:b w:val="0"/>
                <w:szCs w:val="20"/>
              </w:rPr>
            </w:pPr>
            <w:r w:rsidRPr="00400F7E">
              <w:rPr>
                <w:b w:val="0"/>
                <w:szCs w:val="20"/>
              </w:rPr>
              <w:t>Recycled water network fee – 40 mm</w:t>
            </w:r>
          </w:p>
        </w:tc>
        <w:tc>
          <w:tcPr>
            <w:tcW w:w="523" w:type="pct"/>
            <w:vAlign w:val="center"/>
          </w:tcPr>
          <w:p w14:paraId="2E066C1A"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76DF54A" w14:textId="3CE601F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$526.07</w:t>
            </w:r>
          </w:p>
        </w:tc>
        <w:tc>
          <w:tcPr>
            <w:tcW w:w="621" w:type="pct"/>
            <w:vAlign w:val="center"/>
          </w:tcPr>
          <w:p w14:paraId="6067FB89" w14:textId="3113E0D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$492.39</w:t>
            </w:r>
          </w:p>
        </w:tc>
        <w:tc>
          <w:tcPr>
            <w:tcW w:w="484" w:type="pct"/>
            <w:vAlign w:val="center"/>
          </w:tcPr>
          <w:p w14:paraId="1029A6F1" w14:textId="2AB37D25"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28F61BCE" w14:textId="2A8E9C3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049586C8" w14:textId="32C29B7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BA6769A"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42CD605" w14:textId="77777777" w:rsidR="008746AA" w:rsidRPr="00400F7E" w:rsidRDefault="008746AA" w:rsidP="00400F7E">
            <w:pPr>
              <w:ind w:left="720"/>
              <w:rPr>
                <w:b w:val="0"/>
                <w:szCs w:val="20"/>
              </w:rPr>
            </w:pPr>
            <w:r w:rsidRPr="00400F7E">
              <w:rPr>
                <w:b w:val="0"/>
                <w:szCs w:val="20"/>
              </w:rPr>
              <w:t>Recycled water network fee – 50 mm</w:t>
            </w:r>
          </w:p>
        </w:tc>
        <w:tc>
          <w:tcPr>
            <w:tcW w:w="523" w:type="pct"/>
            <w:vAlign w:val="center"/>
          </w:tcPr>
          <w:p w14:paraId="071B47A0"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3C977561" w14:textId="040A41B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$822.05</w:t>
            </w:r>
          </w:p>
        </w:tc>
        <w:tc>
          <w:tcPr>
            <w:tcW w:w="621" w:type="pct"/>
            <w:vAlign w:val="center"/>
          </w:tcPr>
          <w:p w14:paraId="197EE32E" w14:textId="5DCD605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$769.41</w:t>
            </w:r>
          </w:p>
        </w:tc>
        <w:tc>
          <w:tcPr>
            <w:tcW w:w="484" w:type="pct"/>
            <w:vAlign w:val="center"/>
          </w:tcPr>
          <w:p w14:paraId="33DE267E" w14:textId="210C51C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C776DE3" w14:textId="45C30898"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3CBF8D8F" w14:textId="5E0BE40E"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94C1EF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C20A8A4" w14:textId="77777777" w:rsidR="008746AA" w:rsidRPr="00400F7E" w:rsidRDefault="008746AA" w:rsidP="00400F7E">
            <w:pPr>
              <w:ind w:left="720"/>
              <w:rPr>
                <w:b w:val="0"/>
                <w:szCs w:val="20"/>
              </w:rPr>
            </w:pPr>
            <w:r w:rsidRPr="00400F7E">
              <w:rPr>
                <w:b w:val="0"/>
                <w:szCs w:val="20"/>
              </w:rPr>
              <w:t>Recycled water network fee – 80 mm</w:t>
            </w:r>
          </w:p>
        </w:tc>
        <w:tc>
          <w:tcPr>
            <w:tcW w:w="523" w:type="pct"/>
            <w:vAlign w:val="center"/>
          </w:tcPr>
          <w:p w14:paraId="6BF28C58"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2FEF3F8" w14:textId="5C1F3AC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$2,104.63</w:t>
            </w:r>
          </w:p>
        </w:tc>
        <w:tc>
          <w:tcPr>
            <w:tcW w:w="621" w:type="pct"/>
            <w:vAlign w:val="center"/>
          </w:tcPr>
          <w:p w14:paraId="19E24F6E" w14:textId="54F1DB2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$1,969.85</w:t>
            </w:r>
          </w:p>
        </w:tc>
        <w:tc>
          <w:tcPr>
            <w:tcW w:w="484" w:type="pct"/>
            <w:vAlign w:val="center"/>
          </w:tcPr>
          <w:p w14:paraId="1A0DFCBD" w14:textId="4AC5F16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25A5A6F8" w14:textId="593A47C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5F03366F" w14:textId="1DED9AD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52CE1BE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84C86A8" w14:textId="77777777" w:rsidR="008746AA" w:rsidRPr="00400F7E" w:rsidRDefault="008746AA" w:rsidP="00400F7E">
            <w:pPr>
              <w:ind w:left="720"/>
              <w:rPr>
                <w:b w:val="0"/>
                <w:szCs w:val="20"/>
              </w:rPr>
            </w:pPr>
            <w:r w:rsidRPr="00400F7E">
              <w:rPr>
                <w:b w:val="0"/>
                <w:szCs w:val="20"/>
              </w:rPr>
              <w:t>Recycled water network fee – 100 mm</w:t>
            </w:r>
          </w:p>
        </w:tc>
        <w:tc>
          <w:tcPr>
            <w:tcW w:w="523" w:type="pct"/>
            <w:vAlign w:val="center"/>
          </w:tcPr>
          <w:p w14:paraId="4AD692DA"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24CC9B66" w14:textId="6A08ADE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$3,288.54</w:t>
            </w:r>
          </w:p>
        </w:tc>
        <w:tc>
          <w:tcPr>
            <w:tcW w:w="621" w:type="pct"/>
            <w:vAlign w:val="center"/>
          </w:tcPr>
          <w:p w14:paraId="5872689A" w14:textId="1291D1B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$3,077.94</w:t>
            </w:r>
          </w:p>
        </w:tc>
        <w:tc>
          <w:tcPr>
            <w:tcW w:w="484" w:type="pct"/>
            <w:vAlign w:val="center"/>
          </w:tcPr>
          <w:p w14:paraId="3823BFE7" w14:textId="1B7E5590"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4E85C03B" w14:textId="12359A4C"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7C2C83ED" w14:textId="3B96798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476EC328"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81129AF" w14:textId="77777777" w:rsidR="008746AA" w:rsidRPr="00400F7E" w:rsidRDefault="008746AA" w:rsidP="00400F7E">
            <w:pPr>
              <w:ind w:left="720"/>
              <w:rPr>
                <w:b w:val="0"/>
                <w:szCs w:val="20"/>
              </w:rPr>
            </w:pPr>
            <w:r w:rsidRPr="00400F7E">
              <w:rPr>
                <w:b w:val="0"/>
                <w:szCs w:val="20"/>
              </w:rPr>
              <w:t>Recycled water network fee – 150 mm</w:t>
            </w:r>
          </w:p>
        </w:tc>
        <w:tc>
          <w:tcPr>
            <w:tcW w:w="523" w:type="pct"/>
            <w:vAlign w:val="center"/>
          </w:tcPr>
          <w:p w14:paraId="55790453"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EA7D79F" w14:textId="6821D22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$7,399.32</w:t>
            </w:r>
          </w:p>
        </w:tc>
        <w:tc>
          <w:tcPr>
            <w:tcW w:w="621" w:type="pct"/>
            <w:vAlign w:val="center"/>
          </w:tcPr>
          <w:p w14:paraId="28079EB8" w14:textId="797119B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$6,925.45</w:t>
            </w:r>
          </w:p>
        </w:tc>
        <w:tc>
          <w:tcPr>
            <w:tcW w:w="484" w:type="pct"/>
            <w:vAlign w:val="center"/>
          </w:tcPr>
          <w:p w14:paraId="4760B5E9" w14:textId="42F1A2F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42F86E8" w14:textId="04D05EE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0E575544" w14:textId="5819F15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bl>
    <w:p w14:paraId="7F41AADF" w14:textId="77777777" w:rsidR="00100296" w:rsidRPr="00C46D0B" w:rsidRDefault="00100296" w:rsidP="00100296">
      <w:pPr>
        <w:rPr>
          <w:sz w:val="20"/>
          <w:szCs w:val="20"/>
        </w:rPr>
      </w:pPr>
    </w:p>
    <w:p w14:paraId="154528F2" w14:textId="77777777" w:rsidR="00100296" w:rsidRDefault="00100296" w:rsidP="005B69CD">
      <w:pPr>
        <w:pStyle w:val="Heading3"/>
      </w:pPr>
      <w:r>
        <w:t>Trade waste services</w:t>
      </w:r>
    </w:p>
    <w:p w14:paraId="1940902D" w14:textId="77777777" w:rsidR="00100296" w:rsidRPr="00781620" w:rsidRDefault="00100296" w:rsidP="00100296">
      <w:r>
        <w:t xml:space="preserve">We propose no change to our trade waste tariff structures across our service region. </w:t>
      </w:r>
    </w:p>
    <w:p w14:paraId="5CE7D408" w14:textId="77777777" w:rsidR="00100296" w:rsidRDefault="00100296" w:rsidP="00100296">
      <w:r>
        <w:t xml:space="preserve">Customers in the central region are charged a once-off application fee, followed by an agreement fee depending on the business’s risk to our sewerage network. We also levy a fee on the number of beds served by a macerator disposal unit (often in hospitals and aged care facilities). </w:t>
      </w:r>
    </w:p>
    <w:p w14:paraId="44BE0DE6" w14:textId="77777777" w:rsidR="00100296" w:rsidRDefault="00100296" w:rsidP="00100296">
      <w:r>
        <w:t xml:space="preserve">Customers in the western region are similarly charged a once-off application fee, followed by a management fee depending on the business’s risk to our sewerage network. </w:t>
      </w:r>
    </w:p>
    <w:p w14:paraId="4A2805F9" w14:textId="2AD33D4F" w:rsidR="00100296" w:rsidRPr="00781620" w:rsidRDefault="003F5EDB" w:rsidP="00100296">
      <w:r>
        <w:t>W</w:t>
      </w:r>
      <w:r w:rsidR="00100296">
        <w:t>e propose to re</w:t>
      </w:r>
      <w:r w:rsidR="00B961D1">
        <w:t>name</w:t>
      </w:r>
      <w:r w:rsidR="00100296">
        <w:t xml:space="preserve"> the management fee to an agreement fee in the western region.</w:t>
      </w:r>
    </w:p>
    <w:p w14:paraId="7C79FDFD" w14:textId="77777777" w:rsidR="00100296" w:rsidRPr="00F572F9" w:rsidRDefault="00100296" w:rsidP="00100296">
      <w:pPr>
        <w:pStyle w:val="Heading4"/>
      </w:pPr>
      <w:r w:rsidRPr="00F572F9">
        <w:t xml:space="preserve">Revised naming of risk ranks to align over service </w:t>
      </w:r>
      <w:proofErr w:type="gramStart"/>
      <w:r w:rsidRPr="00F572F9">
        <w:t>region</w:t>
      </w:r>
      <w:proofErr w:type="gramEnd"/>
    </w:p>
    <w:p w14:paraId="6F11DF9F" w14:textId="77777777" w:rsidR="00100296" w:rsidRDefault="00100296" w:rsidP="00100296">
      <w:r>
        <w:t xml:space="preserve">We propose to inverse the labelling of our risk ranks in the western service region to align the risk rank ordering between our service regions – with risk rank 1 as the highest risk to our network and risk rank 4 or 5 as the lowest risk to our network. </w:t>
      </w:r>
    </w:p>
    <w:p w14:paraId="1BBCDBC3" w14:textId="69C576F7" w:rsidR="00100296" w:rsidRPr="007558F8" w:rsidRDefault="00100296" w:rsidP="00100296">
      <w:r>
        <w:t xml:space="preserve">We plan to review our trade waste tariffs over the upcoming regulatory period </w:t>
      </w:r>
      <w:r w:rsidR="00517419">
        <w:t xml:space="preserve">and engage </w:t>
      </w:r>
      <w:r>
        <w:t>with our customers for the following price submission.</w:t>
      </w:r>
    </w:p>
    <w:p w14:paraId="37478B34" w14:textId="77777777" w:rsidR="00100296" w:rsidRPr="003D3D1D" w:rsidRDefault="00100296" w:rsidP="00100296">
      <w:pPr>
        <w:pStyle w:val="Heading4"/>
      </w:pPr>
      <w:r>
        <w:lastRenderedPageBreak/>
        <w:t>Trade waste tariffs</w:t>
      </w:r>
    </w:p>
    <w:p w14:paraId="4EB408AE" w14:textId="5F3E1A01" w:rsidR="00100296" w:rsidRDefault="005235F7" w:rsidP="00100296">
      <w:r>
        <w:fldChar w:fldCharType="begin"/>
      </w:r>
      <w:r>
        <w:instrText xml:space="preserve"> REF _Ref144723841 \h </w:instrText>
      </w:r>
      <w:r>
        <w:fldChar w:fldCharType="separate"/>
      </w:r>
      <w:r w:rsidR="003B42C6" w:rsidRPr="00793B39">
        <w:rPr>
          <w:b/>
        </w:rPr>
        <w:t xml:space="preserve">Table </w:t>
      </w:r>
      <w:r w:rsidR="003B42C6">
        <w:rPr>
          <w:b/>
          <w:noProof/>
        </w:rPr>
        <w:t>38</w:t>
      </w:r>
      <w:r>
        <w:fldChar w:fldCharType="end"/>
      </w:r>
      <w:r>
        <w:t xml:space="preserve"> and </w:t>
      </w:r>
      <w:r w:rsidR="0062163A">
        <w:fldChar w:fldCharType="begin"/>
      </w:r>
      <w:r w:rsidR="0062163A">
        <w:instrText xml:space="preserve"> REF _Ref145334949 \h </w:instrText>
      </w:r>
      <w:r w:rsidR="0062163A">
        <w:fldChar w:fldCharType="separate"/>
      </w:r>
      <w:r w:rsidR="003B42C6" w:rsidRPr="00793B39">
        <w:rPr>
          <w:b/>
        </w:rPr>
        <w:t xml:space="preserve">Table </w:t>
      </w:r>
      <w:r w:rsidR="003B42C6">
        <w:rPr>
          <w:b/>
          <w:noProof/>
        </w:rPr>
        <w:t>39</w:t>
      </w:r>
      <w:r w:rsidR="0062163A">
        <w:fldChar w:fldCharType="end"/>
      </w:r>
      <w:r>
        <w:t xml:space="preserve"> </w:t>
      </w:r>
      <w:r w:rsidR="00100296">
        <w:t>show our proposed business (non-residential) trade waste tariffs and prices for the next regulatory period.</w:t>
      </w:r>
    </w:p>
    <w:p w14:paraId="6BBDDD4A" w14:textId="6266BB77" w:rsidR="00100296" w:rsidRPr="0080116A" w:rsidRDefault="00100296" w:rsidP="00100296">
      <w:pPr>
        <w:pStyle w:val="Caption"/>
      </w:pPr>
      <w:bookmarkStart w:id="173" w:name="_Ref144723841"/>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38</w:t>
      </w:r>
      <w:r w:rsidRPr="00793B39">
        <w:rPr>
          <w:b/>
        </w:rPr>
        <w:fldChar w:fldCharType="end"/>
      </w:r>
      <w:bookmarkEnd w:id="173"/>
      <w:r>
        <w:t xml:space="preserve"> Proposed non-residential (business) water and sewerage tariffs and prices </w:t>
      </w:r>
      <w:r w:rsidR="005712E4">
        <w:t>–</w:t>
      </w:r>
      <w:r>
        <w:t xml:space="preserve"> central</w:t>
      </w:r>
      <w:r w:rsidR="005712E4">
        <w:t xml:space="preserve"> ($, 2023-24)</w:t>
      </w:r>
    </w:p>
    <w:tbl>
      <w:tblPr>
        <w:tblStyle w:val="GWWDefaulttable"/>
        <w:tblW w:w="9654" w:type="dxa"/>
        <w:tblLayout w:type="fixed"/>
        <w:tblCellMar>
          <w:top w:w="57" w:type="dxa"/>
          <w:bottom w:w="57" w:type="dxa"/>
        </w:tblCellMar>
        <w:tblLook w:val="04A0" w:firstRow="1" w:lastRow="0" w:firstColumn="1" w:lastColumn="0" w:noHBand="0" w:noVBand="1"/>
      </w:tblPr>
      <w:tblGrid>
        <w:gridCol w:w="2977"/>
        <w:gridCol w:w="1368"/>
        <w:gridCol w:w="1325"/>
        <w:gridCol w:w="1276"/>
        <w:gridCol w:w="902"/>
        <w:gridCol w:w="903"/>
        <w:gridCol w:w="903"/>
      </w:tblGrid>
      <w:tr w:rsidR="00100296" w:rsidRPr="006C12BA" w14:paraId="606F47B5" w14:textId="77777777" w:rsidTr="002C04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C1FED0E" w14:textId="2FE6E639" w:rsidR="00100296" w:rsidRPr="006C12BA" w:rsidRDefault="00100296" w:rsidP="006C12BA">
            <w:r w:rsidRPr="006C12BA">
              <w:t>Central region</w:t>
            </w:r>
          </w:p>
        </w:tc>
        <w:tc>
          <w:tcPr>
            <w:tcW w:w="1368" w:type="dxa"/>
            <w:vAlign w:val="center"/>
          </w:tcPr>
          <w:p w14:paraId="5FD6033B" w14:textId="77777777" w:rsidR="00100296" w:rsidRPr="006C12BA" w:rsidRDefault="00100296" w:rsidP="006C12BA">
            <w:pPr>
              <w:cnfStyle w:val="100000000000" w:firstRow="1" w:lastRow="0" w:firstColumn="0" w:lastColumn="0" w:oddVBand="0" w:evenVBand="0" w:oddHBand="0" w:evenHBand="0" w:firstRowFirstColumn="0" w:firstRowLastColumn="0" w:lastRowFirstColumn="0" w:lastRowLastColumn="0"/>
            </w:pPr>
          </w:p>
        </w:tc>
        <w:tc>
          <w:tcPr>
            <w:tcW w:w="1325" w:type="dxa"/>
            <w:vAlign w:val="center"/>
          </w:tcPr>
          <w:p w14:paraId="3046E3C6" w14:textId="77777777" w:rsidR="00100296" w:rsidRPr="006C12BA" w:rsidRDefault="00100296" w:rsidP="008F1A53">
            <w:pPr>
              <w:jc w:val="right"/>
              <w:cnfStyle w:val="100000000000" w:firstRow="1" w:lastRow="0" w:firstColumn="0" w:lastColumn="0" w:oddVBand="0" w:evenVBand="0" w:oddHBand="0" w:evenHBand="0" w:firstRowFirstColumn="0" w:firstRowLastColumn="0" w:lastRowFirstColumn="0" w:lastRowLastColumn="0"/>
            </w:pPr>
          </w:p>
        </w:tc>
        <w:tc>
          <w:tcPr>
            <w:tcW w:w="3984" w:type="dxa"/>
            <w:gridSpan w:val="4"/>
            <w:vAlign w:val="center"/>
          </w:tcPr>
          <w:p w14:paraId="2A9CE7A4" w14:textId="7E535784" w:rsidR="00100296" w:rsidRPr="006C12BA" w:rsidRDefault="00100296" w:rsidP="00A046BC">
            <w:pPr>
              <w:cnfStyle w:val="100000000000" w:firstRow="1" w:lastRow="0" w:firstColumn="0" w:lastColumn="0" w:oddVBand="0" w:evenVBand="0" w:oddHBand="0" w:evenHBand="0" w:firstRowFirstColumn="0" w:firstRowLastColumn="0" w:lastRowFirstColumn="0" w:lastRowLastColumn="0"/>
            </w:pPr>
            <w:r w:rsidRPr="006C12BA">
              <w:t xml:space="preserve">Proposed </w:t>
            </w:r>
            <w:r w:rsidR="006800AB" w:rsidRPr="006C12BA">
              <w:t>price movement</w:t>
            </w:r>
          </w:p>
        </w:tc>
      </w:tr>
      <w:tr w:rsidR="00413924" w:rsidRPr="00A046BC" w14:paraId="7FF27ACC"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B3C5E6" w:themeFill="accent2"/>
            <w:vAlign w:val="center"/>
          </w:tcPr>
          <w:p w14:paraId="281ECF62" w14:textId="77777777" w:rsidR="00100296" w:rsidRPr="00C251F8" w:rsidRDefault="00100296" w:rsidP="006C12BA">
            <w:pPr>
              <w:rPr>
                <w:color w:val="auto"/>
              </w:rPr>
            </w:pPr>
          </w:p>
        </w:tc>
        <w:tc>
          <w:tcPr>
            <w:tcW w:w="1368" w:type="dxa"/>
            <w:shd w:val="clear" w:color="auto" w:fill="B3C5E6" w:themeFill="accent2"/>
            <w:vAlign w:val="center"/>
          </w:tcPr>
          <w:p w14:paraId="4106BA45" w14:textId="2B5BDE44" w:rsidR="00100296" w:rsidRPr="00A046BC" w:rsidRDefault="00100296" w:rsidP="000C76B4">
            <w:pPr>
              <w:jc w:val="center"/>
              <w:cnfStyle w:val="000000000000" w:firstRow="0" w:lastRow="0" w:firstColumn="0" w:lastColumn="0" w:oddVBand="0" w:evenVBand="0" w:oddHBand="0" w:evenHBand="0" w:firstRowFirstColumn="0" w:firstRowLastColumn="0" w:lastRowFirstColumn="0" w:lastRowLastColumn="0"/>
              <w:rPr>
                <w:b/>
              </w:rPr>
            </w:pPr>
            <w:r w:rsidRPr="00A046BC">
              <w:rPr>
                <w:b/>
              </w:rPr>
              <w:t>Unit</w:t>
            </w:r>
          </w:p>
        </w:tc>
        <w:tc>
          <w:tcPr>
            <w:tcW w:w="1325" w:type="dxa"/>
            <w:shd w:val="clear" w:color="auto" w:fill="B3C5E6" w:themeFill="accent2"/>
            <w:vAlign w:val="center"/>
          </w:tcPr>
          <w:p w14:paraId="3A24B079"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2023-24</w:t>
            </w:r>
          </w:p>
        </w:tc>
        <w:tc>
          <w:tcPr>
            <w:tcW w:w="1276" w:type="dxa"/>
            <w:shd w:val="clear" w:color="auto" w:fill="B3C5E6" w:themeFill="accent2"/>
            <w:vAlign w:val="center"/>
          </w:tcPr>
          <w:p w14:paraId="2C92EFC5"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2024-25</w:t>
            </w:r>
          </w:p>
        </w:tc>
        <w:tc>
          <w:tcPr>
            <w:tcW w:w="902" w:type="dxa"/>
            <w:shd w:val="clear" w:color="auto" w:fill="B3C5E6" w:themeFill="accent2"/>
            <w:vAlign w:val="center"/>
          </w:tcPr>
          <w:p w14:paraId="1C051BEE"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2025-26</w:t>
            </w:r>
          </w:p>
        </w:tc>
        <w:tc>
          <w:tcPr>
            <w:tcW w:w="903" w:type="dxa"/>
            <w:shd w:val="clear" w:color="auto" w:fill="B3C5E6" w:themeFill="accent2"/>
            <w:vAlign w:val="center"/>
          </w:tcPr>
          <w:p w14:paraId="0B0D3841"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2026-27</w:t>
            </w:r>
          </w:p>
        </w:tc>
        <w:tc>
          <w:tcPr>
            <w:tcW w:w="903" w:type="dxa"/>
            <w:shd w:val="clear" w:color="auto" w:fill="B3C5E6" w:themeFill="accent2"/>
            <w:vAlign w:val="center"/>
          </w:tcPr>
          <w:p w14:paraId="1533D156"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2027-28</w:t>
            </w:r>
          </w:p>
        </w:tc>
      </w:tr>
      <w:tr w:rsidR="00100296" w:rsidRPr="006C12BA" w14:paraId="7209976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E1D6D1" w:themeFill="background2" w:themeFillShade="E6"/>
            <w:vAlign w:val="center"/>
          </w:tcPr>
          <w:p w14:paraId="145DEAE9" w14:textId="77777777" w:rsidR="00100296" w:rsidRPr="006C12BA" w:rsidRDefault="00100296" w:rsidP="006C12BA">
            <w:r w:rsidRPr="006C12BA">
              <w:t>Non-residential trade waste tariffs</w:t>
            </w:r>
          </w:p>
        </w:tc>
      </w:tr>
      <w:tr w:rsidR="00100296" w:rsidRPr="006C12BA" w14:paraId="14D32D0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750325EF" w14:textId="77777777" w:rsidR="00100296" w:rsidRPr="006C12BA" w:rsidRDefault="00100296" w:rsidP="006C12BA">
            <w:r w:rsidRPr="006C12BA">
              <w:t>Trade waste application prices</w:t>
            </w:r>
          </w:p>
        </w:tc>
      </w:tr>
      <w:tr w:rsidR="00100296" w:rsidRPr="006C12BA" w14:paraId="40215FB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473FC81" w14:textId="35016683" w:rsidR="00100296" w:rsidRPr="00793876" w:rsidRDefault="00100296" w:rsidP="00793876">
            <w:pPr>
              <w:ind w:left="720"/>
              <w:rPr>
                <w:b w:val="0"/>
              </w:rPr>
            </w:pPr>
            <w:r w:rsidRPr="00793876">
              <w:rPr>
                <w:b w:val="0"/>
              </w:rPr>
              <w:t>Risk Rank 1</w:t>
            </w:r>
          </w:p>
        </w:tc>
        <w:tc>
          <w:tcPr>
            <w:tcW w:w="1368" w:type="dxa"/>
            <w:vAlign w:val="center"/>
          </w:tcPr>
          <w:p w14:paraId="70AA9DDA"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5C76AED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501EC85F" w14:textId="368A8B96"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47F9C2E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53B7AC7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860AEDE"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2B2E04B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B623DAF" w14:textId="77777777" w:rsidR="00100296" w:rsidRPr="00793876" w:rsidRDefault="00100296" w:rsidP="00793876">
            <w:pPr>
              <w:ind w:left="720"/>
              <w:rPr>
                <w:b w:val="0"/>
              </w:rPr>
            </w:pPr>
            <w:r w:rsidRPr="00793876">
              <w:rPr>
                <w:b w:val="0"/>
              </w:rPr>
              <w:t xml:space="preserve">Risk Rank 2 </w:t>
            </w:r>
          </w:p>
        </w:tc>
        <w:tc>
          <w:tcPr>
            <w:tcW w:w="1368" w:type="dxa"/>
            <w:vAlign w:val="center"/>
          </w:tcPr>
          <w:p w14:paraId="62E5379E"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0E938876"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4CE6C519" w14:textId="75F24C46"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4C242C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2D36FA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46E012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750B2AB"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F779D06" w14:textId="77777777" w:rsidR="00100296" w:rsidRPr="00793876" w:rsidRDefault="00100296" w:rsidP="00793876">
            <w:pPr>
              <w:ind w:left="720"/>
              <w:rPr>
                <w:b w:val="0"/>
              </w:rPr>
            </w:pPr>
            <w:r w:rsidRPr="00793876">
              <w:rPr>
                <w:b w:val="0"/>
              </w:rPr>
              <w:t xml:space="preserve">Risk Rank 3 </w:t>
            </w:r>
          </w:p>
        </w:tc>
        <w:tc>
          <w:tcPr>
            <w:tcW w:w="1368" w:type="dxa"/>
            <w:vAlign w:val="center"/>
          </w:tcPr>
          <w:p w14:paraId="4ACFC007"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1F06A602"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5D1B6FEB" w14:textId="61D0E575"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00A1785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D937A8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DCF5DDD"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0DDFA91"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DE2F342" w14:textId="77777777" w:rsidR="00100296" w:rsidRPr="00793876" w:rsidRDefault="00100296" w:rsidP="00793876">
            <w:pPr>
              <w:ind w:left="720"/>
              <w:rPr>
                <w:b w:val="0"/>
              </w:rPr>
            </w:pPr>
            <w:r w:rsidRPr="00793876">
              <w:rPr>
                <w:b w:val="0"/>
              </w:rPr>
              <w:t xml:space="preserve">Risk Rank 4 </w:t>
            </w:r>
          </w:p>
        </w:tc>
        <w:tc>
          <w:tcPr>
            <w:tcW w:w="1368" w:type="dxa"/>
            <w:vAlign w:val="center"/>
          </w:tcPr>
          <w:p w14:paraId="469AFA1A"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42798A17"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$700.04</w:t>
            </w:r>
          </w:p>
        </w:tc>
        <w:tc>
          <w:tcPr>
            <w:tcW w:w="1276" w:type="dxa"/>
            <w:vAlign w:val="center"/>
          </w:tcPr>
          <w:p w14:paraId="4BB37B9B" w14:textId="25FF9212"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$700.04</w:t>
            </w:r>
          </w:p>
        </w:tc>
        <w:tc>
          <w:tcPr>
            <w:tcW w:w="902" w:type="dxa"/>
            <w:vAlign w:val="center"/>
          </w:tcPr>
          <w:p w14:paraId="3F99CEB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A9B069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5786DE"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4F3AB362"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EE279B2" w14:textId="77777777" w:rsidR="00100296" w:rsidRPr="00793876" w:rsidRDefault="00100296" w:rsidP="00793876">
            <w:pPr>
              <w:ind w:left="720"/>
              <w:rPr>
                <w:b w:val="0"/>
              </w:rPr>
            </w:pPr>
            <w:r w:rsidRPr="00793876">
              <w:rPr>
                <w:b w:val="0"/>
              </w:rPr>
              <w:t xml:space="preserve">Risk Rank 5 (General) </w:t>
            </w:r>
          </w:p>
        </w:tc>
        <w:tc>
          <w:tcPr>
            <w:tcW w:w="1368" w:type="dxa"/>
            <w:vAlign w:val="center"/>
          </w:tcPr>
          <w:p w14:paraId="01638686"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622C62A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$364.55</w:t>
            </w:r>
          </w:p>
        </w:tc>
        <w:tc>
          <w:tcPr>
            <w:tcW w:w="1276" w:type="dxa"/>
            <w:vAlign w:val="center"/>
          </w:tcPr>
          <w:p w14:paraId="5BD24FD4" w14:textId="58938AD7"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$364.55</w:t>
            </w:r>
          </w:p>
        </w:tc>
        <w:tc>
          <w:tcPr>
            <w:tcW w:w="902" w:type="dxa"/>
            <w:vAlign w:val="center"/>
          </w:tcPr>
          <w:p w14:paraId="2E4D5A2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88921E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FE56AA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404E824"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A00A187" w14:textId="77777777" w:rsidR="00100296" w:rsidRPr="00793876" w:rsidRDefault="00100296" w:rsidP="00793876">
            <w:pPr>
              <w:ind w:left="720"/>
              <w:rPr>
                <w:b w:val="0"/>
              </w:rPr>
            </w:pPr>
            <w:r w:rsidRPr="00793876">
              <w:rPr>
                <w:b w:val="0"/>
              </w:rPr>
              <w:t xml:space="preserve">Risk Rank 5 (Commercial food business) </w:t>
            </w:r>
          </w:p>
        </w:tc>
        <w:tc>
          <w:tcPr>
            <w:tcW w:w="1368" w:type="dxa"/>
            <w:vAlign w:val="center"/>
          </w:tcPr>
          <w:p w14:paraId="2541733D"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5AEEB1AB"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$92.01</w:t>
            </w:r>
          </w:p>
        </w:tc>
        <w:tc>
          <w:tcPr>
            <w:tcW w:w="1276" w:type="dxa"/>
            <w:vAlign w:val="center"/>
          </w:tcPr>
          <w:p w14:paraId="1222C40B" w14:textId="2F422CD4"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$92.01</w:t>
            </w:r>
          </w:p>
        </w:tc>
        <w:tc>
          <w:tcPr>
            <w:tcW w:w="902" w:type="dxa"/>
            <w:vAlign w:val="center"/>
          </w:tcPr>
          <w:p w14:paraId="5AC7821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32D6404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06D167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885103E"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5B4A9D65" w14:textId="77777777" w:rsidR="00100296" w:rsidRPr="006C12BA" w:rsidRDefault="00100296" w:rsidP="006C12BA">
            <w:r w:rsidRPr="006C12BA">
              <w:t>Trade waste agreement prices</w:t>
            </w:r>
          </w:p>
        </w:tc>
      </w:tr>
      <w:tr w:rsidR="00100296" w:rsidRPr="006C12BA" w14:paraId="5D2B336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3CD1197" w14:textId="77777777" w:rsidR="00100296" w:rsidRPr="003736DB" w:rsidRDefault="00100296" w:rsidP="003736DB">
            <w:pPr>
              <w:ind w:left="720"/>
              <w:rPr>
                <w:b w:val="0"/>
              </w:rPr>
            </w:pPr>
            <w:r w:rsidRPr="003736DB">
              <w:rPr>
                <w:b w:val="0"/>
              </w:rPr>
              <w:t xml:space="preserve">Risk Rank 1 </w:t>
            </w:r>
          </w:p>
        </w:tc>
        <w:tc>
          <w:tcPr>
            <w:tcW w:w="1368" w:type="dxa"/>
            <w:vAlign w:val="center"/>
          </w:tcPr>
          <w:p w14:paraId="6D287304" w14:textId="4C12DC8F"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412CDC" w:rsidRPr="006C12BA">
              <w:t>annum</w:t>
            </w:r>
          </w:p>
        </w:tc>
        <w:tc>
          <w:tcPr>
            <w:tcW w:w="1325" w:type="dxa"/>
            <w:vAlign w:val="center"/>
          </w:tcPr>
          <w:p w14:paraId="43D1644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$22,134.73</w:t>
            </w:r>
          </w:p>
        </w:tc>
        <w:tc>
          <w:tcPr>
            <w:tcW w:w="1276" w:type="dxa"/>
            <w:vAlign w:val="center"/>
          </w:tcPr>
          <w:p w14:paraId="52FFD892" w14:textId="18BE88E0"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$22,134.73</w:t>
            </w:r>
          </w:p>
        </w:tc>
        <w:tc>
          <w:tcPr>
            <w:tcW w:w="902" w:type="dxa"/>
            <w:vAlign w:val="center"/>
          </w:tcPr>
          <w:p w14:paraId="3C243367"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53D4D28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69C81C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0A5C9E0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D6042F9" w14:textId="77777777" w:rsidR="00412CDC" w:rsidRPr="003736DB" w:rsidRDefault="00412CDC" w:rsidP="003736DB">
            <w:pPr>
              <w:ind w:left="720"/>
              <w:rPr>
                <w:b w:val="0"/>
              </w:rPr>
            </w:pPr>
            <w:r w:rsidRPr="003736DB">
              <w:rPr>
                <w:b w:val="0"/>
              </w:rPr>
              <w:t xml:space="preserve">Risk Rank 2 </w:t>
            </w:r>
          </w:p>
        </w:tc>
        <w:tc>
          <w:tcPr>
            <w:tcW w:w="1368" w:type="dxa"/>
            <w:vAlign w:val="center"/>
          </w:tcPr>
          <w:p w14:paraId="50F61FA6" w14:textId="0AA43344"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0D29114E"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$18,360.05</w:t>
            </w:r>
          </w:p>
        </w:tc>
        <w:tc>
          <w:tcPr>
            <w:tcW w:w="1276" w:type="dxa"/>
            <w:vAlign w:val="center"/>
          </w:tcPr>
          <w:p w14:paraId="7B898352" w14:textId="6095B444"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$18,360.05</w:t>
            </w:r>
          </w:p>
        </w:tc>
        <w:tc>
          <w:tcPr>
            <w:tcW w:w="902" w:type="dxa"/>
            <w:vAlign w:val="center"/>
          </w:tcPr>
          <w:p w14:paraId="657FE483"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66E5C0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2CCEAE9"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4B457166"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271A8F" w14:textId="77777777" w:rsidR="00412CDC" w:rsidRPr="003736DB" w:rsidRDefault="00412CDC" w:rsidP="003736DB">
            <w:pPr>
              <w:ind w:left="720"/>
              <w:rPr>
                <w:b w:val="0"/>
              </w:rPr>
            </w:pPr>
            <w:r w:rsidRPr="003736DB">
              <w:rPr>
                <w:b w:val="0"/>
              </w:rPr>
              <w:t xml:space="preserve">Risk Rank 3 </w:t>
            </w:r>
          </w:p>
        </w:tc>
        <w:tc>
          <w:tcPr>
            <w:tcW w:w="1368" w:type="dxa"/>
            <w:vAlign w:val="center"/>
          </w:tcPr>
          <w:p w14:paraId="5D32AA44" w14:textId="584F7EF5"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7BBAEAD9"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$9,217.60</w:t>
            </w:r>
          </w:p>
        </w:tc>
        <w:tc>
          <w:tcPr>
            <w:tcW w:w="1276" w:type="dxa"/>
            <w:vAlign w:val="center"/>
          </w:tcPr>
          <w:p w14:paraId="4CD07DD1" w14:textId="6A318C10"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$9,217.60</w:t>
            </w:r>
          </w:p>
        </w:tc>
        <w:tc>
          <w:tcPr>
            <w:tcW w:w="902" w:type="dxa"/>
            <w:vAlign w:val="center"/>
          </w:tcPr>
          <w:p w14:paraId="7577A5D8"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A22576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27F5DFC"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6C6F455F"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21C42A0" w14:textId="77777777" w:rsidR="00412CDC" w:rsidRPr="003736DB" w:rsidRDefault="00412CDC" w:rsidP="003736DB">
            <w:pPr>
              <w:ind w:left="720"/>
              <w:rPr>
                <w:b w:val="0"/>
              </w:rPr>
            </w:pPr>
            <w:r w:rsidRPr="003736DB">
              <w:rPr>
                <w:b w:val="0"/>
              </w:rPr>
              <w:t xml:space="preserve">Risk Rank 4 </w:t>
            </w:r>
          </w:p>
        </w:tc>
        <w:tc>
          <w:tcPr>
            <w:tcW w:w="1368" w:type="dxa"/>
            <w:vAlign w:val="center"/>
          </w:tcPr>
          <w:p w14:paraId="5134D588" w14:textId="7CC6733D"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72F0A156"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$2,013.12</w:t>
            </w:r>
          </w:p>
        </w:tc>
        <w:tc>
          <w:tcPr>
            <w:tcW w:w="1276" w:type="dxa"/>
            <w:vAlign w:val="center"/>
          </w:tcPr>
          <w:p w14:paraId="146A65C4" w14:textId="6FB6B4DE"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$2,013.12</w:t>
            </w:r>
          </w:p>
        </w:tc>
        <w:tc>
          <w:tcPr>
            <w:tcW w:w="902" w:type="dxa"/>
            <w:vAlign w:val="center"/>
          </w:tcPr>
          <w:p w14:paraId="50CEDE0E"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B298E5D"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4474000"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2860B55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3C533A5" w14:textId="77777777" w:rsidR="00412CDC" w:rsidRPr="003736DB" w:rsidRDefault="00412CDC" w:rsidP="003736DB">
            <w:pPr>
              <w:ind w:left="720"/>
              <w:rPr>
                <w:b w:val="0"/>
              </w:rPr>
            </w:pPr>
            <w:r w:rsidRPr="003736DB">
              <w:rPr>
                <w:b w:val="0"/>
              </w:rPr>
              <w:t xml:space="preserve">Risk Rank 5 (General including commercial food businesses) </w:t>
            </w:r>
          </w:p>
        </w:tc>
        <w:tc>
          <w:tcPr>
            <w:tcW w:w="1368" w:type="dxa"/>
            <w:vAlign w:val="center"/>
          </w:tcPr>
          <w:p w14:paraId="3F5AE43C" w14:textId="643FDD20"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1CF29A7B"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$382.19</w:t>
            </w:r>
          </w:p>
        </w:tc>
        <w:tc>
          <w:tcPr>
            <w:tcW w:w="1276" w:type="dxa"/>
            <w:vAlign w:val="center"/>
          </w:tcPr>
          <w:p w14:paraId="221D1B81" w14:textId="0E50A7F2"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$382.19</w:t>
            </w:r>
          </w:p>
        </w:tc>
        <w:tc>
          <w:tcPr>
            <w:tcW w:w="902" w:type="dxa"/>
            <w:vAlign w:val="center"/>
          </w:tcPr>
          <w:p w14:paraId="51B4EDE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5172F5A"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5805C47"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449DF62"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211957CC" w14:textId="77777777" w:rsidR="00100296" w:rsidRPr="006C12BA" w:rsidRDefault="00100296" w:rsidP="006C12BA">
            <w:r w:rsidRPr="006C12BA">
              <w:t>Food waste services prices</w:t>
            </w:r>
          </w:p>
        </w:tc>
      </w:tr>
      <w:tr w:rsidR="00100296" w:rsidRPr="006C12BA" w14:paraId="0477ED7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10BAE3D" w14:textId="77777777" w:rsidR="00100296" w:rsidRPr="003736DB" w:rsidRDefault="00100296" w:rsidP="006C12BA">
            <w:pPr>
              <w:rPr>
                <w:b w:val="0"/>
              </w:rPr>
            </w:pPr>
            <w:r w:rsidRPr="003736DB">
              <w:rPr>
                <w:b w:val="0"/>
              </w:rPr>
              <w:lastRenderedPageBreak/>
              <w:t>Food waste services fee</w:t>
            </w:r>
          </w:p>
        </w:tc>
        <w:tc>
          <w:tcPr>
            <w:tcW w:w="1368" w:type="dxa"/>
            <w:vAlign w:val="center"/>
          </w:tcPr>
          <w:p w14:paraId="38280266"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registered bed per annum</w:t>
            </w:r>
          </w:p>
        </w:tc>
        <w:tc>
          <w:tcPr>
            <w:tcW w:w="1325" w:type="dxa"/>
            <w:vAlign w:val="center"/>
          </w:tcPr>
          <w:p w14:paraId="71F0CB49"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$61.83</w:t>
            </w:r>
          </w:p>
        </w:tc>
        <w:tc>
          <w:tcPr>
            <w:tcW w:w="1276" w:type="dxa"/>
            <w:vAlign w:val="center"/>
          </w:tcPr>
          <w:p w14:paraId="3DB398B8" w14:textId="1031027B"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$61.83</w:t>
            </w:r>
          </w:p>
        </w:tc>
        <w:tc>
          <w:tcPr>
            <w:tcW w:w="902" w:type="dxa"/>
            <w:vAlign w:val="center"/>
          </w:tcPr>
          <w:p w14:paraId="2DF6A59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A3B1D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EF03F6"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4E6011E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E1D6D1" w:themeFill="background2" w:themeFillShade="E6"/>
            <w:vAlign w:val="center"/>
          </w:tcPr>
          <w:p w14:paraId="07DD4300" w14:textId="77777777" w:rsidR="00100296" w:rsidRPr="006C12BA" w:rsidRDefault="00100296" w:rsidP="006C12BA">
            <w:r w:rsidRPr="006C12BA">
              <w:t>Non-residential trade waste volumetric and quality fees</w:t>
            </w:r>
          </w:p>
        </w:tc>
      </w:tr>
      <w:tr w:rsidR="00100296" w:rsidRPr="006C12BA" w14:paraId="1F39CBD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569B4F30" w14:textId="77777777" w:rsidR="00100296" w:rsidRPr="006C12BA" w:rsidRDefault="00100296" w:rsidP="006C12BA">
            <w:r w:rsidRPr="006C12BA">
              <w:t>Trade waste volumetric prices</w:t>
            </w:r>
          </w:p>
        </w:tc>
      </w:tr>
      <w:tr w:rsidR="00100296" w:rsidRPr="006C12BA" w14:paraId="4344D07C"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74DC410" w14:textId="77777777" w:rsidR="00100296" w:rsidRPr="008F1A53" w:rsidRDefault="00100296" w:rsidP="006C12BA">
            <w:pPr>
              <w:rPr>
                <w:b w:val="0"/>
              </w:rPr>
            </w:pPr>
            <w:r w:rsidRPr="008F1A53">
              <w:rPr>
                <w:b w:val="0"/>
              </w:rPr>
              <w:t>Volume</w:t>
            </w:r>
          </w:p>
        </w:tc>
        <w:tc>
          <w:tcPr>
            <w:tcW w:w="1368" w:type="dxa"/>
            <w:vAlign w:val="center"/>
          </w:tcPr>
          <w:p w14:paraId="4D673BD4"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325" w:type="dxa"/>
            <w:vAlign w:val="center"/>
          </w:tcPr>
          <w:p w14:paraId="0C6F1F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$0.9597</w:t>
            </w:r>
          </w:p>
        </w:tc>
        <w:tc>
          <w:tcPr>
            <w:tcW w:w="1276" w:type="dxa"/>
            <w:vAlign w:val="center"/>
          </w:tcPr>
          <w:p w14:paraId="1E1F7D74" w14:textId="4B7E9232"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$0.9597</w:t>
            </w:r>
          </w:p>
        </w:tc>
        <w:tc>
          <w:tcPr>
            <w:tcW w:w="902" w:type="dxa"/>
            <w:vAlign w:val="center"/>
          </w:tcPr>
          <w:p w14:paraId="391C8ECD"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79F2924"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FF9F55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D65A911"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41FEF765" w14:textId="77777777" w:rsidR="00100296" w:rsidRPr="006C12BA" w:rsidRDefault="00100296" w:rsidP="006C12BA">
            <w:r w:rsidRPr="006C12BA">
              <w:t>Trade waste quality prices</w:t>
            </w:r>
          </w:p>
        </w:tc>
      </w:tr>
      <w:tr w:rsidR="00E66CDA" w:rsidRPr="006C12BA" w14:paraId="399D74D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013E709" w14:textId="77777777" w:rsidR="00E66CDA" w:rsidRPr="000C76B4" w:rsidRDefault="00E66CDA" w:rsidP="009F622D">
            <w:pPr>
              <w:ind w:left="720"/>
              <w:rPr>
                <w:b w:val="0"/>
              </w:rPr>
            </w:pPr>
            <w:r w:rsidRPr="000C76B4">
              <w:rPr>
                <w:b w:val="0"/>
              </w:rPr>
              <w:t>Biochemical Oxygen Demand</w:t>
            </w:r>
          </w:p>
        </w:tc>
        <w:tc>
          <w:tcPr>
            <w:tcW w:w="1368" w:type="dxa"/>
            <w:vAlign w:val="center"/>
          </w:tcPr>
          <w:p w14:paraId="469339D5" w14:textId="320C7A62"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F723D8" w:rsidRPr="006C12BA">
              <w:t>k</w:t>
            </w:r>
            <w:r w:rsidR="00F723D8">
              <w:t>g</w:t>
            </w:r>
          </w:p>
        </w:tc>
        <w:tc>
          <w:tcPr>
            <w:tcW w:w="1325" w:type="dxa"/>
            <w:vAlign w:val="center"/>
          </w:tcPr>
          <w:p w14:paraId="191E7A1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$1.1717</w:t>
            </w:r>
          </w:p>
        </w:tc>
        <w:tc>
          <w:tcPr>
            <w:tcW w:w="1276" w:type="dxa"/>
            <w:vAlign w:val="center"/>
          </w:tcPr>
          <w:p w14:paraId="413DC846" w14:textId="313ABAF4"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$1.1717</w:t>
            </w:r>
          </w:p>
        </w:tc>
        <w:tc>
          <w:tcPr>
            <w:tcW w:w="902" w:type="dxa"/>
            <w:vAlign w:val="center"/>
          </w:tcPr>
          <w:p w14:paraId="7A39070F"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D0BE49"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B20EFD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35D6BBFE"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898AB21" w14:textId="77777777" w:rsidR="00E66CDA" w:rsidRPr="000C76B4" w:rsidRDefault="00E66CDA" w:rsidP="009F622D">
            <w:pPr>
              <w:ind w:left="720"/>
              <w:rPr>
                <w:b w:val="0"/>
              </w:rPr>
            </w:pPr>
            <w:r w:rsidRPr="000C76B4">
              <w:rPr>
                <w:b w:val="0"/>
              </w:rPr>
              <w:t>Suspended Solids</w:t>
            </w:r>
          </w:p>
        </w:tc>
        <w:tc>
          <w:tcPr>
            <w:tcW w:w="1368" w:type="dxa"/>
            <w:vAlign w:val="center"/>
          </w:tcPr>
          <w:p w14:paraId="43EA0C52"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04E77EE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$0.6347</w:t>
            </w:r>
          </w:p>
        </w:tc>
        <w:tc>
          <w:tcPr>
            <w:tcW w:w="1276" w:type="dxa"/>
            <w:vAlign w:val="center"/>
          </w:tcPr>
          <w:p w14:paraId="3FFB5674" w14:textId="14060F11"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$0.6347</w:t>
            </w:r>
          </w:p>
        </w:tc>
        <w:tc>
          <w:tcPr>
            <w:tcW w:w="902" w:type="dxa"/>
            <w:vAlign w:val="center"/>
          </w:tcPr>
          <w:p w14:paraId="28307C61"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7205FB7"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004DE7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4E284F8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9F6CD6D" w14:textId="77777777" w:rsidR="00E66CDA" w:rsidRPr="000C76B4" w:rsidRDefault="00E66CDA" w:rsidP="009F622D">
            <w:pPr>
              <w:ind w:left="720"/>
              <w:rPr>
                <w:b w:val="0"/>
              </w:rPr>
            </w:pPr>
            <w:r w:rsidRPr="000C76B4">
              <w:rPr>
                <w:b w:val="0"/>
              </w:rPr>
              <w:t xml:space="preserve">Total </w:t>
            </w:r>
            <w:proofErr w:type="spellStart"/>
            <w:r w:rsidRPr="000C76B4">
              <w:rPr>
                <w:b w:val="0"/>
              </w:rPr>
              <w:t>Kjeldahl</w:t>
            </w:r>
            <w:proofErr w:type="spellEnd"/>
            <w:r w:rsidRPr="000C76B4">
              <w:rPr>
                <w:b w:val="0"/>
              </w:rPr>
              <w:t xml:space="preserve"> Nitrogen</w:t>
            </w:r>
          </w:p>
        </w:tc>
        <w:tc>
          <w:tcPr>
            <w:tcW w:w="1368" w:type="dxa"/>
            <w:vAlign w:val="center"/>
          </w:tcPr>
          <w:p w14:paraId="5C339361"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41A9E6B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$2.2554</w:t>
            </w:r>
          </w:p>
        </w:tc>
        <w:tc>
          <w:tcPr>
            <w:tcW w:w="1276" w:type="dxa"/>
            <w:vAlign w:val="center"/>
          </w:tcPr>
          <w:p w14:paraId="2E044189" w14:textId="477CC532"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$2.2554</w:t>
            </w:r>
          </w:p>
        </w:tc>
        <w:tc>
          <w:tcPr>
            <w:tcW w:w="902" w:type="dxa"/>
            <w:vAlign w:val="center"/>
          </w:tcPr>
          <w:p w14:paraId="7452FCCF"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EB97B7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CC1B42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0BDF6D3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B7F92FB" w14:textId="77777777" w:rsidR="00E66CDA" w:rsidRPr="000C76B4" w:rsidRDefault="00E66CDA" w:rsidP="009F622D">
            <w:pPr>
              <w:ind w:left="720"/>
              <w:rPr>
                <w:b w:val="0"/>
              </w:rPr>
            </w:pPr>
            <w:r w:rsidRPr="000C76B4">
              <w:rPr>
                <w:b w:val="0"/>
              </w:rPr>
              <w:t>Inorganic Total Dissolved Solids</w:t>
            </w:r>
          </w:p>
        </w:tc>
        <w:tc>
          <w:tcPr>
            <w:tcW w:w="1368" w:type="dxa"/>
            <w:vAlign w:val="center"/>
          </w:tcPr>
          <w:p w14:paraId="68369613"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11285084"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$0.0226</w:t>
            </w:r>
          </w:p>
        </w:tc>
        <w:tc>
          <w:tcPr>
            <w:tcW w:w="1276" w:type="dxa"/>
            <w:vAlign w:val="center"/>
          </w:tcPr>
          <w:p w14:paraId="52A583DC" w14:textId="18A5F256"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$0.0226</w:t>
            </w:r>
          </w:p>
        </w:tc>
        <w:tc>
          <w:tcPr>
            <w:tcW w:w="902" w:type="dxa"/>
            <w:vAlign w:val="center"/>
          </w:tcPr>
          <w:p w14:paraId="32C079B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D097549"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EE54046"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bl>
    <w:p w14:paraId="32C8BC26" w14:textId="2782515F" w:rsidR="00CF720D" w:rsidRDefault="00CF720D">
      <w:pPr>
        <w:rPr>
          <w:iCs/>
          <w:color w:val="1A206C" w:themeColor="text2"/>
          <w:sz w:val="16"/>
          <w:szCs w:val="18"/>
        </w:rPr>
      </w:pPr>
      <w:bookmarkStart w:id="174" w:name="_Ref144723846"/>
    </w:p>
    <w:p w14:paraId="483D3663" w14:textId="33F9C4FC" w:rsidR="00100296" w:rsidRPr="0080116A" w:rsidRDefault="00100296" w:rsidP="00100296">
      <w:pPr>
        <w:pStyle w:val="Caption"/>
      </w:pPr>
      <w:bookmarkStart w:id="175" w:name="_Ref145334949"/>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39</w:t>
      </w:r>
      <w:r w:rsidRPr="00793B39">
        <w:rPr>
          <w:b/>
        </w:rPr>
        <w:fldChar w:fldCharType="end"/>
      </w:r>
      <w:bookmarkEnd w:id="174"/>
      <w:bookmarkEnd w:id="175"/>
      <w:r>
        <w:t xml:space="preserve"> Proposed non-residential (business) water and sewerage tariffs and prices </w:t>
      </w:r>
      <w:r w:rsidR="005712E4">
        <w:t>–</w:t>
      </w:r>
      <w:r>
        <w:t xml:space="preserve"> western</w:t>
      </w:r>
      <w:r w:rsidR="005712E4">
        <w:t xml:space="preserve"> ($, 2023-24)</w:t>
      </w:r>
    </w:p>
    <w:tbl>
      <w:tblPr>
        <w:tblStyle w:val="GWWDefaulttable"/>
        <w:tblW w:w="0" w:type="auto"/>
        <w:tblLayout w:type="fixed"/>
        <w:tblCellMar>
          <w:top w:w="57" w:type="dxa"/>
          <w:bottom w:w="57" w:type="dxa"/>
        </w:tblCellMar>
        <w:tblLook w:val="04A0" w:firstRow="1" w:lastRow="0" w:firstColumn="1" w:lastColumn="0" w:noHBand="0" w:noVBand="1"/>
      </w:tblPr>
      <w:tblGrid>
        <w:gridCol w:w="2694"/>
        <w:gridCol w:w="1134"/>
        <w:gridCol w:w="1134"/>
        <w:gridCol w:w="28"/>
        <w:gridCol w:w="1162"/>
        <w:gridCol w:w="1162"/>
        <w:gridCol w:w="1162"/>
        <w:gridCol w:w="1162"/>
      </w:tblGrid>
      <w:tr w:rsidR="00100296" w:rsidRPr="006C12BA" w14:paraId="224D2AA5" w14:textId="77777777" w:rsidTr="002C04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4639B06" w14:textId="08645FDA" w:rsidR="00100296" w:rsidRPr="006C12BA" w:rsidRDefault="00100296" w:rsidP="006C12BA">
            <w:r w:rsidRPr="006C12BA">
              <w:t>Western region</w:t>
            </w:r>
          </w:p>
        </w:tc>
        <w:tc>
          <w:tcPr>
            <w:tcW w:w="1134" w:type="dxa"/>
            <w:vAlign w:val="center"/>
          </w:tcPr>
          <w:p w14:paraId="3C3F0D85" w14:textId="77777777" w:rsidR="00100296" w:rsidRPr="006C12BA" w:rsidRDefault="00100296" w:rsidP="008F1A53">
            <w:pPr>
              <w:jc w:val="center"/>
              <w:cnfStyle w:val="100000000000" w:firstRow="1" w:lastRow="0" w:firstColumn="0" w:lastColumn="0" w:oddVBand="0" w:evenVBand="0" w:oddHBand="0" w:evenHBand="0" w:firstRowFirstColumn="0" w:firstRowLastColumn="0" w:lastRowFirstColumn="0" w:lastRowLastColumn="0"/>
            </w:pPr>
          </w:p>
        </w:tc>
        <w:tc>
          <w:tcPr>
            <w:tcW w:w="1134" w:type="dxa"/>
            <w:vAlign w:val="center"/>
          </w:tcPr>
          <w:p w14:paraId="59F68713" w14:textId="77777777" w:rsidR="00100296" w:rsidRPr="006C12BA" w:rsidRDefault="00100296" w:rsidP="00A046BC">
            <w:pPr>
              <w:jc w:val="right"/>
              <w:cnfStyle w:val="100000000000" w:firstRow="1" w:lastRow="0" w:firstColumn="0" w:lastColumn="0" w:oddVBand="0" w:evenVBand="0" w:oddHBand="0" w:evenHBand="0" w:firstRowFirstColumn="0" w:firstRowLastColumn="0" w:lastRowFirstColumn="0" w:lastRowLastColumn="0"/>
            </w:pPr>
          </w:p>
        </w:tc>
        <w:tc>
          <w:tcPr>
            <w:tcW w:w="4676" w:type="dxa"/>
            <w:gridSpan w:val="5"/>
            <w:vAlign w:val="center"/>
          </w:tcPr>
          <w:p w14:paraId="61A8C2FC" w14:textId="6A206BCB" w:rsidR="00100296" w:rsidRPr="006C12BA" w:rsidRDefault="00100296" w:rsidP="006C12BA">
            <w:pPr>
              <w:cnfStyle w:val="100000000000" w:firstRow="1" w:lastRow="0" w:firstColumn="0" w:lastColumn="0" w:oddVBand="0" w:evenVBand="0" w:oddHBand="0" w:evenHBand="0" w:firstRowFirstColumn="0" w:firstRowLastColumn="0" w:lastRowFirstColumn="0" w:lastRowLastColumn="0"/>
            </w:pPr>
            <w:r w:rsidRPr="006C12BA">
              <w:t xml:space="preserve">Proposed </w:t>
            </w:r>
            <w:r w:rsidR="006800AB" w:rsidRPr="006C12BA">
              <w:t>price movement</w:t>
            </w:r>
          </w:p>
        </w:tc>
      </w:tr>
      <w:tr w:rsidR="00E12FF5" w:rsidRPr="00A046BC" w14:paraId="1FF57379"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shd w:val="clear" w:color="auto" w:fill="B3C5E6" w:themeFill="accent2"/>
            <w:vAlign w:val="center"/>
          </w:tcPr>
          <w:p w14:paraId="0569C167" w14:textId="77777777" w:rsidR="00100296" w:rsidRPr="004A716A" w:rsidRDefault="00100296" w:rsidP="006C12BA">
            <w:pPr>
              <w:rPr>
                <w:color w:val="auto"/>
              </w:rPr>
            </w:pPr>
          </w:p>
        </w:tc>
        <w:tc>
          <w:tcPr>
            <w:tcW w:w="1134" w:type="dxa"/>
            <w:shd w:val="clear" w:color="auto" w:fill="B3C5E6" w:themeFill="accent2"/>
            <w:vAlign w:val="center"/>
          </w:tcPr>
          <w:p w14:paraId="452D4E81" w14:textId="7E6AB1D0" w:rsidR="00100296" w:rsidRPr="00A046BC" w:rsidRDefault="00100296" w:rsidP="008F1A53">
            <w:pPr>
              <w:jc w:val="center"/>
              <w:cnfStyle w:val="000000000000" w:firstRow="0" w:lastRow="0" w:firstColumn="0" w:lastColumn="0" w:oddVBand="0" w:evenVBand="0" w:oddHBand="0" w:evenHBand="0" w:firstRowFirstColumn="0" w:firstRowLastColumn="0" w:lastRowFirstColumn="0" w:lastRowLastColumn="0"/>
              <w:rPr>
                <w:b/>
              </w:rPr>
            </w:pPr>
            <w:r w:rsidRPr="00A046BC">
              <w:rPr>
                <w:b/>
              </w:rPr>
              <w:t>Unit</w:t>
            </w:r>
          </w:p>
        </w:tc>
        <w:tc>
          <w:tcPr>
            <w:tcW w:w="1162" w:type="dxa"/>
            <w:gridSpan w:val="2"/>
            <w:shd w:val="clear" w:color="auto" w:fill="B3C5E6" w:themeFill="accent2"/>
            <w:vAlign w:val="center"/>
          </w:tcPr>
          <w:p w14:paraId="76298CA4"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2023-24</w:t>
            </w:r>
          </w:p>
        </w:tc>
        <w:tc>
          <w:tcPr>
            <w:tcW w:w="1162" w:type="dxa"/>
            <w:shd w:val="clear" w:color="auto" w:fill="B3C5E6" w:themeFill="accent2"/>
            <w:vAlign w:val="center"/>
          </w:tcPr>
          <w:p w14:paraId="3305715B"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2024-25</w:t>
            </w:r>
          </w:p>
        </w:tc>
        <w:tc>
          <w:tcPr>
            <w:tcW w:w="1162" w:type="dxa"/>
            <w:shd w:val="clear" w:color="auto" w:fill="B3C5E6" w:themeFill="accent2"/>
            <w:vAlign w:val="center"/>
          </w:tcPr>
          <w:p w14:paraId="72DA7A9C"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2025-26</w:t>
            </w:r>
          </w:p>
        </w:tc>
        <w:tc>
          <w:tcPr>
            <w:tcW w:w="1162" w:type="dxa"/>
            <w:shd w:val="clear" w:color="auto" w:fill="B3C5E6" w:themeFill="accent2"/>
            <w:vAlign w:val="center"/>
          </w:tcPr>
          <w:p w14:paraId="429EA89C"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2026-27</w:t>
            </w:r>
          </w:p>
        </w:tc>
        <w:tc>
          <w:tcPr>
            <w:tcW w:w="1162" w:type="dxa"/>
            <w:shd w:val="clear" w:color="auto" w:fill="B3C5E6" w:themeFill="accent2"/>
            <w:vAlign w:val="center"/>
          </w:tcPr>
          <w:p w14:paraId="5BB73EEA"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2027-28</w:t>
            </w:r>
          </w:p>
        </w:tc>
      </w:tr>
      <w:tr w:rsidR="00100296" w:rsidRPr="006C12BA" w14:paraId="2461D66E" w14:textId="77777777" w:rsidTr="00ED6566">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E1D6D1" w:themeFill="background2" w:themeFillShade="E6"/>
            <w:vAlign w:val="center"/>
          </w:tcPr>
          <w:p w14:paraId="265BA1FB" w14:textId="77777777" w:rsidR="00100296" w:rsidRPr="006C12BA" w:rsidRDefault="00100296" w:rsidP="006C12BA">
            <w:r w:rsidRPr="006C12BA">
              <w:t>Non-residential trade waste tariffs</w:t>
            </w:r>
          </w:p>
        </w:tc>
      </w:tr>
      <w:tr w:rsidR="00100296" w:rsidRPr="006C12BA" w14:paraId="3FBA30C6"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586BEEEF" w14:textId="0B125184" w:rsidR="00100296" w:rsidRPr="006C12BA" w:rsidRDefault="00100296" w:rsidP="006C12BA">
            <w:r w:rsidRPr="006C12BA">
              <w:t>Trade waste application prices</w:t>
            </w:r>
            <w:r w:rsidR="00B71280">
              <w:t>*</w:t>
            </w:r>
          </w:p>
        </w:tc>
      </w:tr>
      <w:tr w:rsidR="00100296" w:rsidRPr="006C12BA" w14:paraId="630E27C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4EDEF9F" w14:textId="77777777" w:rsidR="00100296" w:rsidRPr="008F1A53" w:rsidRDefault="00100296" w:rsidP="006C12BA">
            <w:pPr>
              <w:rPr>
                <w:b w:val="0"/>
              </w:rPr>
            </w:pPr>
            <w:r w:rsidRPr="008F1A53">
              <w:rPr>
                <w:b w:val="0"/>
              </w:rPr>
              <w:t>Risk Rank 1</w:t>
            </w:r>
          </w:p>
        </w:tc>
        <w:tc>
          <w:tcPr>
            <w:tcW w:w="1134" w:type="dxa"/>
            <w:vAlign w:val="center"/>
          </w:tcPr>
          <w:p w14:paraId="170EA2D9"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278A0A84" w14:textId="5D32D120"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$1,128.09</w:t>
            </w:r>
          </w:p>
        </w:tc>
        <w:tc>
          <w:tcPr>
            <w:tcW w:w="1162" w:type="dxa"/>
            <w:vAlign w:val="center"/>
          </w:tcPr>
          <w:p w14:paraId="75C23FD1" w14:textId="29F17129"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$1,128.09</w:t>
            </w:r>
          </w:p>
        </w:tc>
        <w:tc>
          <w:tcPr>
            <w:tcW w:w="1162" w:type="dxa"/>
            <w:vAlign w:val="center"/>
          </w:tcPr>
          <w:p w14:paraId="38173B46"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E49BA21"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D766BB1"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A1F9CE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118421A" w14:textId="77777777" w:rsidR="00100296" w:rsidRPr="008F1A53" w:rsidRDefault="00100296" w:rsidP="006C12BA">
            <w:pPr>
              <w:rPr>
                <w:b w:val="0"/>
              </w:rPr>
            </w:pPr>
            <w:r w:rsidRPr="008F1A53">
              <w:rPr>
                <w:b w:val="0"/>
              </w:rPr>
              <w:t>Risk Rank 2</w:t>
            </w:r>
          </w:p>
        </w:tc>
        <w:tc>
          <w:tcPr>
            <w:tcW w:w="1134" w:type="dxa"/>
            <w:vAlign w:val="center"/>
          </w:tcPr>
          <w:p w14:paraId="0AACA642"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1C72D80B" w14:textId="2E8F0C56"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$475.66</w:t>
            </w:r>
          </w:p>
        </w:tc>
        <w:tc>
          <w:tcPr>
            <w:tcW w:w="1162" w:type="dxa"/>
            <w:vAlign w:val="center"/>
          </w:tcPr>
          <w:p w14:paraId="7CD6DBF5" w14:textId="40D8FBEF"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$475.66</w:t>
            </w:r>
          </w:p>
        </w:tc>
        <w:tc>
          <w:tcPr>
            <w:tcW w:w="1162" w:type="dxa"/>
            <w:vAlign w:val="center"/>
          </w:tcPr>
          <w:p w14:paraId="59C14E86"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7EE42B8"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A827718"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D922C3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D3F554" w14:textId="77777777" w:rsidR="00100296" w:rsidRPr="008F1A53" w:rsidRDefault="00100296" w:rsidP="006C12BA">
            <w:pPr>
              <w:rPr>
                <w:b w:val="0"/>
              </w:rPr>
            </w:pPr>
            <w:r w:rsidRPr="008F1A53">
              <w:rPr>
                <w:b w:val="0"/>
              </w:rPr>
              <w:t>Risk Rank 3</w:t>
            </w:r>
          </w:p>
        </w:tc>
        <w:tc>
          <w:tcPr>
            <w:tcW w:w="1134" w:type="dxa"/>
            <w:vAlign w:val="center"/>
          </w:tcPr>
          <w:p w14:paraId="0377916E"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1D12CA62" w14:textId="5F45DE9B"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$256.21</w:t>
            </w:r>
          </w:p>
        </w:tc>
        <w:tc>
          <w:tcPr>
            <w:tcW w:w="1162" w:type="dxa"/>
            <w:vAlign w:val="center"/>
          </w:tcPr>
          <w:p w14:paraId="74EAC586" w14:textId="1679D7E6"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$256.21</w:t>
            </w:r>
          </w:p>
        </w:tc>
        <w:tc>
          <w:tcPr>
            <w:tcW w:w="1162" w:type="dxa"/>
            <w:vAlign w:val="center"/>
          </w:tcPr>
          <w:p w14:paraId="6DA8A12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93B88EB"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C009647"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952E697"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BB5F3CC" w14:textId="77777777" w:rsidR="00100296" w:rsidRPr="008F1A53" w:rsidRDefault="00100296" w:rsidP="006C12BA">
            <w:pPr>
              <w:rPr>
                <w:b w:val="0"/>
              </w:rPr>
            </w:pPr>
            <w:r w:rsidRPr="008F1A53">
              <w:rPr>
                <w:b w:val="0"/>
              </w:rPr>
              <w:t>Risk Rank 4</w:t>
            </w:r>
          </w:p>
        </w:tc>
        <w:tc>
          <w:tcPr>
            <w:tcW w:w="1134" w:type="dxa"/>
            <w:vAlign w:val="center"/>
          </w:tcPr>
          <w:p w14:paraId="7E56A216"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5C95230C" w14:textId="5B5C4222"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$162.98</w:t>
            </w:r>
          </w:p>
        </w:tc>
        <w:tc>
          <w:tcPr>
            <w:tcW w:w="1162" w:type="dxa"/>
            <w:vAlign w:val="center"/>
          </w:tcPr>
          <w:p w14:paraId="606E6357" w14:textId="7D61F94D"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$162.98</w:t>
            </w:r>
          </w:p>
        </w:tc>
        <w:tc>
          <w:tcPr>
            <w:tcW w:w="1162" w:type="dxa"/>
            <w:vAlign w:val="center"/>
          </w:tcPr>
          <w:p w14:paraId="05E5F49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1E54BF3"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49F963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E781EE4"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2C651F8D" w14:textId="578C5E4A" w:rsidR="00100296" w:rsidRPr="006C12BA" w:rsidRDefault="00100296" w:rsidP="006C12BA">
            <w:r w:rsidRPr="006C12BA">
              <w:lastRenderedPageBreak/>
              <w:t>Trade waste agreement prices</w:t>
            </w:r>
            <w:r w:rsidR="00B71280">
              <w:t>*</w:t>
            </w:r>
          </w:p>
        </w:tc>
      </w:tr>
      <w:tr w:rsidR="00412CDC" w:rsidRPr="006C12BA" w14:paraId="18A1E09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145F349" w14:textId="77777777" w:rsidR="00412CDC" w:rsidRPr="008F1A53" w:rsidRDefault="00412CDC" w:rsidP="006C12BA">
            <w:pPr>
              <w:rPr>
                <w:b w:val="0"/>
              </w:rPr>
            </w:pPr>
            <w:r w:rsidRPr="008F1A53">
              <w:rPr>
                <w:b w:val="0"/>
              </w:rPr>
              <w:t>Risk Rank 1</w:t>
            </w:r>
          </w:p>
        </w:tc>
        <w:tc>
          <w:tcPr>
            <w:tcW w:w="1134" w:type="dxa"/>
            <w:vAlign w:val="center"/>
          </w:tcPr>
          <w:p w14:paraId="139304EC" w14:textId="0112F91C"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0A309D91" w14:textId="32A5EED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$3,022.22</w:t>
            </w:r>
          </w:p>
        </w:tc>
        <w:tc>
          <w:tcPr>
            <w:tcW w:w="1162" w:type="dxa"/>
            <w:vAlign w:val="center"/>
          </w:tcPr>
          <w:p w14:paraId="06197043" w14:textId="22C88F4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$3,022.22</w:t>
            </w:r>
          </w:p>
        </w:tc>
        <w:tc>
          <w:tcPr>
            <w:tcW w:w="1162" w:type="dxa"/>
            <w:vAlign w:val="center"/>
          </w:tcPr>
          <w:p w14:paraId="18F470BE"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495D78D"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37B34B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3F2B48EE"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531DCB8" w14:textId="77777777" w:rsidR="00412CDC" w:rsidRPr="008F1A53" w:rsidRDefault="00412CDC" w:rsidP="006C12BA">
            <w:pPr>
              <w:rPr>
                <w:b w:val="0"/>
              </w:rPr>
            </w:pPr>
            <w:r w:rsidRPr="008F1A53">
              <w:rPr>
                <w:b w:val="0"/>
              </w:rPr>
              <w:t>Risk Rank 2</w:t>
            </w:r>
          </w:p>
        </w:tc>
        <w:tc>
          <w:tcPr>
            <w:tcW w:w="1134" w:type="dxa"/>
            <w:vAlign w:val="center"/>
          </w:tcPr>
          <w:p w14:paraId="34ED4CD8" w14:textId="4FEB4A8A"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0EA9D7AF" w14:textId="032DD3E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$1,485.48</w:t>
            </w:r>
          </w:p>
        </w:tc>
        <w:tc>
          <w:tcPr>
            <w:tcW w:w="1162" w:type="dxa"/>
            <w:vAlign w:val="center"/>
          </w:tcPr>
          <w:p w14:paraId="24C4068E" w14:textId="10277D2B"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$1,485.48</w:t>
            </w:r>
          </w:p>
        </w:tc>
        <w:tc>
          <w:tcPr>
            <w:tcW w:w="1162" w:type="dxa"/>
            <w:vAlign w:val="center"/>
          </w:tcPr>
          <w:p w14:paraId="0F3C2EFC"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2E3324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10C47CD"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4C31C4F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A99BAE8" w14:textId="77777777" w:rsidR="00412CDC" w:rsidRPr="008F1A53" w:rsidRDefault="00412CDC" w:rsidP="006C12BA">
            <w:pPr>
              <w:rPr>
                <w:b w:val="0"/>
              </w:rPr>
            </w:pPr>
            <w:r w:rsidRPr="008F1A53">
              <w:rPr>
                <w:b w:val="0"/>
              </w:rPr>
              <w:t>Risk Rank 3</w:t>
            </w:r>
          </w:p>
        </w:tc>
        <w:tc>
          <w:tcPr>
            <w:tcW w:w="1134" w:type="dxa"/>
            <w:vAlign w:val="center"/>
          </w:tcPr>
          <w:p w14:paraId="76A45E6C" w14:textId="10975FC9"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1AC75716" w14:textId="6755445C"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$664.42</w:t>
            </w:r>
          </w:p>
        </w:tc>
        <w:tc>
          <w:tcPr>
            <w:tcW w:w="1162" w:type="dxa"/>
            <w:vAlign w:val="center"/>
          </w:tcPr>
          <w:p w14:paraId="6C64B896" w14:textId="2AE50CB2"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$664.42</w:t>
            </w:r>
          </w:p>
        </w:tc>
        <w:tc>
          <w:tcPr>
            <w:tcW w:w="1162" w:type="dxa"/>
            <w:vAlign w:val="center"/>
          </w:tcPr>
          <w:p w14:paraId="6F0A4B46"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8F6B523"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B8FF188"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693E5CF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C5D7040" w14:textId="77777777" w:rsidR="00412CDC" w:rsidRPr="008F1A53" w:rsidRDefault="00412CDC" w:rsidP="006C12BA">
            <w:pPr>
              <w:rPr>
                <w:b w:val="0"/>
              </w:rPr>
            </w:pPr>
            <w:r w:rsidRPr="008F1A53">
              <w:rPr>
                <w:b w:val="0"/>
              </w:rPr>
              <w:t>Risk Rank 4</w:t>
            </w:r>
          </w:p>
        </w:tc>
        <w:tc>
          <w:tcPr>
            <w:tcW w:w="1134" w:type="dxa"/>
            <w:vAlign w:val="center"/>
          </w:tcPr>
          <w:p w14:paraId="17A81627" w14:textId="1A42642F"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266693E9" w14:textId="5A552FD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$316.73</w:t>
            </w:r>
          </w:p>
        </w:tc>
        <w:tc>
          <w:tcPr>
            <w:tcW w:w="1162" w:type="dxa"/>
            <w:vAlign w:val="center"/>
          </w:tcPr>
          <w:p w14:paraId="48451EE5" w14:textId="0D662DEF"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$316.73</w:t>
            </w:r>
          </w:p>
        </w:tc>
        <w:tc>
          <w:tcPr>
            <w:tcW w:w="1162" w:type="dxa"/>
            <w:vAlign w:val="center"/>
          </w:tcPr>
          <w:p w14:paraId="1EBF1B73"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48CBF9B"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69F52F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FB6ED69" w14:textId="77777777" w:rsidTr="00ED6566">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E1D6D1" w:themeFill="background2" w:themeFillShade="E6"/>
            <w:vAlign w:val="center"/>
          </w:tcPr>
          <w:p w14:paraId="18805E86" w14:textId="77777777" w:rsidR="00100296" w:rsidRPr="006C12BA" w:rsidRDefault="00100296" w:rsidP="006C12BA">
            <w:r w:rsidRPr="006C12BA">
              <w:t>Non-residential trade waste volumetric and quality tariffs</w:t>
            </w:r>
          </w:p>
        </w:tc>
      </w:tr>
      <w:tr w:rsidR="00100296" w:rsidRPr="006C12BA" w14:paraId="6360EF5F"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77BE877E" w14:textId="77777777" w:rsidR="00100296" w:rsidRPr="006C12BA" w:rsidRDefault="00100296" w:rsidP="006C12BA">
            <w:r w:rsidRPr="006C12BA">
              <w:t>Trade waste volumetric prices</w:t>
            </w:r>
          </w:p>
        </w:tc>
      </w:tr>
      <w:tr w:rsidR="00622CBB" w:rsidRPr="006C12BA" w14:paraId="3589241B"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CC006E" w14:textId="77777777" w:rsidR="00622CBB" w:rsidRPr="008F1A53" w:rsidRDefault="00622CBB" w:rsidP="006C12BA">
            <w:pPr>
              <w:rPr>
                <w:b w:val="0"/>
              </w:rPr>
            </w:pPr>
            <w:r w:rsidRPr="008F1A53">
              <w:rPr>
                <w:b w:val="0"/>
              </w:rPr>
              <w:t>Volume (Category B)</w:t>
            </w:r>
          </w:p>
        </w:tc>
        <w:tc>
          <w:tcPr>
            <w:tcW w:w="1134" w:type="dxa"/>
            <w:vAlign w:val="center"/>
          </w:tcPr>
          <w:p w14:paraId="65394B88" w14:textId="77777777" w:rsidR="00622CBB" w:rsidRPr="006C12BA" w:rsidRDefault="00622CBB" w:rsidP="008F1A53">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162" w:type="dxa"/>
            <w:gridSpan w:val="2"/>
            <w:vAlign w:val="center"/>
          </w:tcPr>
          <w:p w14:paraId="62139CDC"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$1.9766</w:t>
            </w:r>
          </w:p>
        </w:tc>
        <w:tc>
          <w:tcPr>
            <w:tcW w:w="1162" w:type="dxa"/>
            <w:vAlign w:val="center"/>
          </w:tcPr>
          <w:p w14:paraId="257598D0" w14:textId="01136FD5"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$1.9766</w:t>
            </w:r>
          </w:p>
        </w:tc>
        <w:tc>
          <w:tcPr>
            <w:tcW w:w="1162" w:type="dxa"/>
            <w:vAlign w:val="center"/>
          </w:tcPr>
          <w:p w14:paraId="2B7424D4"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1B59483"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E0F219B"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622CBB" w:rsidRPr="006C12BA" w14:paraId="63C177EA"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3AEFC1" w14:textId="77777777" w:rsidR="00622CBB" w:rsidRPr="008F1A53" w:rsidRDefault="00622CBB" w:rsidP="006C12BA">
            <w:pPr>
              <w:rPr>
                <w:b w:val="0"/>
              </w:rPr>
            </w:pPr>
            <w:r w:rsidRPr="008F1A53">
              <w:rPr>
                <w:b w:val="0"/>
              </w:rPr>
              <w:t>Volume (Category C)</w:t>
            </w:r>
          </w:p>
        </w:tc>
        <w:tc>
          <w:tcPr>
            <w:tcW w:w="1134" w:type="dxa"/>
            <w:vAlign w:val="center"/>
          </w:tcPr>
          <w:p w14:paraId="150CB80D" w14:textId="77777777" w:rsidR="00622CBB" w:rsidRPr="006C12BA" w:rsidRDefault="00622CBB" w:rsidP="008F1A53">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162" w:type="dxa"/>
            <w:gridSpan w:val="2"/>
            <w:vAlign w:val="center"/>
          </w:tcPr>
          <w:p w14:paraId="23FD84A5"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$1.3837</w:t>
            </w:r>
          </w:p>
        </w:tc>
        <w:tc>
          <w:tcPr>
            <w:tcW w:w="1162" w:type="dxa"/>
            <w:vAlign w:val="center"/>
          </w:tcPr>
          <w:p w14:paraId="4FD67114" w14:textId="61B60243"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$1.3837</w:t>
            </w:r>
          </w:p>
        </w:tc>
        <w:tc>
          <w:tcPr>
            <w:tcW w:w="1162" w:type="dxa"/>
            <w:vAlign w:val="center"/>
          </w:tcPr>
          <w:p w14:paraId="70BCDC83"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8647C09"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1F73537"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A09FC63"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10222C4B" w14:textId="77777777" w:rsidR="00100296" w:rsidRPr="006C12BA" w:rsidRDefault="00100296" w:rsidP="006C12BA">
            <w:r w:rsidRPr="006C12BA">
              <w:t>Trade waste quality prices</w:t>
            </w:r>
          </w:p>
        </w:tc>
      </w:tr>
      <w:tr w:rsidR="00CF6861" w:rsidRPr="006C12BA" w14:paraId="3533184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C240BDA" w14:textId="77777777" w:rsidR="00CF6861" w:rsidRPr="008F1A53" w:rsidRDefault="00CF6861" w:rsidP="00CF6861">
            <w:pPr>
              <w:rPr>
                <w:b w:val="0"/>
              </w:rPr>
            </w:pPr>
            <w:r w:rsidRPr="008F1A53">
              <w:rPr>
                <w:b w:val="0"/>
              </w:rPr>
              <w:t>Biochemical Oxygen Demand (&gt;400mg/L)</w:t>
            </w:r>
          </w:p>
        </w:tc>
        <w:tc>
          <w:tcPr>
            <w:tcW w:w="1134" w:type="dxa"/>
            <w:vAlign w:val="center"/>
          </w:tcPr>
          <w:p w14:paraId="4DE77247"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317DD97" w14:textId="41B80758"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$0.3995</w:t>
            </w:r>
          </w:p>
        </w:tc>
        <w:tc>
          <w:tcPr>
            <w:tcW w:w="1162" w:type="dxa"/>
            <w:vAlign w:val="center"/>
          </w:tcPr>
          <w:p w14:paraId="059CD4DB" w14:textId="0206EAB6"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$0.3995</w:t>
            </w:r>
          </w:p>
        </w:tc>
        <w:tc>
          <w:tcPr>
            <w:tcW w:w="1162" w:type="dxa"/>
            <w:vAlign w:val="center"/>
          </w:tcPr>
          <w:p w14:paraId="6C9E97B8"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B2F5699"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219DCAA"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677F073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4368628" w14:textId="77777777" w:rsidR="00CF6861" w:rsidRPr="008F1A53" w:rsidRDefault="00CF6861" w:rsidP="00CF6861">
            <w:pPr>
              <w:rPr>
                <w:b w:val="0"/>
              </w:rPr>
            </w:pPr>
            <w:r w:rsidRPr="008F1A53">
              <w:rPr>
                <w:b w:val="0"/>
              </w:rPr>
              <w:t>Suspended Solids (&gt;400mg/L)</w:t>
            </w:r>
          </w:p>
        </w:tc>
        <w:tc>
          <w:tcPr>
            <w:tcW w:w="1134" w:type="dxa"/>
            <w:vAlign w:val="center"/>
          </w:tcPr>
          <w:p w14:paraId="3AC55F6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0E9FF6F" w14:textId="2D4804F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$0.2544</w:t>
            </w:r>
          </w:p>
        </w:tc>
        <w:tc>
          <w:tcPr>
            <w:tcW w:w="1162" w:type="dxa"/>
            <w:vAlign w:val="center"/>
          </w:tcPr>
          <w:p w14:paraId="6BF91951" w14:textId="3E66E03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$0.2544</w:t>
            </w:r>
          </w:p>
        </w:tc>
        <w:tc>
          <w:tcPr>
            <w:tcW w:w="1162" w:type="dxa"/>
            <w:vAlign w:val="center"/>
          </w:tcPr>
          <w:p w14:paraId="4E4D2A04"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151C362"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8C1379B"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4D119E91"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1933D7A" w14:textId="757BF0C1" w:rsidR="00CF6861" w:rsidRPr="008F1A53" w:rsidRDefault="00CF6861" w:rsidP="00CF6861">
            <w:pPr>
              <w:rPr>
                <w:b w:val="0"/>
              </w:rPr>
            </w:pPr>
            <w:r>
              <w:rPr>
                <w:b w:val="0"/>
              </w:rPr>
              <w:t>Total Phosphorus (&gt;30mg/L)</w:t>
            </w:r>
          </w:p>
        </w:tc>
        <w:tc>
          <w:tcPr>
            <w:tcW w:w="1134" w:type="dxa"/>
            <w:vAlign w:val="center"/>
          </w:tcPr>
          <w:p w14:paraId="28AA4312" w14:textId="50965C69"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t>Per kg</w:t>
            </w:r>
          </w:p>
        </w:tc>
        <w:tc>
          <w:tcPr>
            <w:tcW w:w="1162" w:type="dxa"/>
            <w:gridSpan w:val="2"/>
            <w:vAlign w:val="center"/>
          </w:tcPr>
          <w:p w14:paraId="26DBC389" w14:textId="4F69E106"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$0.5949</w:t>
            </w:r>
          </w:p>
        </w:tc>
        <w:tc>
          <w:tcPr>
            <w:tcW w:w="1162" w:type="dxa"/>
            <w:vAlign w:val="center"/>
          </w:tcPr>
          <w:p w14:paraId="57E928DF" w14:textId="5DE1F974"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$0.5949</w:t>
            </w:r>
          </w:p>
        </w:tc>
        <w:tc>
          <w:tcPr>
            <w:tcW w:w="1162" w:type="dxa"/>
            <w:vAlign w:val="center"/>
          </w:tcPr>
          <w:p w14:paraId="26D1E581" w14:textId="24EF95BA"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D5E4E51" w14:textId="164FBA0B"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5EF6C12" w14:textId="0BA0F7B0"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52B7986F"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F444FA7" w14:textId="77777777" w:rsidR="00CF6861" w:rsidRPr="008F1A53" w:rsidRDefault="00CF6861" w:rsidP="00CF6861">
            <w:pPr>
              <w:rPr>
                <w:b w:val="0"/>
              </w:rPr>
            </w:pPr>
            <w:r w:rsidRPr="008F1A53">
              <w:rPr>
                <w:b w:val="0"/>
              </w:rPr>
              <w:t>Total Combined Nitrogen (&gt;60mg/L)</w:t>
            </w:r>
          </w:p>
        </w:tc>
        <w:tc>
          <w:tcPr>
            <w:tcW w:w="1134" w:type="dxa"/>
            <w:vAlign w:val="center"/>
          </w:tcPr>
          <w:p w14:paraId="4AB07383"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6E4C4B1E" w14:textId="44EF1652"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$0.7652</w:t>
            </w:r>
          </w:p>
        </w:tc>
        <w:tc>
          <w:tcPr>
            <w:tcW w:w="1162" w:type="dxa"/>
            <w:vAlign w:val="center"/>
          </w:tcPr>
          <w:p w14:paraId="7FEAB8A1" w14:textId="3AD975E3"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$0.7652</w:t>
            </w:r>
          </w:p>
        </w:tc>
        <w:tc>
          <w:tcPr>
            <w:tcW w:w="1162" w:type="dxa"/>
            <w:vAlign w:val="center"/>
          </w:tcPr>
          <w:p w14:paraId="6AB9E6B5"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8D48F15"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D8216F6"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538CC06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85FB596" w14:textId="77777777" w:rsidR="00CF6861" w:rsidRPr="008F1A53" w:rsidRDefault="00CF6861" w:rsidP="00CF6861">
            <w:pPr>
              <w:rPr>
                <w:b w:val="0"/>
              </w:rPr>
            </w:pPr>
            <w:r w:rsidRPr="008F1A53">
              <w:rPr>
                <w:b w:val="0"/>
              </w:rPr>
              <w:t>Total Oxidisable Sulphur (&gt;100mg/L)</w:t>
            </w:r>
          </w:p>
        </w:tc>
        <w:tc>
          <w:tcPr>
            <w:tcW w:w="1134" w:type="dxa"/>
            <w:vAlign w:val="center"/>
          </w:tcPr>
          <w:p w14:paraId="3AC61E7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5D8BDFC6" w14:textId="78BE6133"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$1.1056</w:t>
            </w:r>
          </w:p>
        </w:tc>
        <w:tc>
          <w:tcPr>
            <w:tcW w:w="1162" w:type="dxa"/>
            <w:vAlign w:val="center"/>
          </w:tcPr>
          <w:p w14:paraId="5A148446" w14:textId="38ADBBFF"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$1.1056</w:t>
            </w:r>
          </w:p>
        </w:tc>
        <w:tc>
          <w:tcPr>
            <w:tcW w:w="1162" w:type="dxa"/>
            <w:vAlign w:val="center"/>
          </w:tcPr>
          <w:p w14:paraId="602346F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4678F1C"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3EA0348"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7867787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BD90FF" w14:textId="77777777" w:rsidR="00CF6861" w:rsidRPr="008F1A53" w:rsidRDefault="00CF6861" w:rsidP="00CF6861">
            <w:pPr>
              <w:rPr>
                <w:b w:val="0"/>
              </w:rPr>
            </w:pPr>
            <w:r w:rsidRPr="008F1A53">
              <w:rPr>
                <w:b w:val="0"/>
              </w:rPr>
              <w:t>Sodium (&gt;250mg/L)</w:t>
            </w:r>
          </w:p>
        </w:tc>
        <w:tc>
          <w:tcPr>
            <w:tcW w:w="1134" w:type="dxa"/>
            <w:vAlign w:val="center"/>
          </w:tcPr>
          <w:p w14:paraId="58706A37"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6BA7A92D" w14:textId="5882E880"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$0.1690</w:t>
            </w:r>
          </w:p>
        </w:tc>
        <w:tc>
          <w:tcPr>
            <w:tcW w:w="1162" w:type="dxa"/>
            <w:vAlign w:val="center"/>
          </w:tcPr>
          <w:p w14:paraId="1A122474" w14:textId="762786C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$0.1690</w:t>
            </w:r>
          </w:p>
        </w:tc>
        <w:tc>
          <w:tcPr>
            <w:tcW w:w="1162" w:type="dxa"/>
            <w:vAlign w:val="center"/>
          </w:tcPr>
          <w:p w14:paraId="450D286B"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4D46624"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35F41A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2489165C"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48464C9" w14:textId="77777777" w:rsidR="00CF6861" w:rsidRPr="008F1A53" w:rsidRDefault="00CF6861" w:rsidP="00CF6861">
            <w:pPr>
              <w:rPr>
                <w:b w:val="0"/>
              </w:rPr>
            </w:pPr>
            <w:r w:rsidRPr="008F1A53">
              <w:rPr>
                <w:b w:val="0"/>
              </w:rPr>
              <w:t>Arsenic (&gt;0.2g/day)</w:t>
            </w:r>
          </w:p>
        </w:tc>
        <w:tc>
          <w:tcPr>
            <w:tcW w:w="1134" w:type="dxa"/>
            <w:vAlign w:val="center"/>
          </w:tcPr>
          <w:p w14:paraId="561B55D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71B95612" w14:textId="684E1E8D"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$0.2543</w:t>
            </w:r>
          </w:p>
        </w:tc>
        <w:tc>
          <w:tcPr>
            <w:tcW w:w="1162" w:type="dxa"/>
            <w:vAlign w:val="center"/>
          </w:tcPr>
          <w:p w14:paraId="6E27F47C" w14:textId="7A7A570D"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$0.2543</w:t>
            </w:r>
          </w:p>
        </w:tc>
        <w:tc>
          <w:tcPr>
            <w:tcW w:w="1162" w:type="dxa"/>
            <w:vAlign w:val="center"/>
          </w:tcPr>
          <w:p w14:paraId="0DDB344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D726689"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8D45337"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51E8CCD"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3A2B95CC" w14:textId="57B9B016" w:rsidR="00100296" w:rsidRPr="006C12BA" w:rsidRDefault="00100296" w:rsidP="006C12BA">
            <w:r w:rsidRPr="006C12BA">
              <w:t>Trade waste quality prices</w:t>
            </w:r>
            <w:r w:rsidR="006800AB" w:rsidRPr="006C12BA">
              <w:t xml:space="preserve"> </w:t>
            </w:r>
            <w:r w:rsidRPr="006C12BA">
              <w:t xml:space="preserve">– </w:t>
            </w:r>
            <w:r w:rsidR="006800AB" w:rsidRPr="006C12BA">
              <w:t>h</w:t>
            </w:r>
            <w:r w:rsidRPr="006C12BA">
              <w:t>eavy metals</w:t>
            </w:r>
          </w:p>
        </w:tc>
      </w:tr>
      <w:tr w:rsidR="00B764C3" w:rsidRPr="006C12BA" w14:paraId="2255E89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00C5835" w14:textId="77777777" w:rsidR="00B764C3" w:rsidRPr="008F1A53" w:rsidRDefault="00B764C3" w:rsidP="006C12BA">
            <w:pPr>
              <w:rPr>
                <w:b w:val="0"/>
              </w:rPr>
            </w:pPr>
            <w:r w:rsidRPr="008F1A53">
              <w:rPr>
                <w:b w:val="0"/>
              </w:rPr>
              <w:t>Cadmium (0.4g/day)</w:t>
            </w:r>
          </w:p>
        </w:tc>
        <w:tc>
          <w:tcPr>
            <w:tcW w:w="1134" w:type="dxa"/>
            <w:vAlign w:val="center"/>
          </w:tcPr>
          <w:p w14:paraId="24A0CAE3"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7943404"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B9C5738" w14:textId="6B1F56DA"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7CACA0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9B60B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7F237D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1C5073FB"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4C796AE" w14:textId="77777777" w:rsidR="00B764C3" w:rsidRPr="008F1A53" w:rsidRDefault="00B764C3" w:rsidP="006C12BA">
            <w:pPr>
              <w:rPr>
                <w:b w:val="0"/>
              </w:rPr>
            </w:pPr>
            <w:r w:rsidRPr="008F1A53">
              <w:rPr>
                <w:b w:val="0"/>
              </w:rPr>
              <w:t>Chromium III &amp; IV (&gt;100g/day)</w:t>
            </w:r>
          </w:p>
        </w:tc>
        <w:tc>
          <w:tcPr>
            <w:tcW w:w="1134" w:type="dxa"/>
            <w:vAlign w:val="center"/>
          </w:tcPr>
          <w:p w14:paraId="07EC7E29"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16B0A26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153AD34" w14:textId="72D3F1F9"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2285E8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1C0766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F8B412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07B0902"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57E17CF" w14:textId="77777777" w:rsidR="00B764C3" w:rsidRPr="008F1A53" w:rsidRDefault="00B764C3" w:rsidP="006C12BA">
            <w:pPr>
              <w:rPr>
                <w:b w:val="0"/>
              </w:rPr>
            </w:pPr>
            <w:r w:rsidRPr="008F1A53">
              <w:rPr>
                <w:b w:val="0"/>
              </w:rPr>
              <w:lastRenderedPageBreak/>
              <w:t>Copper (&gt;100g/day)</w:t>
            </w:r>
          </w:p>
        </w:tc>
        <w:tc>
          <w:tcPr>
            <w:tcW w:w="1134" w:type="dxa"/>
            <w:vAlign w:val="center"/>
          </w:tcPr>
          <w:p w14:paraId="61643FC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5DF0B95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77035A4E" w14:textId="5840EEA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6AC4D6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B227E5A"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55607E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5A90F1C"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155981" w14:textId="77777777" w:rsidR="00B764C3" w:rsidRPr="008F1A53" w:rsidRDefault="00B764C3" w:rsidP="006C12BA">
            <w:pPr>
              <w:rPr>
                <w:b w:val="0"/>
              </w:rPr>
            </w:pPr>
            <w:r w:rsidRPr="008F1A53">
              <w:rPr>
                <w:b w:val="0"/>
              </w:rPr>
              <w:t>Lead (&gt;100g/day)</w:t>
            </w:r>
          </w:p>
        </w:tc>
        <w:tc>
          <w:tcPr>
            <w:tcW w:w="1134" w:type="dxa"/>
            <w:vAlign w:val="center"/>
          </w:tcPr>
          <w:p w14:paraId="7D17AA83"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0FF55F2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34FFC83" w14:textId="4E105469"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3E9700E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20AC3E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2099BC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F94CDA6"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1B57067" w14:textId="77777777" w:rsidR="00B764C3" w:rsidRPr="008F1A53" w:rsidRDefault="00B764C3" w:rsidP="006C12BA">
            <w:pPr>
              <w:rPr>
                <w:b w:val="0"/>
              </w:rPr>
            </w:pPr>
            <w:r w:rsidRPr="008F1A53">
              <w:rPr>
                <w:b w:val="0"/>
              </w:rPr>
              <w:t>Mercury (&gt;0.2g/day)</w:t>
            </w:r>
          </w:p>
        </w:tc>
        <w:tc>
          <w:tcPr>
            <w:tcW w:w="1134" w:type="dxa"/>
            <w:vAlign w:val="center"/>
          </w:tcPr>
          <w:p w14:paraId="18A5E0FC"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2EB4D48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6A4AF71E" w14:textId="63830E85"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8F7283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CCDC80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D7F816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501DDC4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A222BC" w14:textId="77777777" w:rsidR="00B764C3" w:rsidRPr="008F1A53" w:rsidRDefault="00B764C3" w:rsidP="006C12BA">
            <w:pPr>
              <w:rPr>
                <w:b w:val="0"/>
              </w:rPr>
            </w:pPr>
            <w:r w:rsidRPr="008F1A53">
              <w:rPr>
                <w:b w:val="0"/>
              </w:rPr>
              <w:t>Nickel (&gt;10g/day)</w:t>
            </w:r>
          </w:p>
        </w:tc>
        <w:tc>
          <w:tcPr>
            <w:tcW w:w="1134" w:type="dxa"/>
            <w:vAlign w:val="center"/>
          </w:tcPr>
          <w:p w14:paraId="491B606F"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3A4F6F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8386EC" w14:textId="35D0DE02"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DBB51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BBF3DB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2B0B50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2F11E5BE"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49890F9" w14:textId="77777777" w:rsidR="00B764C3" w:rsidRPr="008F1A53" w:rsidRDefault="00B764C3" w:rsidP="006C12BA">
            <w:pPr>
              <w:rPr>
                <w:b w:val="0"/>
              </w:rPr>
            </w:pPr>
            <w:r w:rsidRPr="008F1A53">
              <w:rPr>
                <w:b w:val="0"/>
              </w:rPr>
              <w:t>Selenium (&gt;10g/day)</w:t>
            </w:r>
          </w:p>
        </w:tc>
        <w:tc>
          <w:tcPr>
            <w:tcW w:w="1134" w:type="dxa"/>
            <w:vAlign w:val="center"/>
          </w:tcPr>
          <w:p w14:paraId="0BFE70A2"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3B33B7F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4A2552A6" w14:textId="28E1B6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E094E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6BE342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9E3466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071382C5"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CA7868F" w14:textId="77777777" w:rsidR="00B764C3" w:rsidRPr="008F1A53" w:rsidRDefault="00B764C3" w:rsidP="006C12BA">
            <w:pPr>
              <w:rPr>
                <w:b w:val="0"/>
              </w:rPr>
            </w:pPr>
            <w:r w:rsidRPr="008F1A53">
              <w:rPr>
                <w:b w:val="0"/>
              </w:rPr>
              <w:t>Zinc (&gt;100g/day)</w:t>
            </w:r>
          </w:p>
        </w:tc>
        <w:tc>
          <w:tcPr>
            <w:tcW w:w="1134" w:type="dxa"/>
            <w:vAlign w:val="center"/>
          </w:tcPr>
          <w:p w14:paraId="21E2024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767F2274"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0659BE38" w14:textId="7621AE7F"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3BE32A6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4DEBD3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00E7E63"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25CB0B4"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128C7B23" w14:textId="77777777" w:rsidR="00100296" w:rsidRPr="006C12BA" w:rsidRDefault="00100296" w:rsidP="006C12BA">
            <w:r w:rsidRPr="006C12BA">
              <w:t>Non-residential trade waste penalty units</w:t>
            </w:r>
          </w:p>
        </w:tc>
      </w:tr>
      <w:tr w:rsidR="00B764C3" w:rsidRPr="006C12BA" w14:paraId="2CE548D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8F3ABB4" w14:textId="77777777" w:rsidR="00B764C3" w:rsidRPr="008F1A53" w:rsidRDefault="00B764C3" w:rsidP="006C12BA">
            <w:pPr>
              <w:rPr>
                <w:b w:val="0"/>
              </w:rPr>
            </w:pPr>
            <w:r w:rsidRPr="008F1A53">
              <w:rPr>
                <w:b w:val="0"/>
              </w:rPr>
              <w:t>1st major breach</w:t>
            </w:r>
          </w:p>
        </w:tc>
        <w:tc>
          <w:tcPr>
            <w:tcW w:w="1134" w:type="dxa"/>
            <w:vAlign w:val="center"/>
          </w:tcPr>
          <w:p w14:paraId="270EE8B7"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0202838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$204.68</w:t>
            </w:r>
          </w:p>
        </w:tc>
        <w:tc>
          <w:tcPr>
            <w:tcW w:w="1162" w:type="dxa"/>
            <w:vAlign w:val="center"/>
          </w:tcPr>
          <w:p w14:paraId="357CC41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$204.68</w:t>
            </w:r>
          </w:p>
        </w:tc>
        <w:tc>
          <w:tcPr>
            <w:tcW w:w="1162" w:type="dxa"/>
            <w:vAlign w:val="center"/>
          </w:tcPr>
          <w:p w14:paraId="0E7B45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A130D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7E6D0C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4FD47FC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27A642" w14:textId="77777777" w:rsidR="00B764C3" w:rsidRPr="008F1A53" w:rsidRDefault="00B764C3" w:rsidP="006C12BA">
            <w:pPr>
              <w:rPr>
                <w:b w:val="0"/>
              </w:rPr>
            </w:pPr>
            <w:r w:rsidRPr="008F1A53">
              <w:rPr>
                <w:b w:val="0"/>
              </w:rPr>
              <w:t>2nd major breach</w:t>
            </w:r>
          </w:p>
        </w:tc>
        <w:tc>
          <w:tcPr>
            <w:tcW w:w="1134" w:type="dxa"/>
            <w:vAlign w:val="center"/>
          </w:tcPr>
          <w:p w14:paraId="5322297D"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609E6F75"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$432.13</w:t>
            </w:r>
          </w:p>
        </w:tc>
        <w:tc>
          <w:tcPr>
            <w:tcW w:w="1162" w:type="dxa"/>
            <w:vAlign w:val="center"/>
          </w:tcPr>
          <w:p w14:paraId="3926CD8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$432.13</w:t>
            </w:r>
          </w:p>
        </w:tc>
        <w:tc>
          <w:tcPr>
            <w:tcW w:w="1162" w:type="dxa"/>
            <w:vAlign w:val="center"/>
          </w:tcPr>
          <w:p w14:paraId="20A838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09A81A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26CB7C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1770080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637C234" w14:textId="77777777" w:rsidR="00B764C3" w:rsidRPr="008F1A53" w:rsidRDefault="00B764C3" w:rsidP="006C12BA">
            <w:pPr>
              <w:rPr>
                <w:b w:val="0"/>
              </w:rPr>
            </w:pPr>
            <w:r w:rsidRPr="008F1A53">
              <w:rPr>
                <w:b w:val="0"/>
              </w:rPr>
              <w:t>3rd major breach</w:t>
            </w:r>
          </w:p>
        </w:tc>
        <w:tc>
          <w:tcPr>
            <w:tcW w:w="1134" w:type="dxa"/>
            <w:vAlign w:val="center"/>
          </w:tcPr>
          <w:p w14:paraId="4421F97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666D1DE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$966.62</w:t>
            </w:r>
          </w:p>
        </w:tc>
        <w:tc>
          <w:tcPr>
            <w:tcW w:w="1162" w:type="dxa"/>
            <w:vAlign w:val="center"/>
          </w:tcPr>
          <w:p w14:paraId="0320290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$966.62</w:t>
            </w:r>
          </w:p>
        </w:tc>
        <w:tc>
          <w:tcPr>
            <w:tcW w:w="1162" w:type="dxa"/>
            <w:vAlign w:val="center"/>
          </w:tcPr>
          <w:p w14:paraId="03D3387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92A83FA"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F15EE9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4A9AC2A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FF0CC36" w14:textId="77777777" w:rsidR="00B764C3" w:rsidRPr="008F1A53" w:rsidRDefault="00B764C3" w:rsidP="006C12BA">
            <w:pPr>
              <w:rPr>
                <w:b w:val="0"/>
              </w:rPr>
            </w:pPr>
            <w:r w:rsidRPr="008F1A53">
              <w:rPr>
                <w:b w:val="0"/>
              </w:rPr>
              <w:t>4th major breach</w:t>
            </w:r>
          </w:p>
        </w:tc>
        <w:tc>
          <w:tcPr>
            <w:tcW w:w="1134" w:type="dxa"/>
            <w:vAlign w:val="center"/>
          </w:tcPr>
          <w:p w14:paraId="13D6FB07"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3968F2F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$1,967.38</w:t>
            </w:r>
          </w:p>
        </w:tc>
        <w:tc>
          <w:tcPr>
            <w:tcW w:w="1162" w:type="dxa"/>
            <w:vAlign w:val="center"/>
          </w:tcPr>
          <w:p w14:paraId="0A3EBDA3"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$1,967.38</w:t>
            </w:r>
          </w:p>
        </w:tc>
        <w:tc>
          <w:tcPr>
            <w:tcW w:w="1162" w:type="dxa"/>
            <w:vAlign w:val="center"/>
          </w:tcPr>
          <w:p w14:paraId="23FDD5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BE1697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1970B55"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bl>
    <w:p w14:paraId="2E2B37FF" w14:textId="70D01E06" w:rsidR="00100296" w:rsidRDefault="00CB77BA" w:rsidP="00100296">
      <w:r w:rsidRPr="00CB77BA">
        <w:t>*Trade waste risk ranks have been inversed for the western region</w:t>
      </w:r>
      <w:r>
        <w:t>.</w:t>
      </w:r>
    </w:p>
    <w:p w14:paraId="6A334B9A" w14:textId="77777777" w:rsidR="00851765" w:rsidRDefault="00851765">
      <w:pPr>
        <w:spacing w:before="0" w:after="160" w:line="259" w:lineRule="auto"/>
      </w:pPr>
      <w:r>
        <w:br w:type="page"/>
      </w:r>
    </w:p>
    <w:p w14:paraId="5EE7A17F" w14:textId="7348EB40" w:rsidR="007268EB" w:rsidRDefault="007268EB" w:rsidP="00BB45A5">
      <w:pPr>
        <w:pStyle w:val="Heading2"/>
      </w:pPr>
      <w:bookmarkStart w:id="176" w:name="_Ref145919928"/>
      <w:bookmarkStart w:id="177" w:name="_Toc146004874"/>
      <w:bookmarkStart w:id="178" w:name="_Toc146004762"/>
      <w:bookmarkStart w:id="179" w:name="_Toc146746708"/>
      <w:r w:rsidRPr="00385026">
        <w:lastRenderedPageBreak/>
        <w:t>New customer contributions</w:t>
      </w:r>
      <w:bookmarkEnd w:id="176"/>
      <w:bookmarkEnd w:id="177"/>
      <w:bookmarkEnd w:id="178"/>
      <w:bookmarkEnd w:id="179"/>
    </w:p>
    <w:p w14:paraId="5B8CFD09" w14:textId="7B16B371" w:rsidR="00F9658B" w:rsidRDefault="00F9658B" w:rsidP="007268EB">
      <w:r w:rsidRPr="00F9658B">
        <w:t>GWW is investing in the delivery of assets to meet the significant growth occurring across our service area.</w:t>
      </w:r>
      <w:r w:rsidR="00DB308C">
        <w:t xml:space="preserve"> </w:t>
      </w:r>
      <w:r w:rsidRPr="00F9658B">
        <w:t>We charge new customer contributions (NCC) for new lot connections to recover a contribution to the infrastructure costs to service new customers through the augmentation and expansion of networks and treatment plants. Our proposed NCC charges have been informed by the feedback received through</w:t>
      </w:r>
      <w:r w:rsidRPr="00F9658B" w:rsidDel="008546FB">
        <w:t xml:space="preserve"> </w:t>
      </w:r>
      <w:r w:rsidRPr="00F9658B">
        <w:t>three dedicated engagement forums with representatives from the property development industry</w:t>
      </w:r>
      <w:r w:rsidR="003C64EA">
        <w:t xml:space="preserve">, outlined in </w:t>
      </w:r>
      <w:r w:rsidR="004922E6">
        <w:t>S</w:t>
      </w:r>
      <w:r w:rsidR="003C64EA">
        <w:t>ection</w:t>
      </w:r>
      <w:r w:rsidR="0067759B">
        <w:t xml:space="preserve"> 2.4.3</w:t>
      </w:r>
      <w:r w:rsidR="00E44E89">
        <w:fldChar w:fldCharType="begin"/>
      </w:r>
      <w:r w:rsidR="00E44E89">
        <w:instrText xml:space="preserve"> REF _Ref145924683 \n \h </w:instrText>
      </w:r>
      <w:r w:rsidR="0069425C">
        <w:fldChar w:fldCharType="separate"/>
      </w:r>
      <w:r w:rsidR="00E44E89">
        <w:fldChar w:fldCharType="end"/>
      </w:r>
      <w:r w:rsidR="00E44E89">
        <w:t>.</w:t>
      </w:r>
    </w:p>
    <w:p w14:paraId="531AE6B4" w14:textId="36C46C32" w:rsidR="002019B7" w:rsidRDefault="002019B7" w:rsidP="005B69CD">
      <w:pPr>
        <w:pStyle w:val="Heading3"/>
      </w:pPr>
      <w:r>
        <w:t>Existing N</w:t>
      </w:r>
      <w:r w:rsidR="00EE6A02">
        <w:t xml:space="preserve">ew </w:t>
      </w:r>
      <w:r>
        <w:t>C</w:t>
      </w:r>
      <w:r w:rsidR="00EE6A02">
        <w:t xml:space="preserve">ustomer </w:t>
      </w:r>
      <w:r>
        <w:t>C</w:t>
      </w:r>
      <w:r w:rsidR="00EE6A02">
        <w:t>ontribution</w:t>
      </w:r>
      <w:r>
        <w:t xml:space="preserve"> structure</w:t>
      </w:r>
    </w:p>
    <w:p w14:paraId="4A115E3B" w14:textId="0DF91352" w:rsidR="002019B7" w:rsidRDefault="002019B7" w:rsidP="002019B7">
      <w:r>
        <w:t xml:space="preserve">The existing NCC charging approaches differ in the legacy service areas. The entire central region is covered by a standard water charge and standard sewer charge with a dedicated recycled water NCC charge applying in </w:t>
      </w:r>
      <w:r w:rsidR="003A370F">
        <w:t xml:space="preserve">the </w:t>
      </w:r>
      <w:r>
        <w:t>Greek Hill and West Werribee recycled water zones. All NCC charges in the central region have remained flat in real terms since 2018.</w:t>
      </w:r>
    </w:p>
    <w:p w14:paraId="1758EB48" w14:textId="2BA2F8B8" w:rsidR="002019B7" w:rsidRDefault="002019B7" w:rsidP="002019B7">
      <w:r>
        <w:t xml:space="preserve">In the </w:t>
      </w:r>
      <w:r w:rsidR="69CDB1E1">
        <w:t>w</w:t>
      </w:r>
      <w:r>
        <w:t xml:space="preserve">estern region, charges are split by </w:t>
      </w:r>
      <w:r w:rsidR="00B355EC">
        <w:t>I</w:t>
      </w:r>
      <w:r>
        <w:t>nfill and Greenfield NCCs. Under the ESC’s 2020 determination, the Greenfield charge has been increasing by 5% in real terms each year as a transitional approach to more cost</w:t>
      </w:r>
      <w:r w:rsidR="00E779BD">
        <w:t>-</w:t>
      </w:r>
      <w:r>
        <w:t>reflective levels. Both the Greenfield and Infill charges are reflected in the existing determination as a per lot connection charge that’s fully inclusive of water, recycled water (if applicable) and sewer connections. In practice, some new connections in the western region do not receive a sewer connection and the charges are therefore applied as a 50/50 split with water (including any applicable recycled water) and sewer connections each charged at 50% of the per lot rate.</w:t>
      </w:r>
    </w:p>
    <w:p w14:paraId="3FEEF271" w14:textId="4FC53D7D" w:rsidR="007268EB" w:rsidRDefault="007268EB" w:rsidP="005B69CD">
      <w:pPr>
        <w:pStyle w:val="Heading3"/>
      </w:pPr>
      <w:r>
        <w:t xml:space="preserve">Our proposed </w:t>
      </w:r>
      <w:r w:rsidR="006636F3">
        <w:t>New Customer Contribution</w:t>
      </w:r>
      <w:r>
        <w:t xml:space="preserve"> structure</w:t>
      </w:r>
    </w:p>
    <w:p w14:paraId="2EDD3F43" w14:textId="6B4F5B5F" w:rsidR="004B07FC" w:rsidRDefault="004B07FC" w:rsidP="004B07FC">
      <w:r>
        <w:t xml:space="preserve">GWW has used the ESC’s net incremental cost approach </w:t>
      </w:r>
      <w:r w:rsidR="001D54A7">
        <w:t xml:space="preserve">and the ESC’s </w:t>
      </w:r>
      <w:r w:rsidR="00956CA0">
        <w:t xml:space="preserve">NCC pricing principles </w:t>
      </w:r>
      <w:r>
        <w:t>to undertake an assessment of the costs to service new connections across our service area.</w:t>
      </w:r>
    </w:p>
    <w:p w14:paraId="0F1AA622" w14:textId="670462DB" w:rsidR="007268EB" w:rsidRDefault="007268EB" w:rsidP="007268EB">
      <w:r>
        <w:t xml:space="preserve">We developed a new GWW net incremental cost model to investigate the costs per connection across the key growth area covered by the </w:t>
      </w:r>
      <w:r w:rsidR="004777A8">
        <w:t>w</w:t>
      </w:r>
      <w:r>
        <w:t xml:space="preserve">estern Greenfield charge and the costs per connection across the </w:t>
      </w:r>
      <w:r w:rsidR="005350A1">
        <w:t>c</w:t>
      </w:r>
      <w:r>
        <w:t xml:space="preserve">entral region and infill connections in the </w:t>
      </w:r>
      <w:r w:rsidR="18C5F6B1">
        <w:t>w</w:t>
      </w:r>
      <w:r>
        <w:t xml:space="preserve">estern region and recycled water costs in the Greek Hill and West Werribee zones. </w:t>
      </w:r>
      <w:r w:rsidR="00F47AE4">
        <w:fldChar w:fldCharType="begin"/>
      </w:r>
      <w:r w:rsidR="00F47AE4">
        <w:instrText xml:space="preserve"> REF _Ref144723631 \h </w:instrText>
      </w:r>
      <w:r w:rsidR="00F47AE4">
        <w:fldChar w:fldCharType="separate"/>
      </w:r>
      <w:r w:rsidR="003B42C6" w:rsidRPr="00793B39">
        <w:rPr>
          <w:b/>
        </w:rPr>
        <w:t xml:space="preserve">Table </w:t>
      </w:r>
      <w:r w:rsidR="003B42C6">
        <w:rPr>
          <w:b/>
          <w:noProof/>
        </w:rPr>
        <w:t>40</w:t>
      </w:r>
      <w:r w:rsidR="00F47AE4">
        <w:fldChar w:fldCharType="end"/>
      </w:r>
      <w:r w:rsidR="00CF720D">
        <w:t xml:space="preserve"> </w:t>
      </w:r>
      <w:r>
        <w:t xml:space="preserve">shows the modelled costs </w:t>
      </w:r>
      <w:r w:rsidR="0060508A">
        <w:t xml:space="preserve">per connection </w:t>
      </w:r>
      <w:r>
        <w:t>as well as our proposed transition paths over the regulatory period.</w:t>
      </w:r>
    </w:p>
    <w:p w14:paraId="35AC78BB" w14:textId="1524C189" w:rsidR="00F47AE4" w:rsidRDefault="00F47AE4" w:rsidP="005B4BB4">
      <w:pPr>
        <w:pStyle w:val="Caption"/>
      </w:pPr>
      <w:bookmarkStart w:id="180" w:name="_Ref144723631"/>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40</w:t>
      </w:r>
      <w:r w:rsidRPr="00793B39">
        <w:rPr>
          <w:b/>
        </w:rPr>
        <w:fldChar w:fldCharType="end"/>
      </w:r>
      <w:bookmarkEnd w:id="180"/>
      <w:r>
        <w:t xml:space="preserve"> Proposed new customer connection charges</w:t>
      </w:r>
      <w:r w:rsidR="00A06FCC">
        <w:t xml:space="preserve"> </w:t>
      </w:r>
      <w:r w:rsidR="00F7254F">
        <w:t>($, 2023-24)</w:t>
      </w:r>
    </w:p>
    <w:tbl>
      <w:tblPr>
        <w:tblStyle w:val="GWWDefaulttable"/>
        <w:tblW w:w="0" w:type="auto"/>
        <w:tblCellMar>
          <w:top w:w="57" w:type="dxa"/>
          <w:bottom w:w="57" w:type="dxa"/>
        </w:tblCellMar>
        <w:tblLook w:val="0420" w:firstRow="1" w:lastRow="0" w:firstColumn="0" w:lastColumn="0" w:noHBand="0" w:noVBand="1"/>
      </w:tblPr>
      <w:tblGrid>
        <w:gridCol w:w="1314"/>
        <w:gridCol w:w="1333"/>
        <w:gridCol w:w="1364"/>
        <w:gridCol w:w="825"/>
        <w:gridCol w:w="825"/>
        <w:gridCol w:w="825"/>
        <w:gridCol w:w="825"/>
        <w:gridCol w:w="825"/>
        <w:gridCol w:w="1502"/>
      </w:tblGrid>
      <w:tr w:rsidR="008114B2" w:rsidRPr="00AA4C92" w14:paraId="22B06110" w14:textId="77777777" w:rsidTr="009A118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C643268" w14:textId="77777777" w:rsidR="007268EB" w:rsidRPr="00AA4C92" w:rsidRDefault="007268EB" w:rsidP="00505A92">
            <w:r w:rsidRPr="00AA4C92">
              <w:rPr>
                <w:bCs/>
                <w:lang w:val="en-US"/>
              </w:rPr>
              <w:t xml:space="preserve">Current structure </w:t>
            </w:r>
          </w:p>
        </w:tc>
        <w:tc>
          <w:tcPr>
            <w:tcW w:w="0" w:type="auto"/>
            <w:vAlign w:val="center"/>
            <w:hideMark/>
          </w:tcPr>
          <w:p w14:paraId="7AEE8144" w14:textId="77777777" w:rsidR="007268EB" w:rsidRPr="00AA4C92" w:rsidRDefault="007268EB" w:rsidP="00505A92">
            <w:r w:rsidRPr="00AA4C92">
              <w:rPr>
                <w:bCs/>
                <w:lang w:val="en-US"/>
              </w:rPr>
              <w:t>New Structure</w:t>
            </w:r>
          </w:p>
        </w:tc>
        <w:tc>
          <w:tcPr>
            <w:tcW w:w="0" w:type="auto"/>
            <w:vAlign w:val="center"/>
            <w:hideMark/>
          </w:tcPr>
          <w:p w14:paraId="2AE20477" w14:textId="77777777" w:rsidR="007268EB" w:rsidRPr="00AA4C92" w:rsidRDefault="007268EB" w:rsidP="00505A92">
            <w:r w:rsidRPr="00AA4C92">
              <w:rPr>
                <w:bCs/>
                <w:lang w:val="en-US"/>
              </w:rPr>
              <w:t>Service connection</w:t>
            </w:r>
          </w:p>
        </w:tc>
        <w:tc>
          <w:tcPr>
            <w:tcW w:w="0" w:type="auto"/>
            <w:vAlign w:val="center"/>
            <w:hideMark/>
          </w:tcPr>
          <w:p w14:paraId="3BD21F53" w14:textId="77777777" w:rsidR="007268EB" w:rsidRPr="00AA4C92" w:rsidRDefault="007268EB" w:rsidP="009A1182">
            <w:pPr>
              <w:jc w:val="right"/>
            </w:pPr>
            <w:r w:rsidRPr="00AA4C92">
              <w:rPr>
                <w:bCs/>
                <w:lang w:val="en-US"/>
              </w:rPr>
              <w:t>2023-24</w:t>
            </w:r>
          </w:p>
        </w:tc>
        <w:tc>
          <w:tcPr>
            <w:tcW w:w="0" w:type="auto"/>
            <w:vAlign w:val="center"/>
            <w:hideMark/>
          </w:tcPr>
          <w:p w14:paraId="070881AE" w14:textId="77777777" w:rsidR="007268EB" w:rsidRPr="00AA4C92" w:rsidRDefault="007268EB" w:rsidP="009A1182">
            <w:pPr>
              <w:jc w:val="right"/>
            </w:pPr>
            <w:r w:rsidRPr="00AA4C92">
              <w:rPr>
                <w:bCs/>
                <w:lang w:val="en-US"/>
              </w:rPr>
              <w:t>2024-25</w:t>
            </w:r>
          </w:p>
        </w:tc>
        <w:tc>
          <w:tcPr>
            <w:tcW w:w="0" w:type="auto"/>
            <w:vAlign w:val="center"/>
            <w:hideMark/>
          </w:tcPr>
          <w:p w14:paraId="6C63B179" w14:textId="77777777" w:rsidR="007268EB" w:rsidRPr="00AA4C92" w:rsidRDefault="007268EB" w:rsidP="009A1182">
            <w:pPr>
              <w:jc w:val="right"/>
            </w:pPr>
            <w:r w:rsidRPr="00AA4C92">
              <w:rPr>
                <w:bCs/>
                <w:lang w:val="en-US"/>
              </w:rPr>
              <w:t>2025-26</w:t>
            </w:r>
          </w:p>
        </w:tc>
        <w:tc>
          <w:tcPr>
            <w:tcW w:w="0" w:type="auto"/>
            <w:vAlign w:val="center"/>
            <w:hideMark/>
          </w:tcPr>
          <w:p w14:paraId="479C50D0" w14:textId="77777777" w:rsidR="007268EB" w:rsidRPr="00AA4C92" w:rsidRDefault="007268EB" w:rsidP="009A1182">
            <w:pPr>
              <w:jc w:val="right"/>
            </w:pPr>
            <w:r w:rsidRPr="00AA4C92">
              <w:rPr>
                <w:bCs/>
                <w:lang w:val="en-US"/>
              </w:rPr>
              <w:t>2026-27</w:t>
            </w:r>
          </w:p>
        </w:tc>
        <w:tc>
          <w:tcPr>
            <w:tcW w:w="0" w:type="auto"/>
            <w:vAlign w:val="center"/>
            <w:hideMark/>
          </w:tcPr>
          <w:p w14:paraId="52D51E18" w14:textId="77777777" w:rsidR="007268EB" w:rsidRPr="00AA4C92" w:rsidRDefault="007268EB" w:rsidP="009A1182">
            <w:pPr>
              <w:jc w:val="right"/>
            </w:pPr>
            <w:r w:rsidRPr="00AA4C92">
              <w:rPr>
                <w:bCs/>
                <w:lang w:val="en-US"/>
              </w:rPr>
              <w:t>2027-28</w:t>
            </w:r>
          </w:p>
        </w:tc>
        <w:tc>
          <w:tcPr>
            <w:tcW w:w="0" w:type="auto"/>
            <w:vAlign w:val="center"/>
            <w:hideMark/>
          </w:tcPr>
          <w:p w14:paraId="54F05316" w14:textId="09DEB573" w:rsidR="007268EB" w:rsidRPr="00AA4C92" w:rsidRDefault="007268EB" w:rsidP="009A1182">
            <w:r w:rsidRPr="00AA4C92">
              <w:rPr>
                <w:bCs/>
                <w:lang w:val="en-US"/>
              </w:rPr>
              <w:t>Modelled cost per connection</w:t>
            </w:r>
          </w:p>
        </w:tc>
      </w:tr>
      <w:tr w:rsidR="00505A92" w:rsidRPr="00AA4C92" w14:paraId="2980DCDC" w14:textId="77777777" w:rsidTr="009A1182">
        <w:trPr>
          <w:trHeight w:val="20"/>
        </w:trPr>
        <w:tc>
          <w:tcPr>
            <w:tcW w:w="0" w:type="auto"/>
            <w:vMerge w:val="restart"/>
            <w:vAlign w:val="center"/>
            <w:hideMark/>
          </w:tcPr>
          <w:p w14:paraId="63887622" w14:textId="77777777" w:rsidR="00505A92" w:rsidRPr="00BB78FB" w:rsidRDefault="00505A92">
            <w:r w:rsidRPr="00BB78FB">
              <w:rPr>
                <w:lang w:val="en-US"/>
              </w:rPr>
              <w:t>CWW Standard</w:t>
            </w:r>
          </w:p>
        </w:tc>
        <w:tc>
          <w:tcPr>
            <w:tcW w:w="0" w:type="auto"/>
            <w:vMerge w:val="restart"/>
            <w:vAlign w:val="center"/>
            <w:hideMark/>
          </w:tcPr>
          <w:p w14:paraId="0528CF98" w14:textId="77777777" w:rsidR="00505A92" w:rsidRPr="00BB78FB" w:rsidRDefault="00505A92">
            <w:r w:rsidRPr="00BB78FB">
              <w:rPr>
                <w:lang w:val="en-US"/>
              </w:rPr>
              <w:t>GWW Standard</w:t>
            </w:r>
          </w:p>
        </w:tc>
        <w:tc>
          <w:tcPr>
            <w:tcW w:w="0" w:type="auto"/>
            <w:vAlign w:val="center"/>
            <w:hideMark/>
          </w:tcPr>
          <w:p w14:paraId="09B0BA83" w14:textId="77777777" w:rsidR="00505A92" w:rsidRPr="00BB78FB" w:rsidRDefault="00505A92">
            <w:r w:rsidRPr="00BB78FB">
              <w:rPr>
                <w:lang w:val="en-US"/>
              </w:rPr>
              <w:t>Water</w:t>
            </w:r>
          </w:p>
        </w:tc>
        <w:tc>
          <w:tcPr>
            <w:tcW w:w="0" w:type="auto"/>
            <w:shd w:val="clear" w:color="auto" w:fill="auto"/>
            <w:vAlign w:val="center"/>
            <w:hideMark/>
          </w:tcPr>
          <w:p w14:paraId="5BEFE138" w14:textId="77777777" w:rsidR="00505A92" w:rsidRPr="00BB78FB" w:rsidRDefault="00505A92" w:rsidP="009A1182">
            <w:pPr>
              <w:jc w:val="right"/>
            </w:pPr>
            <w:r w:rsidRPr="00BB78FB">
              <w:t>$827</w:t>
            </w:r>
          </w:p>
        </w:tc>
        <w:tc>
          <w:tcPr>
            <w:tcW w:w="0" w:type="auto"/>
            <w:shd w:val="clear" w:color="auto" w:fill="auto"/>
            <w:vAlign w:val="center"/>
            <w:hideMark/>
          </w:tcPr>
          <w:p w14:paraId="1CA012F0" w14:textId="77777777" w:rsidR="00505A92" w:rsidRPr="00BB78FB" w:rsidRDefault="00505A92" w:rsidP="009A1182">
            <w:pPr>
              <w:jc w:val="right"/>
            </w:pPr>
            <w:r w:rsidRPr="00BB78FB">
              <w:t>$915</w:t>
            </w:r>
          </w:p>
        </w:tc>
        <w:tc>
          <w:tcPr>
            <w:tcW w:w="0" w:type="auto"/>
            <w:shd w:val="clear" w:color="auto" w:fill="auto"/>
            <w:vAlign w:val="center"/>
            <w:hideMark/>
          </w:tcPr>
          <w:p w14:paraId="440342C0" w14:textId="77777777" w:rsidR="00505A92" w:rsidRPr="00BB78FB" w:rsidRDefault="00505A92" w:rsidP="009A1182">
            <w:pPr>
              <w:jc w:val="right"/>
            </w:pPr>
            <w:r w:rsidRPr="00BB78FB">
              <w:t>$960</w:t>
            </w:r>
          </w:p>
        </w:tc>
        <w:tc>
          <w:tcPr>
            <w:tcW w:w="0" w:type="auto"/>
            <w:shd w:val="clear" w:color="auto" w:fill="auto"/>
            <w:vAlign w:val="center"/>
            <w:hideMark/>
          </w:tcPr>
          <w:p w14:paraId="4C24971E" w14:textId="77777777" w:rsidR="00505A92" w:rsidRPr="00BB78FB" w:rsidRDefault="00505A92" w:rsidP="009A1182">
            <w:pPr>
              <w:jc w:val="right"/>
            </w:pPr>
            <w:r w:rsidRPr="00BB78FB">
              <w:t>$1,008</w:t>
            </w:r>
          </w:p>
        </w:tc>
        <w:tc>
          <w:tcPr>
            <w:tcW w:w="0" w:type="auto"/>
            <w:shd w:val="clear" w:color="auto" w:fill="auto"/>
            <w:vAlign w:val="center"/>
            <w:hideMark/>
          </w:tcPr>
          <w:p w14:paraId="32C62BCC" w14:textId="77777777" w:rsidR="00505A92" w:rsidRPr="00BB78FB" w:rsidRDefault="00505A92" w:rsidP="009A1182">
            <w:pPr>
              <w:jc w:val="right"/>
            </w:pPr>
            <w:r w:rsidRPr="00BB78FB">
              <w:t>$1,059</w:t>
            </w:r>
          </w:p>
        </w:tc>
        <w:tc>
          <w:tcPr>
            <w:tcW w:w="0" w:type="auto"/>
            <w:vMerge w:val="restart"/>
            <w:shd w:val="clear" w:color="auto" w:fill="auto"/>
            <w:vAlign w:val="center"/>
            <w:hideMark/>
          </w:tcPr>
          <w:p w14:paraId="778AF90A" w14:textId="1E6659B9" w:rsidR="00505A92" w:rsidRPr="00BB78FB" w:rsidRDefault="00505A92" w:rsidP="009A1182">
            <w:pPr>
              <w:jc w:val="center"/>
            </w:pPr>
            <w:r w:rsidRPr="00BB78FB">
              <w:t>$</w:t>
            </w:r>
            <w:r w:rsidR="00B54097">
              <w:t>3,776</w:t>
            </w:r>
            <w:r w:rsidRPr="00BB78FB">
              <w:t xml:space="preserve"> combined</w:t>
            </w:r>
          </w:p>
        </w:tc>
      </w:tr>
      <w:tr w:rsidR="00505A92" w:rsidRPr="00AA4C92" w14:paraId="47AB631F" w14:textId="77777777" w:rsidTr="009A1182">
        <w:trPr>
          <w:trHeight w:val="20"/>
        </w:trPr>
        <w:tc>
          <w:tcPr>
            <w:tcW w:w="0" w:type="auto"/>
            <w:vMerge/>
            <w:vAlign w:val="center"/>
            <w:hideMark/>
          </w:tcPr>
          <w:p w14:paraId="4FA5B0DF" w14:textId="77777777" w:rsidR="00505A92" w:rsidRPr="00BB78FB" w:rsidRDefault="00505A92"/>
        </w:tc>
        <w:tc>
          <w:tcPr>
            <w:tcW w:w="0" w:type="auto"/>
            <w:vMerge/>
            <w:vAlign w:val="center"/>
            <w:hideMark/>
          </w:tcPr>
          <w:p w14:paraId="227F49C2" w14:textId="77777777" w:rsidR="00505A92" w:rsidRPr="00BB78FB" w:rsidRDefault="00505A92"/>
        </w:tc>
        <w:tc>
          <w:tcPr>
            <w:tcW w:w="0" w:type="auto"/>
            <w:vAlign w:val="center"/>
            <w:hideMark/>
          </w:tcPr>
          <w:p w14:paraId="083D5CCA" w14:textId="77777777" w:rsidR="00505A92" w:rsidRPr="00BB78FB" w:rsidRDefault="00505A92">
            <w:r w:rsidRPr="00BB78FB">
              <w:rPr>
                <w:lang w:val="en-US"/>
              </w:rPr>
              <w:t>Sewer</w:t>
            </w:r>
          </w:p>
        </w:tc>
        <w:tc>
          <w:tcPr>
            <w:tcW w:w="0" w:type="auto"/>
            <w:shd w:val="clear" w:color="auto" w:fill="auto"/>
            <w:vAlign w:val="center"/>
            <w:hideMark/>
          </w:tcPr>
          <w:p w14:paraId="351D6589" w14:textId="77777777" w:rsidR="00505A92" w:rsidRPr="00BB78FB" w:rsidRDefault="00505A92" w:rsidP="009A1182">
            <w:pPr>
              <w:jc w:val="right"/>
            </w:pPr>
            <w:r w:rsidRPr="00BB78FB">
              <w:t>$827</w:t>
            </w:r>
          </w:p>
        </w:tc>
        <w:tc>
          <w:tcPr>
            <w:tcW w:w="0" w:type="auto"/>
            <w:shd w:val="clear" w:color="auto" w:fill="auto"/>
            <w:vAlign w:val="center"/>
            <w:hideMark/>
          </w:tcPr>
          <w:p w14:paraId="43CCFC6E" w14:textId="77777777" w:rsidR="00505A92" w:rsidRPr="00BB78FB" w:rsidRDefault="00505A92" w:rsidP="009A1182">
            <w:pPr>
              <w:jc w:val="right"/>
            </w:pPr>
            <w:r w:rsidRPr="00BB78FB">
              <w:t>$915</w:t>
            </w:r>
          </w:p>
        </w:tc>
        <w:tc>
          <w:tcPr>
            <w:tcW w:w="0" w:type="auto"/>
            <w:shd w:val="clear" w:color="auto" w:fill="auto"/>
            <w:vAlign w:val="center"/>
            <w:hideMark/>
          </w:tcPr>
          <w:p w14:paraId="29FCE2A0" w14:textId="77777777" w:rsidR="00505A92" w:rsidRPr="00BB78FB" w:rsidRDefault="00505A92" w:rsidP="009A1182">
            <w:pPr>
              <w:jc w:val="right"/>
            </w:pPr>
            <w:r w:rsidRPr="00BB78FB">
              <w:t>$960</w:t>
            </w:r>
          </w:p>
        </w:tc>
        <w:tc>
          <w:tcPr>
            <w:tcW w:w="0" w:type="auto"/>
            <w:shd w:val="clear" w:color="auto" w:fill="auto"/>
            <w:vAlign w:val="center"/>
            <w:hideMark/>
          </w:tcPr>
          <w:p w14:paraId="658EE5B8" w14:textId="77777777" w:rsidR="00505A92" w:rsidRPr="00BB78FB" w:rsidRDefault="00505A92" w:rsidP="009A1182">
            <w:pPr>
              <w:jc w:val="right"/>
            </w:pPr>
            <w:r w:rsidRPr="00BB78FB">
              <w:t>$1,008</w:t>
            </w:r>
          </w:p>
        </w:tc>
        <w:tc>
          <w:tcPr>
            <w:tcW w:w="0" w:type="auto"/>
            <w:shd w:val="clear" w:color="auto" w:fill="auto"/>
            <w:vAlign w:val="center"/>
            <w:hideMark/>
          </w:tcPr>
          <w:p w14:paraId="360FBCA1" w14:textId="77777777" w:rsidR="00505A92" w:rsidRPr="00BB78FB" w:rsidRDefault="00505A92" w:rsidP="009A1182">
            <w:pPr>
              <w:jc w:val="right"/>
            </w:pPr>
            <w:r w:rsidRPr="00BB78FB">
              <w:t>$1,059</w:t>
            </w:r>
          </w:p>
        </w:tc>
        <w:tc>
          <w:tcPr>
            <w:tcW w:w="0" w:type="auto"/>
            <w:vMerge/>
            <w:vAlign w:val="center"/>
            <w:hideMark/>
          </w:tcPr>
          <w:p w14:paraId="14C43ED6" w14:textId="77777777" w:rsidR="00505A92" w:rsidRPr="00BB78FB" w:rsidRDefault="00505A92" w:rsidP="009A1182">
            <w:pPr>
              <w:jc w:val="center"/>
            </w:pPr>
          </w:p>
        </w:tc>
      </w:tr>
      <w:tr w:rsidR="00505A92" w:rsidRPr="00AA4C92" w14:paraId="52CD9FA8" w14:textId="77777777" w:rsidTr="009A1182">
        <w:trPr>
          <w:trHeight w:val="20"/>
        </w:trPr>
        <w:tc>
          <w:tcPr>
            <w:tcW w:w="0" w:type="auto"/>
            <w:vMerge w:val="restart"/>
            <w:vAlign w:val="center"/>
            <w:hideMark/>
          </w:tcPr>
          <w:p w14:paraId="15066BC3" w14:textId="77777777" w:rsidR="00505A92" w:rsidRPr="00BB78FB" w:rsidRDefault="00505A92">
            <w:r w:rsidRPr="00BB78FB">
              <w:rPr>
                <w:lang w:val="en-US"/>
              </w:rPr>
              <w:t>WW infill</w:t>
            </w:r>
          </w:p>
        </w:tc>
        <w:tc>
          <w:tcPr>
            <w:tcW w:w="0" w:type="auto"/>
            <w:vMerge w:val="restart"/>
            <w:vAlign w:val="center"/>
            <w:hideMark/>
          </w:tcPr>
          <w:p w14:paraId="3260E6F7" w14:textId="77777777" w:rsidR="00505A92" w:rsidRPr="00BB78FB" w:rsidRDefault="00505A92">
            <w:r w:rsidRPr="00BB78FB">
              <w:rPr>
                <w:lang w:val="en-US"/>
              </w:rPr>
              <w:t>GWW Standard</w:t>
            </w:r>
          </w:p>
        </w:tc>
        <w:tc>
          <w:tcPr>
            <w:tcW w:w="0" w:type="auto"/>
            <w:vAlign w:val="center"/>
            <w:hideMark/>
          </w:tcPr>
          <w:p w14:paraId="4A896460" w14:textId="77777777" w:rsidR="00505A92" w:rsidRPr="00BB78FB" w:rsidRDefault="00505A92">
            <w:r w:rsidRPr="00BB78FB">
              <w:rPr>
                <w:lang w:val="en-US"/>
              </w:rPr>
              <w:t>Water</w:t>
            </w:r>
          </w:p>
        </w:tc>
        <w:tc>
          <w:tcPr>
            <w:tcW w:w="0" w:type="auto"/>
            <w:shd w:val="clear" w:color="auto" w:fill="auto"/>
            <w:vAlign w:val="center"/>
            <w:hideMark/>
          </w:tcPr>
          <w:p w14:paraId="13DC9E21" w14:textId="77777777" w:rsidR="00505A92" w:rsidRPr="00BB78FB" w:rsidRDefault="00505A92" w:rsidP="009A1182">
            <w:pPr>
              <w:jc w:val="right"/>
            </w:pPr>
            <w:r w:rsidRPr="00BB78FB">
              <w:t>$1,566</w:t>
            </w:r>
          </w:p>
        </w:tc>
        <w:tc>
          <w:tcPr>
            <w:tcW w:w="0" w:type="auto"/>
            <w:shd w:val="clear" w:color="auto" w:fill="auto"/>
            <w:vAlign w:val="center"/>
            <w:hideMark/>
          </w:tcPr>
          <w:p w14:paraId="11AB1702" w14:textId="77777777" w:rsidR="00505A92" w:rsidRPr="00BB78FB" w:rsidRDefault="00505A92" w:rsidP="009A1182">
            <w:pPr>
              <w:jc w:val="right"/>
            </w:pPr>
            <w:r w:rsidRPr="00BB78FB">
              <w:t>$915</w:t>
            </w:r>
          </w:p>
        </w:tc>
        <w:tc>
          <w:tcPr>
            <w:tcW w:w="0" w:type="auto"/>
            <w:shd w:val="clear" w:color="auto" w:fill="auto"/>
            <w:vAlign w:val="center"/>
            <w:hideMark/>
          </w:tcPr>
          <w:p w14:paraId="6B9E51FC" w14:textId="77777777" w:rsidR="00505A92" w:rsidRPr="00BB78FB" w:rsidRDefault="00505A92" w:rsidP="009A1182">
            <w:pPr>
              <w:jc w:val="right"/>
            </w:pPr>
            <w:r w:rsidRPr="00BB78FB">
              <w:t>$960</w:t>
            </w:r>
          </w:p>
        </w:tc>
        <w:tc>
          <w:tcPr>
            <w:tcW w:w="0" w:type="auto"/>
            <w:shd w:val="clear" w:color="auto" w:fill="auto"/>
            <w:vAlign w:val="center"/>
            <w:hideMark/>
          </w:tcPr>
          <w:p w14:paraId="33BC1B78" w14:textId="77777777" w:rsidR="00505A92" w:rsidRPr="00BB78FB" w:rsidRDefault="00505A92" w:rsidP="009A1182">
            <w:pPr>
              <w:jc w:val="right"/>
            </w:pPr>
            <w:r w:rsidRPr="00BB78FB">
              <w:t>$1,008</w:t>
            </w:r>
          </w:p>
        </w:tc>
        <w:tc>
          <w:tcPr>
            <w:tcW w:w="0" w:type="auto"/>
            <w:shd w:val="clear" w:color="auto" w:fill="auto"/>
            <w:vAlign w:val="center"/>
            <w:hideMark/>
          </w:tcPr>
          <w:p w14:paraId="5276AC39" w14:textId="77777777" w:rsidR="00505A92" w:rsidRPr="00BB78FB" w:rsidRDefault="00505A92" w:rsidP="009A1182">
            <w:pPr>
              <w:jc w:val="right"/>
            </w:pPr>
            <w:r w:rsidRPr="00BB78FB">
              <w:t>$1,059</w:t>
            </w:r>
          </w:p>
        </w:tc>
        <w:tc>
          <w:tcPr>
            <w:tcW w:w="0" w:type="auto"/>
            <w:vMerge/>
            <w:shd w:val="clear" w:color="auto" w:fill="auto"/>
            <w:vAlign w:val="center"/>
            <w:hideMark/>
          </w:tcPr>
          <w:p w14:paraId="2DB9FA8C" w14:textId="45EBB05C" w:rsidR="00505A92" w:rsidRPr="00BB78FB" w:rsidRDefault="00505A92" w:rsidP="009A1182">
            <w:pPr>
              <w:jc w:val="center"/>
            </w:pPr>
          </w:p>
        </w:tc>
      </w:tr>
      <w:tr w:rsidR="00505A92" w:rsidRPr="00AA4C92" w14:paraId="0B41D3B4" w14:textId="77777777" w:rsidTr="009A1182">
        <w:trPr>
          <w:trHeight w:val="20"/>
        </w:trPr>
        <w:tc>
          <w:tcPr>
            <w:tcW w:w="0" w:type="auto"/>
            <w:vMerge/>
            <w:vAlign w:val="center"/>
            <w:hideMark/>
          </w:tcPr>
          <w:p w14:paraId="3572BEDB" w14:textId="77777777" w:rsidR="00505A92" w:rsidRPr="00BB78FB" w:rsidRDefault="00505A92"/>
        </w:tc>
        <w:tc>
          <w:tcPr>
            <w:tcW w:w="0" w:type="auto"/>
            <w:vMerge/>
            <w:vAlign w:val="center"/>
            <w:hideMark/>
          </w:tcPr>
          <w:p w14:paraId="0E10B4B3" w14:textId="77777777" w:rsidR="00505A92" w:rsidRPr="00BB78FB" w:rsidRDefault="00505A92"/>
        </w:tc>
        <w:tc>
          <w:tcPr>
            <w:tcW w:w="0" w:type="auto"/>
            <w:vAlign w:val="center"/>
            <w:hideMark/>
          </w:tcPr>
          <w:p w14:paraId="31F0E20A" w14:textId="77777777" w:rsidR="00505A92" w:rsidRPr="00BB78FB" w:rsidRDefault="00505A92">
            <w:r w:rsidRPr="00BB78FB">
              <w:rPr>
                <w:lang w:val="en-US"/>
              </w:rPr>
              <w:t>Sewer</w:t>
            </w:r>
          </w:p>
        </w:tc>
        <w:tc>
          <w:tcPr>
            <w:tcW w:w="0" w:type="auto"/>
            <w:shd w:val="clear" w:color="auto" w:fill="auto"/>
            <w:vAlign w:val="center"/>
            <w:hideMark/>
          </w:tcPr>
          <w:p w14:paraId="011C5727" w14:textId="77777777" w:rsidR="00505A92" w:rsidRPr="00BB78FB" w:rsidRDefault="00505A92" w:rsidP="009A1182">
            <w:pPr>
              <w:jc w:val="right"/>
            </w:pPr>
            <w:r w:rsidRPr="00BB78FB">
              <w:t>$1,566</w:t>
            </w:r>
          </w:p>
        </w:tc>
        <w:tc>
          <w:tcPr>
            <w:tcW w:w="0" w:type="auto"/>
            <w:shd w:val="clear" w:color="auto" w:fill="auto"/>
            <w:vAlign w:val="center"/>
            <w:hideMark/>
          </w:tcPr>
          <w:p w14:paraId="37482B84" w14:textId="77777777" w:rsidR="00505A92" w:rsidRPr="00BB78FB" w:rsidRDefault="00505A92" w:rsidP="009A1182">
            <w:pPr>
              <w:jc w:val="right"/>
            </w:pPr>
            <w:r w:rsidRPr="00BB78FB">
              <w:t>$915</w:t>
            </w:r>
          </w:p>
        </w:tc>
        <w:tc>
          <w:tcPr>
            <w:tcW w:w="0" w:type="auto"/>
            <w:shd w:val="clear" w:color="auto" w:fill="auto"/>
            <w:vAlign w:val="center"/>
            <w:hideMark/>
          </w:tcPr>
          <w:p w14:paraId="66BA3135" w14:textId="77777777" w:rsidR="00505A92" w:rsidRPr="00BB78FB" w:rsidRDefault="00505A92" w:rsidP="009A1182">
            <w:pPr>
              <w:jc w:val="right"/>
            </w:pPr>
            <w:r w:rsidRPr="00BB78FB">
              <w:t>$960</w:t>
            </w:r>
          </w:p>
        </w:tc>
        <w:tc>
          <w:tcPr>
            <w:tcW w:w="0" w:type="auto"/>
            <w:shd w:val="clear" w:color="auto" w:fill="auto"/>
            <w:vAlign w:val="center"/>
            <w:hideMark/>
          </w:tcPr>
          <w:p w14:paraId="0FFEA3C9" w14:textId="77777777" w:rsidR="00505A92" w:rsidRPr="00BB78FB" w:rsidRDefault="00505A92" w:rsidP="009A1182">
            <w:pPr>
              <w:jc w:val="right"/>
            </w:pPr>
            <w:r w:rsidRPr="00BB78FB">
              <w:t>$1,008</w:t>
            </w:r>
          </w:p>
        </w:tc>
        <w:tc>
          <w:tcPr>
            <w:tcW w:w="0" w:type="auto"/>
            <w:shd w:val="clear" w:color="auto" w:fill="auto"/>
            <w:vAlign w:val="center"/>
            <w:hideMark/>
          </w:tcPr>
          <w:p w14:paraId="36DE0E37" w14:textId="77777777" w:rsidR="00505A92" w:rsidRPr="00BB78FB" w:rsidRDefault="00505A92" w:rsidP="009A1182">
            <w:pPr>
              <w:jc w:val="right"/>
            </w:pPr>
            <w:r w:rsidRPr="00BB78FB">
              <w:t>$1,059</w:t>
            </w:r>
          </w:p>
        </w:tc>
        <w:tc>
          <w:tcPr>
            <w:tcW w:w="0" w:type="auto"/>
            <w:vMerge/>
            <w:vAlign w:val="center"/>
            <w:hideMark/>
          </w:tcPr>
          <w:p w14:paraId="7FD436A8" w14:textId="77777777" w:rsidR="00505A92" w:rsidRPr="00BB78FB" w:rsidRDefault="00505A92" w:rsidP="009A1182">
            <w:pPr>
              <w:jc w:val="center"/>
            </w:pPr>
          </w:p>
        </w:tc>
      </w:tr>
      <w:tr w:rsidR="00CC1F5B" w:rsidRPr="00AA4C92" w14:paraId="503C87BF" w14:textId="77777777" w:rsidTr="009A1182">
        <w:trPr>
          <w:trHeight w:val="20"/>
        </w:trPr>
        <w:tc>
          <w:tcPr>
            <w:tcW w:w="0" w:type="auto"/>
            <w:vMerge w:val="restart"/>
            <w:vAlign w:val="center"/>
            <w:hideMark/>
          </w:tcPr>
          <w:p w14:paraId="77635FDA" w14:textId="77777777" w:rsidR="00CC1F5B" w:rsidRPr="00BB78FB" w:rsidRDefault="00CC1F5B">
            <w:r w:rsidRPr="00BB78FB">
              <w:rPr>
                <w:lang w:val="en-US"/>
              </w:rPr>
              <w:t>WW Greenfield</w:t>
            </w:r>
          </w:p>
        </w:tc>
        <w:tc>
          <w:tcPr>
            <w:tcW w:w="0" w:type="auto"/>
            <w:vMerge w:val="restart"/>
            <w:vAlign w:val="center"/>
            <w:hideMark/>
          </w:tcPr>
          <w:p w14:paraId="3A6128A1" w14:textId="77777777" w:rsidR="00CC1F5B" w:rsidRPr="00BB78FB" w:rsidRDefault="00CC1F5B">
            <w:r w:rsidRPr="00BB78FB">
              <w:rPr>
                <w:lang w:val="en-US"/>
              </w:rPr>
              <w:t>Western Greenfield</w:t>
            </w:r>
          </w:p>
        </w:tc>
        <w:tc>
          <w:tcPr>
            <w:tcW w:w="0" w:type="auto"/>
            <w:vAlign w:val="center"/>
            <w:hideMark/>
          </w:tcPr>
          <w:p w14:paraId="3C607AD6" w14:textId="77777777" w:rsidR="00CC1F5B" w:rsidRPr="00BB78FB" w:rsidRDefault="00CC1F5B">
            <w:r w:rsidRPr="00BB78FB">
              <w:rPr>
                <w:lang w:val="en-US"/>
              </w:rPr>
              <w:t>Water</w:t>
            </w:r>
          </w:p>
        </w:tc>
        <w:tc>
          <w:tcPr>
            <w:tcW w:w="0" w:type="auto"/>
            <w:shd w:val="clear" w:color="auto" w:fill="auto"/>
            <w:vAlign w:val="center"/>
            <w:hideMark/>
          </w:tcPr>
          <w:p w14:paraId="5C552F1E" w14:textId="77777777" w:rsidR="00CC1F5B" w:rsidRPr="00BB78FB" w:rsidRDefault="00CC1F5B" w:rsidP="009A1182">
            <w:pPr>
              <w:jc w:val="right"/>
            </w:pPr>
            <w:r w:rsidRPr="00BB78FB">
              <w:t>$3,627</w:t>
            </w:r>
          </w:p>
        </w:tc>
        <w:tc>
          <w:tcPr>
            <w:tcW w:w="0" w:type="auto"/>
            <w:shd w:val="clear" w:color="auto" w:fill="auto"/>
            <w:vAlign w:val="center"/>
            <w:hideMark/>
          </w:tcPr>
          <w:p w14:paraId="4AFD87C3" w14:textId="77777777" w:rsidR="00CC1F5B" w:rsidRPr="00BB78FB" w:rsidRDefault="00CC1F5B" w:rsidP="009A1182">
            <w:pPr>
              <w:jc w:val="right"/>
            </w:pPr>
            <w:r w:rsidRPr="00BB78FB">
              <w:t>$3,808</w:t>
            </w:r>
          </w:p>
        </w:tc>
        <w:tc>
          <w:tcPr>
            <w:tcW w:w="0" w:type="auto"/>
            <w:shd w:val="clear" w:color="auto" w:fill="auto"/>
            <w:vAlign w:val="center"/>
            <w:hideMark/>
          </w:tcPr>
          <w:p w14:paraId="7B4E12F6" w14:textId="77777777" w:rsidR="00CC1F5B" w:rsidRPr="00BB78FB" w:rsidRDefault="00CC1F5B" w:rsidP="009A1182">
            <w:pPr>
              <w:jc w:val="right"/>
            </w:pPr>
            <w:r w:rsidRPr="00BB78FB">
              <w:t>$3,999</w:t>
            </w:r>
          </w:p>
        </w:tc>
        <w:tc>
          <w:tcPr>
            <w:tcW w:w="0" w:type="auto"/>
            <w:shd w:val="clear" w:color="auto" w:fill="auto"/>
            <w:vAlign w:val="center"/>
            <w:hideMark/>
          </w:tcPr>
          <w:p w14:paraId="7D3A605F" w14:textId="77777777" w:rsidR="00CC1F5B" w:rsidRPr="00BB78FB" w:rsidRDefault="00CC1F5B" w:rsidP="009A1182">
            <w:pPr>
              <w:jc w:val="right"/>
            </w:pPr>
            <w:r w:rsidRPr="00BB78FB">
              <w:t>$4,199</w:t>
            </w:r>
          </w:p>
        </w:tc>
        <w:tc>
          <w:tcPr>
            <w:tcW w:w="0" w:type="auto"/>
            <w:shd w:val="clear" w:color="auto" w:fill="auto"/>
            <w:vAlign w:val="center"/>
            <w:hideMark/>
          </w:tcPr>
          <w:p w14:paraId="43902A34" w14:textId="77777777" w:rsidR="00CC1F5B" w:rsidRPr="00BB78FB" w:rsidRDefault="00CC1F5B" w:rsidP="009A1182">
            <w:pPr>
              <w:jc w:val="right"/>
            </w:pPr>
            <w:r w:rsidRPr="00BB78FB">
              <w:t>$4,409</w:t>
            </w:r>
          </w:p>
        </w:tc>
        <w:tc>
          <w:tcPr>
            <w:tcW w:w="0" w:type="auto"/>
            <w:vMerge w:val="restart"/>
            <w:shd w:val="clear" w:color="auto" w:fill="auto"/>
            <w:vAlign w:val="center"/>
            <w:hideMark/>
          </w:tcPr>
          <w:p w14:paraId="0CAFD2F4" w14:textId="07AC023F" w:rsidR="00CC1F5B" w:rsidRPr="00BB78FB" w:rsidRDefault="00CC1F5B" w:rsidP="009A1182">
            <w:pPr>
              <w:jc w:val="center"/>
            </w:pPr>
            <w:r w:rsidRPr="00BB78FB">
              <w:t>$14,</w:t>
            </w:r>
            <w:r w:rsidR="001E7AF3">
              <w:t>831</w:t>
            </w:r>
            <w:r w:rsidRPr="00BB78FB">
              <w:t xml:space="preserve"> combined</w:t>
            </w:r>
          </w:p>
        </w:tc>
      </w:tr>
      <w:tr w:rsidR="00CC1F5B" w:rsidRPr="00AA4C92" w14:paraId="16C458FE" w14:textId="77777777" w:rsidTr="009A1182">
        <w:trPr>
          <w:trHeight w:val="20"/>
        </w:trPr>
        <w:tc>
          <w:tcPr>
            <w:tcW w:w="0" w:type="auto"/>
            <w:vMerge/>
            <w:vAlign w:val="center"/>
            <w:hideMark/>
          </w:tcPr>
          <w:p w14:paraId="3D309190" w14:textId="77777777" w:rsidR="00CC1F5B" w:rsidRPr="00BB78FB" w:rsidRDefault="00CC1F5B"/>
        </w:tc>
        <w:tc>
          <w:tcPr>
            <w:tcW w:w="0" w:type="auto"/>
            <w:vMerge/>
            <w:vAlign w:val="center"/>
            <w:hideMark/>
          </w:tcPr>
          <w:p w14:paraId="0B4D1FBA" w14:textId="77777777" w:rsidR="00CC1F5B" w:rsidRPr="00BB78FB" w:rsidRDefault="00CC1F5B"/>
        </w:tc>
        <w:tc>
          <w:tcPr>
            <w:tcW w:w="0" w:type="auto"/>
            <w:vAlign w:val="center"/>
            <w:hideMark/>
          </w:tcPr>
          <w:p w14:paraId="28C6D0F4" w14:textId="77777777" w:rsidR="00CC1F5B" w:rsidRPr="00BB78FB" w:rsidRDefault="00CC1F5B">
            <w:r w:rsidRPr="00BB78FB">
              <w:rPr>
                <w:lang w:val="en-US"/>
              </w:rPr>
              <w:t>Sewer</w:t>
            </w:r>
          </w:p>
        </w:tc>
        <w:tc>
          <w:tcPr>
            <w:tcW w:w="0" w:type="auto"/>
            <w:shd w:val="clear" w:color="auto" w:fill="auto"/>
            <w:vAlign w:val="center"/>
            <w:hideMark/>
          </w:tcPr>
          <w:p w14:paraId="6E4AE4D3" w14:textId="77777777" w:rsidR="00CC1F5B" w:rsidRPr="00BB78FB" w:rsidRDefault="00CC1F5B" w:rsidP="009A1182">
            <w:pPr>
              <w:jc w:val="right"/>
            </w:pPr>
            <w:r w:rsidRPr="00BB78FB">
              <w:t>$3,627</w:t>
            </w:r>
          </w:p>
        </w:tc>
        <w:tc>
          <w:tcPr>
            <w:tcW w:w="0" w:type="auto"/>
            <w:shd w:val="clear" w:color="auto" w:fill="auto"/>
            <w:vAlign w:val="center"/>
            <w:hideMark/>
          </w:tcPr>
          <w:p w14:paraId="4A3957BB" w14:textId="77777777" w:rsidR="00CC1F5B" w:rsidRPr="00BB78FB" w:rsidRDefault="00CC1F5B" w:rsidP="009A1182">
            <w:pPr>
              <w:jc w:val="right"/>
            </w:pPr>
            <w:r w:rsidRPr="00BB78FB">
              <w:t>$3,808</w:t>
            </w:r>
          </w:p>
        </w:tc>
        <w:tc>
          <w:tcPr>
            <w:tcW w:w="0" w:type="auto"/>
            <w:shd w:val="clear" w:color="auto" w:fill="auto"/>
            <w:vAlign w:val="center"/>
            <w:hideMark/>
          </w:tcPr>
          <w:p w14:paraId="14E77C20" w14:textId="77777777" w:rsidR="00CC1F5B" w:rsidRPr="00BB78FB" w:rsidRDefault="00CC1F5B" w:rsidP="009A1182">
            <w:pPr>
              <w:jc w:val="right"/>
            </w:pPr>
            <w:r w:rsidRPr="00BB78FB">
              <w:t>$3,999</w:t>
            </w:r>
          </w:p>
        </w:tc>
        <w:tc>
          <w:tcPr>
            <w:tcW w:w="0" w:type="auto"/>
            <w:shd w:val="clear" w:color="auto" w:fill="auto"/>
            <w:vAlign w:val="center"/>
            <w:hideMark/>
          </w:tcPr>
          <w:p w14:paraId="0F918D47" w14:textId="77777777" w:rsidR="00CC1F5B" w:rsidRPr="00BB78FB" w:rsidRDefault="00CC1F5B" w:rsidP="009A1182">
            <w:pPr>
              <w:jc w:val="right"/>
            </w:pPr>
            <w:r w:rsidRPr="00BB78FB">
              <w:t>$4,199</w:t>
            </w:r>
          </w:p>
        </w:tc>
        <w:tc>
          <w:tcPr>
            <w:tcW w:w="0" w:type="auto"/>
            <w:shd w:val="clear" w:color="auto" w:fill="auto"/>
            <w:vAlign w:val="center"/>
            <w:hideMark/>
          </w:tcPr>
          <w:p w14:paraId="5DE5925D" w14:textId="77777777" w:rsidR="00CC1F5B" w:rsidRPr="00BB78FB" w:rsidRDefault="00CC1F5B" w:rsidP="009A1182">
            <w:pPr>
              <w:jc w:val="right"/>
            </w:pPr>
            <w:r w:rsidRPr="00BB78FB">
              <w:t>$4,409</w:t>
            </w:r>
          </w:p>
        </w:tc>
        <w:tc>
          <w:tcPr>
            <w:tcW w:w="0" w:type="auto"/>
            <w:vMerge/>
            <w:vAlign w:val="center"/>
            <w:hideMark/>
          </w:tcPr>
          <w:p w14:paraId="4B2CF51E" w14:textId="77777777" w:rsidR="00CC1F5B" w:rsidRPr="00BB78FB" w:rsidRDefault="00CC1F5B" w:rsidP="009A1182">
            <w:pPr>
              <w:jc w:val="center"/>
            </w:pPr>
          </w:p>
        </w:tc>
      </w:tr>
      <w:tr w:rsidR="008114B2" w:rsidRPr="00AA4C92" w14:paraId="42334293" w14:textId="77777777" w:rsidTr="009A1182">
        <w:trPr>
          <w:trHeight w:val="20"/>
        </w:trPr>
        <w:tc>
          <w:tcPr>
            <w:tcW w:w="0" w:type="auto"/>
            <w:vAlign w:val="center"/>
            <w:hideMark/>
          </w:tcPr>
          <w:p w14:paraId="0596BAA1" w14:textId="77777777" w:rsidR="007268EB" w:rsidRPr="00AA4C92" w:rsidRDefault="007268EB">
            <w:r w:rsidRPr="00AA4C92">
              <w:rPr>
                <w:lang w:val="en-US"/>
              </w:rPr>
              <w:t xml:space="preserve">West </w:t>
            </w:r>
            <w:proofErr w:type="spellStart"/>
            <w:r w:rsidRPr="00AA4C92">
              <w:rPr>
                <w:lang w:val="en-US"/>
              </w:rPr>
              <w:t>Werribee</w:t>
            </w:r>
            <w:proofErr w:type="spellEnd"/>
            <w:r w:rsidRPr="00AA4C92">
              <w:rPr>
                <w:lang w:val="en-US"/>
              </w:rPr>
              <w:t xml:space="preserve"> and Greek Hill </w:t>
            </w:r>
          </w:p>
        </w:tc>
        <w:tc>
          <w:tcPr>
            <w:tcW w:w="0" w:type="auto"/>
            <w:vAlign w:val="center"/>
            <w:hideMark/>
          </w:tcPr>
          <w:p w14:paraId="0282685E" w14:textId="77777777" w:rsidR="007268EB" w:rsidRPr="00BB78FB" w:rsidRDefault="007268EB">
            <w:r w:rsidRPr="00BB78FB">
              <w:rPr>
                <w:lang w:val="en-US"/>
              </w:rPr>
              <w:t xml:space="preserve">West </w:t>
            </w:r>
            <w:proofErr w:type="spellStart"/>
            <w:r w:rsidRPr="00BB78FB">
              <w:rPr>
                <w:lang w:val="en-US"/>
              </w:rPr>
              <w:t>Werribee</w:t>
            </w:r>
            <w:proofErr w:type="spellEnd"/>
            <w:r w:rsidRPr="00BB78FB">
              <w:rPr>
                <w:lang w:val="en-US"/>
              </w:rPr>
              <w:t xml:space="preserve"> and Greek Hill </w:t>
            </w:r>
          </w:p>
        </w:tc>
        <w:tc>
          <w:tcPr>
            <w:tcW w:w="0" w:type="auto"/>
            <w:vAlign w:val="center"/>
            <w:hideMark/>
          </w:tcPr>
          <w:p w14:paraId="5FEA8243" w14:textId="77777777" w:rsidR="007268EB" w:rsidRPr="00BB78FB" w:rsidRDefault="007268EB">
            <w:r w:rsidRPr="00BB78FB">
              <w:rPr>
                <w:lang w:val="en-US"/>
              </w:rPr>
              <w:t>Recycled water</w:t>
            </w:r>
          </w:p>
        </w:tc>
        <w:tc>
          <w:tcPr>
            <w:tcW w:w="0" w:type="auto"/>
            <w:shd w:val="clear" w:color="auto" w:fill="auto"/>
            <w:vAlign w:val="center"/>
            <w:hideMark/>
          </w:tcPr>
          <w:p w14:paraId="42943350" w14:textId="77777777" w:rsidR="007268EB" w:rsidRPr="00BB78FB" w:rsidRDefault="007268EB" w:rsidP="009A1182">
            <w:pPr>
              <w:jc w:val="right"/>
            </w:pPr>
            <w:r w:rsidRPr="00BB78FB">
              <w:t>$2,999</w:t>
            </w:r>
          </w:p>
        </w:tc>
        <w:tc>
          <w:tcPr>
            <w:tcW w:w="0" w:type="auto"/>
            <w:shd w:val="clear" w:color="auto" w:fill="auto"/>
            <w:vAlign w:val="center"/>
            <w:hideMark/>
          </w:tcPr>
          <w:p w14:paraId="4A814EEA" w14:textId="77777777" w:rsidR="007268EB" w:rsidRPr="00BB78FB" w:rsidRDefault="007268EB" w:rsidP="009A1182">
            <w:pPr>
              <w:jc w:val="right"/>
            </w:pPr>
            <w:r w:rsidRPr="00BB78FB">
              <w:t>$3,149</w:t>
            </w:r>
          </w:p>
        </w:tc>
        <w:tc>
          <w:tcPr>
            <w:tcW w:w="0" w:type="auto"/>
            <w:shd w:val="clear" w:color="auto" w:fill="auto"/>
            <w:vAlign w:val="center"/>
            <w:hideMark/>
          </w:tcPr>
          <w:p w14:paraId="5DBD5274" w14:textId="77777777" w:rsidR="007268EB" w:rsidRPr="00BB78FB" w:rsidRDefault="007268EB" w:rsidP="009A1182">
            <w:pPr>
              <w:jc w:val="right"/>
            </w:pPr>
            <w:r w:rsidRPr="00BB78FB">
              <w:t>$3,306</w:t>
            </w:r>
          </w:p>
        </w:tc>
        <w:tc>
          <w:tcPr>
            <w:tcW w:w="0" w:type="auto"/>
            <w:shd w:val="clear" w:color="auto" w:fill="auto"/>
            <w:vAlign w:val="center"/>
            <w:hideMark/>
          </w:tcPr>
          <w:p w14:paraId="4311181D" w14:textId="77777777" w:rsidR="007268EB" w:rsidRPr="00BB78FB" w:rsidRDefault="007268EB" w:rsidP="009A1182">
            <w:pPr>
              <w:jc w:val="right"/>
            </w:pPr>
            <w:r w:rsidRPr="00BB78FB">
              <w:t>$3,472</w:t>
            </w:r>
          </w:p>
        </w:tc>
        <w:tc>
          <w:tcPr>
            <w:tcW w:w="0" w:type="auto"/>
            <w:shd w:val="clear" w:color="auto" w:fill="auto"/>
            <w:vAlign w:val="center"/>
            <w:hideMark/>
          </w:tcPr>
          <w:p w14:paraId="01D6E090" w14:textId="77777777" w:rsidR="007268EB" w:rsidRPr="00BB78FB" w:rsidRDefault="007268EB" w:rsidP="009A1182">
            <w:pPr>
              <w:jc w:val="right"/>
            </w:pPr>
            <w:r w:rsidRPr="00BB78FB">
              <w:t>$3,645</w:t>
            </w:r>
          </w:p>
        </w:tc>
        <w:tc>
          <w:tcPr>
            <w:tcW w:w="0" w:type="auto"/>
            <w:shd w:val="clear" w:color="auto" w:fill="auto"/>
            <w:vAlign w:val="center"/>
            <w:hideMark/>
          </w:tcPr>
          <w:p w14:paraId="2B71A77D" w14:textId="79BEF3A7" w:rsidR="007268EB" w:rsidRPr="00BB78FB" w:rsidRDefault="007268EB" w:rsidP="009A1182">
            <w:pPr>
              <w:jc w:val="center"/>
            </w:pPr>
            <w:r w:rsidRPr="00BB78FB">
              <w:t>$</w:t>
            </w:r>
            <w:r w:rsidR="0B1A9C3F" w:rsidRPr="00BB78FB">
              <w:t>12,3</w:t>
            </w:r>
            <w:r w:rsidR="001E7AF3">
              <w:t>90</w:t>
            </w:r>
          </w:p>
        </w:tc>
      </w:tr>
    </w:tbl>
    <w:p w14:paraId="302D6E72" w14:textId="77777777" w:rsidR="0034116D" w:rsidRDefault="0034116D" w:rsidP="00BE2434"/>
    <w:p w14:paraId="3F3C5603" w14:textId="5D340840" w:rsidR="00BE2434" w:rsidRDefault="00BE2434" w:rsidP="00BE2434">
      <w:r>
        <w:t xml:space="preserve">We propose to maintain Western Greenfield water and sewer charges to reflect the higher costs per connection of greenfield development in the </w:t>
      </w:r>
      <w:r w:rsidR="4FCF59C5">
        <w:t>w</w:t>
      </w:r>
      <w:r>
        <w:t>estern region relative to the average connection costs across the GWW service area. This charge will increase at 5</w:t>
      </w:r>
      <w:r w:rsidR="001E502B">
        <w:t>%</w:t>
      </w:r>
      <w:r>
        <w:t xml:space="preserve"> per annum in real terms throughout the regulatory period.  </w:t>
      </w:r>
    </w:p>
    <w:p w14:paraId="680C10EB" w14:textId="4D19B42B" w:rsidR="007C4C2D" w:rsidRDefault="0013772C" w:rsidP="00BE2434">
      <w:r>
        <w:t xml:space="preserve">A standard </w:t>
      </w:r>
      <w:r w:rsidR="00A84A13">
        <w:t xml:space="preserve">NCC </w:t>
      </w:r>
      <w:r>
        <w:t xml:space="preserve">charge will be used for </w:t>
      </w:r>
      <w:r w:rsidR="00A84A13">
        <w:t xml:space="preserve">water and sewer connections in </w:t>
      </w:r>
      <w:r w:rsidR="009F5C63">
        <w:t xml:space="preserve">all </w:t>
      </w:r>
      <w:r>
        <w:t>areas not</w:t>
      </w:r>
      <w:r w:rsidR="009F5C63">
        <w:t xml:space="preserve"> subject to the Western Greenfield charge to reflect the modelled lower cost to </w:t>
      </w:r>
      <w:r w:rsidR="0043588F">
        <w:t xml:space="preserve">serve. This encompasses </w:t>
      </w:r>
      <w:r w:rsidR="00A84A13">
        <w:t xml:space="preserve">the former </w:t>
      </w:r>
      <w:r w:rsidR="00BE2434">
        <w:t xml:space="preserve">CWW standard </w:t>
      </w:r>
      <w:r w:rsidR="00A84A13">
        <w:t xml:space="preserve">charges </w:t>
      </w:r>
      <w:r w:rsidR="00BE2434">
        <w:t xml:space="preserve">and WW infill charges to form a consistent GWW standard charge. </w:t>
      </w:r>
      <w:r w:rsidR="00F21A62">
        <w:t>T</w:t>
      </w:r>
      <w:r w:rsidR="00F75BAE">
        <w:t>his</w:t>
      </w:r>
      <w:r w:rsidR="00BE2434">
        <w:t xml:space="preserve"> </w:t>
      </w:r>
      <w:r w:rsidR="006A44C2">
        <w:t xml:space="preserve">standard </w:t>
      </w:r>
      <w:r w:rsidR="00BE2434">
        <w:t xml:space="preserve">charge will be brought back into alignment with the Yarra Valley Water (YVW) and </w:t>
      </w:r>
      <w:proofErr w:type="gramStart"/>
      <w:r w:rsidR="00BE2434">
        <w:t>South East</w:t>
      </w:r>
      <w:proofErr w:type="gramEnd"/>
      <w:r w:rsidR="00BE2434">
        <w:t xml:space="preserve"> Water (SEW) standard charge rate in 2024-25 and increased by 5</w:t>
      </w:r>
      <w:r w:rsidR="001E502B">
        <w:t>%</w:t>
      </w:r>
      <w:r w:rsidR="00BE2434">
        <w:t xml:space="preserve"> per annum in real terms for the remainder of the period.</w:t>
      </w:r>
      <w:r w:rsidR="008D1232">
        <w:t xml:space="preserve"> </w:t>
      </w:r>
    </w:p>
    <w:p w14:paraId="762CF41E" w14:textId="030C7463" w:rsidR="00BE2434" w:rsidRDefault="00AF01DD" w:rsidP="00BE2434">
      <w:r>
        <w:t>T</w:t>
      </w:r>
      <w:r w:rsidR="008D1232" w:rsidRPr="008D1232">
        <w:t xml:space="preserve">he alignment of the existing CWW standard charge and WW infill simplifies our structure for connections outside of Western Greenfield development and delivers consistency across Melbourne for </w:t>
      </w:r>
      <w:r w:rsidR="007C4C2D">
        <w:t xml:space="preserve">standard </w:t>
      </w:r>
      <w:r w:rsidR="008D1232" w:rsidRPr="008D1232">
        <w:t xml:space="preserve">NCC charges outside of key growth areas. The reduction of the existing WW infill charge to a GWW standard NCC charge has limited impact on the revenue recovered from infill development due to the limited number of new infill connections in the </w:t>
      </w:r>
      <w:r w:rsidR="693C96C3">
        <w:t>w</w:t>
      </w:r>
      <w:r w:rsidR="008D1232" w:rsidRPr="008D1232">
        <w:t>estern region.</w:t>
      </w:r>
      <w:r w:rsidR="007C4C2D">
        <w:t xml:space="preserve"> </w:t>
      </w:r>
    </w:p>
    <w:p w14:paraId="343A8A08" w14:textId="6374C7CB" w:rsidR="007268EB" w:rsidRDefault="007268EB" w:rsidP="007268EB">
      <w:r>
        <w:t xml:space="preserve">The transition paths </w:t>
      </w:r>
      <w:r w:rsidR="006A44C2">
        <w:t xml:space="preserve">for our </w:t>
      </w:r>
      <w:r w:rsidR="00303AE5">
        <w:t xml:space="preserve">proposed NCC charges </w:t>
      </w:r>
      <w:r>
        <w:t>have been developed to make a reasonable transition towards the modelled costs per connection during the regulatory period</w:t>
      </w:r>
      <w:r w:rsidR="00596ADE">
        <w:t xml:space="preserve">. These transition pathways have been tested with the development industry </w:t>
      </w:r>
      <w:r w:rsidR="007E004D">
        <w:t>through our dedicated forum and</w:t>
      </w:r>
      <w:r>
        <w:t xml:space="preserve"> tak</w:t>
      </w:r>
      <w:r w:rsidR="007E004D">
        <w:t>e</w:t>
      </w:r>
      <w:r>
        <w:t xml:space="preserve"> into consideration:</w:t>
      </w:r>
    </w:p>
    <w:p w14:paraId="44CE2F92" w14:textId="7A9D7B1B" w:rsidR="007268EB" w:rsidRDefault="000A39C2">
      <w:pPr>
        <w:pStyle w:val="ListBullet"/>
        <w:numPr>
          <w:ilvl w:val="0"/>
          <w:numId w:val="152"/>
        </w:numPr>
      </w:pPr>
      <w:r>
        <w:t>t</w:t>
      </w:r>
      <w:r w:rsidR="007268EB">
        <w:t xml:space="preserve">he annual impact of charge increases on the development industry and the costs for new </w:t>
      </w:r>
      <w:proofErr w:type="gramStart"/>
      <w:r w:rsidR="007268EB">
        <w:t>homes</w:t>
      </w:r>
      <w:proofErr w:type="gramEnd"/>
    </w:p>
    <w:p w14:paraId="3503C5A3" w14:textId="4B6F5700" w:rsidR="007268EB" w:rsidRDefault="000A39C2">
      <w:pPr>
        <w:pStyle w:val="ListBullet"/>
        <w:numPr>
          <w:ilvl w:val="0"/>
          <w:numId w:val="152"/>
        </w:numPr>
      </w:pPr>
      <w:r>
        <w:t>t</w:t>
      </w:r>
      <w:r w:rsidR="007268EB">
        <w:t xml:space="preserve">he broader benefit provided to GWW customers through recycled water connections reducing the demand placed on potable </w:t>
      </w:r>
      <w:proofErr w:type="gramStart"/>
      <w:r w:rsidR="007268EB">
        <w:t>water</w:t>
      </w:r>
      <w:proofErr w:type="gramEnd"/>
    </w:p>
    <w:p w14:paraId="6CC1D0A2" w14:textId="4077C69E" w:rsidR="007268EB" w:rsidRDefault="000A39C2">
      <w:pPr>
        <w:pStyle w:val="ListBullet"/>
        <w:numPr>
          <w:ilvl w:val="0"/>
          <w:numId w:val="152"/>
        </w:numPr>
      </w:pPr>
      <w:r>
        <w:t>t</w:t>
      </w:r>
      <w:r w:rsidR="007268EB">
        <w:t>he ESC’s intention to review the existing NCC regulatory framework commencing in 2023-24 and the potential changes this review may bring to the development of NCC charges for the 2028 price submission.</w:t>
      </w:r>
    </w:p>
    <w:p w14:paraId="55C161F4" w14:textId="374D3FB1" w:rsidR="00B66B9C" w:rsidRPr="00636FC0" w:rsidRDefault="00941C28" w:rsidP="00B20AE0">
      <w:r>
        <w:t xml:space="preserve">We will continue to use our </w:t>
      </w:r>
      <w:r w:rsidR="006F1CF1">
        <w:t xml:space="preserve">negotiation </w:t>
      </w:r>
      <w:r w:rsidR="0060508A">
        <w:t>framework</w:t>
      </w:r>
      <w:r w:rsidR="006F1CF1">
        <w:t xml:space="preserve"> for instances where</w:t>
      </w:r>
      <w:r w:rsidR="00CA0AB6">
        <w:t xml:space="preserve"> </w:t>
      </w:r>
      <w:r>
        <w:t xml:space="preserve">our </w:t>
      </w:r>
      <w:r w:rsidR="00AA61ED">
        <w:t>scheduled</w:t>
      </w:r>
      <w:r>
        <w:t xml:space="preserve"> NCC charges may not be appropriate.</w:t>
      </w:r>
      <w:r w:rsidR="006F1CF1">
        <w:t xml:space="preserve">  </w:t>
      </w:r>
    </w:p>
    <w:p w14:paraId="44F6605C" w14:textId="0663B153" w:rsidR="00F33F71" w:rsidRPr="00290483" w:rsidRDefault="00F33F71" w:rsidP="00D06F1D">
      <w:pPr>
        <w:pStyle w:val="Heading2"/>
      </w:pPr>
      <w:bookmarkStart w:id="181" w:name="_Toc146004875"/>
      <w:bookmarkStart w:id="182" w:name="_Toc146004763"/>
      <w:bookmarkStart w:id="183" w:name="_Toc146746709"/>
      <w:r>
        <w:lastRenderedPageBreak/>
        <w:t xml:space="preserve">Our </w:t>
      </w:r>
      <w:r w:rsidR="00B764C3" w:rsidRPr="00D06F1D">
        <w:t>miscellaneous</w:t>
      </w:r>
      <w:r w:rsidR="00B764C3">
        <w:t xml:space="preserve"> </w:t>
      </w:r>
      <w:r>
        <w:t>products and services</w:t>
      </w:r>
      <w:bookmarkEnd w:id="181"/>
      <w:bookmarkEnd w:id="182"/>
      <w:bookmarkEnd w:id="183"/>
      <w:r>
        <w:t xml:space="preserve"> </w:t>
      </w:r>
    </w:p>
    <w:p w14:paraId="3ADB831D" w14:textId="77777777" w:rsidR="00F33F71" w:rsidRDefault="00F33F71" w:rsidP="00F33F71">
      <w:r>
        <w:t>We provide a range of additional products and services to our customers beyond our core services such as:</w:t>
      </w:r>
    </w:p>
    <w:p w14:paraId="1241B346" w14:textId="77777777" w:rsidR="00F33F71" w:rsidRPr="00F572F9" w:rsidRDefault="00F33F71">
      <w:pPr>
        <w:pStyle w:val="ListBullet"/>
        <w:numPr>
          <w:ilvl w:val="0"/>
          <w:numId w:val="151"/>
        </w:numPr>
      </w:pPr>
      <w:r>
        <w:t>h</w:t>
      </w:r>
      <w:r w:rsidRPr="00F572F9">
        <w:t>ydrant, standpipe access and water carter services</w:t>
      </w:r>
    </w:p>
    <w:p w14:paraId="7D873FB2" w14:textId="77777777" w:rsidR="00F33F71" w:rsidRPr="00F572F9" w:rsidRDefault="00F33F71">
      <w:pPr>
        <w:pStyle w:val="ListBullet"/>
        <w:numPr>
          <w:ilvl w:val="0"/>
          <w:numId w:val="151"/>
        </w:numPr>
      </w:pPr>
      <w:r>
        <w:t>l</w:t>
      </w:r>
      <w:r w:rsidRPr="00F572F9">
        <w:t xml:space="preserve">and and property development services </w:t>
      </w:r>
    </w:p>
    <w:p w14:paraId="48A38381" w14:textId="77777777" w:rsidR="00F33F71" w:rsidRPr="00F572F9" w:rsidRDefault="00F33F71">
      <w:pPr>
        <w:pStyle w:val="ListBullet"/>
        <w:numPr>
          <w:ilvl w:val="0"/>
          <w:numId w:val="151"/>
        </w:numPr>
      </w:pPr>
      <w:r>
        <w:t>b</w:t>
      </w:r>
      <w:r w:rsidRPr="00F572F9">
        <w:t xml:space="preserve">uilding alteration, new </w:t>
      </w:r>
      <w:proofErr w:type="gramStart"/>
      <w:r w:rsidRPr="00F572F9">
        <w:t>connection</w:t>
      </w:r>
      <w:proofErr w:type="gramEnd"/>
      <w:r w:rsidRPr="00F572F9">
        <w:t xml:space="preserve"> and metering services </w:t>
      </w:r>
    </w:p>
    <w:p w14:paraId="43F8BECF" w14:textId="77777777" w:rsidR="00F33F71" w:rsidRPr="00F572F9" w:rsidRDefault="00F33F71">
      <w:pPr>
        <w:pStyle w:val="ListBullet"/>
        <w:numPr>
          <w:ilvl w:val="0"/>
          <w:numId w:val="151"/>
        </w:numPr>
      </w:pPr>
      <w:r>
        <w:t>i</w:t>
      </w:r>
      <w:r w:rsidRPr="00F572F9">
        <w:t>nformation and administration services.</w:t>
      </w:r>
    </w:p>
    <w:p w14:paraId="08C6CBA0" w14:textId="417819B9" w:rsidR="00F94DAD" w:rsidRDefault="00152999" w:rsidP="00F33F71">
      <w:r>
        <w:t>Through integration, we have</w:t>
      </w:r>
      <w:r w:rsidR="0054405B">
        <w:t xml:space="preserve"> aligned </w:t>
      </w:r>
      <w:r w:rsidR="007840BE">
        <w:t>non-s</w:t>
      </w:r>
      <w:r w:rsidR="00043591">
        <w:t xml:space="preserve">cheduled miscellaneous </w:t>
      </w:r>
      <w:r w:rsidR="0054405B">
        <w:t>charges across the GWW service area w</w:t>
      </w:r>
      <w:r w:rsidR="00EF6C1C">
        <w:t xml:space="preserve">henever the underlying services, processes and costs </w:t>
      </w:r>
      <w:r w:rsidR="007C35F1">
        <w:t xml:space="preserve">were </w:t>
      </w:r>
      <w:r w:rsidR="0054405B">
        <w:t>the same</w:t>
      </w:r>
      <w:r w:rsidR="00EF6C1C">
        <w:t xml:space="preserve"> across </w:t>
      </w:r>
      <w:r w:rsidR="0054405B">
        <w:t xml:space="preserve">the </w:t>
      </w:r>
      <w:r w:rsidR="00333BD7">
        <w:t>central and western</w:t>
      </w:r>
      <w:r w:rsidR="00EF6C1C">
        <w:t xml:space="preserve"> areas</w:t>
      </w:r>
      <w:r w:rsidR="00F33F71">
        <w:t xml:space="preserve">. </w:t>
      </w:r>
      <w:r w:rsidR="00D25190">
        <w:t>Many of our</w:t>
      </w:r>
      <w:r w:rsidR="00B30AD5">
        <w:t xml:space="preserve"> non-</w:t>
      </w:r>
      <w:r w:rsidR="00541B07">
        <w:t>schedu</w:t>
      </w:r>
      <w:r w:rsidR="00895AF2">
        <w:t>led</w:t>
      </w:r>
      <w:r w:rsidR="005D7CFF">
        <w:t xml:space="preserve"> miscellaneous fees</w:t>
      </w:r>
      <w:r w:rsidR="005D7CFF" w:rsidRPr="000F76A3">
        <w:t xml:space="preserve"> </w:t>
      </w:r>
      <w:r w:rsidR="00D25190">
        <w:t>continue to include</w:t>
      </w:r>
      <w:r w:rsidR="009E179E">
        <w:t xml:space="preserve"> fixed costs related to existing and ongoing contracts. </w:t>
      </w:r>
      <w:r w:rsidR="00D25190">
        <w:t>As</w:t>
      </w:r>
      <w:r w:rsidR="00BF1F41">
        <w:t xml:space="preserve"> t</w:t>
      </w:r>
      <w:r w:rsidR="00F33F71">
        <w:t xml:space="preserve">hese </w:t>
      </w:r>
      <w:r w:rsidR="006D2283">
        <w:t xml:space="preserve">contracts </w:t>
      </w:r>
      <w:r w:rsidR="00F33F71">
        <w:t xml:space="preserve">expire, we </w:t>
      </w:r>
      <w:r w:rsidR="00871D55">
        <w:t>will</w:t>
      </w:r>
      <w:r w:rsidR="00F33F71">
        <w:t xml:space="preserve"> continue to </w:t>
      </w:r>
      <w:r w:rsidR="00C46E11">
        <w:t xml:space="preserve">update and </w:t>
      </w:r>
      <w:r w:rsidR="00CD3252">
        <w:t>make alignments to</w:t>
      </w:r>
      <w:r w:rsidR="00F33F71">
        <w:t xml:space="preserve"> our </w:t>
      </w:r>
      <w:r w:rsidR="00BF1F41">
        <w:t>non-scheduled</w:t>
      </w:r>
      <w:r w:rsidR="00F33F71">
        <w:t xml:space="preserve"> miscellaneous charges across </w:t>
      </w:r>
      <w:r w:rsidR="00C46E11">
        <w:t xml:space="preserve">our </w:t>
      </w:r>
      <w:r w:rsidR="00F33F71">
        <w:t xml:space="preserve">entire service region </w:t>
      </w:r>
      <w:r w:rsidR="00BF1F41">
        <w:t xml:space="preserve">between </w:t>
      </w:r>
      <w:r w:rsidR="00672A3D">
        <w:t xml:space="preserve">in line with the </w:t>
      </w:r>
      <w:r w:rsidR="00C46E11">
        <w:t xml:space="preserve">pricing principles. </w:t>
      </w:r>
    </w:p>
    <w:p w14:paraId="0B732142" w14:textId="779A8357" w:rsidR="00F33F71" w:rsidRDefault="0058670F" w:rsidP="00F33F71">
      <w:r>
        <w:t xml:space="preserve">We have reviewed the prices of our top miscellaneous </w:t>
      </w:r>
      <w:r w:rsidRPr="000F76A3">
        <w:t xml:space="preserve">products and services to </w:t>
      </w:r>
      <w:r>
        <w:t>ensure</w:t>
      </w:r>
      <w:r w:rsidRPr="000F76A3">
        <w:t xml:space="preserve"> we continue to recover the costs associated with </w:t>
      </w:r>
      <w:r>
        <w:t xml:space="preserve">their </w:t>
      </w:r>
      <w:r w:rsidRPr="000F76A3">
        <w:t>provi</w:t>
      </w:r>
      <w:r>
        <w:t>sion – in line with the ESC</w:t>
      </w:r>
      <w:r w:rsidR="005815F3">
        <w:t xml:space="preserve"> </w:t>
      </w:r>
      <w:r>
        <w:t>pricing principles</w:t>
      </w:r>
      <w:r w:rsidRPr="007C35F1">
        <w:t xml:space="preserve"> </w:t>
      </w:r>
      <w:r>
        <w:t>for miscellaneous fees.</w:t>
      </w:r>
      <w:r w:rsidR="003A2539">
        <w:t xml:space="preserve"> Our</w:t>
      </w:r>
      <w:r w:rsidR="00763FF0">
        <w:t xml:space="preserve"> core </w:t>
      </w:r>
      <w:r w:rsidR="00E20D0E">
        <w:t xml:space="preserve">scheduled </w:t>
      </w:r>
      <w:r w:rsidR="0010774F">
        <w:t xml:space="preserve">miscellaneous </w:t>
      </w:r>
      <w:r w:rsidR="00E20D0E">
        <w:t>charges</w:t>
      </w:r>
      <w:r w:rsidR="0010774F">
        <w:t xml:space="preserve"> are captured in </w:t>
      </w:r>
      <w:r w:rsidR="008F6B22">
        <w:fldChar w:fldCharType="begin"/>
      </w:r>
      <w:r w:rsidR="008F6B22">
        <w:instrText xml:space="preserve"> REF _Ref144733560 \h </w:instrText>
      </w:r>
      <w:r w:rsidR="008F6B22">
        <w:fldChar w:fldCharType="separate"/>
      </w:r>
      <w:r w:rsidR="003B42C6" w:rsidRPr="00793B39">
        <w:rPr>
          <w:b/>
        </w:rPr>
        <w:t xml:space="preserve">Table </w:t>
      </w:r>
      <w:r w:rsidR="003B42C6">
        <w:rPr>
          <w:b/>
          <w:noProof/>
        </w:rPr>
        <w:t>41</w:t>
      </w:r>
      <w:r w:rsidR="008F6B22">
        <w:fldChar w:fldCharType="end"/>
      </w:r>
      <w:r w:rsidR="0010774F">
        <w:t>.</w:t>
      </w:r>
      <w:r w:rsidR="00C46E11">
        <w:t xml:space="preserve"> </w:t>
      </w:r>
      <w:r w:rsidR="003C755D">
        <w:t>If the cost of</w:t>
      </w:r>
      <w:r w:rsidR="00F33F71">
        <w:t xml:space="preserve"> </w:t>
      </w:r>
      <w:r w:rsidR="00700665">
        <w:t xml:space="preserve">providing </w:t>
      </w:r>
      <w:r w:rsidR="00EF6C1C">
        <w:t xml:space="preserve">any of </w:t>
      </w:r>
      <w:r w:rsidR="003C755D">
        <w:t>our</w:t>
      </w:r>
      <w:r w:rsidR="006D2283">
        <w:t xml:space="preserve"> </w:t>
      </w:r>
      <w:r w:rsidR="00F33F71">
        <w:t>top</w:t>
      </w:r>
      <w:r w:rsidR="008E1CAE">
        <w:t>-</w:t>
      </w:r>
      <w:r w:rsidR="00F33F71">
        <w:t xml:space="preserve">scheduled </w:t>
      </w:r>
      <w:r w:rsidR="00700665">
        <w:t>products and services</w:t>
      </w:r>
      <w:r w:rsidR="003C755D">
        <w:t xml:space="preserve"> </w:t>
      </w:r>
      <w:r w:rsidR="006D2283">
        <w:t>increas</w:t>
      </w:r>
      <w:r w:rsidR="003C755D">
        <w:t>e</w:t>
      </w:r>
      <w:r w:rsidR="00EF6C1C">
        <w:t>s</w:t>
      </w:r>
      <w:r w:rsidR="00F33F71">
        <w:t xml:space="preserve"> </w:t>
      </w:r>
      <w:r w:rsidR="006D2283">
        <w:t xml:space="preserve">between </w:t>
      </w:r>
      <w:r w:rsidR="00F33F71">
        <w:t>2024-</w:t>
      </w:r>
      <w:r w:rsidR="001B726A">
        <w:t>25 to 2027</w:t>
      </w:r>
      <w:r w:rsidR="00F33F71">
        <w:t>-28</w:t>
      </w:r>
      <w:r w:rsidR="003C755D">
        <w:t>, the associated shortfall in revenue</w:t>
      </w:r>
      <w:r w:rsidR="00F33F71">
        <w:t xml:space="preserve"> will be absorbed by </w:t>
      </w:r>
      <w:r w:rsidR="006D2283">
        <w:t>GWW</w:t>
      </w:r>
      <w:r w:rsidR="00F33F71">
        <w:t xml:space="preserve"> until the next price </w:t>
      </w:r>
      <w:r w:rsidR="00EF6C1C">
        <w:t>reset</w:t>
      </w:r>
      <w:r w:rsidR="00F33F71">
        <w:t xml:space="preserve">. </w:t>
      </w:r>
    </w:p>
    <w:p w14:paraId="5ACF889D" w14:textId="5DCC70D6" w:rsidR="003B42C6" w:rsidRDefault="003B42C6" w:rsidP="003B42C6">
      <w:r>
        <w:t>The fees that are proposed to be scheduled and aligned as part of this submission are:</w:t>
      </w:r>
    </w:p>
    <w:p w14:paraId="66B8CC3E" w14:textId="006FC162" w:rsidR="003B42C6" w:rsidRDefault="003B42C6">
      <w:pPr>
        <w:pStyle w:val="ListParagraph"/>
        <w:numPr>
          <w:ilvl w:val="0"/>
          <w:numId w:val="138"/>
        </w:numPr>
      </w:pPr>
      <w:r>
        <w:t xml:space="preserve">residential recycled water connection inspection fees </w:t>
      </w:r>
    </w:p>
    <w:p w14:paraId="5A80653A" w14:textId="596E64CD" w:rsidR="003B42C6" w:rsidRDefault="003B42C6">
      <w:pPr>
        <w:pStyle w:val="ListParagraph"/>
        <w:numPr>
          <w:ilvl w:val="0"/>
          <w:numId w:val="138"/>
        </w:numPr>
      </w:pPr>
      <w:r>
        <w:t xml:space="preserve">land development administrative fees </w:t>
      </w:r>
    </w:p>
    <w:p w14:paraId="0AB841D5" w14:textId="77777777" w:rsidR="003B42C6" w:rsidRDefault="003B42C6">
      <w:pPr>
        <w:pStyle w:val="ListParagraph"/>
        <w:numPr>
          <w:ilvl w:val="0"/>
          <w:numId w:val="138"/>
        </w:numPr>
      </w:pPr>
      <w:r>
        <w:t>residential simple plumbing application fees.</w:t>
      </w:r>
    </w:p>
    <w:p w14:paraId="561A6D12" w14:textId="7E0E828D" w:rsidR="00F33F71" w:rsidRDefault="00F33F71" w:rsidP="00F33F71">
      <w:pPr>
        <w:pStyle w:val="Caption"/>
      </w:pPr>
      <w:bookmarkStart w:id="184" w:name="_Ref144733560"/>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41</w:t>
      </w:r>
      <w:r w:rsidRPr="00793B39">
        <w:rPr>
          <w:b/>
        </w:rPr>
        <w:fldChar w:fldCharType="end"/>
      </w:r>
      <w:bookmarkEnd w:id="184"/>
      <w:r>
        <w:t xml:space="preserve"> Proposed top miscellaneous charges ($, 2023-24)</w:t>
      </w:r>
    </w:p>
    <w:tbl>
      <w:tblPr>
        <w:tblStyle w:val="GWWDefaulttable"/>
        <w:tblW w:w="0" w:type="auto"/>
        <w:tblLook w:val="04A0" w:firstRow="1" w:lastRow="0" w:firstColumn="1" w:lastColumn="0" w:noHBand="0" w:noVBand="1"/>
      </w:tblPr>
      <w:tblGrid>
        <w:gridCol w:w="3604"/>
        <w:gridCol w:w="1271"/>
        <w:gridCol w:w="1084"/>
        <w:gridCol w:w="1084"/>
        <w:gridCol w:w="865"/>
        <w:gridCol w:w="865"/>
        <w:gridCol w:w="865"/>
      </w:tblGrid>
      <w:tr w:rsidR="00F42921" w:rsidRPr="006C12BA" w14:paraId="5D427FE3" w14:textId="77777777" w:rsidTr="001F60D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D72D52" w14:textId="6EEE60BE" w:rsidR="00F42921" w:rsidRPr="006C12BA" w:rsidRDefault="00290939" w:rsidP="006C12BA">
            <w:r>
              <w:t xml:space="preserve">Charge categories </w:t>
            </w:r>
          </w:p>
        </w:tc>
        <w:tc>
          <w:tcPr>
            <w:tcW w:w="0" w:type="auto"/>
            <w:gridSpan w:val="2"/>
            <w:vAlign w:val="center"/>
          </w:tcPr>
          <w:p w14:paraId="2FF27E34" w14:textId="77777777" w:rsidR="00F42921" w:rsidRPr="006C12BA" w:rsidRDefault="00F42921" w:rsidP="00AC7DFF">
            <w:pPr>
              <w:jc w:val="center"/>
              <w:cnfStyle w:val="100000000000" w:firstRow="1" w:lastRow="0" w:firstColumn="0" w:lastColumn="0" w:oddVBand="0" w:evenVBand="0" w:oddHBand="0" w:evenHBand="0" w:firstRowFirstColumn="0" w:firstRowLastColumn="0" w:lastRowFirstColumn="0" w:lastRowLastColumn="0"/>
            </w:pPr>
          </w:p>
        </w:tc>
        <w:tc>
          <w:tcPr>
            <w:tcW w:w="0" w:type="auto"/>
            <w:gridSpan w:val="4"/>
            <w:vAlign w:val="center"/>
          </w:tcPr>
          <w:p w14:paraId="413D0701" w14:textId="77777777" w:rsidR="00F42921" w:rsidRPr="006C12BA" w:rsidRDefault="00F42921" w:rsidP="001F60D4">
            <w:pPr>
              <w:cnfStyle w:val="100000000000" w:firstRow="1" w:lastRow="0" w:firstColumn="0" w:lastColumn="0" w:oddVBand="0" w:evenVBand="0" w:oddHBand="0" w:evenHBand="0" w:firstRowFirstColumn="0" w:firstRowLastColumn="0" w:lastRowFirstColumn="0" w:lastRowLastColumn="0"/>
            </w:pPr>
            <w:r w:rsidRPr="006C12BA">
              <w:t>Proposed Price Movement</w:t>
            </w:r>
          </w:p>
        </w:tc>
      </w:tr>
      <w:tr w:rsidR="00F33F71" w:rsidRPr="0034116D" w14:paraId="0E59E0C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shd w:val="clear" w:color="auto" w:fill="B3C5E6" w:themeFill="accent2"/>
            <w:vAlign w:val="center"/>
          </w:tcPr>
          <w:p w14:paraId="5B310F17" w14:textId="77777777" w:rsidR="00F33F71" w:rsidRPr="006C12BA" w:rsidRDefault="00F33F71" w:rsidP="006C12BA"/>
        </w:tc>
        <w:tc>
          <w:tcPr>
            <w:tcW w:w="0" w:type="auto"/>
            <w:shd w:val="clear" w:color="auto" w:fill="B3C5E6" w:themeFill="accent2"/>
            <w:vAlign w:val="center"/>
          </w:tcPr>
          <w:p w14:paraId="041CC737" w14:textId="77777777" w:rsidR="00F33F71" w:rsidRPr="0034116D" w:rsidRDefault="00F33F71" w:rsidP="00AC7DFF">
            <w:pPr>
              <w:jc w:val="center"/>
              <w:cnfStyle w:val="000000000000" w:firstRow="0" w:lastRow="0" w:firstColumn="0" w:lastColumn="0" w:oddVBand="0" w:evenVBand="0" w:oddHBand="0" w:evenHBand="0" w:firstRowFirstColumn="0" w:firstRowLastColumn="0" w:lastRowFirstColumn="0" w:lastRowLastColumn="0"/>
              <w:rPr>
                <w:b/>
              </w:rPr>
            </w:pPr>
            <w:r w:rsidRPr="0034116D">
              <w:rPr>
                <w:b/>
              </w:rPr>
              <w:t>Unit</w:t>
            </w:r>
          </w:p>
        </w:tc>
        <w:tc>
          <w:tcPr>
            <w:tcW w:w="0" w:type="auto"/>
            <w:shd w:val="clear" w:color="auto" w:fill="B3C5E6" w:themeFill="accent2"/>
            <w:vAlign w:val="center"/>
          </w:tcPr>
          <w:p w14:paraId="5F1344FF"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2023-24</w:t>
            </w:r>
          </w:p>
        </w:tc>
        <w:tc>
          <w:tcPr>
            <w:tcW w:w="0" w:type="auto"/>
            <w:shd w:val="clear" w:color="auto" w:fill="B3C5E6" w:themeFill="accent2"/>
            <w:vAlign w:val="center"/>
          </w:tcPr>
          <w:p w14:paraId="014AD770"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2024-25</w:t>
            </w:r>
          </w:p>
        </w:tc>
        <w:tc>
          <w:tcPr>
            <w:tcW w:w="0" w:type="auto"/>
            <w:shd w:val="clear" w:color="auto" w:fill="B3C5E6" w:themeFill="accent2"/>
            <w:vAlign w:val="center"/>
          </w:tcPr>
          <w:p w14:paraId="2F378D46"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2025-26</w:t>
            </w:r>
          </w:p>
        </w:tc>
        <w:tc>
          <w:tcPr>
            <w:tcW w:w="0" w:type="auto"/>
            <w:shd w:val="clear" w:color="auto" w:fill="B3C5E6" w:themeFill="accent2"/>
            <w:vAlign w:val="center"/>
          </w:tcPr>
          <w:p w14:paraId="01338902"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2026-27</w:t>
            </w:r>
          </w:p>
        </w:tc>
        <w:tc>
          <w:tcPr>
            <w:tcW w:w="0" w:type="auto"/>
            <w:shd w:val="clear" w:color="auto" w:fill="B3C5E6" w:themeFill="accent2"/>
            <w:vAlign w:val="center"/>
          </w:tcPr>
          <w:p w14:paraId="311BB0C9"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2027-28</w:t>
            </w:r>
          </w:p>
        </w:tc>
      </w:tr>
      <w:tr w:rsidR="00F33F71" w:rsidRPr="006C12BA" w14:paraId="36A29283"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29121B00" w14:textId="77777777" w:rsidR="00F33F71" w:rsidRPr="006C12BA" w:rsidRDefault="00F33F71" w:rsidP="006C12BA">
            <w:r w:rsidRPr="006C12BA">
              <w:t>Core miscellaneous fees and charges</w:t>
            </w:r>
          </w:p>
        </w:tc>
      </w:tr>
      <w:tr w:rsidR="00F33F71" w:rsidRPr="006C12BA" w14:paraId="1FA39544"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15DB7852" w14:textId="77777777" w:rsidR="00F33F71" w:rsidRPr="006C12BA" w:rsidRDefault="00F33F71" w:rsidP="006C12BA">
            <w:r w:rsidRPr="006C12BA">
              <w:t>GWW miscellaneous fees</w:t>
            </w:r>
          </w:p>
        </w:tc>
      </w:tr>
      <w:tr w:rsidR="00F33F71" w:rsidRPr="006C12BA" w14:paraId="6C13C9B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A22360" w14:textId="77777777" w:rsidR="00F33F71" w:rsidRPr="00805661" w:rsidRDefault="00F33F71" w:rsidP="006C12BA">
            <w:pPr>
              <w:rPr>
                <w:b w:val="0"/>
              </w:rPr>
            </w:pPr>
            <w:r w:rsidRPr="00805661">
              <w:rPr>
                <w:b w:val="0"/>
              </w:rPr>
              <w:t>Information statement – standard</w:t>
            </w:r>
          </w:p>
        </w:tc>
        <w:tc>
          <w:tcPr>
            <w:tcW w:w="0" w:type="auto"/>
            <w:vAlign w:val="center"/>
          </w:tcPr>
          <w:p w14:paraId="2433F344"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80845ED" w14:textId="73703AD4"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20.80</w:t>
            </w:r>
          </w:p>
        </w:tc>
        <w:tc>
          <w:tcPr>
            <w:tcW w:w="0" w:type="auto"/>
            <w:vAlign w:val="center"/>
          </w:tcPr>
          <w:p w14:paraId="706F8736" w14:textId="338DD831" w:rsidR="00F33F71" w:rsidRPr="006C12BA" w:rsidRDefault="00437433" w:rsidP="001F60D4">
            <w:pPr>
              <w:jc w:val="right"/>
              <w:cnfStyle w:val="000000000000" w:firstRow="0" w:lastRow="0" w:firstColumn="0" w:lastColumn="0" w:oddVBand="0" w:evenVBand="0" w:oddHBand="0" w:evenHBand="0" w:firstRowFirstColumn="0" w:firstRowLastColumn="0" w:lastRowFirstColumn="0" w:lastRowLastColumn="0"/>
            </w:pPr>
            <w:r w:rsidRPr="006C12BA">
              <w:t>$20.80</w:t>
            </w:r>
          </w:p>
        </w:tc>
        <w:tc>
          <w:tcPr>
            <w:tcW w:w="0" w:type="auto"/>
            <w:vAlign w:val="center"/>
          </w:tcPr>
          <w:p w14:paraId="01A3150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86ABBD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1B4B1B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7A084F8D"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2F8AAA" w14:textId="77777777" w:rsidR="00F33F71" w:rsidRPr="00805661" w:rsidRDefault="00F33F71" w:rsidP="006C12BA">
            <w:pPr>
              <w:rPr>
                <w:b w:val="0"/>
              </w:rPr>
            </w:pPr>
            <w:r w:rsidRPr="00805661">
              <w:rPr>
                <w:b w:val="0"/>
              </w:rPr>
              <w:t>Information statement – priority</w:t>
            </w:r>
          </w:p>
        </w:tc>
        <w:tc>
          <w:tcPr>
            <w:tcW w:w="0" w:type="auto"/>
            <w:vAlign w:val="center"/>
          </w:tcPr>
          <w:p w14:paraId="10E7735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A410423" w14:textId="63ABAF55"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60.40</w:t>
            </w:r>
          </w:p>
        </w:tc>
        <w:tc>
          <w:tcPr>
            <w:tcW w:w="0" w:type="auto"/>
            <w:vAlign w:val="center"/>
          </w:tcPr>
          <w:p w14:paraId="4B486E48" w14:textId="4C72406C"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60.40</w:t>
            </w:r>
          </w:p>
        </w:tc>
        <w:tc>
          <w:tcPr>
            <w:tcW w:w="0" w:type="auto"/>
            <w:vAlign w:val="center"/>
          </w:tcPr>
          <w:p w14:paraId="34BBA98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E62A28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902587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BF6AE02"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082EAD" w14:textId="77777777" w:rsidR="00F33F71" w:rsidRPr="00805661" w:rsidRDefault="00F33F71" w:rsidP="006C12BA">
            <w:pPr>
              <w:rPr>
                <w:b w:val="0"/>
              </w:rPr>
            </w:pPr>
            <w:r w:rsidRPr="00805661">
              <w:rPr>
                <w:b w:val="0"/>
              </w:rPr>
              <w:t xml:space="preserve">Land development administrative fee: </w:t>
            </w:r>
          </w:p>
          <w:p w14:paraId="56F395DD" w14:textId="77777777" w:rsidR="00F33F71" w:rsidRPr="00805661" w:rsidRDefault="00F33F71" w:rsidP="006C12BA">
            <w:pPr>
              <w:rPr>
                <w:b w:val="0"/>
              </w:rPr>
            </w:pPr>
            <w:r w:rsidRPr="00805661">
              <w:rPr>
                <w:b w:val="0"/>
              </w:rPr>
              <w:t>1-10 lots</w:t>
            </w:r>
          </w:p>
        </w:tc>
        <w:tc>
          <w:tcPr>
            <w:tcW w:w="0" w:type="auto"/>
            <w:vAlign w:val="center"/>
          </w:tcPr>
          <w:p w14:paraId="59C91228"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1CA5E54" w14:textId="1F4B41F4"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1B916F2B"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$5,098.10</w:t>
            </w:r>
          </w:p>
        </w:tc>
        <w:tc>
          <w:tcPr>
            <w:tcW w:w="0" w:type="auto"/>
            <w:vAlign w:val="center"/>
          </w:tcPr>
          <w:p w14:paraId="3562965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22F748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195695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6329CE23"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7E4B2F" w14:textId="77777777" w:rsidR="00F33F71" w:rsidRPr="00805661" w:rsidDel="000D4B35" w:rsidRDefault="00F33F71" w:rsidP="006C12BA">
            <w:pPr>
              <w:rPr>
                <w:b w:val="0"/>
              </w:rPr>
            </w:pPr>
            <w:r w:rsidRPr="00805661">
              <w:rPr>
                <w:b w:val="0"/>
              </w:rPr>
              <w:lastRenderedPageBreak/>
              <w:t>Land development administrative fee: More than 10 lots</w:t>
            </w:r>
          </w:p>
        </w:tc>
        <w:tc>
          <w:tcPr>
            <w:tcW w:w="0" w:type="auto"/>
            <w:vAlign w:val="center"/>
          </w:tcPr>
          <w:p w14:paraId="5517165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1C15116" w14:textId="16B969C4"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2050A36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$8,415.60</w:t>
            </w:r>
          </w:p>
        </w:tc>
        <w:tc>
          <w:tcPr>
            <w:tcW w:w="0" w:type="auto"/>
            <w:vAlign w:val="center"/>
          </w:tcPr>
          <w:p w14:paraId="50990A7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A3380F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4E6BE9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4A24A5" w:rsidRPr="006C12BA" w14:paraId="123CFC38"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DF7D0E" w14:textId="77777777" w:rsidR="004A24A5" w:rsidRPr="00805661" w:rsidRDefault="004A24A5">
            <w:pPr>
              <w:rPr>
                <w:b w:val="0"/>
                <w:bCs/>
              </w:rPr>
            </w:pPr>
            <w:r w:rsidRPr="00805661">
              <w:rPr>
                <w:b w:val="0"/>
                <w:bCs/>
              </w:rPr>
              <w:t xml:space="preserve">Recycled water connection inspection – residential </w:t>
            </w:r>
          </w:p>
        </w:tc>
        <w:tc>
          <w:tcPr>
            <w:tcW w:w="0" w:type="auto"/>
            <w:vAlign w:val="center"/>
          </w:tcPr>
          <w:p w14:paraId="57CD607F" w14:textId="71794B34" w:rsidR="004A24A5" w:rsidRPr="006C12BA" w:rsidRDefault="004A24A5" w:rsidP="00AC7DFF">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4F4800">
              <w:t>application</w:t>
            </w:r>
          </w:p>
        </w:tc>
        <w:tc>
          <w:tcPr>
            <w:tcW w:w="0" w:type="auto"/>
            <w:vAlign w:val="center"/>
          </w:tcPr>
          <w:p w14:paraId="7CFBBCE1" w14:textId="77777777" w:rsidR="004A24A5" w:rsidRPr="006C12BA" w:rsidRDefault="004A24A5"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6089EE49"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$278.20</w:t>
            </w:r>
          </w:p>
        </w:tc>
        <w:tc>
          <w:tcPr>
            <w:tcW w:w="0" w:type="auto"/>
            <w:vAlign w:val="center"/>
          </w:tcPr>
          <w:p w14:paraId="26874BC0"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F71C770"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AFCE07D"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B7ECC25"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D61285" w14:textId="77777777" w:rsidR="00F33F71" w:rsidRPr="00805661" w:rsidRDefault="00F33F71" w:rsidP="006C12BA">
            <w:pPr>
              <w:rPr>
                <w:b w:val="0"/>
              </w:rPr>
            </w:pPr>
            <w:r w:rsidRPr="00805661">
              <w:rPr>
                <w:b w:val="0"/>
              </w:rPr>
              <w:t>Simple plumbing application – residential</w:t>
            </w:r>
          </w:p>
        </w:tc>
        <w:tc>
          <w:tcPr>
            <w:tcW w:w="0" w:type="auto"/>
            <w:vAlign w:val="center"/>
          </w:tcPr>
          <w:p w14:paraId="1091512F"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31E43BE3" w14:textId="0278D33A"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1BDA35B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$139.41</w:t>
            </w:r>
          </w:p>
        </w:tc>
        <w:tc>
          <w:tcPr>
            <w:tcW w:w="0" w:type="auto"/>
            <w:vAlign w:val="center"/>
          </w:tcPr>
          <w:p w14:paraId="1D4B03B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1DB898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E38FE4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1F18436"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3A6A7AB0" w14:textId="77777777" w:rsidR="00F33F71" w:rsidRPr="006C12BA" w:rsidRDefault="00F33F71" w:rsidP="006C12BA">
            <w:r w:rsidRPr="006C12BA">
              <w:t>Central region miscellaneous fees</w:t>
            </w:r>
          </w:p>
        </w:tc>
      </w:tr>
      <w:tr w:rsidR="00F33F71" w:rsidRPr="006C12BA" w14:paraId="219F7C76"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69D007" w14:textId="77777777" w:rsidR="00F33F71" w:rsidRPr="00805661" w:rsidRDefault="00F33F71" w:rsidP="006C12BA">
            <w:pPr>
              <w:rPr>
                <w:b w:val="0"/>
              </w:rPr>
            </w:pPr>
            <w:r w:rsidRPr="00805661">
              <w:rPr>
                <w:b w:val="0"/>
              </w:rPr>
              <w:t>Potable water meter assembly &amp; installation (20mm) – new connection</w:t>
            </w:r>
          </w:p>
        </w:tc>
        <w:tc>
          <w:tcPr>
            <w:tcW w:w="0" w:type="auto"/>
            <w:vAlign w:val="center"/>
          </w:tcPr>
          <w:p w14:paraId="7B5E7029"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101CA0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$321.60</w:t>
            </w:r>
          </w:p>
        </w:tc>
        <w:tc>
          <w:tcPr>
            <w:tcW w:w="0" w:type="auto"/>
            <w:vAlign w:val="center"/>
          </w:tcPr>
          <w:p w14:paraId="6CAF84F7"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$319.75</w:t>
            </w:r>
          </w:p>
        </w:tc>
        <w:tc>
          <w:tcPr>
            <w:tcW w:w="0" w:type="auto"/>
            <w:vAlign w:val="center"/>
          </w:tcPr>
          <w:p w14:paraId="248CFAA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F77D8E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3C96E76"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0BB2813B"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767B4D" w14:textId="77777777" w:rsidR="00F33F71" w:rsidRPr="00805661" w:rsidRDefault="00F33F71" w:rsidP="006C12BA">
            <w:pPr>
              <w:rPr>
                <w:b w:val="0"/>
              </w:rPr>
            </w:pPr>
            <w:r w:rsidRPr="00805661">
              <w:rPr>
                <w:b w:val="0"/>
              </w:rPr>
              <w:t>Recycled water meter assembly &amp; installation (20mm) – new connection</w:t>
            </w:r>
          </w:p>
        </w:tc>
        <w:tc>
          <w:tcPr>
            <w:tcW w:w="0" w:type="auto"/>
            <w:vAlign w:val="center"/>
          </w:tcPr>
          <w:p w14:paraId="22654145"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2185B72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$345.70</w:t>
            </w:r>
          </w:p>
        </w:tc>
        <w:tc>
          <w:tcPr>
            <w:tcW w:w="0" w:type="auto"/>
            <w:vAlign w:val="center"/>
          </w:tcPr>
          <w:p w14:paraId="21CF364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$335.04</w:t>
            </w:r>
          </w:p>
        </w:tc>
        <w:tc>
          <w:tcPr>
            <w:tcW w:w="0" w:type="auto"/>
            <w:vAlign w:val="center"/>
          </w:tcPr>
          <w:p w14:paraId="2561C14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240437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66A00E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53D52323"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1474F2" w14:textId="77777777" w:rsidR="00F33F71" w:rsidRPr="00805661" w:rsidRDefault="00F33F71" w:rsidP="006C12BA">
            <w:pPr>
              <w:rPr>
                <w:b w:val="0"/>
              </w:rPr>
            </w:pPr>
            <w:r w:rsidRPr="00805661">
              <w:rPr>
                <w:b w:val="0"/>
              </w:rPr>
              <w:t>Potable water meter installation (20mm) – new connection</w:t>
            </w:r>
          </w:p>
        </w:tc>
        <w:tc>
          <w:tcPr>
            <w:tcW w:w="0" w:type="auto"/>
            <w:vAlign w:val="center"/>
          </w:tcPr>
          <w:p w14:paraId="5DD750D0"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284420CB"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$89.00</w:t>
            </w:r>
          </w:p>
        </w:tc>
        <w:tc>
          <w:tcPr>
            <w:tcW w:w="0" w:type="auto"/>
            <w:vAlign w:val="center"/>
          </w:tcPr>
          <w:p w14:paraId="58AACE6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$123.75</w:t>
            </w:r>
          </w:p>
        </w:tc>
        <w:tc>
          <w:tcPr>
            <w:tcW w:w="0" w:type="auto"/>
            <w:vAlign w:val="center"/>
          </w:tcPr>
          <w:p w14:paraId="2BBE452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D6EBD6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5C6618E0"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EBC175E"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B1E6C8" w14:textId="77777777" w:rsidR="00F33F71" w:rsidRPr="00805661" w:rsidRDefault="00F33F71" w:rsidP="006C12BA">
            <w:pPr>
              <w:rPr>
                <w:b w:val="0"/>
              </w:rPr>
            </w:pPr>
            <w:r w:rsidRPr="00805661">
              <w:rPr>
                <w:b w:val="0"/>
              </w:rPr>
              <w:t>Meter with remote device and installation (20mm)</w:t>
            </w:r>
          </w:p>
        </w:tc>
        <w:tc>
          <w:tcPr>
            <w:tcW w:w="0" w:type="auto"/>
            <w:vAlign w:val="center"/>
          </w:tcPr>
          <w:p w14:paraId="6DEF642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3E2937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$251.70</w:t>
            </w:r>
          </w:p>
        </w:tc>
        <w:tc>
          <w:tcPr>
            <w:tcW w:w="0" w:type="auto"/>
            <w:vAlign w:val="center"/>
          </w:tcPr>
          <w:p w14:paraId="7640584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$277.70</w:t>
            </w:r>
          </w:p>
        </w:tc>
        <w:tc>
          <w:tcPr>
            <w:tcW w:w="0" w:type="auto"/>
            <w:vAlign w:val="center"/>
          </w:tcPr>
          <w:p w14:paraId="1D888FE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B04D28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30C6CF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008EA88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D9455F" w14:textId="77777777" w:rsidR="00F33F71" w:rsidRPr="00805661" w:rsidRDefault="00F33F71" w:rsidP="006C12BA">
            <w:pPr>
              <w:rPr>
                <w:b w:val="0"/>
              </w:rPr>
            </w:pPr>
            <w:r w:rsidRPr="00805661">
              <w:rPr>
                <w:b w:val="0"/>
              </w:rPr>
              <w:t>Property service short side installations (20mm)</w:t>
            </w:r>
          </w:p>
        </w:tc>
        <w:tc>
          <w:tcPr>
            <w:tcW w:w="0" w:type="auto"/>
            <w:vAlign w:val="center"/>
          </w:tcPr>
          <w:p w14:paraId="2A470748"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01EF30B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$2,073.90</w:t>
            </w:r>
          </w:p>
        </w:tc>
        <w:tc>
          <w:tcPr>
            <w:tcW w:w="0" w:type="auto"/>
            <w:vAlign w:val="center"/>
          </w:tcPr>
          <w:p w14:paraId="502CE6D6"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$1,917.14</w:t>
            </w:r>
          </w:p>
        </w:tc>
        <w:tc>
          <w:tcPr>
            <w:tcW w:w="0" w:type="auto"/>
            <w:vAlign w:val="center"/>
          </w:tcPr>
          <w:p w14:paraId="65A075B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57D1286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0E08BEDC"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37B54DD"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7BE536FC" w14:textId="77777777" w:rsidR="00F33F71" w:rsidRPr="006C12BA" w:rsidRDefault="00F33F71" w:rsidP="006C12BA">
            <w:r w:rsidRPr="006C12BA">
              <w:t>Western region miscellaneous fees</w:t>
            </w:r>
          </w:p>
        </w:tc>
      </w:tr>
      <w:tr w:rsidR="00F33F71" w:rsidRPr="006C12BA" w14:paraId="28F08C08"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737647" w14:textId="77777777" w:rsidR="00F33F71" w:rsidRPr="00805661" w:rsidRDefault="00F33F71" w:rsidP="006C12BA">
            <w:pPr>
              <w:rPr>
                <w:b w:val="0"/>
              </w:rPr>
            </w:pPr>
            <w:r w:rsidRPr="00805661">
              <w:rPr>
                <w:b w:val="0"/>
              </w:rPr>
              <w:t>Water tapping fees – drinking water (20mm installation)</w:t>
            </w:r>
          </w:p>
        </w:tc>
        <w:tc>
          <w:tcPr>
            <w:tcW w:w="0" w:type="auto"/>
            <w:vAlign w:val="center"/>
          </w:tcPr>
          <w:p w14:paraId="618D7362"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0A905E8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$505.87</w:t>
            </w:r>
          </w:p>
        </w:tc>
        <w:tc>
          <w:tcPr>
            <w:tcW w:w="0" w:type="auto"/>
            <w:vAlign w:val="center"/>
          </w:tcPr>
          <w:p w14:paraId="5F87386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$505.87</w:t>
            </w:r>
          </w:p>
        </w:tc>
        <w:tc>
          <w:tcPr>
            <w:tcW w:w="0" w:type="auto"/>
            <w:vAlign w:val="center"/>
          </w:tcPr>
          <w:p w14:paraId="618BE60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F04FBE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0D419B5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612E757B"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4F0EE" w:themeFill="background2"/>
            <w:vAlign w:val="center"/>
          </w:tcPr>
          <w:p w14:paraId="2F38D052" w14:textId="77777777" w:rsidR="00F33F71" w:rsidRPr="006C12BA" w:rsidRDefault="00F33F71" w:rsidP="006C12BA">
            <w:r w:rsidRPr="006C12BA">
              <w:t>Non-core miscellaneous fees and charges</w:t>
            </w:r>
          </w:p>
        </w:tc>
        <w:tc>
          <w:tcPr>
            <w:tcW w:w="0" w:type="auto"/>
            <w:gridSpan w:val="5"/>
            <w:shd w:val="clear" w:color="auto" w:fill="F4F0EE" w:themeFill="background2"/>
            <w:vAlign w:val="center"/>
          </w:tcPr>
          <w:p w14:paraId="319CA33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At cost</w:t>
            </w:r>
          </w:p>
        </w:tc>
      </w:tr>
    </w:tbl>
    <w:p w14:paraId="4E5DDD3A" w14:textId="79B11639" w:rsidR="000A18B2" w:rsidRDefault="00BD0850" w:rsidP="00F33F71">
      <w:r w:rsidRPr="00BD0850">
        <w:t xml:space="preserve">* This fee </w:t>
      </w:r>
      <w:r w:rsidR="00FE0C2E">
        <w:t>simplifies</w:t>
      </w:r>
      <w:r w:rsidRPr="00BD0850">
        <w:t xml:space="preserve"> </w:t>
      </w:r>
      <w:r w:rsidR="000604A8">
        <w:t xml:space="preserve">and </w:t>
      </w:r>
      <w:r w:rsidR="008902FD">
        <w:t xml:space="preserve">combines the previous </w:t>
      </w:r>
      <w:r w:rsidR="00BF6397">
        <w:t xml:space="preserve">central region </w:t>
      </w:r>
      <w:r w:rsidR="008902FD">
        <w:t xml:space="preserve">application, acceptance and water connection deposit fees that were </w:t>
      </w:r>
      <w:r w:rsidR="00BF6397">
        <w:t>listed separately but charged together</w:t>
      </w:r>
      <w:r w:rsidRPr="00BD0850">
        <w:t>. Going forward, the fee will apply to the whole G</w:t>
      </w:r>
      <w:r w:rsidR="005343F9">
        <w:t>WW</w:t>
      </w:r>
      <w:r w:rsidRPr="00BD0850">
        <w:t xml:space="preserve"> service area</w:t>
      </w:r>
      <w:r w:rsidR="00A1581C">
        <w:t>.</w:t>
      </w:r>
      <w:r w:rsidRPr="00BD0850">
        <w:t xml:space="preserve"> </w:t>
      </w:r>
      <w:r w:rsidR="000A18B2">
        <w:br w:type="page"/>
      </w:r>
    </w:p>
    <w:p w14:paraId="64752760" w14:textId="1A2CE056" w:rsidR="00100296" w:rsidRPr="00736243" w:rsidRDefault="00100296" w:rsidP="00D06F1D">
      <w:pPr>
        <w:pStyle w:val="Heading2"/>
      </w:pPr>
      <w:bookmarkStart w:id="185" w:name="_Toc146004876"/>
      <w:bookmarkStart w:id="186" w:name="_Toc146004764"/>
      <w:bookmarkStart w:id="187" w:name="_Toc146746710"/>
      <w:r w:rsidRPr="00736243">
        <w:lastRenderedPageBreak/>
        <w:t>Price control</w:t>
      </w:r>
      <w:bookmarkEnd w:id="185"/>
      <w:bookmarkEnd w:id="186"/>
      <w:bookmarkEnd w:id="187"/>
    </w:p>
    <w:p w14:paraId="75964272" w14:textId="613E5658" w:rsidR="00B20AE0" w:rsidRDefault="00DC2F11" w:rsidP="00B20AE0">
      <w:pPr>
        <w:pStyle w:val="BoxedQuoteHeading"/>
      </w:pPr>
      <w:r>
        <w:t>Summary</w:t>
      </w:r>
    </w:p>
    <w:p w14:paraId="208011F1" w14:textId="0F4F838D" w:rsidR="00B20AE0" w:rsidRDefault="00B20AE0" w:rsidP="00B20AE0">
      <w:pPr>
        <w:pStyle w:val="BoxedBullet"/>
      </w:pPr>
      <w:r>
        <w:t xml:space="preserve">We propose to maintain </w:t>
      </w:r>
      <w:r w:rsidR="00BF777F">
        <w:t xml:space="preserve">our </w:t>
      </w:r>
      <w:r>
        <w:t>existing tariff basket form of price control.</w:t>
      </w:r>
    </w:p>
    <w:p w14:paraId="2A0F505D" w14:textId="6C3D0E35" w:rsidR="00100296" w:rsidRDefault="00B20AE0" w:rsidP="00B20AE0">
      <w:pPr>
        <w:pStyle w:val="BoxedBullet"/>
      </w:pPr>
      <w:r>
        <w:t>We propose to maintain existing annual adjustment mechanisms with amendments to Schedule 5A (selection of tariffs to be adjusted).</w:t>
      </w:r>
    </w:p>
    <w:p w14:paraId="288AD25C" w14:textId="77777777" w:rsidR="00100296" w:rsidRPr="00B77940" w:rsidRDefault="00100296" w:rsidP="005B69CD">
      <w:pPr>
        <w:pStyle w:val="Heading3"/>
      </w:pPr>
      <w:r w:rsidRPr="00B77940">
        <w:t xml:space="preserve">Form of price control </w:t>
      </w:r>
    </w:p>
    <w:p w14:paraId="70B4CD57" w14:textId="57A93B8F" w:rsidR="00100296" w:rsidRDefault="00100296" w:rsidP="00100296">
      <w:r>
        <w:t>We</w:t>
      </w:r>
      <w:r w:rsidRPr="00D27ED4">
        <w:t xml:space="preserve"> propose to </w:t>
      </w:r>
      <w:r>
        <w:t>maintain</w:t>
      </w:r>
      <w:r w:rsidRPr="00D27ED4">
        <w:t xml:space="preserve"> </w:t>
      </w:r>
      <w:r>
        <w:t xml:space="preserve">our </w:t>
      </w:r>
      <w:r w:rsidRPr="00D27ED4">
        <w:t xml:space="preserve">current tariff basket </w:t>
      </w:r>
      <w:r>
        <w:t xml:space="preserve">form of price control for all charges (including trade waste, new customer contributions and miscellaneous charges) under the determination for the 2024-28 regulatory period. </w:t>
      </w:r>
    </w:p>
    <w:p w14:paraId="63366C1A" w14:textId="132DD7C7" w:rsidR="00100296" w:rsidRDefault="00100296" w:rsidP="00100296">
      <w:r>
        <w:t>This form of price control was approved by the ESC in our application, under clause 3 of our respective determinations, in the lead</w:t>
      </w:r>
      <w:r w:rsidR="0055667E">
        <w:t>-</w:t>
      </w:r>
      <w:r>
        <w:t xml:space="preserve">up to our integration to form GWW to allow us to: </w:t>
      </w:r>
    </w:p>
    <w:p w14:paraId="1F31DBC9" w14:textId="77777777" w:rsidR="00824AF9" w:rsidRDefault="00100296" w:rsidP="009B11E0">
      <w:pPr>
        <w:pStyle w:val="ListBullet"/>
        <w:numPr>
          <w:ilvl w:val="0"/>
          <w:numId w:val="12"/>
        </w:numPr>
      </w:pPr>
      <w:r w:rsidRPr="102465C9">
        <w:t>r</w:t>
      </w:r>
      <w:r w:rsidRPr="001700E7">
        <w:t xml:space="preserve">espond to the challenges of two different tariff structures with deviating </w:t>
      </w:r>
      <w:proofErr w:type="gramStart"/>
      <w:r w:rsidRPr="001700E7">
        <w:t>tariffs</w:t>
      </w:r>
      <w:proofErr w:type="gramEnd"/>
    </w:p>
    <w:p w14:paraId="184DBF88" w14:textId="476C4222" w:rsidR="00100296" w:rsidRPr="001700E7" w:rsidRDefault="00100296" w:rsidP="009B11E0">
      <w:pPr>
        <w:pStyle w:val="ListBullet"/>
        <w:numPr>
          <w:ilvl w:val="0"/>
          <w:numId w:val="12"/>
        </w:numPr>
      </w:pPr>
      <w:r w:rsidRPr="102465C9">
        <w:t>r</w:t>
      </w:r>
      <w:r w:rsidRPr="001700E7">
        <w:t xml:space="preserve">espond to significant changes </w:t>
      </w:r>
      <w:r w:rsidR="0026789E">
        <w:t xml:space="preserve">in </w:t>
      </w:r>
      <w:r w:rsidRPr="001700E7">
        <w:t>bulk variable changes proposed in Melbourne Water’s 2021 price review in lieu of an omitted clause in C</w:t>
      </w:r>
      <w:r w:rsidR="0026789E">
        <w:t>WW</w:t>
      </w:r>
      <w:r w:rsidRPr="001700E7">
        <w:t xml:space="preserve">’s 2018 price </w:t>
      </w:r>
      <w:proofErr w:type="gramStart"/>
      <w:r w:rsidRPr="001700E7">
        <w:t>submission</w:t>
      </w:r>
      <w:proofErr w:type="gramEnd"/>
      <w:r w:rsidRPr="001700E7">
        <w:t xml:space="preserve"> </w:t>
      </w:r>
    </w:p>
    <w:p w14:paraId="79B99434" w14:textId="2908E269" w:rsidR="00100296" w:rsidRPr="001700E7" w:rsidRDefault="00100296" w:rsidP="009B11E0">
      <w:pPr>
        <w:pStyle w:val="ListBullet"/>
        <w:numPr>
          <w:ilvl w:val="0"/>
          <w:numId w:val="12"/>
        </w:numPr>
      </w:pPr>
      <w:r w:rsidRPr="102465C9">
        <w:t>d</w:t>
      </w:r>
      <w:r w:rsidRPr="001700E7">
        <w:t xml:space="preserve">eliver on expectations set by the Minister </w:t>
      </w:r>
      <w:r w:rsidR="0026789E">
        <w:t xml:space="preserve">to </w:t>
      </w:r>
      <w:r w:rsidRPr="001700E7">
        <w:t>smooth bill movements over the remainder of the period.</w:t>
      </w:r>
    </w:p>
    <w:p w14:paraId="5F7779E3" w14:textId="46FDC8F4" w:rsidR="00100296" w:rsidRDefault="00100296" w:rsidP="00100296">
      <w:r>
        <w:t xml:space="preserve">This mechanism adopted under clause 3 of CWW and WW’s determinations included a constraint to limit price increases for individual tariffs to 10% per annum in real terms. </w:t>
      </w:r>
      <w:r w:rsidR="00791F83">
        <w:t xml:space="preserve">The constraint will continue to </w:t>
      </w:r>
      <w:r w:rsidR="00791F83">
        <w:rPr>
          <w:rStyle w:val="ui-provider"/>
        </w:rPr>
        <w:t>allow GWW to manage customer bill paths and relative relationships between customer types as we transition our tariffs over time</w:t>
      </w:r>
      <w:r w:rsidR="002E45B4">
        <w:rPr>
          <w:rStyle w:val="ui-provider"/>
        </w:rPr>
        <w:t>.</w:t>
      </w:r>
      <w:r>
        <w:t xml:space="preserve"> </w:t>
      </w:r>
    </w:p>
    <w:p w14:paraId="058BE1FE" w14:textId="05D4293D" w:rsidR="00100296" w:rsidRDefault="00100296" w:rsidP="00B20AE0">
      <w:r w:rsidRPr="00436BB6">
        <w:t xml:space="preserve">We propose to </w:t>
      </w:r>
      <w:r>
        <w:t>maintain</w:t>
      </w:r>
      <w:r w:rsidRPr="00436BB6">
        <w:t xml:space="preserve"> this constraint to </w:t>
      </w:r>
      <w:r>
        <w:t>10</w:t>
      </w:r>
      <w:r w:rsidRPr="00D6106E">
        <w:t>%</w:t>
      </w:r>
      <w:r w:rsidRPr="00436BB6">
        <w:t xml:space="preserve"> per annum in real terms.</w:t>
      </w:r>
      <w:r>
        <w:t xml:space="preserve"> We do not </w:t>
      </w:r>
      <w:r w:rsidR="0026789E">
        <w:t>expect to use</w:t>
      </w:r>
      <w:r>
        <w:t xml:space="preserve"> the adjustment in the tariff basket </w:t>
      </w:r>
      <w:r w:rsidR="00797B57">
        <w:t xml:space="preserve">in </w:t>
      </w:r>
      <w:r w:rsidR="00B93081">
        <w:t>next period</w:t>
      </w:r>
      <w:r>
        <w:t xml:space="preserve"> to the same extent </w:t>
      </w:r>
      <w:r w:rsidR="0026789E">
        <w:t xml:space="preserve">as over </w:t>
      </w:r>
      <w:r>
        <w:t>the past three years as the adjustments were used for our unique circumstances noted above.</w:t>
      </w:r>
    </w:p>
    <w:p w14:paraId="62698FA8" w14:textId="5AAA57FA" w:rsidR="00100296" w:rsidRDefault="00100296" w:rsidP="00100296">
      <w:r>
        <w:t xml:space="preserve">The tariff basket approach allows the flexibility to rebalance our prices without over-collecting revenue as we continue to align our tariff structures and tariffs over the upcoming regulatory periods. It also allows us to respond to short-term fluctuations in our </w:t>
      </w:r>
      <w:r w:rsidR="00B65ADE">
        <w:t xml:space="preserve">non-controllable </w:t>
      </w:r>
      <w:r>
        <w:t>costs that are passed through to customers to smooth bill impacts between customer segments.</w:t>
      </w:r>
    </w:p>
    <w:p w14:paraId="06B91DB1" w14:textId="77777777" w:rsidR="00100296" w:rsidRPr="003A719A" w:rsidRDefault="00100296" w:rsidP="00100296">
      <w:r>
        <w:t>The tariff combined with our demand forecasts balances demand and revenue risk more to us than our customers and provides greater price stability to customers.</w:t>
      </w:r>
    </w:p>
    <w:p w14:paraId="06B4B3DF" w14:textId="0650664C" w:rsidR="00100296" w:rsidRDefault="00100296" w:rsidP="00100296">
      <w:pPr>
        <w:pStyle w:val="Caption"/>
      </w:pPr>
      <w:r w:rsidRPr="00CC474C">
        <w:rPr>
          <w:b/>
        </w:rPr>
        <w:t xml:space="preserve">Equation </w:t>
      </w:r>
      <w:r w:rsidRPr="00CC474C">
        <w:rPr>
          <w:b/>
        </w:rPr>
        <w:fldChar w:fldCharType="begin"/>
      </w:r>
      <w:r w:rsidRPr="00CC474C">
        <w:rPr>
          <w:b/>
        </w:rPr>
        <w:instrText>SEQ Equation \* ARABIC</w:instrText>
      </w:r>
      <w:r w:rsidRPr="00CC474C">
        <w:rPr>
          <w:b/>
        </w:rPr>
        <w:fldChar w:fldCharType="separate"/>
      </w:r>
      <w:r w:rsidR="003B42C6">
        <w:rPr>
          <w:b/>
          <w:noProof/>
        </w:rPr>
        <w:t>1</w:t>
      </w:r>
      <w:r w:rsidRPr="00CC474C">
        <w:rPr>
          <w:b/>
        </w:rPr>
        <w:fldChar w:fldCharType="end"/>
      </w:r>
      <w:r>
        <w:t xml:space="preserve"> Proposed tariff basket form of price </w:t>
      </w:r>
      <w:proofErr w:type="gramStart"/>
      <w:r>
        <w:t>control</w:t>
      </w:r>
      <w:proofErr w:type="gramEnd"/>
    </w:p>
    <w:p w14:paraId="5D6517B3" w14:textId="6963C618" w:rsidR="00100296" w:rsidRPr="00CC474C" w:rsidRDefault="0069425C" w:rsidP="00100296">
      <w:pPr>
        <w:rPr>
          <w:rFonts w:eastAsiaTheme="minorEastAsia"/>
          <w:sz w:val="24"/>
          <w:szCs w:val="24"/>
        </w:rPr>
      </w:pPr>
      <m:oMathPara>
        <m:oMath>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num>
            <m:den>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1,</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den>
          </m:f>
          <m:r>
            <w:rPr>
              <w:rFonts w:ascii="Cambria Math" w:hAnsi="Cambria Math"/>
              <w:sz w:val="24"/>
              <w:szCs w:val="24"/>
            </w:rPr>
            <m:t>≥</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t</m:t>
                          </m:r>
                          <m:r>
                            <w:rPr>
                              <w:rFonts w:ascii="Cambria Math" w:hAnsi="Cambria Math"/>
                              <w:sz w:val="24"/>
                              <w:szCs w:val="24"/>
                            </w:rPr>
                            <m:t>,</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num>
            <m:den>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1,</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den>
          </m:f>
        </m:oMath>
      </m:oMathPara>
    </w:p>
    <w:p w14:paraId="69D158BF" w14:textId="77777777" w:rsidR="00FD5B4D" w:rsidRPr="00CC474C" w:rsidRDefault="00525C81" w:rsidP="00FD5B4D">
      <w:pPr>
        <w:rPr>
          <w:rFonts w:eastAsiaTheme="minorEastAsia"/>
          <w:sz w:val="24"/>
          <w:szCs w:val="24"/>
        </w:rPr>
      </w:pPr>
      <w:r>
        <w:rPr>
          <w:rFonts w:eastAsiaTheme="minorEastAsia"/>
          <w:sz w:val="24"/>
          <w:szCs w:val="24"/>
        </w:rPr>
        <w:t xml:space="preserve">For </w:t>
      </w:r>
      <m:oMath>
        <m:r>
          <w:rPr>
            <w:rFonts w:ascii="Cambria Math" w:hAnsi="Cambria Math"/>
            <w:sz w:val="24"/>
            <w:szCs w:val="24"/>
          </w:rPr>
          <m:t xml:space="preserve"> i=1,2,…,n </m:t>
        </m:r>
      </m:oMath>
      <w:r w:rsidR="00FD5B4D">
        <w:rPr>
          <w:rFonts w:eastAsiaTheme="minorEastAsia"/>
          <w:sz w:val="24"/>
          <w:szCs w:val="24"/>
        </w:rPr>
        <w:t xml:space="preserve">and </w:t>
      </w:r>
      <m:oMath>
        <m:r>
          <w:rPr>
            <w:rFonts w:ascii="Cambria Math" w:hAnsi="Cambria Math"/>
            <w:sz w:val="24"/>
            <w:szCs w:val="24"/>
          </w:rPr>
          <m:t>j=1,2,…,m</m:t>
        </m:r>
      </m:oMath>
    </w:p>
    <w:p w14:paraId="3AB06F9E" w14:textId="1F467653" w:rsidR="00525C81" w:rsidRPr="00CC474C" w:rsidRDefault="00525C81" w:rsidP="00100296">
      <w:pPr>
        <w:rPr>
          <w:rFonts w:eastAsiaTheme="minorEastAsia"/>
          <w:sz w:val="24"/>
          <w:szCs w:val="24"/>
        </w:rPr>
      </w:pPr>
    </w:p>
    <w:tbl>
      <w:tblPr>
        <w:tblStyle w:val="GWWDefaulttable"/>
        <w:tblW w:w="5000" w:type="pct"/>
        <w:tblLook w:val="04A0" w:firstRow="1" w:lastRow="0" w:firstColumn="1" w:lastColumn="0" w:noHBand="0" w:noVBand="1"/>
      </w:tblPr>
      <w:tblGrid>
        <w:gridCol w:w="1488"/>
        <w:gridCol w:w="8150"/>
      </w:tblGrid>
      <w:tr w:rsidR="00100296" w14:paraId="119DF9BC" w14:textId="77777777" w:rsidTr="00CC474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88" w:type="dxa"/>
          </w:tcPr>
          <w:p w14:paraId="0A4B15E2" w14:textId="77777777" w:rsidR="00100296" w:rsidRPr="00B90A0C" w:rsidRDefault="00100296">
            <w:pPr>
              <w:rPr>
                <w:rFonts w:ascii="Verdana" w:eastAsia="Verdana" w:hAnsi="Verdana" w:cs="Times New Roman"/>
                <w:sz w:val="24"/>
                <w:szCs w:val="24"/>
              </w:rPr>
            </w:pPr>
            <w:r>
              <w:lastRenderedPageBreak/>
              <w:t>Where:</w:t>
            </w:r>
          </w:p>
        </w:tc>
        <w:tc>
          <w:tcPr>
            <w:tcW w:w="8150" w:type="dxa"/>
          </w:tcPr>
          <w:p w14:paraId="7D932922" w14:textId="77777777" w:rsidR="00100296" w:rsidRPr="005C50CB" w:rsidRDefault="00100296">
            <w:pPr>
              <w:cnfStyle w:val="100000000000" w:firstRow="1" w:lastRow="0" w:firstColumn="0" w:lastColumn="0" w:oddVBand="0" w:evenVBand="0" w:oddHBand="0" w:evenHBand="0" w:firstRowFirstColumn="0" w:firstRowLastColumn="0" w:lastRowFirstColumn="0" w:lastRowLastColumn="0"/>
            </w:pPr>
          </w:p>
        </w:tc>
      </w:tr>
      <w:tr w:rsidR="00100296" w14:paraId="1830252F"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748268DA" w14:textId="30C99EA8" w:rsidR="00100296" w:rsidRPr="006E60DB" w:rsidRDefault="0069425C">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1</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49FD5EF1" w14:textId="0849853A" w:rsidR="00100296" w:rsidRDefault="00100296">
            <w:pPr>
              <w:cnfStyle w:val="000000000000" w:firstRow="0" w:lastRow="0" w:firstColumn="0" w:lastColumn="0" w:oddVBand="0" w:evenVBand="0" w:oddHBand="0" w:evenHBand="0" w:firstRowFirstColumn="0" w:firstRowLastColumn="0" w:lastRowFirstColumn="0" w:lastRowLastColumn="0"/>
            </w:pPr>
            <w:r w:rsidRPr="005C50CB">
              <w:t xml:space="preserve">is the tariff charged in regulatory year </w:t>
            </w:r>
            <m:oMath>
              <m:r>
                <w:rPr>
                  <w:rFonts w:ascii="Cambria Math" w:hAnsi="Cambria Math"/>
                </w:rPr>
                <m:t>t-1</m:t>
              </m:r>
            </m:oMath>
            <w:r w:rsidRPr="005C50CB">
              <w:t xml:space="preserve"> for component </w:t>
            </w:r>
            <m:oMath>
              <m:r>
                <w:rPr>
                  <w:rFonts w:ascii="Cambria Math" w:hAnsi="Cambria Math"/>
                </w:rPr>
                <m:t>j</m:t>
              </m:r>
            </m:oMath>
            <w:r w:rsidRPr="005C50CB">
              <w:t xml:space="preserve"> of tariff</w:t>
            </w:r>
            <m:oMath>
              <m:r>
                <w:rPr>
                  <w:rFonts w:ascii="Cambria Math" w:hAnsi="Cambria Math"/>
                </w:rPr>
                <m:t xml:space="preserve"> i</m:t>
              </m:r>
            </m:oMath>
          </w:p>
        </w:tc>
      </w:tr>
      <w:tr w:rsidR="00100296" w14:paraId="268083A5"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0A0F498E" w14:textId="1BD21448" w:rsidR="00100296" w:rsidRPr="006E60DB" w:rsidRDefault="0069425C">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07857906" w14:textId="24D4A839" w:rsidR="00100296" w:rsidRDefault="00100296">
            <w:pPr>
              <w:cnfStyle w:val="000000000000" w:firstRow="0" w:lastRow="0" w:firstColumn="0" w:lastColumn="0" w:oddVBand="0" w:evenVBand="0" w:oddHBand="0" w:evenHBand="0" w:firstRowFirstColumn="0" w:firstRowLastColumn="0" w:lastRowFirstColumn="0" w:lastRowLastColumn="0"/>
            </w:pPr>
            <w:r w:rsidRPr="005C50CB">
              <w:t xml:space="preserve">is the tariff charged in regulatory year </w:t>
            </w:r>
            <m:oMath>
              <m:r>
                <w:rPr>
                  <w:rFonts w:ascii="Cambria Math" w:hAnsi="Cambria Math"/>
                </w:rPr>
                <m:t>t</m:t>
              </m:r>
            </m:oMath>
            <w:r>
              <w:t>,</w:t>
            </w:r>
            <w:r w:rsidRPr="005C50CB">
              <w:t xml:space="preserve"> for component </w:t>
            </w:r>
            <m:oMath>
              <m:r>
                <w:rPr>
                  <w:rFonts w:ascii="Cambria Math" w:hAnsi="Cambria Math"/>
                </w:rPr>
                <m:t xml:space="preserve">j </m:t>
              </m:r>
            </m:oMath>
            <w:r w:rsidRPr="005C50CB">
              <w:t>of tariff</w:t>
            </w:r>
            <m:oMath>
              <m:r>
                <w:rPr>
                  <w:rFonts w:ascii="Cambria Math" w:hAnsi="Cambria Math"/>
                </w:rPr>
                <m:t xml:space="preserve"> i</m:t>
              </m:r>
            </m:oMath>
            <w:r w:rsidRPr="005C50CB">
              <w:t xml:space="preserve"> where the revised tariff schedule </w:t>
            </w:r>
            <w:r w:rsidRPr="00F64829">
              <w:rPr>
                <w:i/>
                <w:iCs/>
              </w:rPr>
              <w:t>is not applied</w:t>
            </w:r>
            <w:r>
              <w:rPr>
                <w:i/>
                <w:iCs/>
              </w:rPr>
              <w:t xml:space="preserve"> </w:t>
            </w:r>
            <w:r w:rsidRPr="00F64829">
              <w:rPr>
                <w:i/>
                <w:iCs/>
              </w:rPr>
              <w:t>and excludes commission approved pass-throughs</w:t>
            </w:r>
          </w:p>
        </w:tc>
      </w:tr>
      <w:tr w:rsidR="00100296" w14:paraId="15C93714"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2B4707B7" w14:textId="3A4D32EE" w:rsidR="00100296" w:rsidRPr="006E60DB" w:rsidRDefault="0069425C">
            <w:pPr>
              <w:rPr>
                <w:b w:val="0"/>
              </w:rPr>
            </w:pPr>
            <m:oMathPara>
              <m:oMath>
                <m:sSub>
                  <m:sSubPr>
                    <m:ctrlPr>
                      <w:rPr>
                        <w:rFonts w:ascii="Cambria Math" w:hAnsi="Cambria Math"/>
                        <w:b w:val="0"/>
                        <w:i/>
                        <w:sz w:val="24"/>
                        <w:szCs w:val="24"/>
                      </w:rPr>
                    </m:ctrlPr>
                  </m:sSubPr>
                  <m:e>
                    <m:acc>
                      <m:accPr>
                        <m:ctrlPr>
                          <w:rPr>
                            <w:rFonts w:ascii="Cambria Math" w:hAnsi="Cambria Math"/>
                            <w:b w:val="0"/>
                            <w:i/>
                            <w:sz w:val="24"/>
                            <w:szCs w:val="24"/>
                          </w:rPr>
                        </m:ctrlPr>
                      </m:accPr>
                      <m:e>
                        <m:r>
                          <m:rPr>
                            <m:sty m:val="bi"/>
                          </m:rPr>
                          <w:rPr>
                            <w:rFonts w:ascii="Cambria Math" w:hAnsi="Cambria Math"/>
                            <w:sz w:val="24"/>
                            <w:szCs w:val="24"/>
                          </w:rPr>
                          <m:t>p</m:t>
                        </m:r>
                      </m:e>
                    </m:acc>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5EFFC8DA" w14:textId="7B72E6B8" w:rsidR="00100296" w:rsidRDefault="00100296">
            <w:pPr>
              <w:cnfStyle w:val="000000000000" w:firstRow="0" w:lastRow="0" w:firstColumn="0" w:lastColumn="0" w:oddVBand="0" w:evenVBand="0" w:oddHBand="0" w:evenHBand="0" w:firstRowFirstColumn="0" w:firstRowLastColumn="0" w:lastRowFirstColumn="0" w:lastRowLastColumn="0"/>
            </w:pPr>
            <w:r>
              <w:t xml:space="preserve">is the tariff charged in regulatory year </w:t>
            </w:r>
            <m:oMath>
              <m:r>
                <w:rPr>
                  <w:rFonts w:ascii="Cambria Math" w:hAnsi="Cambria Math"/>
                </w:rPr>
                <m:t>t</m:t>
              </m:r>
            </m:oMath>
            <w:r>
              <w:t xml:space="preserve">, for component </w:t>
            </w:r>
            <m:oMath>
              <m:r>
                <w:rPr>
                  <w:rFonts w:ascii="Cambria Math" w:hAnsi="Cambria Math"/>
                </w:rPr>
                <m:t>j</m:t>
              </m:r>
            </m:oMath>
            <w:r>
              <w:t xml:space="preserve"> of tariff </w:t>
            </w:r>
            <m:oMath>
              <m:r>
                <w:rPr>
                  <w:rFonts w:ascii="Cambria Math" w:hAnsi="Cambria Math"/>
                </w:rPr>
                <m:t>i</m:t>
              </m:r>
            </m:oMath>
            <w:r>
              <w:t xml:space="preserve"> where the revised tariff schedule </w:t>
            </w:r>
            <w:r w:rsidRPr="00F64829">
              <w:rPr>
                <w:i/>
                <w:iCs/>
              </w:rPr>
              <w:t>is applied</w:t>
            </w:r>
            <w:r>
              <w:rPr>
                <w:i/>
                <w:iCs/>
              </w:rPr>
              <w:t xml:space="preserve"> </w:t>
            </w:r>
            <w:r w:rsidRPr="00F64829">
              <w:rPr>
                <w:i/>
                <w:iCs/>
              </w:rPr>
              <w:t>and excludes commission approved pass-throughs</w:t>
            </w:r>
          </w:p>
        </w:tc>
      </w:tr>
      <w:tr w:rsidR="00100296" w14:paraId="32A71FF3"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6352B29C" w14:textId="63EDBF18" w:rsidR="00100296" w:rsidRPr="006E60DB" w:rsidRDefault="0069425C">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2</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769AFB49" w14:textId="18E74B22" w:rsidR="00100296" w:rsidRDefault="00100296">
            <w:pPr>
              <w:cnfStyle w:val="000000000000" w:firstRow="0" w:lastRow="0" w:firstColumn="0" w:lastColumn="0" w:oddVBand="0" w:evenVBand="0" w:oddHBand="0" w:evenHBand="0" w:firstRowFirstColumn="0" w:firstRowLastColumn="0" w:lastRowFirstColumn="0" w:lastRowLastColumn="0"/>
            </w:pPr>
            <w:r w:rsidRPr="005C17B8">
              <w:t xml:space="preserve">is the quantity of component </w:t>
            </w:r>
            <m:oMath>
              <m:r>
                <w:rPr>
                  <w:rFonts w:ascii="Cambria Math" w:hAnsi="Cambria Math"/>
                </w:rPr>
                <m:t>j</m:t>
              </m:r>
            </m:oMath>
            <w:r w:rsidRPr="005C50CB">
              <w:t xml:space="preserve"> of tariff </w:t>
            </w:r>
            <m:oMath>
              <m:r>
                <w:rPr>
                  <w:rFonts w:ascii="Cambria Math" w:hAnsi="Cambria Math"/>
                </w:rPr>
                <m:t>i</m:t>
              </m:r>
            </m:oMath>
            <w:r w:rsidRPr="005C50CB">
              <w:t xml:space="preserve"> </w:t>
            </w:r>
            <w:r w:rsidRPr="005C17B8">
              <w:t xml:space="preserve">that was sold in regulatory year </w:t>
            </w:r>
            <m:oMath>
              <m:r>
                <w:rPr>
                  <w:rFonts w:ascii="Cambria Math" w:hAnsi="Cambria Math"/>
                </w:rPr>
                <m:t>t-2</m:t>
              </m:r>
            </m:oMath>
            <w:r w:rsidRPr="005C17B8">
              <w:t xml:space="preserve">, or, if an actual quantity is not available, either an estimate of the quantity of component </w:t>
            </w:r>
            <m:oMath>
              <m:r>
                <w:rPr>
                  <w:rFonts w:ascii="Cambria Math" w:hAnsi="Cambria Math"/>
                </w:rPr>
                <m:t xml:space="preserve">j </m:t>
              </m:r>
            </m:oMath>
            <w:r w:rsidRPr="005C50CB">
              <w:t xml:space="preserve">of tariff </w:t>
            </w:r>
            <m:oMath>
              <m:r>
                <w:rPr>
                  <w:rFonts w:ascii="Cambria Math" w:hAnsi="Cambria Math"/>
                </w:rPr>
                <m:t xml:space="preserve">i </m:t>
              </m:r>
            </m:oMath>
            <w:r w:rsidRPr="005C17B8">
              <w:t xml:space="preserve">that would have been sold in regulatory year </w:t>
            </w:r>
            <m:oMath>
              <m:r>
                <w:rPr>
                  <w:rFonts w:ascii="Cambria Math" w:hAnsi="Cambria Math"/>
                </w:rPr>
                <m:t>t-2</m:t>
              </m:r>
            </m:oMath>
            <w:r w:rsidRPr="005C17B8">
              <w:t xml:space="preserve"> or a forecast of the quantity of component </w:t>
            </w:r>
            <m:oMath>
              <m:r>
                <w:rPr>
                  <w:rFonts w:ascii="Cambria Math" w:hAnsi="Cambria Math"/>
                </w:rPr>
                <m:t xml:space="preserve">j </m:t>
              </m:r>
            </m:oMath>
            <w:r w:rsidRPr="005C50CB">
              <w:t xml:space="preserve">of tariff </w:t>
            </w:r>
            <m:oMath>
              <m:r>
                <w:rPr>
                  <w:rFonts w:ascii="Cambria Math" w:hAnsi="Cambria Math"/>
                </w:rPr>
                <m:t>i</m:t>
              </m:r>
            </m:oMath>
            <w:r w:rsidRPr="005C17B8">
              <w:t xml:space="preserve"> that is expected to be sold in regulatory year </w:t>
            </w:r>
            <m:oMath>
              <m:r>
                <w:rPr>
                  <w:rFonts w:ascii="Cambria Math" w:hAnsi="Cambria Math"/>
                </w:rPr>
                <m:t>t-2</m:t>
              </m:r>
            </m:oMath>
          </w:p>
        </w:tc>
      </w:tr>
    </w:tbl>
    <w:p w14:paraId="50816DA4" w14:textId="77777777" w:rsidR="00100296" w:rsidRPr="00A53AB6" w:rsidRDefault="00100296" w:rsidP="00100296">
      <w:pPr>
        <w:sectPr w:rsidR="00100296" w:rsidRPr="00A53AB6" w:rsidSect="008C1A38">
          <w:pgSz w:w="11906" w:h="16838" w:code="9"/>
          <w:pgMar w:top="1134" w:right="1134" w:bottom="1134" w:left="1134" w:header="709" w:footer="652" w:gutter="0"/>
          <w:cols w:space="708"/>
          <w:docGrid w:linePitch="360"/>
        </w:sectPr>
      </w:pPr>
    </w:p>
    <w:p w14:paraId="1058078B" w14:textId="77777777" w:rsidR="00100296" w:rsidRPr="00B77940" w:rsidRDefault="00100296" w:rsidP="005B69CD">
      <w:pPr>
        <w:pStyle w:val="Heading3"/>
      </w:pPr>
      <w:r w:rsidRPr="00B77940">
        <w:lastRenderedPageBreak/>
        <w:t>Adjustment to prices</w:t>
      </w:r>
    </w:p>
    <w:p w14:paraId="1C26269B" w14:textId="381966EC" w:rsidR="00100296" w:rsidRDefault="00100296" w:rsidP="00100296">
      <w:r>
        <w:t>We</w:t>
      </w:r>
      <w:r w:rsidRPr="00D27ED4">
        <w:t xml:space="preserve"> propose to </w:t>
      </w:r>
      <w:r>
        <w:t>maintain</w:t>
      </w:r>
      <w:r w:rsidRPr="00D27ED4">
        <w:t xml:space="preserve"> </w:t>
      </w:r>
      <w:r>
        <w:t xml:space="preserve">our existing annual price adjustments contained in CWW’s 2018 price determination and WW’s 2020 price determination, with amendments to which </w:t>
      </w:r>
      <w:r w:rsidRPr="00F776F5">
        <w:t>tariff</w:t>
      </w:r>
      <w:r>
        <w:t>s would be included in the adjustment.</w:t>
      </w:r>
      <w:r w:rsidR="005235F7">
        <w:t xml:space="preserve"> This is presented in </w:t>
      </w:r>
      <w:r w:rsidR="005235F7">
        <w:fldChar w:fldCharType="begin"/>
      </w:r>
      <w:r w:rsidR="005235F7">
        <w:instrText xml:space="preserve"> REF _Ref144723749 \h </w:instrText>
      </w:r>
      <w:r w:rsidR="005235F7">
        <w:fldChar w:fldCharType="separate"/>
      </w:r>
      <w:r w:rsidR="003B42C6" w:rsidRPr="00E5527D">
        <w:rPr>
          <w:b/>
        </w:rPr>
        <w:t xml:space="preserve">Table </w:t>
      </w:r>
      <w:r w:rsidR="003B42C6">
        <w:rPr>
          <w:b/>
          <w:noProof/>
        </w:rPr>
        <w:t>42</w:t>
      </w:r>
      <w:r w:rsidR="005235F7">
        <w:fldChar w:fldCharType="end"/>
      </w:r>
      <w:r w:rsidR="005235F7">
        <w:t>.</w:t>
      </w:r>
    </w:p>
    <w:p w14:paraId="7EA3CA3E" w14:textId="77777777" w:rsidR="00100296" w:rsidRDefault="00100296" w:rsidP="00100296">
      <w:r>
        <w:t>These mechanisms allow us to adjust for:</w:t>
      </w:r>
    </w:p>
    <w:p w14:paraId="6C92A6BB" w14:textId="77777777" w:rsidR="00100296" w:rsidRPr="001700E7" w:rsidRDefault="00100296" w:rsidP="009B11E0">
      <w:pPr>
        <w:pStyle w:val="ListBullet"/>
        <w:numPr>
          <w:ilvl w:val="0"/>
          <w:numId w:val="12"/>
        </w:numPr>
      </w:pPr>
      <w:r w:rsidRPr="001700E7">
        <w:t>our rolling 10-year average cost of debt</w:t>
      </w:r>
    </w:p>
    <w:p w14:paraId="511337AA" w14:textId="7DA6C6D4" w:rsidR="00100296" w:rsidRPr="001700E7" w:rsidRDefault="00100296" w:rsidP="009B11E0">
      <w:pPr>
        <w:pStyle w:val="ListBullet"/>
        <w:numPr>
          <w:ilvl w:val="0"/>
          <w:numId w:val="12"/>
        </w:numPr>
      </w:pPr>
      <w:r w:rsidRPr="102465C9">
        <w:t>p</w:t>
      </w:r>
      <w:r w:rsidRPr="001700E7">
        <w:t>ass-through of other annual changes to Melbourne Water bulk water and sewerage prices including cost of debt adjustments where applicable</w:t>
      </w:r>
    </w:p>
    <w:p w14:paraId="694B459A" w14:textId="4EA014BE" w:rsidR="00100296" w:rsidRDefault="00100296" w:rsidP="009B11E0">
      <w:pPr>
        <w:pStyle w:val="ListBullet"/>
        <w:numPr>
          <w:ilvl w:val="0"/>
          <w:numId w:val="12"/>
        </w:numPr>
      </w:pPr>
      <w:r w:rsidRPr="102465C9">
        <w:t>a</w:t>
      </w:r>
      <w:r w:rsidRPr="001700E7">
        <w:t>nnual desalination water order and any other changes to related management or security charge costs.</w:t>
      </w:r>
    </w:p>
    <w:p w14:paraId="2262B442" w14:textId="62445286" w:rsidR="00100296" w:rsidRDefault="00100296" w:rsidP="00100296">
      <w:pPr>
        <w:pStyle w:val="Caption"/>
      </w:pPr>
      <w:bookmarkStart w:id="188" w:name="_Ref144723749"/>
      <w:r w:rsidRPr="00E5527D">
        <w:rPr>
          <w:b/>
        </w:rPr>
        <w:t xml:space="preserve">Table </w:t>
      </w:r>
      <w:r w:rsidRPr="00E5527D">
        <w:rPr>
          <w:b/>
        </w:rPr>
        <w:fldChar w:fldCharType="begin"/>
      </w:r>
      <w:r w:rsidRPr="00E5527D">
        <w:rPr>
          <w:b/>
        </w:rPr>
        <w:instrText>SEQ Table \* ARABIC</w:instrText>
      </w:r>
      <w:r w:rsidRPr="00E5527D">
        <w:rPr>
          <w:b/>
        </w:rPr>
        <w:fldChar w:fldCharType="separate"/>
      </w:r>
      <w:r w:rsidR="003B42C6">
        <w:rPr>
          <w:b/>
          <w:noProof/>
        </w:rPr>
        <w:t>42</w:t>
      </w:r>
      <w:r w:rsidRPr="00E5527D">
        <w:rPr>
          <w:b/>
        </w:rPr>
        <w:fldChar w:fldCharType="end"/>
      </w:r>
      <w:bookmarkEnd w:id="188"/>
      <w:r>
        <w:t xml:space="preserve"> Proposed annual adjustments to </w:t>
      </w:r>
      <w:proofErr w:type="gramStart"/>
      <w:r>
        <w:t>tariffs</w:t>
      </w:r>
      <w:proofErr w:type="gramEnd"/>
    </w:p>
    <w:tbl>
      <w:tblPr>
        <w:tblStyle w:val="GWWDefaulttable"/>
        <w:tblW w:w="5000" w:type="pct"/>
        <w:tblLook w:val="04A0" w:firstRow="1" w:lastRow="0" w:firstColumn="1" w:lastColumn="0" w:noHBand="0" w:noVBand="1"/>
      </w:tblPr>
      <w:tblGrid>
        <w:gridCol w:w="2570"/>
        <w:gridCol w:w="1766"/>
        <w:gridCol w:w="1768"/>
        <w:gridCol w:w="1768"/>
        <w:gridCol w:w="1766"/>
      </w:tblGrid>
      <w:tr w:rsidR="00100296" w:rsidRPr="006C12BA" w14:paraId="52201E39" w14:textId="77777777" w:rsidTr="009E7828">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334" w:type="pct"/>
            <w:vAlign w:val="center"/>
          </w:tcPr>
          <w:p w14:paraId="3FAA1454" w14:textId="77777777" w:rsidR="00100296" w:rsidRPr="006C12BA" w:rsidRDefault="00100296" w:rsidP="009E7828">
            <w:r w:rsidRPr="006C12BA">
              <w:t>Tariffs</w:t>
            </w:r>
          </w:p>
        </w:tc>
        <w:tc>
          <w:tcPr>
            <w:tcW w:w="916" w:type="pct"/>
            <w:vAlign w:val="center"/>
          </w:tcPr>
          <w:p w14:paraId="7ADAB7DF"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Cost of debt annual adjustment</w:t>
            </w:r>
          </w:p>
        </w:tc>
        <w:tc>
          <w:tcPr>
            <w:tcW w:w="917" w:type="pct"/>
            <w:vAlign w:val="center"/>
          </w:tcPr>
          <w:p w14:paraId="33CCF2A7" w14:textId="7ABE4BB1"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 xml:space="preserve">Melbourne Water bulk water fixed annual adjustments </w:t>
            </w:r>
          </w:p>
        </w:tc>
        <w:tc>
          <w:tcPr>
            <w:tcW w:w="917" w:type="pct"/>
            <w:vAlign w:val="center"/>
          </w:tcPr>
          <w:p w14:paraId="5885C842"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 xml:space="preserve">Melbourne Water bulk sewerage fixed annual adjustments </w:t>
            </w:r>
          </w:p>
        </w:tc>
        <w:tc>
          <w:tcPr>
            <w:tcW w:w="917" w:type="pct"/>
            <w:vAlign w:val="center"/>
          </w:tcPr>
          <w:p w14:paraId="1F6072C8"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Desalination water order and associated costs annual adjustments</w:t>
            </w:r>
          </w:p>
        </w:tc>
      </w:tr>
      <w:tr w:rsidR="00100296" w:rsidRPr="006C12BA" w14:paraId="475BE23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35345A0F" w14:textId="77777777" w:rsidR="00100296" w:rsidRPr="001F6407" w:rsidRDefault="00100296" w:rsidP="006C12BA">
            <w:pPr>
              <w:rPr>
                <w:b w:val="0"/>
              </w:rPr>
            </w:pPr>
            <w:r w:rsidRPr="001F6407">
              <w:rPr>
                <w:b w:val="0"/>
              </w:rPr>
              <w:t>Residential and non-residential fixed water tariffs</w:t>
            </w:r>
          </w:p>
        </w:tc>
        <w:tc>
          <w:tcPr>
            <w:tcW w:w="916" w:type="pct"/>
            <w:vAlign w:val="center"/>
          </w:tcPr>
          <w:p w14:paraId="346FB3C3"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C50102A"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6688EA4E"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2D91A461"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0169BE44"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2B036FE4" w14:textId="77777777" w:rsidR="00100296" w:rsidRPr="001F6407" w:rsidRDefault="00100296" w:rsidP="006C12BA">
            <w:pPr>
              <w:rPr>
                <w:b w:val="0"/>
              </w:rPr>
            </w:pPr>
            <w:r w:rsidRPr="001F6407">
              <w:rPr>
                <w:b w:val="0"/>
              </w:rPr>
              <w:t>Residential and non-residential variable water tariffs</w:t>
            </w:r>
          </w:p>
        </w:tc>
        <w:tc>
          <w:tcPr>
            <w:tcW w:w="916" w:type="pct"/>
            <w:vAlign w:val="center"/>
          </w:tcPr>
          <w:p w14:paraId="3DE851F9"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149D96A0"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7CA83171"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5B7DBA87"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r>
      <w:tr w:rsidR="00100296" w:rsidRPr="006C12BA" w14:paraId="6C0C1387"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50B4D56C" w14:textId="77777777" w:rsidR="00100296" w:rsidRPr="001F6407" w:rsidRDefault="00100296" w:rsidP="006C12BA">
            <w:pPr>
              <w:rPr>
                <w:b w:val="0"/>
              </w:rPr>
            </w:pPr>
            <w:r w:rsidRPr="001F6407">
              <w:rPr>
                <w:b w:val="0"/>
              </w:rPr>
              <w:t>Residential and non-residential fixed sewerage tariffs</w:t>
            </w:r>
          </w:p>
        </w:tc>
        <w:tc>
          <w:tcPr>
            <w:tcW w:w="916" w:type="pct"/>
            <w:vAlign w:val="center"/>
          </w:tcPr>
          <w:p w14:paraId="446C7C35"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10E5D8BF"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5CB8C28B"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70C4050"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699B055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26561369" w14:textId="77777777" w:rsidR="00100296" w:rsidRPr="001F6407" w:rsidRDefault="00100296" w:rsidP="006C12BA">
            <w:pPr>
              <w:rPr>
                <w:b w:val="0"/>
              </w:rPr>
            </w:pPr>
            <w:r w:rsidRPr="001F6407">
              <w:rPr>
                <w:b w:val="0"/>
              </w:rPr>
              <w:t>Non-residential variable sewerage tariffs</w:t>
            </w:r>
          </w:p>
        </w:tc>
        <w:tc>
          <w:tcPr>
            <w:tcW w:w="916" w:type="pct"/>
            <w:vAlign w:val="center"/>
          </w:tcPr>
          <w:p w14:paraId="4F33763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044BECD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6FCA8092"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46B35A46"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436D4828"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7B29F476" w14:textId="77777777" w:rsidR="00100296" w:rsidRPr="001F6407" w:rsidRDefault="00100296" w:rsidP="006C12BA">
            <w:pPr>
              <w:rPr>
                <w:b w:val="0"/>
              </w:rPr>
            </w:pPr>
            <w:r w:rsidRPr="001F6407">
              <w:rPr>
                <w:b w:val="0"/>
              </w:rPr>
              <w:t>Residential and non-residential fixed recycled water tariffs</w:t>
            </w:r>
          </w:p>
        </w:tc>
        <w:tc>
          <w:tcPr>
            <w:tcW w:w="916" w:type="pct"/>
            <w:vAlign w:val="center"/>
          </w:tcPr>
          <w:p w14:paraId="139442B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9D1077B" w14:textId="364FEE51"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2318C3B7"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081908A5"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2225746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5275F26F" w14:textId="77777777" w:rsidR="00100296" w:rsidRPr="001F6407" w:rsidRDefault="00100296" w:rsidP="006C12BA">
            <w:pPr>
              <w:rPr>
                <w:b w:val="0"/>
              </w:rPr>
            </w:pPr>
            <w:r w:rsidRPr="001F6407">
              <w:rPr>
                <w:b w:val="0"/>
              </w:rPr>
              <w:t>Residential and non-residential variable recycled water tariffs</w:t>
            </w:r>
          </w:p>
        </w:tc>
        <w:tc>
          <w:tcPr>
            <w:tcW w:w="916" w:type="pct"/>
            <w:vAlign w:val="center"/>
          </w:tcPr>
          <w:p w14:paraId="11E2663E"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5790AC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7FA02FB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3F545AA0" w14:textId="3376736A"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bl>
    <w:p w14:paraId="11F084AB" w14:textId="77777777" w:rsidR="00100296" w:rsidRDefault="00100296" w:rsidP="00100296"/>
    <w:p w14:paraId="531E4C64" w14:textId="6033C096" w:rsidR="00100296" w:rsidRDefault="00100296" w:rsidP="00100296">
      <w:r w:rsidRPr="00F52CA4">
        <w:t xml:space="preserve">In addition to these annual price adjustment mechanisms, we propose that </w:t>
      </w:r>
      <w:r w:rsidR="00960BA7">
        <w:t>S</w:t>
      </w:r>
      <w:r w:rsidRPr="00F52CA4">
        <w:t xml:space="preserve">ection 4 of </w:t>
      </w:r>
      <w:r>
        <w:t>either CWW’s 2018 price determination or WW’s 2018 price determination in response to events that are uncertain or unforeseen appl</w:t>
      </w:r>
      <w:r w:rsidR="00592E04">
        <w:t>ies</w:t>
      </w:r>
      <w:r>
        <w:t xml:space="preserve"> for the 2024-28 period.</w:t>
      </w:r>
    </w:p>
    <w:p w14:paraId="1FC5E550" w14:textId="6137150B" w:rsidR="00B20AE0" w:rsidRPr="008A4A05" w:rsidRDefault="008654D5" w:rsidP="0078186C">
      <w:pPr>
        <w:pStyle w:val="BoxedQuoteHeading"/>
        <w:keepNext/>
      </w:pPr>
      <w:r>
        <w:lastRenderedPageBreak/>
        <w:t>S</w:t>
      </w:r>
      <w:r w:rsidR="00304D04">
        <w:t xml:space="preserve">upporting </w:t>
      </w:r>
      <w:r w:rsidR="00B20AE0">
        <w:t>documents</w:t>
      </w:r>
      <w:r>
        <w:t xml:space="preserve"> for </w:t>
      </w:r>
      <w:r w:rsidR="00DD678A">
        <w:t>tari</w:t>
      </w:r>
      <w:r w:rsidR="00CB3853">
        <w:t>f</w:t>
      </w:r>
      <w:r w:rsidR="00DD678A">
        <w:t xml:space="preserve">f </w:t>
      </w:r>
      <w:r>
        <w:t>structure</w:t>
      </w:r>
      <w:r w:rsidR="00DD678A">
        <w:t xml:space="preserve"> and fees</w:t>
      </w:r>
      <w:r w:rsidR="00B20AE0" w:rsidRPr="008A4A05">
        <w:t>:</w:t>
      </w:r>
    </w:p>
    <w:p w14:paraId="54C4FF0D" w14:textId="2C720CF5" w:rsidR="004D2569" w:rsidRPr="00BC0DC0" w:rsidRDefault="004D2569" w:rsidP="0078186C">
      <w:pPr>
        <w:pStyle w:val="BoxedBullet"/>
        <w:keepNext/>
        <w:rPr>
          <w:rStyle w:val="Hyperlink"/>
          <w:b/>
          <w:color w:val="000000" w:themeColor="text1"/>
          <w:u w:val="none"/>
        </w:rPr>
      </w:pPr>
      <w:r w:rsidRPr="00BC0DC0">
        <w:rPr>
          <w:rStyle w:val="Hyperlink"/>
          <w:color w:val="000000" w:themeColor="text1"/>
          <w:u w:val="none"/>
        </w:rPr>
        <w:t xml:space="preserve">PS24 </w:t>
      </w:r>
      <w:r w:rsidR="009207F0">
        <w:rPr>
          <w:rStyle w:val="Hyperlink"/>
          <w:color w:val="000000" w:themeColor="text1"/>
          <w:u w:val="none"/>
        </w:rPr>
        <w:t>t</w:t>
      </w:r>
      <w:r w:rsidRPr="00BC0DC0">
        <w:rPr>
          <w:rStyle w:val="Hyperlink"/>
          <w:color w:val="000000" w:themeColor="text1"/>
          <w:u w:val="none"/>
        </w:rPr>
        <w:t xml:space="preserve">ariff </w:t>
      </w:r>
      <w:r w:rsidR="009207F0">
        <w:rPr>
          <w:rStyle w:val="Hyperlink"/>
          <w:color w:val="000000" w:themeColor="text1"/>
          <w:u w:val="none"/>
        </w:rPr>
        <w:t>strategy</w:t>
      </w:r>
    </w:p>
    <w:p w14:paraId="0561BB98" w14:textId="17E2DB78" w:rsidR="00E40EEF" w:rsidRPr="00BC0DC0" w:rsidRDefault="00E40EEF" w:rsidP="00B20AE0">
      <w:pPr>
        <w:pStyle w:val="BoxedBullet"/>
        <w:rPr>
          <w:rStyle w:val="Hyperlink"/>
          <w:color w:val="000000" w:themeColor="text1"/>
          <w:u w:val="none"/>
        </w:rPr>
      </w:pPr>
      <w:r w:rsidRPr="00BC0DC0">
        <w:rPr>
          <w:rStyle w:val="Hyperlink"/>
          <w:color w:val="000000" w:themeColor="text1"/>
          <w:u w:val="none"/>
        </w:rPr>
        <w:t>Summary of billing practices</w:t>
      </w:r>
    </w:p>
    <w:p w14:paraId="119542AA" w14:textId="50AA335A" w:rsidR="00B71280" w:rsidRPr="00BC0DC0" w:rsidRDefault="00B71280" w:rsidP="00B20AE0">
      <w:pPr>
        <w:pStyle w:val="BoxedBullet"/>
        <w:rPr>
          <w:rStyle w:val="Hyperlink"/>
          <w:color w:val="000000" w:themeColor="text1"/>
          <w:u w:val="none"/>
        </w:rPr>
      </w:pPr>
      <w:r w:rsidRPr="00BC0DC0">
        <w:rPr>
          <w:rStyle w:val="Hyperlink"/>
          <w:color w:val="000000" w:themeColor="text1"/>
          <w:u w:val="none"/>
        </w:rPr>
        <w:t>PS24 annual adjustments summary</w:t>
      </w:r>
    </w:p>
    <w:p w14:paraId="3D5EC081" w14:textId="63DA505C" w:rsidR="00A02D3F" w:rsidRPr="00BC0DC0" w:rsidRDefault="00A02D3F" w:rsidP="00B20AE0">
      <w:pPr>
        <w:pStyle w:val="BoxedBullet"/>
        <w:rPr>
          <w:rStyle w:val="Hyperlink"/>
          <w:color w:val="000000" w:themeColor="text1"/>
          <w:u w:val="none"/>
        </w:rPr>
      </w:pPr>
      <w:r w:rsidRPr="00BC0DC0">
        <w:rPr>
          <w:rStyle w:val="Hyperlink"/>
          <w:color w:val="000000" w:themeColor="text1"/>
          <w:u w:val="none"/>
        </w:rPr>
        <w:t>Melbourne Metropolitan Water Tariff Review – Focus Group Report</w:t>
      </w:r>
    </w:p>
    <w:p w14:paraId="347AEA4C" w14:textId="2F493250" w:rsidR="007861AA" w:rsidRPr="00BC0DC0" w:rsidRDefault="00CB3853" w:rsidP="00B20AE0">
      <w:pPr>
        <w:pStyle w:val="BoxedBullet"/>
        <w:rPr>
          <w:color w:val="000000" w:themeColor="text1"/>
        </w:rPr>
      </w:pPr>
      <w:r w:rsidRPr="00BC0DC0">
        <w:rPr>
          <w:color w:val="000000" w:themeColor="text1"/>
        </w:rPr>
        <w:t xml:space="preserve">PS24 NCC Model </w:t>
      </w:r>
    </w:p>
    <w:p w14:paraId="71DF2B56" w14:textId="4B4D77C3" w:rsidR="008F5F2E" w:rsidRPr="00BC0DC0" w:rsidRDefault="000A5511" w:rsidP="00B20AE0">
      <w:pPr>
        <w:pStyle w:val="BoxedBullet"/>
        <w:rPr>
          <w:color w:val="000000" w:themeColor="text1"/>
        </w:rPr>
      </w:pPr>
      <w:r w:rsidRPr="00BC0DC0">
        <w:rPr>
          <w:color w:val="000000" w:themeColor="text1"/>
        </w:rPr>
        <w:t xml:space="preserve">PS24 NCC </w:t>
      </w:r>
      <w:r w:rsidR="00C4497E" w:rsidRPr="00BC0DC0">
        <w:rPr>
          <w:color w:val="000000" w:themeColor="text1"/>
        </w:rPr>
        <w:t>s</w:t>
      </w:r>
      <w:r w:rsidRPr="00BC0DC0">
        <w:rPr>
          <w:color w:val="000000" w:themeColor="text1"/>
        </w:rPr>
        <w:t xml:space="preserve">upporting </w:t>
      </w:r>
      <w:proofErr w:type="gramStart"/>
      <w:r w:rsidRPr="00BC0DC0">
        <w:rPr>
          <w:color w:val="000000" w:themeColor="text1"/>
        </w:rPr>
        <w:t>document</w:t>
      </w:r>
      <w:proofErr w:type="gramEnd"/>
      <w:r w:rsidRPr="00BC0DC0">
        <w:rPr>
          <w:color w:val="000000" w:themeColor="text1"/>
        </w:rPr>
        <w:t xml:space="preserve"> </w:t>
      </w:r>
    </w:p>
    <w:p w14:paraId="0311E169" w14:textId="725A9F26" w:rsidR="0033559D" w:rsidRPr="00BC0DC0" w:rsidRDefault="0033559D" w:rsidP="00B20AE0">
      <w:pPr>
        <w:pStyle w:val="BoxedBullet"/>
        <w:rPr>
          <w:color w:val="000000" w:themeColor="text1"/>
        </w:rPr>
      </w:pPr>
      <w:r w:rsidRPr="00BC0DC0">
        <w:rPr>
          <w:color w:val="000000" w:themeColor="text1"/>
        </w:rPr>
        <w:t xml:space="preserve">NCC negotiating </w:t>
      </w:r>
      <w:proofErr w:type="gramStart"/>
      <w:r w:rsidRPr="00BC0DC0">
        <w:rPr>
          <w:color w:val="000000" w:themeColor="text1"/>
        </w:rPr>
        <w:t>framework</w:t>
      </w:r>
      <w:proofErr w:type="gramEnd"/>
    </w:p>
    <w:p w14:paraId="0217D026" w14:textId="77777777" w:rsidR="00AA31F7" w:rsidRPr="00AA31F7" w:rsidRDefault="00AA31F7" w:rsidP="00AA31F7"/>
    <w:p w14:paraId="6CE58C98" w14:textId="27301C63" w:rsidR="000568DD" w:rsidRPr="008A41A1" w:rsidRDefault="000568DD" w:rsidP="008A41A1">
      <w:pPr>
        <w:pStyle w:val="Heading1"/>
      </w:pPr>
      <w:bookmarkStart w:id="189" w:name="_Toc142640402"/>
      <w:bookmarkStart w:id="190" w:name="_Toc142640496"/>
      <w:bookmarkStart w:id="191" w:name="_Ref145926920"/>
      <w:bookmarkStart w:id="192" w:name="_Toc146004877"/>
      <w:bookmarkStart w:id="193" w:name="_Toc146004765"/>
      <w:bookmarkStart w:id="194" w:name="_Toc146746711"/>
      <w:bookmarkEnd w:id="189"/>
      <w:bookmarkEnd w:id="190"/>
      <w:r w:rsidRPr="008A41A1">
        <w:lastRenderedPageBreak/>
        <w:t>Setting our prices</w:t>
      </w:r>
      <w:bookmarkEnd w:id="191"/>
      <w:bookmarkEnd w:id="192"/>
      <w:bookmarkEnd w:id="193"/>
      <w:bookmarkEnd w:id="194"/>
    </w:p>
    <w:p w14:paraId="0D61DD5A" w14:textId="41FB9DE7" w:rsidR="000568DD" w:rsidRPr="00AA31F7" w:rsidRDefault="000568DD" w:rsidP="00D06F1D">
      <w:pPr>
        <w:pStyle w:val="Heading2"/>
      </w:pPr>
      <w:bookmarkStart w:id="195" w:name="_Ref145925634"/>
      <w:bookmarkStart w:id="196" w:name="_Toc146004878"/>
      <w:bookmarkStart w:id="197" w:name="_Toc146004766"/>
      <w:bookmarkStart w:id="198" w:name="_Toc146746712"/>
      <w:r w:rsidRPr="00AA31F7">
        <w:t>Revenue requirement</w:t>
      </w:r>
      <w:bookmarkEnd w:id="195"/>
      <w:bookmarkEnd w:id="196"/>
      <w:bookmarkEnd w:id="197"/>
      <w:bookmarkEnd w:id="198"/>
    </w:p>
    <w:p w14:paraId="7E756AC8" w14:textId="42152F8C" w:rsidR="000568DD" w:rsidRDefault="000568DD" w:rsidP="000568DD">
      <w:r>
        <w:t xml:space="preserve">Our revenue requirement reflects the costs we need to recover to deliver reliable, </w:t>
      </w:r>
      <w:proofErr w:type="gramStart"/>
      <w:r>
        <w:t>safe</w:t>
      </w:r>
      <w:proofErr w:type="gramEnd"/>
      <w:r>
        <w:t xml:space="preserve"> and affordable water services to our customers and provide a return to our shareholder, whil</w:t>
      </w:r>
      <w:r w:rsidR="003B1635">
        <w:t>e</w:t>
      </w:r>
      <w:r>
        <w:t xml:space="preserve"> ensuring long-term financial sustainability. We</w:t>
      </w:r>
      <w:r w:rsidDel="003B1635">
        <w:t xml:space="preserve"> </w:t>
      </w:r>
      <w:r>
        <w:t xml:space="preserve">calculated our revenue requirement using the </w:t>
      </w:r>
      <w:r w:rsidR="008B1F4D">
        <w:t>ESC</w:t>
      </w:r>
      <w:r w:rsidR="003B1635">
        <w:t xml:space="preserve"> </w:t>
      </w:r>
      <w:r>
        <w:t xml:space="preserve">‘building block’ methodology. </w:t>
      </w:r>
    </w:p>
    <w:p w14:paraId="798E777C" w14:textId="7690277E" w:rsidR="000568DD" w:rsidRDefault="000568DD" w:rsidP="00FA1DDB">
      <w:r>
        <w:t xml:space="preserve">GWW’s revenue requirement is made up of: </w:t>
      </w:r>
    </w:p>
    <w:p w14:paraId="698AC190" w14:textId="76BC42D9" w:rsidR="000568DD" w:rsidRDefault="00BF0A8C">
      <w:pPr>
        <w:pStyle w:val="ListBullet"/>
        <w:numPr>
          <w:ilvl w:val="0"/>
          <w:numId w:val="15"/>
        </w:numPr>
      </w:pPr>
      <w:r>
        <w:t>o</w:t>
      </w:r>
      <w:r w:rsidR="000568DD">
        <w:t>perating expenditure –</w:t>
      </w:r>
      <w:r w:rsidR="000568DD" w:rsidDel="00BF0A8C">
        <w:t xml:space="preserve"> </w:t>
      </w:r>
      <w:r w:rsidR="000568DD">
        <w:t xml:space="preserve">controllable and non-controllable expenditure (such as water and sewage bulk charges from Melbourne Water, environmental </w:t>
      </w:r>
      <w:proofErr w:type="gramStart"/>
      <w:r w:rsidR="000568DD">
        <w:t>contribution</w:t>
      </w:r>
      <w:proofErr w:type="gramEnd"/>
      <w:r w:rsidR="000568DD">
        <w:t xml:space="preserve"> and other licence fees) </w:t>
      </w:r>
    </w:p>
    <w:p w14:paraId="0B309259" w14:textId="1FFFD297" w:rsidR="000568DD" w:rsidRDefault="00BF0A8C">
      <w:pPr>
        <w:pStyle w:val="ListBullet"/>
        <w:numPr>
          <w:ilvl w:val="0"/>
          <w:numId w:val="15"/>
        </w:numPr>
      </w:pPr>
      <w:r>
        <w:t>r</w:t>
      </w:r>
      <w:r w:rsidR="000568DD">
        <w:t>eturn on capital –</w:t>
      </w:r>
      <w:r>
        <w:t xml:space="preserve"> </w:t>
      </w:r>
      <w:r w:rsidR="000568DD">
        <w:t xml:space="preserve">the closing value of our regulated asset base (RAB) for each year of the regulatory period, multiplied by the regulatory rate of return (RRR) </w:t>
      </w:r>
    </w:p>
    <w:p w14:paraId="616B1C6C" w14:textId="5E6428E1" w:rsidR="000568DD" w:rsidRDefault="00BF0A8C">
      <w:pPr>
        <w:pStyle w:val="ListBullet"/>
        <w:numPr>
          <w:ilvl w:val="0"/>
          <w:numId w:val="15"/>
        </w:numPr>
      </w:pPr>
      <w:r>
        <w:t xml:space="preserve">return </w:t>
      </w:r>
      <w:r w:rsidR="000568DD">
        <w:t xml:space="preserve">of capital (regulatory depreciation) on existing and new assets </w:t>
      </w:r>
    </w:p>
    <w:p w14:paraId="652E4EFF" w14:textId="7CF80A17" w:rsidR="000568DD" w:rsidRDefault="00BF0A8C">
      <w:pPr>
        <w:pStyle w:val="ListBullet"/>
        <w:numPr>
          <w:ilvl w:val="0"/>
          <w:numId w:val="15"/>
        </w:numPr>
      </w:pPr>
      <w:r>
        <w:t>t</w:t>
      </w:r>
      <w:r w:rsidR="000568DD">
        <w:t>ax allowance based on a 30</w:t>
      </w:r>
      <w:r w:rsidR="00880C6F">
        <w:t>%</w:t>
      </w:r>
      <w:r w:rsidR="000568DD">
        <w:t xml:space="preserve"> rate as per the </w:t>
      </w:r>
      <w:r>
        <w:t xml:space="preserve">ESC’s </w:t>
      </w:r>
      <w:r w:rsidR="000568DD">
        <w:t>guidance paper and template</w:t>
      </w:r>
      <w:r w:rsidR="00E75DD6">
        <w:t>.</w:t>
      </w:r>
      <w:r w:rsidR="000568DD">
        <w:t xml:space="preserve"> </w:t>
      </w:r>
    </w:p>
    <w:p w14:paraId="3C997ED4" w14:textId="1539DC1E" w:rsidR="000568DD" w:rsidRDefault="000568DD" w:rsidP="000568DD">
      <w:r>
        <w:t xml:space="preserve">To deliver the outcomes proposed in this price submission, the forecast revenue requirement for the next regulatory period </w:t>
      </w:r>
      <w:r w:rsidRPr="00DC67EA">
        <w:t>is $3,</w:t>
      </w:r>
      <w:r w:rsidR="00530DAD" w:rsidRPr="00DC67EA">
        <w:t>4</w:t>
      </w:r>
      <w:r w:rsidR="00304D04">
        <w:t>8</w:t>
      </w:r>
      <w:r w:rsidR="00A76BAB">
        <w:t>3</w:t>
      </w:r>
      <w:r w:rsidR="00304D04">
        <w:t>.</w:t>
      </w:r>
      <w:r w:rsidR="00A76BAB">
        <w:t xml:space="preserve">0 </w:t>
      </w:r>
      <w:r w:rsidRPr="00DC67EA">
        <w:t>million</w:t>
      </w:r>
      <w:r>
        <w:t>.</w:t>
      </w:r>
    </w:p>
    <w:p w14:paraId="67A35DF6" w14:textId="62D72268" w:rsidR="000568DD" w:rsidRDefault="000568DD" w:rsidP="000568DD">
      <w:pPr>
        <w:pStyle w:val="Caption"/>
      </w:pPr>
      <w:r w:rsidRPr="002B45A7">
        <w:rPr>
          <w:b/>
        </w:rPr>
        <w:t xml:space="preserve">Table </w:t>
      </w:r>
      <w:r w:rsidRPr="002B45A7">
        <w:rPr>
          <w:b/>
        </w:rPr>
        <w:fldChar w:fldCharType="begin"/>
      </w:r>
      <w:r w:rsidRPr="002B45A7">
        <w:rPr>
          <w:b/>
        </w:rPr>
        <w:instrText>SEQ Table \* ARABIC</w:instrText>
      </w:r>
      <w:r w:rsidRPr="002B45A7">
        <w:rPr>
          <w:b/>
        </w:rPr>
        <w:fldChar w:fldCharType="separate"/>
      </w:r>
      <w:r w:rsidR="003B42C6">
        <w:rPr>
          <w:b/>
          <w:noProof/>
        </w:rPr>
        <w:t>43</w:t>
      </w:r>
      <w:r w:rsidRPr="002B45A7">
        <w:rPr>
          <w:b/>
        </w:rPr>
        <w:fldChar w:fldCharType="end"/>
      </w:r>
      <w:r>
        <w:t xml:space="preserve"> Revenue requirement 2024-25 to </w:t>
      </w:r>
      <w:r w:rsidR="00B67E83">
        <w:t>2027</w:t>
      </w:r>
      <w:r>
        <w:t>-</w:t>
      </w:r>
      <w:r w:rsidR="00B67E83">
        <w:t xml:space="preserve">28 </w:t>
      </w:r>
      <w:r>
        <w:t>($million, 2023-24)</w:t>
      </w:r>
    </w:p>
    <w:tbl>
      <w:tblPr>
        <w:tblStyle w:val="GWWDefaulttable"/>
        <w:tblW w:w="5000" w:type="pct"/>
        <w:tblLook w:val="04A0" w:firstRow="1" w:lastRow="0" w:firstColumn="1" w:lastColumn="0" w:noHBand="0" w:noVBand="1"/>
      </w:tblPr>
      <w:tblGrid>
        <w:gridCol w:w="2694"/>
        <w:gridCol w:w="1388"/>
        <w:gridCol w:w="1390"/>
        <w:gridCol w:w="1390"/>
        <w:gridCol w:w="1390"/>
        <w:gridCol w:w="1386"/>
      </w:tblGrid>
      <w:tr w:rsidR="000568DD" w:rsidRPr="006C12BA" w14:paraId="45F0D29E" w14:textId="77777777" w:rsidTr="001F665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8" w:type="pct"/>
          </w:tcPr>
          <w:p w14:paraId="01588322" w14:textId="2024AD91" w:rsidR="000568DD" w:rsidRPr="006C12BA" w:rsidRDefault="000568DD" w:rsidP="006C12BA"/>
        </w:tc>
        <w:tc>
          <w:tcPr>
            <w:tcW w:w="720" w:type="pct"/>
            <w:vAlign w:val="center"/>
          </w:tcPr>
          <w:p w14:paraId="3BAB5DE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21" w:type="pct"/>
            <w:vAlign w:val="center"/>
          </w:tcPr>
          <w:p w14:paraId="383D793A"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21" w:type="pct"/>
            <w:vAlign w:val="center"/>
          </w:tcPr>
          <w:p w14:paraId="2960680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21" w:type="pct"/>
            <w:vAlign w:val="center"/>
          </w:tcPr>
          <w:p w14:paraId="7282E89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19" w:type="pct"/>
            <w:vAlign w:val="center"/>
          </w:tcPr>
          <w:p w14:paraId="23210CB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A76BAB" w:rsidRPr="006C12BA" w14:paraId="2D1D5D4B"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42CCDBF4" w14:textId="77777777" w:rsidR="00A76BAB" w:rsidRPr="00EE1680" w:rsidRDefault="00A76BAB" w:rsidP="00A76BAB">
            <w:pPr>
              <w:rPr>
                <w:b w:val="0"/>
                <w:bCs/>
              </w:rPr>
            </w:pPr>
            <w:r w:rsidRPr="00082531">
              <w:rPr>
                <w:b w:val="0"/>
              </w:rPr>
              <w:t>Operating expenditure - controllable</w:t>
            </w:r>
          </w:p>
        </w:tc>
        <w:tc>
          <w:tcPr>
            <w:tcW w:w="720" w:type="pct"/>
            <w:vAlign w:val="center"/>
          </w:tcPr>
          <w:p w14:paraId="481EF057" w14:textId="50ED8D03"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218.18</w:t>
            </w:r>
          </w:p>
        </w:tc>
        <w:tc>
          <w:tcPr>
            <w:tcW w:w="721" w:type="pct"/>
            <w:vAlign w:val="center"/>
          </w:tcPr>
          <w:p w14:paraId="65F70522" w14:textId="44477AC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218.52</w:t>
            </w:r>
          </w:p>
        </w:tc>
        <w:tc>
          <w:tcPr>
            <w:tcW w:w="721" w:type="pct"/>
            <w:vAlign w:val="center"/>
          </w:tcPr>
          <w:p w14:paraId="508CC6C9" w14:textId="7F6022E6"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219.00</w:t>
            </w:r>
          </w:p>
        </w:tc>
        <w:tc>
          <w:tcPr>
            <w:tcW w:w="721" w:type="pct"/>
            <w:vAlign w:val="center"/>
          </w:tcPr>
          <w:p w14:paraId="43B2FA44" w14:textId="568C7C2D"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220.42</w:t>
            </w:r>
          </w:p>
        </w:tc>
        <w:tc>
          <w:tcPr>
            <w:tcW w:w="719" w:type="pct"/>
            <w:vAlign w:val="center"/>
          </w:tcPr>
          <w:p w14:paraId="4437D619" w14:textId="332224D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876.12</w:t>
            </w:r>
          </w:p>
        </w:tc>
      </w:tr>
      <w:tr w:rsidR="00A76BAB" w:rsidRPr="006C12BA" w14:paraId="3AF24753"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5A90C26A" w14:textId="77777777" w:rsidR="00A76BAB" w:rsidRPr="00EE1680" w:rsidRDefault="00A76BAB" w:rsidP="00A76BAB">
            <w:pPr>
              <w:rPr>
                <w:b w:val="0"/>
                <w:bCs/>
              </w:rPr>
            </w:pPr>
            <w:r w:rsidRPr="00082531">
              <w:rPr>
                <w:b w:val="0"/>
              </w:rPr>
              <w:t>Operating expenditure - non-controllable</w:t>
            </w:r>
          </w:p>
        </w:tc>
        <w:tc>
          <w:tcPr>
            <w:tcW w:w="720" w:type="pct"/>
            <w:vAlign w:val="center"/>
          </w:tcPr>
          <w:p w14:paraId="7E7F30E0" w14:textId="351CCBF6"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410.17</w:t>
            </w:r>
          </w:p>
        </w:tc>
        <w:tc>
          <w:tcPr>
            <w:tcW w:w="721" w:type="pct"/>
            <w:vAlign w:val="center"/>
          </w:tcPr>
          <w:p w14:paraId="7082EF71" w14:textId="6D79B9CE"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411.65</w:t>
            </w:r>
          </w:p>
        </w:tc>
        <w:tc>
          <w:tcPr>
            <w:tcW w:w="721" w:type="pct"/>
            <w:vAlign w:val="center"/>
          </w:tcPr>
          <w:p w14:paraId="6A28BBCF" w14:textId="71D9F9BC"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411.16</w:t>
            </w:r>
          </w:p>
        </w:tc>
        <w:tc>
          <w:tcPr>
            <w:tcW w:w="721" w:type="pct"/>
            <w:vAlign w:val="center"/>
          </w:tcPr>
          <w:p w14:paraId="37B9D47C" w14:textId="524EA2B2"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411.80</w:t>
            </w:r>
          </w:p>
        </w:tc>
        <w:tc>
          <w:tcPr>
            <w:tcW w:w="719" w:type="pct"/>
            <w:vAlign w:val="center"/>
          </w:tcPr>
          <w:p w14:paraId="6F195C2E" w14:textId="4A497BD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1,644.78</w:t>
            </w:r>
          </w:p>
        </w:tc>
      </w:tr>
      <w:tr w:rsidR="00A76BAB" w:rsidRPr="006C12BA" w14:paraId="664BDF48"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7BA7034E" w14:textId="77777777" w:rsidR="00A76BAB" w:rsidRPr="00EE1680" w:rsidRDefault="00A76BAB" w:rsidP="00A76BAB">
            <w:pPr>
              <w:rPr>
                <w:b w:val="0"/>
                <w:bCs/>
              </w:rPr>
            </w:pPr>
            <w:r w:rsidRPr="00082531">
              <w:rPr>
                <w:b w:val="0"/>
              </w:rPr>
              <w:t>Return on assets</w:t>
            </w:r>
          </w:p>
        </w:tc>
        <w:tc>
          <w:tcPr>
            <w:tcW w:w="720" w:type="pct"/>
            <w:vAlign w:val="center"/>
          </w:tcPr>
          <w:p w14:paraId="5136C477" w14:textId="2A558538"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84.08</w:t>
            </w:r>
          </w:p>
        </w:tc>
        <w:tc>
          <w:tcPr>
            <w:tcW w:w="721" w:type="pct"/>
            <w:vAlign w:val="center"/>
          </w:tcPr>
          <w:p w14:paraId="3D1BF042" w14:textId="55DCFE3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90.96</w:t>
            </w:r>
          </w:p>
        </w:tc>
        <w:tc>
          <w:tcPr>
            <w:tcW w:w="721" w:type="pct"/>
            <w:vAlign w:val="center"/>
          </w:tcPr>
          <w:p w14:paraId="73DCE472" w14:textId="1A11E78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98.40</w:t>
            </w:r>
          </w:p>
        </w:tc>
        <w:tc>
          <w:tcPr>
            <w:tcW w:w="721" w:type="pct"/>
            <w:vAlign w:val="center"/>
          </w:tcPr>
          <w:p w14:paraId="7C34ECC3" w14:textId="618F5E2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106.28</w:t>
            </w:r>
          </w:p>
        </w:tc>
        <w:tc>
          <w:tcPr>
            <w:tcW w:w="719" w:type="pct"/>
            <w:vAlign w:val="center"/>
          </w:tcPr>
          <w:p w14:paraId="156BDEB7" w14:textId="46C15BA0"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379.73</w:t>
            </w:r>
          </w:p>
        </w:tc>
      </w:tr>
      <w:tr w:rsidR="00A76BAB" w:rsidRPr="006C12BA" w14:paraId="72705582"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07C1ADF8" w14:textId="77777777" w:rsidR="00A76BAB" w:rsidRPr="00EE1680" w:rsidRDefault="00A76BAB" w:rsidP="00A76BAB">
            <w:pPr>
              <w:rPr>
                <w:b w:val="0"/>
                <w:bCs/>
              </w:rPr>
            </w:pPr>
            <w:r w:rsidRPr="00082531">
              <w:rPr>
                <w:b w:val="0"/>
              </w:rPr>
              <w:t>Regulatory depreciation</w:t>
            </w:r>
          </w:p>
        </w:tc>
        <w:tc>
          <w:tcPr>
            <w:tcW w:w="720" w:type="pct"/>
            <w:vAlign w:val="center"/>
          </w:tcPr>
          <w:p w14:paraId="2C3BAA48" w14:textId="63AD745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102.15</w:t>
            </w:r>
          </w:p>
        </w:tc>
        <w:tc>
          <w:tcPr>
            <w:tcW w:w="721" w:type="pct"/>
            <w:vAlign w:val="center"/>
          </w:tcPr>
          <w:p w14:paraId="080065ED" w14:textId="6F728C1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108.07</w:t>
            </w:r>
          </w:p>
        </w:tc>
        <w:tc>
          <w:tcPr>
            <w:tcW w:w="721" w:type="pct"/>
            <w:vAlign w:val="center"/>
          </w:tcPr>
          <w:p w14:paraId="1252D971" w14:textId="61F1794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114.04</w:t>
            </w:r>
          </w:p>
        </w:tc>
        <w:tc>
          <w:tcPr>
            <w:tcW w:w="721" w:type="pct"/>
            <w:vAlign w:val="center"/>
          </w:tcPr>
          <w:p w14:paraId="0F6C7B34" w14:textId="69A46F05"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119.49</w:t>
            </w:r>
          </w:p>
        </w:tc>
        <w:tc>
          <w:tcPr>
            <w:tcW w:w="719" w:type="pct"/>
            <w:vAlign w:val="center"/>
          </w:tcPr>
          <w:p w14:paraId="4FBF2161" w14:textId="1CC3496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443.74</w:t>
            </w:r>
          </w:p>
        </w:tc>
      </w:tr>
      <w:tr w:rsidR="00A76BAB" w:rsidRPr="006C12BA" w14:paraId="1997FF8A"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5A8D632C" w14:textId="77777777" w:rsidR="00A76BAB" w:rsidRPr="00EE1680" w:rsidRDefault="00A76BAB" w:rsidP="00A76BAB">
            <w:pPr>
              <w:rPr>
                <w:b w:val="0"/>
                <w:bCs/>
              </w:rPr>
            </w:pPr>
            <w:r w:rsidRPr="00082531">
              <w:rPr>
                <w:b w:val="0"/>
              </w:rPr>
              <w:t>Tax liability</w:t>
            </w:r>
          </w:p>
        </w:tc>
        <w:tc>
          <w:tcPr>
            <w:tcW w:w="720" w:type="pct"/>
            <w:vAlign w:val="center"/>
          </w:tcPr>
          <w:p w14:paraId="7D226E11" w14:textId="3266B99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32.17</w:t>
            </w:r>
          </w:p>
        </w:tc>
        <w:tc>
          <w:tcPr>
            <w:tcW w:w="721" w:type="pct"/>
            <w:vAlign w:val="center"/>
          </w:tcPr>
          <w:p w14:paraId="2CE56F46" w14:textId="55FECC4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34.85</w:t>
            </w:r>
          </w:p>
        </w:tc>
        <w:tc>
          <w:tcPr>
            <w:tcW w:w="721" w:type="pct"/>
            <w:vAlign w:val="center"/>
          </w:tcPr>
          <w:p w14:paraId="78EA95E3" w14:textId="6B48616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34.94</w:t>
            </w:r>
          </w:p>
        </w:tc>
        <w:tc>
          <w:tcPr>
            <w:tcW w:w="721" w:type="pct"/>
            <w:vAlign w:val="center"/>
          </w:tcPr>
          <w:p w14:paraId="5A850DEA" w14:textId="3A8E0A12"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36.70</w:t>
            </w:r>
          </w:p>
        </w:tc>
        <w:tc>
          <w:tcPr>
            <w:tcW w:w="719" w:type="pct"/>
            <w:vAlign w:val="center"/>
          </w:tcPr>
          <w:p w14:paraId="3D73ABF1" w14:textId="41DB4CA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138.66</w:t>
            </w:r>
          </w:p>
        </w:tc>
      </w:tr>
      <w:tr w:rsidR="00A76BAB" w:rsidRPr="006C12BA" w14:paraId="2DF22A44"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77331371" w14:textId="77777777" w:rsidR="00A76BAB" w:rsidRPr="006C12BA" w:rsidRDefault="00A76BAB" w:rsidP="00A76BAB">
            <w:r w:rsidRPr="006C12BA">
              <w:t>Total revenue requirement</w:t>
            </w:r>
          </w:p>
        </w:tc>
        <w:tc>
          <w:tcPr>
            <w:tcW w:w="720" w:type="pct"/>
            <w:vAlign w:val="center"/>
          </w:tcPr>
          <w:p w14:paraId="7D7DCCBC" w14:textId="5AC5B49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846.75</w:t>
            </w:r>
          </w:p>
        </w:tc>
        <w:tc>
          <w:tcPr>
            <w:tcW w:w="721" w:type="pct"/>
            <w:vAlign w:val="center"/>
          </w:tcPr>
          <w:p w14:paraId="5E243DB5" w14:textId="020C63C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864.05</w:t>
            </w:r>
          </w:p>
        </w:tc>
        <w:tc>
          <w:tcPr>
            <w:tcW w:w="721" w:type="pct"/>
            <w:vAlign w:val="center"/>
          </w:tcPr>
          <w:p w14:paraId="2F603ADF" w14:textId="051EE1CE"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877.54</w:t>
            </w:r>
          </w:p>
        </w:tc>
        <w:tc>
          <w:tcPr>
            <w:tcW w:w="721" w:type="pct"/>
            <w:vAlign w:val="center"/>
          </w:tcPr>
          <w:p w14:paraId="19BF48FE" w14:textId="2DCDF68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894.69</w:t>
            </w:r>
          </w:p>
        </w:tc>
        <w:tc>
          <w:tcPr>
            <w:tcW w:w="719" w:type="pct"/>
            <w:vAlign w:val="center"/>
          </w:tcPr>
          <w:p w14:paraId="5A5FF2CB" w14:textId="718196B9"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3,483.03</w:t>
            </w:r>
          </w:p>
        </w:tc>
      </w:tr>
    </w:tbl>
    <w:p w14:paraId="1EE3861E" w14:textId="0A947A08" w:rsidR="00C1225A" w:rsidRDefault="00C1225A" w:rsidP="000568DD"/>
    <w:p w14:paraId="7D1A33BC" w14:textId="77777777" w:rsidR="00C1225A" w:rsidRDefault="00C1225A">
      <w:r>
        <w:br w:type="page"/>
      </w:r>
    </w:p>
    <w:p w14:paraId="3714348F" w14:textId="190543F8" w:rsidR="0062163A" w:rsidRDefault="0062163A" w:rsidP="0062163A">
      <w:pPr>
        <w:pStyle w:val="Caption"/>
      </w:pPr>
      <w:r w:rsidRPr="00A00804">
        <w:rPr>
          <w:b/>
        </w:rPr>
        <w:lastRenderedPageBreak/>
        <w:t xml:space="preserve">Table </w:t>
      </w:r>
      <w:r w:rsidRPr="00A00804">
        <w:rPr>
          <w:b/>
        </w:rPr>
        <w:fldChar w:fldCharType="begin"/>
      </w:r>
      <w:r w:rsidRPr="00A00804">
        <w:rPr>
          <w:b/>
        </w:rPr>
        <w:instrText>SEQ Table \* ARABIC</w:instrText>
      </w:r>
      <w:r w:rsidRPr="00A00804">
        <w:rPr>
          <w:b/>
        </w:rPr>
        <w:fldChar w:fldCharType="separate"/>
      </w:r>
      <w:r w:rsidR="003B42C6">
        <w:rPr>
          <w:b/>
          <w:noProof/>
        </w:rPr>
        <w:t>44</w:t>
      </w:r>
      <w:r w:rsidRPr="00A00804">
        <w:rPr>
          <w:b/>
        </w:rPr>
        <w:fldChar w:fldCharType="end"/>
      </w:r>
      <w:r>
        <w:t xml:space="preserve"> </w:t>
      </w:r>
      <w:r w:rsidRPr="000B799A">
        <w:t>Revenue requirement 2028-29 to 2032-33 ($million, 2023-24)</w:t>
      </w:r>
    </w:p>
    <w:tbl>
      <w:tblPr>
        <w:tblStyle w:val="GWWDefaulttable"/>
        <w:tblW w:w="0" w:type="auto"/>
        <w:tblLayout w:type="fixed"/>
        <w:tblLook w:val="04A0" w:firstRow="1" w:lastRow="0" w:firstColumn="1" w:lastColumn="0" w:noHBand="0" w:noVBand="1"/>
      </w:tblPr>
      <w:tblGrid>
        <w:gridCol w:w="2835"/>
        <w:gridCol w:w="1360"/>
        <w:gridCol w:w="1361"/>
        <w:gridCol w:w="1360"/>
        <w:gridCol w:w="1361"/>
        <w:gridCol w:w="1361"/>
      </w:tblGrid>
      <w:tr w:rsidR="001F45BE" w:rsidRPr="006C12BA" w14:paraId="2057B662" w14:textId="77777777" w:rsidTr="009E78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tcPr>
          <w:p w14:paraId="441E6146" w14:textId="7F5B5121" w:rsidR="006E2F4E" w:rsidRPr="006C12BA" w:rsidRDefault="006E2F4E" w:rsidP="006C12BA"/>
        </w:tc>
        <w:tc>
          <w:tcPr>
            <w:tcW w:w="1360" w:type="dxa"/>
            <w:vAlign w:val="center"/>
          </w:tcPr>
          <w:p w14:paraId="5C869312" w14:textId="1D1DBBA1"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202</w:t>
            </w:r>
            <w:r w:rsidR="006A7C71" w:rsidRPr="006C12BA">
              <w:t>8</w:t>
            </w:r>
            <w:r w:rsidRPr="006C12BA">
              <w:t>-2</w:t>
            </w:r>
            <w:r w:rsidR="006A7C71" w:rsidRPr="006C12BA">
              <w:t>9</w:t>
            </w:r>
          </w:p>
        </w:tc>
        <w:tc>
          <w:tcPr>
            <w:tcW w:w="1361" w:type="dxa"/>
            <w:vAlign w:val="center"/>
          </w:tcPr>
          <w:p w14:paraId="31C4EECF" w14:textId="7DFCBC47"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202</w:t>
            </w:r>
            <w:r w:rsidR="006A7C71" w:rsidRPr="006C12BA">
              <w:t>9</w:t>
            </w:r>
            <w:r w:rsidRPr="006C12BA">
              <w:t>-</w:t>
            </w:r>
            <w:r w:rsidR="006A7C71" w:rsidRPr="006C12BA">
              <w:t>30</w:t>
            </w:r>
          </w:p>
        </w:tc>
        <w:tc>
          <w:tcPr>
            <w:tcW w:w="1360" w:type="dxa"/>
            <w:vAlign w:val="center"/>
          </w:tcPr>
          <w:p w14:paraId="6B0A49CC" w14:textId="7BD9BF69"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w:t>
            </w:r>
            <w:r w:rsidR="006A7C71" w:rsidRPr="006C12BA">
              <w:t>30</w:t>
            </w:r>
            <w:r w:rsidRPr="006C12BA">
              <w:t>-</w:t>
            </w:r>
            <w:r w:rsidR="006A7C71" w:rsidRPr="006C12BA">
              <w:t>31</w:t>
            </w:r>
          </w:p>
        </w:tc>
        <w:tc>
          <w:tcPr>
            <w:tcW w:w="1361" w:type="dxa"/>
            <w:vAlign w:val="center"/>
          </w:tcPr>
          <w:p w14:paraId="04BE05B5" w14:textId="15C604D5"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w:t>
            </w:r>
            <w:r w:rsidR="006A7C71" w:rsidRPr="006C12BA">
              <w:t>31</w:t>
            </w:r>
            <w:r w:rsidRPr="006C12BA">
              <w:t>-</w:t>
            </w:r>
            <w:r w:rsidR="006A7C71" w:rsidRPr="006C12BA">
              <w:t>32</w:t>
            </w:r>
          </w:p>
        </w:tc>
        <w:tc>
          <w:tcPr>
            <w:tcW w:w="1361" w:type="dxa"/>
            <w:vAlign w:val="center"/>
          </w:tcPr>
          <w:p w14:paraId="08EDA821" w14:textId="225932B3" w:rsidR="006E2F4E" w:rsidRPr="006C12BA" w:rsidRDefault="005B53BE" w:rsidP="009E7828">
            <w:pPr>
              <w:jc w:val="right"/>
              <w:cnfStyle w:val="100000000000" w:firstRow="1" w:lastRow="0" w:firstColumn="0" w:lastColumn="0" w:oddVBand="0" w:evenVBand="0" w:oddHBand="0" w:evenHBand="0" w:firstRowFirstColumn="0" w:firstRowLastColumn="0" w:lastRowFirstColumn="0" w:lastRowLastColumn="0"/>
            </w:pPr>
            <w:r w:rsidRPr="006C12BA">
              <w:t>2</w:t>
            </w:r>
            <w:r w:rsidR="001F45BE" w:rsidRPr="006C12BA">
              <w:t>032-33</w:t>
            </w:r>
          </w:p>
        </w:tc>
      </w:tr>
      <w:tr w:rsidR="00F87E98" w:rsidRPr="006C12BA" w14:paraId="41C49309"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5FFC9083" w14:textId="77777777" w:rsidR="00F87E98" w:rsidRPr="0066600D" w:rsidRDefault="00F87E98" w:rsidP="00F87E98">
            <w:pPr>
              <w:rPr>
                <w:b w:val="0"/>
              </w:rPr>
            </w:pPr>
            <w:r w:rsidRPr="0066600D">
              <w:rPr>
                <w:b w:val="0"/>
              </w:rPr>
              <w:t>Operating expenditure - controllable</w:t>
            </w:r>
          </w:p>
        </w:tc>
        <w:tc>
          <w:tcPr>
            <w:tcW w:w="1360" w:type="dxa"/>
            <w:vAlign w:val="center"/>
          </w:tcPr>
          <w:p w14:paraId="7740D34B" w14:textId="28C0623D"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222.72</w:t>
            </w:r>
          </w:p>
        </w:tc>
        <w:tc>
          <w:tcPr>
            <w:tcW w:w="1361" w:type="dxa"/>
            <w:vAlign w:val="center"/>
          </w:tcPr>
          <w:p w14:paraId="0CF6DF0F" w14:textId="5B028B3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224.93</w:t>
            </w:r>
          </w:p>
        </w:tc>
        <w:tc>
          <w:tcPr>
            <w:tcW w:w="1360" w:type="dxa"/>
            <w:vAlign w:val="center"/>
          </w:tcPr>
          <w:p w14:paraId="75D7EAD5" w14:textId="2AFB30E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226.97</w:t>
            </w:r>
          </w:p>
        </w:tc>
        <w:tc>
          <w:tcPr>
            <w:tcW w:w="1361" w:type="dxa"/>
            <w:vAlign w:val="center"/>
          </w:tcPr>
          <w:p w14:paraId="7758E9E8" w14:textId="11772A8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229.10</w:t>
            </w:r>
          </w:p>
        </w:tc>
        <w:tc>
          <w:tcPr>
            <w:tcW w:w="1361" w:type="dxa"/>
            <w:vAlign w:val="center"/>
          </w:tcPr>
          <w:p w14:paraId="2912654A" w14:textId="6DDE1BA4"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231.20</w:t>
            </w:r>
          </w:p>
        </w:tc>
      </w:tr>
      <w:tr w:rsidR="00F87E98" w:rsidRPr="006C12BA" w14:paraId="727923A7"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D49A13A" w14:textId="77777777" w:rsidR="00F87E98" w:rsidRPr="0066600D" w:rsidRDefault="00F87E98" w:rsidP="00F87E98">
            <w:pPr>
              <w:rPr>
                <w:b w:val="0"/>
              </w:rPr>
            </w:pPr>
            <w:r w:rsidRPr="0066600D">
              <w:rPr>
                <w:b w:val="0"/>
              </w:rPr>
              <w:t>Operating expenditure - non-controllable</w:t>
            </w:r>
          </w:p>
        </w:tc>
        <w:tc>
          <w:tcPr>
            <w:tcW w:w="1360" w:type="dxa"/>
            <w:vAlign w:val="center"/>
          </w:tcPr>
          <w:p w14:paraId="7CBB098E" w14:textId="6BA3CF25"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412.37</w:t>
            </w:r>
          </w:p>
        </w:tc>
        <w:tc>
          <w:tcPr>
            <w:tcW w:w="1361" w:type="dxa"/>
            <w:vAlign w:val="center"/>
          </w:tcPr>
          <w:p w14:paraId="2E6A8479" w14:textId="12C4366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412.31</w:t>
            </w:r>
          </w:p>
        </w:tc>
        <w:tc>
          <w:tcPr>
            <w:tcW w:w="1360" w:type="dxa"/>
            <w:vAlign w:val="center"/>
          </w:tcPr>
          <w:p w14:paraId="4768E169" w14:textId="1E444D21"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412.46</w:t>
            </w:r>
          </w:p>
        </w:tc>
        <w:tc>
          <w:tcPr>
            <w:tcW w:w="1361" w:type="dxa"/>
            <w:vAlign w:val="center"/>
          </w:tcPr>
          <w:p w14:paraId="1D9C4F9D" w14:textId="36983DB3"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412.95</w:t>
            </w:r>
          </w:p>
        </w:tc>
        <w:tc>
          <w:tcPr>
            <w:tcW w:w="1361" w:type="dxa"/>
            <w:vAlign w:val="center"/>
          </w:tcPr>
          <w:p w14:paraId="10A7050B" w14:textId="206BA5F0"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412.56</w:t>
            </w:r>
          </w:p>
        </w:tc>
      </w:tr>
      <w:tr w:rsidR="00F87E98" w:rsidRPr="006C12BA" w14:paraId="594FCB3C"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C59A166" w14:textId="77777777" w:rsidR="00F87E98" w:rsidRPr="0066600D" w:rsidRDefault="00F87E98" w:rsidP="00F87E98">
            <w:pPr>
              <w:rPr>
                <w:b w:val="0"/>
              </w:rPr>
            </w:pPr>
            <w:r w:rsidRPr="0066600D">
              <w:rPr>
                <w:b w:val="0"/>
              </w:rPr>
              <w:t>Return on assets</w:t>
            </w:r>
          </w:p>
        </w:tc>
        <w:tc>
          <w:tcPr>
            <w:tcW w:w="1360" w:type="dxa"/>
            <w:vAlign w:val="center"/>
          </w:tcPr>
          <w:p w14:paraId="059196E8" w14:textId="3E207206"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114.</w:t>
            </w:r>
            <w:r w:rsidR="00A17896" w:rsidRPr="009D0F69">
              <w:t>85</w:t>
            </w:r>
          </w:p>
        </w:tc>
        <w:tc>
          <w:tcPr>
            <w:tcW w:w="1361" w:type="dxa"/>
            <w:vAlign w:val="center"/>
          </w:tcPr>
          <w:p w14:paraId="3D56F562" w14:textId="4338731A"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124.36</w:t>
            </w:r>
          </w:p>
        </w:tc>
        <w:tc>
          <w:tcPr>
            <w:tcW w:w="1360" w:type="dxa"/>
            <w:vAlign w:val="center"/>
          </w:tcPr>
          <w:p w14:paraId="4C1085CB" w14:textId="2BD7C62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138.28</w:t>
            </w:r>
          </w:p>
        </w:tc>
        <w:tc>
          <w:tcPr>
            <w:tcW w:w="1361" w:type="dxa"/>
            <w:vAlign w:val="center"/>
          </w:tcPr>
          <w:p w14:paraId="30E9AABE" w14:textId="4ECAA08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153.54</w:t>
            </w:r>
          </w:p>
        </w:tc>
        <w:tc>
          <w:tcPr>
            <w:tcW w:w="1361" w:type="dxa"/>
            <w:vAlign w:val="center"/>
          </w:tcPr>
          <w:p w14:paraId="0F480761" w14:textId="5DFF747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166.12</w:t>
            </w:r>
          </w:p>
        </w:tc>
      </w:tr>
      <w:tr w:rsidR="00F87E98" w:rsidRPr="006C12BA" w14:paraId="3E7DC7CE"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6534A312" w14:textId="77777777" w:rsidR="00F87E98" w:rsidRPr="0066600D" w:rsidRDefault="00F87E98" w:rsidP="00F87E98">
            <w:pPr>
              <w:rPr>
                <w:b w:val="0"/>
              </w:rPr>
            </w:pPr>
            <w:r w:rsidRPr="0066600D">
              <w:rPr>
                <w:b w:val="0"/>
              </w:rPr>
              <w:t>Regulatory depreciation</w:t>
            </w:r>
          </w:p>
        </w:tc>
        <w:tc>
          <w:tcPr>
            <w:tcW w:w="1360" w:type="dxa"/>
            <w:vAlign w:val="center"/>
          </w:tcPr>
          <w:p w14:paraId="2F60E76C" w14:textId="1CF6E37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121.22</w:t>
            </w:r>
          </w:p>
        </w:tc>
        <w:tc>
          <w:tcPr>
            <w:tcW w:w="1361" w:type="dxa"/>
            <w:vAlign w:val="center"/>
          </w:tcPr>
          <w:p w14:paraId="339AD3B5" w14:textId="661C7580"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123.72</w:t>
            </w:r>
          </w:p>
        </w:tc>
        <w:tc>
          <w:tcPr>
            <w:tcW w:w="1360" w:type="dxa"/>
            <w:vAlign w:val="center"/>
          </w:tcPr>
          <w:p w14:paraId="55B88671" w14:textId="317496F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128.05</w:t>
            </w:r>
          </w:p>
        </w:tc>
        <w:tc>
          <w:tcPr>
            <w:tcW w:w="1361" w:type="dxa"/>
            <w:vAlign w:val="center"/>
          </w:tcPr>
          <w:p w14:paraId="230A8607" w14:textId="35D130A4"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133</w:t>
            </w:r>
            <w:r w:rsidR="001C4DCE" w:rsidRPr="009D0F69">
              <w:t>.07</w:t>
            </w:r>
          </w:p>
        </w:tc>
        <w:tc>
          <w:tcPr>
            <w:tcW w:w="1361" w:type="dxa"/>
            <w:vAlign w:val="center"/>
          </w:tcPr>
          <w:p w14:paraId="65C48060" w14:textId="06787039"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138.24</w:t>
            </w:r>
          </w:p>
        </w:tc>
      </w:tr>
      <w:tr w:rsidR="00F87E98" w:rsidRPr="006C12BA" w14:paraId="5DADF168"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A66F702" w14:textId="77777777" w:rsidR="00F87E98" w:rsidRPr="0066600D" w:rsidRDefault="00F87E98" w:rsidP="00F87E98">
            <w:pPr>
              <w:rPr>
                <w:b w:val="0"/>
              </w:rPr>
            </w:pPr>
            <w:r w:rsidRPr="0066600D">
              <w:rPr>
                <w:b w:val="0"/>
              </w:rPr>
              <w:t>Tax liability</w:t>
            </w:r>
          </w:p>
        </w:tc>
        <w:tc>
          <w:tcPr>
            <w:tcW w:w="1360" w:type="dxa"/>
            <w:vAlign w:val="center"/>
          </w:tcPr>
          <w:p w14:paraId="5B1F0B60" w14:textId="257672D2"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35.</w:t>
            </w:r>
            <w:r w:rsidR="00A17896" w:rsidRPr="009D0F69">
              <w:t>41</w:t>
            </w:r>
          </w:p>
        </w:tc>
        <w:tc>
          <w:tcPr>
            <w:tcW w:w="1361" w:type="dxa"/>
            <w:vAlign w:val="center"/>
          </w:tcPr>
          <w:p w14:paraId="51044142" w14:textId="765EE83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36.</w:t>
            </w:r>
            <w:r w:rsidR="00A17896" w:rsidRPr="009D0F69">
              <w:t>74</w:t>
            </w:r>
          </w:p>
        </w:tc>
        <w:tc>
          <w:tcPr>
            <w:tcW w:w="1360" w:type="dxa"/>
            <w:vAlign w:val="center"/>
          </w:tcPr>
          <w:p w14:paraId="2B486395" w14:textId="465529C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36.</w:t>
            </w:r>
            <w:r w:rsidR="00A17896" w:rsidRPr="009D0F69">
              <w:t>28</w:t>
            </w:r>
          </w:p>
        </w:tc>
        <w:tc>
          <w:tcPr>
            <w:tcW w:w="1361" w:type="dxa"/>
            <w:vAlign w:val="center"/>
          </w:tcPr>
          <w:p w14:paraId="13212678" w14:textId="16B41D3A"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38.</w:t>
            </w:r>
            <w:r w:rsidR="00A17896" w:rsidRPr="009D0F69">
              <w:t>17</w:t>
            </w:r>
          </w:p>
        </w:tc>
        <w:tc>
          <w:tcPr>
            <w:tcW w:w="1361" w:type="dxa"/>
            <w:vAlign w:val="center"/>
          </w:tcPr>
          <w:p w14:paraId="79CD8D2D" w14:textId="0E174B1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38.87</w:t>
            </w:r>
          </w:p>
        </w:tc>
      </w:tr>
      <w:tr w:rsidR="00F87E98" w:rsidRPr="006C12BA" w14:paraId="077B6B61"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512F892" w14:textId="77777777" w:rsidR="00F87E98" w:rsidRPr="006C12BA" w:rsidRDefault="00F87E98" w:rsidP="00F87E98">
            <w:r w:rsidRPr="006C12BA">
              <w:t>Total revenue requirement</w:t>
            </w:r>
          </w:p>
        </w:tc>
        <w:tc>
          <w:tcPr>
            <w:tcW w:w="1360" w:type="dxa"/>
            <w:vAlign w:val="center"/>
          </w:tcPr>
          <w:p w14:paraId="73D6F86A" w14:textId="166EC69E"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906.57</w:t>
            </w:r>
          </w:p>
        </w:tc>
        <w:tc>
          <w:tcPr>
            <w:tcW w:w="1361" w:type="dxa"/>
            <w:vAlign w:val="center"/>
          </w:tcPr>
          <w:p w14:paraId="1904F29F" w14:textId="002272A4"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922.06</w:t>
            </w:r>
          </w:p>
        </w:tc>
        <w:tc>
          <w:tcPr>
            <w:tcW w:w="1360" w:type="dxa"/>
            <w:vAlign w:val="center"/>
          </w:tcPr>
          <w:p w14:paraId="6DDC77D4" w14:textId="17D4D233"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942.02</w:t>
            </w:r>
          </w:p>
        </w:tc>
        <w:tc>
          <w:tcPr>
            <w:tcW w:w="1361" w:type="dxa"/>
            <w:vAlign w:val="center"/>
          </w:tcPr>
          <w:p w14:paraId="3DEDF774" w14:textId="7DEB00C2"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966.83</w:t>
            </w:r>
          </w:p>
        </w:tc>
        <w:tc>
          <w:tcPr>
            <w:tcW w:w="1361" w:type="dxa"/>
            <w:vAlign w:val="center"/>
          </w:tcPr>
          <w:p w14:paraId="6D3AE54B" w14:textId="14F78B07"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986.99</w:t>
            </w:r>
          </w:p>
        </w:tc>
      </w:tr>
    </w:tbl>
    <w:p w14:paraId="18E92AE7" w14:textId="60864746" w:rsidR="009F1C9C" w:rsidRDefault="009F1C9C" w:rsidP="007B6361"/>
    <w:p w14:paraId="70520194" w14:textId="24BF4946" w:rsidR="00C1225A" w:rsidRPr="00CE557E" w:rsidRDefault="00190F03" w:rsidP="00C1225A">
      <w:pPr>
        <w:pStyle w:val="Caption"/>
        <w:rPr>
          <w:b/>
        </w:rPr>
      </w:pPr>
      <w:bookmarkStart w:id="199" w:name="_Toc145498147"/>
      <w:r>
        <w:rPr>
          <w:b/>
          <w:noProof/>
        </w:rPr>
        <w:drawing>
          <wp:inline distT="0" distB="0" distL="0" distR="0" wp14:anchorId="1F19E310" wp14:editId="02A17EA7">
            <wp:extent cx="6120765" cy="3602990"/>
            <wp:effectExtent l="0" t="0" r="0" b="0"/>
            <wp:docPr id="98" name="Picture 98" descr="This is a bar graph, with 5 datasets. &quot;Operating expenditure – controllable, operating expenditure non-controllable, return on assets, regulatory depreciation, tax liability”. X axis  titles it “revenue requirement ($m) with values from 0 to 1,200 increasing in 200. Y axis shows years from 2024-25 to 2023-33. Data shows” 2024-25, 846.7, 2025-26, 864.0, 2026-27, 877.5, 2027-28, 894.7, 2028-29, 906.6, 2029-30, 922.1, 2023-31, 942.0, 2031-32, 966.8, 2023-33, 98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is is a bar graph, with 5 datasets. &quot;Operating expenditure – controllable, operating expenditure non-controllable, return on assets, regulatory depreciation, tax liability”. X axis  titles it “revenue requirement ($m) with values from 0 to 1,200 increasing in 200. Y axis shows years from 2024-25 to 2023-33. Data shows” 2024-25, 846.7, 2025-26, 864.0, 2026-27, 877.5, 2027-28, 894.7, 2028-29, 906.6, 2029-30, 922.1, 2023-31, 942.0, 2031-32, 966.8, 2023-33, 987.0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r w:rsidR="00C1225A" w:rsidRPr="00783FCF">
        <w:rPr>
          <w:b/>
        </w:rPr>
        <w:t xml:space="preserve">Figure </w:t>
      </w:r>
      <w:r w:rsidR="00C1225A" w:rsidRPr="00FA2044">
        <w:rPr>
          <w:b/>
        </w:rPr>
        <w:fldChar w:fldCharType="begin"/>
      </w:r>
      <w:r w:rsidR="00C1225A" w:rsidRPr="00FA2044">
        <w:rPr>
          <w:b/>
        </w:rPr>
        <w:instrText>SEQ Figure \* ARABIC</w:instrText>
      </w:r>
      <w:r w:rsidR="00C1225A" w:rsidRPr="00FA2044">
        <w:rPr>
          <w:b/>
        </w:rPr>
        <w:fldChar w:fldCharType="separate"/>
      </w:r>
      <w:r w:rsidR="003B42C6">
        <w:rPr>
          <w:b/>
          <w:noProof/>
        </w:rPr>
        <w:t>10</w:t>
      </w:r>
      <w:r w:rsidR="00C1225A" w:rsidRPr="00FA2044">
        <w:rPr>
          <w:b/>
        </w:rPr>
        <w:fldChar w:fldCharType="end"/>
      </w:r>
      <w:r w:rsidR="00C1225A">
        <w:t xml:space="preserve"> Revenue requirement 2024-25 to 2032-33 ($million, 2023-24)</w:t>
      </w:r>
      <w:bookmarkEnd w:id="199"/>
    </w:p>
    <w:p w14:paraId="55383CA0" w14:textId="46B185C8" w:rsidR="000568DD" w:rsidRDefault="000568DD" w:rsidP="00D6106E">
      <w:pPr>
        <w:rPr>
          <w:sz w:val="16"/>
          <w:szCs w:val="18"/>
        </w:rPr>
      </w:pPr>
      <w:r w:rsidRPr="00214A3A">
        <w:t>The following sections outline each of the components of the total revenue requirement for the next regulatory period.</w:t>
      </w:r>
    </w:p>
    <w:p w14:paraId="7293252D" w14:textId="2DE8C0C6" w:rsidR="00911333" w:rsidRDefault="00911333" w:rsidP="00D06F1D">
      <w:pPr>
        <w:pStyle w:val="Heading2"/>
      </w:pPr>
      <w:bookmarkStart w:id="200" w:name="_Toc146004879"/>
      <w:bookmarkStart w:id="201" w:name="_Toc146004767"/>
      <w:bookmarkStart w:id="202" w:name="_Toc146746713"/>
      <w:r>
        <w:lastRenderedPageBreak/>
        <w:t>Regulato</w:t>
      </w:r>
      <w:r w:rsidR="003F1400">
        <w:t>ry</w:t>
      </w:r>
      <w:r>
        <w:t xml:space="preserve"> asset base</w:t>
      </w:r>
      <w:bookmarkEnd w:id="200"/>
      <w:bookmarkEnd w:id="201"/>
      <w:bookmarkEnd w:id="202"/>
      <w:r>
        <w:t xml:space="preserve"> </w:t>
      </w:r>
    </w:p>
    <w:p w14:paraId="5EA53C61" w14:textId="0BBBF196" w:rsidR="00315D9B" w:rsidRDefault="00FA5756" w:rsidP="00C1225A">
      <w:r w:rsidRPr="00FA5756">
        <w:t xml:space="preserve">With the integration of CWW and WW to form GWW, the opening RAB for GWW as of 1 July 2021 </w:t>
      </w:r>
      <w:r w:rsidR="004258D0">
        <w:t>was</w:t>
      </w:r>
      <w:r w:rsidRPr="00FA5756">
        <w:t xml:space="preserve"> calculated in line with the </w:t>
      </w:r>
      <w:r w:rsidR="004258D0">
        <w:t>ESC’s guidance p</w:t>
      </w:r>
      <w:r w:rsidRPr="00FA5756">
        <w:t>aper</w:t>
      </w:r>
      <w:r w:rsidR="004258D0">
        <w:t xml:space="preserve"> and</w:t>
      </w:r>
      <w:r w:rsidR="00654D83" w:rsidRPr="00654D83">
        <w:t xml:space="preserve"> was $3,021.1</w:t>
      </w:r>
      <w:r w:rsidR="004258D0">
        <w:t xml:space="preserve"> </w:t>
      </w:r>
      <w:r w:rsidR="00654D83" w:rsidRPr="00654D83">
        <w:t>m</w:t>
      </w:r>
      <w:r w:rsidR="004258D0">
        <w:t>illion</w:t>
      </w:r>
      <w:r w:rsidR="00654D83" w:rsidRPr="00654D83">
        <w:t>, as set out in</w:t>
      </w:r>
      <w:r w:rsidR="0078186C">
        <w:t xml:space="preserve"> </w:t>
      </w:r>
      <w:r w:rsidR="0078186C">
        <w:fldChar w:fldCharType="begin"/>
      </w:r>
      <w:r w:rsidR="0078186C">
        <w:instrText xml:space="preserve"> REF _Ref145335026 \h </w:instrText>
      </w:r>
      <w:r w:rsidR="0078186C">
        <w:fldChar w:fldCharType="separate"/>
      </w:r>
      <w:r w:rsidR="003B42C6" w:rsidRPr="00783FCF">
        <w:rPr>
          <w:b/>
        </w:rPr>
        <w:t xml:space="preserve">Table </w:t>
      </w:r>
      <w:r w:rsidR="003B42C6">
        <w:rPr>
          <w:b/>
          <w:noProof/>
        </w:rPr>
        <w:t>45</w:t>
      </w:r>
      <w:r w:rsidR="0078186C">
        <w:fldChar w:fldCharType="end"/>
      </w:r>
      <w:r w:rsidR="00960BA7">
        <w:t>.</w:t>
      </w:r>
    </w:p>
    <w:p w14:paraId="5B419121" w14:textId="737CA0EC" w:rsidR="00C1225A" w:rsidRDefault="00C1225A" w:rsidP="00C1225A">
      <w:pPr>
        <w:pStyle w:val="Caption"/>
      </w:pPr>
      <w:bookmarkStart w:id="203" w:name="_Ref145335026"/>
      <w:r w:rsidRPr="00783FCF">
        <w:rPr>
          <w:b/>
        </w:rPr>
        <w:t xml:space="preserve">Table </w:t>
      </w:r>
      <w:r w:rsidRPr="00FA2044">
        <w:rPr>
          <w:b/>
        </w:rPr>
        <w:fldChar w:fldCharType="begin"/>
      </w:r>
      <w:r w:rsidRPr="00FA2044">
        <w:rPr>
          <w:b/>
        </w:rPr>
        <w:instrText>SEQ Table \* ARABIC</w:instrText>
      </w:r>
      <w:r w:rsidRPr="00FA2044">
        <w:rPr>
          <w:b/>
        </w:rPr>
        <w:fldChar w:fldCharType="separate"/>
      </w:r>
      <w:r w:rsidR="003B42C6">
        <w:rPr>
          <w:b/>
          <w:noProof/>
        </w:rPr>
        <w:t>45</w:t>
      </w:r>
      <w:r w:rsidRPr="00FA2044">
        <w:rPr>
          <w:b/>
        </w:rPr>
        <w:fldChar w:fldCharType="end"/>
      </w:r>
      <w:bookmarkEnd w:id="203"/>
      <w:r>
        <w:t xml:space="preserve"> </w:t>
      </w:r>
      <w:r w:rsidRPr="001140F8">
        <w:t>Establishing GWW’s regulatory asset base, 2017-18 to 2020–21 ($million, 2023–24)</w:t>
      </w:r>
    </w:p>
    <w:tbl>
      <w:tblPr>
        <w:tblStyle w:val="GWWNumbertable"/>
        <w:tblW w:w="5000" w:type="pct"/>
        <w:tblLook w:val="04A0" w:firstRow="1" w:lastRow="0" w:firstColumn="1" w:lastColumn="0" w:noHBand="0" w:noVBand="1"/>
      </w:tblPr>
      <w:tblGrid>
        <w:gridCol w:w="3262"/>
        <w:gridCol w:w="1594"/>
        <w:gridCol w:w="1594"/>
        <w:gridCol w:w="1594"/>
        <w:gridCol w:w="1594"/>
      </w:tblGrid>
      <w:tr w:rsidR="009E36EB" w:rsidRPr="001F6657" w14:paraId="449D0D52" w14:textId="77777777" w:rsidTr="001F665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3354340" w14:textId="77777777" w:rsidR="009E36EB" w:rsidRPr="006C12BA" w:rsidRDefault="009E36EB" w:rsidP="006C12BA">
            <w:r w:rsidRPr="006C12BA">
              <w:t> </w:t>
            </w:r>
          </w:p>
        </w:tc>
        <w:tc>
          <w:tcPr>
            <w:tcW w:w="827" w:type="pct"/>
            <w:hideMark/>
          </w:tcPr>
          <w:p w14:paraId="2D619D88"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2017-18</w:t>
            </w:r>
          </w:p>
        </w:tc>
        <w:tc>
          <w:tcPr>
            <w:tcW w:w="827" w:type="pct"/>
            <w:hideMark/>
          </w:tcPr>
          <w:p w14:paraId="14E5357D"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2018-19</w:t>
            </w:r>
          </w:p>
        </w:tc>
        <w:tc>
          <w:tcPr>
            <w:tcW w:w="827" w:type="pct"/>
            <w:hideMark/>
          </w:tcPr>
          <w:p w14:paraId="3841C70A"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2019-20</w:t>
            </w:r>
          </w:p>
        </w:tc>
        <w:tc>
          <w:tcPr>
            <w:tcW w:w="827" w:type="pct"/>
            <w:hideMark/>
          </w:tcPr>
          <w:p w14:paraId="4E7DA12D"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2020-21</w:t>
            </w:r>
          </w:p>
        </w:tc>
      </w:tr>
      <w:tr w:rsidR="009E36EB" w:rsidRPr="001F6657" w14:paraId="46CE49B7"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5814D1B0" w14:textId="77777777" w:rsidR="009E36EB" w:rsidRPr="006C12BA" w:rsidRDefault="009E36EB" w:rsidP="006C12BA">
            <w:r w:rsidRPr="006C12BA">
              <w:t>City West Water</w:t>
            </w:r>
          </w:p>
        </w:tc>
        <w:tc>
          <w:tcPr>
            <w:tcW w:w="827" w:type="pct"/>
            <w:shd w:val="clear" w:color="auto" w:fill="F4F0EE" w:themeFill="background2"/>
            <w:hideMark/>
          </w:tcPr>
          <w:p w14:paraId="31BD310B"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420F403F"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5E209524"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23066145"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r>
      <w:tr w:rsidR="001044F9" w:rsidRPr="001F6657" w14:paraId="174259C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2EECD6A" w14:textId="77777777" w:rsidR="001044F9" w:rsidRPr="00326725" w:rsidRDefault="001044F9" w:rsidP="001044F9">
            <w:pPr>
              <w:rPr>
                <w:b w:val="0"/>
              </w:rPr>
            </w:pPr>
            <w:r w:rsidRPr="00326725">
              <w:rPr>
                <w:b w:val="0"/>
              </w:rPr>
              <w:t>Opening RAB</w:t>
            </w:r>
          </w:p>
        </w:tc>
        <w:tc>
          <w:tcPr>
            <w:tcW w:w="827" w:type="pct"/>
            <w:hideMark/>
          </w:tcPr>
          <w:p w14:paraId="4E4B56D7" w14:textId="1742D36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2,215.36</w:t>
            </w:r>
          </w:p>
        </w:tc>
        <w:tc>
          <w:tcPr>
            <w:tcW w:w="827" w:type="pct"/>
            <w:hideMark/>
          </w:tcPr>
          <w:p w14:paraId="3B4F4F58" w14:textId="79B3EA9B"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2,234.14</w:t>
            </w:r>
          </w:p>
        </w:tc>
        <w:tc>
          <w:tcPr>
            <w:tcW w:w="827" w:type="pct"/>
            <w:hideMark/>
          </w:tcPr>
          <w:p w14:paraId="6CA3C99E" w14:textId="063C294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2,243.79</w:t>
            </w:r>
          </w:p>
        </w:tc>
        <w:tc>
          <w:tcPr>
            <w:tcW w:w="827" w:type="pct"/>
            <w:hideMark/>
          </w:tcPr>
          <w:p w14:paraId="627AACC1" w14:textId="4D0780A6"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2,286.85</w:t>
            </w:r>
          </w:p>
        </w:tc>
      </w:tr>
      <w:tr w:rsidR="001044F9" w:rsidRPr="001F6657" w14:paraId="3AFC1DD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677B162F" w14:textId="77777777" w:rsidR="001044F9" w:rsidRPr="00326725" w:rsidRDefault="001044F9" w:rsidP="001044F9">
            <w:pPr>
              <w:rPr>
                <w:b w:val="0"/>
              </w:rPr>
            </w:pPr>
            <w:proofErr w:type="gramStart"/>
            <w:r w:rsidRPr="00326725">
              <w:rPr>
                <w:b w:val="0"/>
              </w:rPr>
              <w:t>Plus</w:t>
            </w:r>
            <w:proofErr w:type="gramEnd"/>
            <w:r w:rsidRPr="00326725">
              <w:rPr>
                <w:b w:val="0"/>
              </w:rPr>
              <w:t xml:space="preserve"> gross capital expenditure</w:t>
            </w:r>
          </w:p>
        </w:tc>
        <w:tc>
          <w:tcPr>
            <w:tcW w:w="827" w:type="pct"/>
            <w:hideMark/>
          </w:tcPr>
          <w:p w14:paraId="780F02AE" w14:textId="33DF389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131.73</w:t>
            </w:r>
          </w:p>
        </w:tc>
        <w:tc>
          <w:tcPr>
            <w:tcW w:w="827" w:type="pct"/>
            <w:hideMark/>
          </w:tcPr>
          <w:p w14:paraId="72E6C5D8" w14:textId="158A11D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147.63</w:t>
            </w:r>
          </w:p>
        </w:tc>
        <w:tc>
          <w:tcPr>
            <w:tcW w:w="827" w:type="pct"/>
            <w:hideMark/>
          </w:tcPr>
          <w:p w14:paraId="1A40DA65" w14:textId="6CDAD538"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178.00</w:t>
            </w:r>
          </w:p>
        </w:tc>
        <w:tc>
          <w:tcPr>
            <w:tcW w:w="827" w:type="pct"/>
            <w:hideMark/>
          </w:tcPr>
          <w:p w14:paraId="45070FF6" w14:textId="2232B21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176.61</w:t>
            </w:r>
          </w:p>
        </w:tc>
      </w:tr>
      <w:tr w:rsidR="001044F9" w:rsidRPr="001F6657" w14:paraId="25E75DF0"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511BA43" w14:textId="77777777" w:rsidR="001044F9" w:rsidRPr="00326725" w:rsidRDefault="001044F9" w:rsidP="001044F9">
            <w:pPr>
              <w:rPr>
                <w:b w:val="0"/>
              </w:rPr>
            </w:pPr>
            <w:r w:rsidRPr="00326725">
              <w:rPr>
                <w:b w:val="0"/>
              </w:rPr>
              <w:t>Less government contributions</w:t>
            </w:r>
          </w:p>
        </w:tc>
        <w:tc>
          <w:tcPr>
            <w:tcW w:w="827" w:type="pct"/>
            <w:hideMark/>
          </w:tcPr>
          <w:p w14:paraId="44239187" w14:textId="0DE5FF3C"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2392C52E" w14:textId="22A96C8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50A34715" w14:textId="58B47E4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22EAD483" w14:textId="1F5C8B5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1044F9" w:rsidRPr="001F6657" w14:paraId="69E254F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80B8A71" w14:textId="77777777" w:rsidR="001044F9" w:rsidRPr="00326725" w:rsidRDefault="001044F9" w:rsidP="001044F9">
            <w:pPr>
              <w:rPr>
                <w:b w:val="0"/>
              </w:rPr>
            </w:pPr>
            <w:r w:rsidRPr="00326725">
              <w:rPr>
                <w:b w:val="0"/>
              </w:rPr>
              <w:t>Less customer contributions</w:t>
            </w:r>
          </w:p>
        </w:tc>
        <w:tc>
          <w:tcPr>
            <w:tcW w:w="827" w:type="pct"/>
            <w:hideMark/>
          </w:tcPr>
          <w:p w14:paraId="2DCAEB1E" w14:textId="3C592DA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-40.95</w:t>
            </w:r>
          </w:p>
        </w:tc>
        <w:tc>
          <w:tcPr>
            <w:tcW w:w="827" w:type="pct"/>
            <w:hideMark/>
          </w:tcPr>
          <w:p w14:paraId="5CAA9E1C" w14:textId="4439B60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-45.10</w:t>
            </w:r>
          </w:p>
        </w:tc>
        <w:tc>
          <w:tcPr>
            <w:tcW w:w="827" w:type="pct"/>
            <w:hideMark/>
          </w:tcPr>
          <w:p w14:paraId="18808B90" w14:textId="75096AF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-43.72</w:t>
            </w:r>
          </w:p>
        </w:tc>
        <w:tc>
          <w:tcPr>
            <w:tcW w:w="827" w:type="pct"/>
            <w:hideMark/>
          </w:tcPr>
          <w:p w14:paraId="1676E2AA" w14:textId="0559243B"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-33.27</w:t>
            </w:r>
          </w:p>
        </w:tc>
      </w:tr>
      <w:tr w:rsidR="001044F9" w:rsidRPr="001F6657" w14:paraId="2ACE197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2AE1A2CE" w14:textId="77777777" w:rsidR="001044F9" w:rsidRPr="00326725" w:rsidRDefault="001044F9" w:rsidP="001044F9">
            <w:pPr>
              <w:rPr>
                <w:b w:val="0"/>
              </w:rPr>
            </w:pPr>
            <w:r w:rsidRPr="00326725">
              <w:rPr>
                <w:b w:val="0"/>
              </w:rPr>
              <w:t>Less proceeds from disposals</w:t>
            </w:r>
          </w:p>
        </w:tc>
        <w:tc>
          <w:tcPr>
            <w:tcW w:w="827" w:type="pct"/>
            <w:hideMark/>
          </w:tcPr>
          <w:p w14:paraId="2D2F78FA" w14:textId="47CF9C36"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-0.48</w:t>
            </w:r>
          </w:p>
        </w:tc>
        <w:tc>
          <w:tcPr>
            <w:tcW w:w="827" w:type="pct"/>
            <w:hideMark/>
          </w:tcPr>
          <w:p w14:paraId="1140D4E2" w14:textId="02A8A6F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-0.71</w:t>
            </w:r>
          </w:p>
        </w:tc>
        <w:tc>
          <w:tcPr>
            <w:tcW w:w="827" w:type="pct"/>
            <w:hideMark/>
          </w:tcPr>
          <w:p w14:paraId="7F338F34" w14:textId="1B1A72C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-0.45</w:t>
            </w:r>
          </w:p>
        </w:tc>
        <w:tc>
          <w:tcPr>
            <w:tcW w:w="827" w:type="pct"/>
            <w:hideMark/>
          </w:tcPr>
          <w:p w14:paraId="7809CB6D" w14:textId="04C697A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-0.48</w:t>
            </w:r>
          </w:p>
        </w:tc>
      </w:tr>
      <w:tr w:rsidR="001044F9" w:rsidRPr="001F6657" w14:paraId="0CC76CC0"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FB30634" w14:textId="77777777" w:rsidR="001044F9" w:rsidRPr="00326725" w:rsidRDefault="001044F9" w:rsidP="001044F9">
            <w:pPr>
              <w:rPr>
                <w:b w:val="0"/>
              </w:rPr>
            </w:pPr>
            <w:r w:rsidRPr="00326725">
              <w:rPr>
                <w:b w:val="0"/>
              </w:rPr>
              <w:t>Less regulatory depreciation</w:t>
            </w:r>
          </w:p>
        </w:tc>
        <w:tc>
          <w:tcPr>
            <w:tcW w:w="827" w:type="pct"/>
            <w:hideMark/>
          </w:tcPr>
          <w:p w14:paraId="5201BFEC" w14:textId="51B43E6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-71.52</w:t>
            </w:r>
          </w:p>
        </w:tc>
        <w:tc>
          <w:tcPr>
            <w:tcW w:w="827" w:type="pct"/>
            <w:hideMark/>
          </w:tcPr>
          <w:p w14:paraId="282CA211" w14:textId="0AC9D3E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-92.18</w:t>
            </w:r>
          </w:p>
        </w:tc>
        <w:tc>
          <w:tcPr>
            <w:tcW w:w="827" w:type="pct"/>
            <w:hideMark/>
          </w:tcPr>
          <w:p w14:paraId="53523E24" w14:textId="7BD1FA89"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-90.78</w:t>
            </w:r>
          </w:p>
        </w:tc>
        <w:tc>
          <w:tcPr>
            <w:tcW w:w="827" w:type="pct"/>
            <w:hideMark/>
          </w:tcPr>
          <w:p w14:paraId="1526CE5C" w14:textId="4185428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-91.46</w:t>
            </w:r>
          </w:p>
        </w:tc>
      </w:tr>
      <w:tr w:rsidR="001044F9" w:rsidRPr="001F6657" w14:paraId="05605FE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59A3C69C" w14:textId="77777777" w:rsidR="001044F9" w:rsidRPr="006C12BA" w:rsidRDefault="001044F9" w:rsidP="001044F9">
            <w:r w:rsidRPr="006C12BA">
              <w:t>Closing asset base</w:t>
            </w:r>
          </w:p>
        </w:tc>
        <w:tc>
          <w:tcPr>
            <w:tcW w:w="827" w:type="pct"/>
            <w:hideMark/>
          </w:tcPr>
          <w:p w14:paraId="7B0725BC" w14:textId="3055BFC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2,234.14</w:t>
            </w:r>
          </w:p>
        </w:tc>
        <w:tc>
          <w:tcPr>
            <w:tcW w:w="827" w:type="pct"/>
            <w:hideMark/>
          </w:tcPr>
          <w:p w14:paraId="5C3FA00C" w14:textId="64AA4E57"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2,243.79</w:t>
            </w:r>
          </w:p>
        </w:tc>
        <w:tc>
          <w:tcPr>
            <w:tcW w:w="827" w:type="pct"/>
            <w:hideMark/>
          </w:tcPr>
          <w:p w14:paraId="0FEBC4DA" w14:textId="748C49C7"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2,286.85</w:t>
            </w:r>
          </w:p>
        </w:tc>
        <w:tc>
          <w:tcPr>
            <w:tcW w:w="827" w:type="pct"/>
            <w:hideMark/>
          </w:tcPr>
          <w:p w14:paraId="62EBA686" w14:textId="44F73FE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2,338.25</w:t>
            </w:r>
          </w:p>
        </w:tc>
      </w:tr>
      <w:tr w:rsidR="009E36EB" w:rsidRPr="001F6657" w14:paraId="3D000B19"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71E90305" w14:textId="77777777" w:rsidR="009E36EB" w:rsidRPr="006C12BA" w:rsidRDefault="009E36EB" w:rsidP="006C12BA">
            <w:r w:rsidRPr="006C12BA">
              <w:t>Western Water</w:t>
            </w:r>
          </w:p>
        </w:tc>
        <w:tc>
          <w:tcPr>
            <w:tcW w:w="827" w:type="pct"/>
            <w:shd w:val="clear" w:color="auto" w:fill="F4F0EE" w:themeFill="background2"/>
            <w:hideMark/>
          </w:tcPr>
          <w:p w14:paraId="1325BCA6"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9C2DA16"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33355728"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05D7938"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r>
      <w:tr w:rsidR="005A62F8" w:rsidRPr="001F6657" w14:paraId="1D7BA53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5B688EF" w14:textId="77777777" w:rsidR="005A62F8" w:rsidRPr="00326725" w:rsidRDefault="005A62F8" w:rsidP="005A62F8">
            <w:pPr>
              <w:rPr>
                <w:b w:val="0"/>
              </w:rPr>
            </w:pPr>
            <w:r w:rsidRPr="00326725">
              <w:rPr>
                <w:b w:val="0"/>
              </w:rPr>
              <w:t>Opening RAB</w:t>
            </w:r>
          </w:p>
        </w:tc>
        <w:tc>
          <w:tcPr>
            <w:tcW w:w="827" w:type="pct"/>
            <w:hideMark/>
          </w:tcPr>
          <w:p w14:paraId="06B02446" w14:textId="5C5AFD8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484.38</w:t>
            </w:r>
          </w:p>
        </w:tc>
        <w:tc>
          <w:tcPr>
            <w:tcW w:w="827" w:type="pct"/>
            <w:hideMark/>
          </w:tcPr>
          <w:p w14:paraId="2E6C570A" w14:textId="29BDB70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532.72</w:t>
            </w:r>
          </w:p>
        </w:tc>
        <w:tc>
          <w:tcPr>
            <w:tcW w:w="827" w:type="pct"/>
            <w:hideMark/>
          </w:tcPr>
          <w:p w14:paraId="0D53EAA9" w14:textId="6E23793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583.03</w:t>
            </w:r>
          </w:p>
        </w:tc>
        <w:tc>
          <w:tcPr>
            <w:tcW w:w="827" w:type="pct"/>
            <w:hideMark/>
          </w:tcPr>
          <w:p w14:paraId="675E0892" w14:textId="61EDD52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627.96</w:t>
            </w:r>
          </w:p>
        </w:tc>
      </w:tr>
      <w:tr w:rsidR="005A62F8" w:rsidRPr="001F6657" w14:paraId="53A5050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2B7D7F67" w14:textId="77777777" w:rsidR="005A62F8" w:rsidRPr="00326725" w:rsidRDefault="005A62F8" w:rsidP="005A62F8">
            <w:pPr>
              <w:rPr>
                <w:b w:val="0"/>
              </w:rPr>
            </w:pPr>
            <w:proofErr w:type="gramStart"/>
            <w:r w:rsidRPr="00326725">
              <w:rPr>
                <w:b w:val="0"/>
              </w:rPr>
              <w:t>Plus</w:t>
            </w:r>
            <w:proofErr w:type="gramEnd"/>
            <w:r w:rsidRPr="00326725">
              <w:rPr>
                <w:b w:val="0"/>
              </w:rPr>
              <w:t xml:space="preserve"> gross capital expenditure</w:t>
            </w:r>
          </w:p>
        </w:tc>
        <w:tc>
          <w:tcPr>
            <w:tcW w:w="827" w:type="pct"/>
            <w:hideMark/>
          </w:tcPr>
          <w:p w14:paraId="088D5F26" w14:textId="7C16E60C"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75.28</w:t>
            </w:r>
          </w:p>
        </w:tc>
        <w:tc>
          <w:tcPr>
            <w:tcW w:w="827" w:type="pct"/>
            <w:hideMark/>
          </w:tcPr>
          <w:p w14:paraId="3287E848" w14:textId="158452F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82.47</w:t>
            </w:r>
          </w:p>
        </w:tc>
        <w:tc>
          <w:tcPr>
            <w:tcW w:w="827" w:type="pct"/>
            <w:hideMark/>
          </w:tcPr>
          <w:p w14:paraId="22E6E3D5" w14:textId="1070C533"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96.46</w:t>
            </w:r>
          </w:p>
        </w:tc>
        <w:tc>
          <w:tcPr>
            <w:tcW w:w="827" w:type="pct"/>
            <w:hideMark/>
          </w:tcPr>
          <w:p w14:paraId="0EBF1569" w14:textId="5149F0B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110.18</w:t>
            </w:r>
          </w:p>
        </w:tc>
      </w:tr>
      <w:tr w:rsidR="005A62F8" w:rsidRPr="001F6657" w14:paraId="4C16203D"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CBDE97A" w14:textId="77777777" w:rsidR="005A62F8" w:rsidRPr="00326725" w:rsidRDefault="005A62F8" w:rsidP="005A62F8">
            <w:pPr>
              <w:rPr>
                <w:b w:val="0"/>
              </w:rPr>
            </w:pPr>
            <w:r w:rsidRPr="00326725">
              <w:rPr>
                <w:b w:val="0"/>
              </w:rPr>
              <w:t>Less government contributions</w:t>
            </w:r>
          </w:p>
        </w:tc>
        <w:tc>
          <w:tcPr>
            <w:tcW w:w="827" w:type="pct"/>
            <w:hideMark/>
          </w:tcPr>
          <w:p w14:paraId="1CB2DFAA" w14:textId="1CA4AFB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153B376E" w14:textId="74F5D66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1BCA330E" w14:textId="162ED582"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37156D7D" w14:textId="1DC1969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5A62F8" w:rsidRPr="001F6657" w14:paraId="3EA92F9D"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7DF971C" w14:textId="77777777" w:rsidR="005A62F8" w:rsidRPr="00326725" w:rsidRDefault="005A62F8" w:rsidP="005A62F8">
            <w:pPr>
              <w:rPr>
                <w:b w:val="0"/>
              </w:rPr>
            </w:pPr>
            <w:r w:rsidRPr="00326725">
              <w:rPr>
                <w:b w:val="0"/>
              </w:rPr>
              <w:t>Less customer contributions</w:t>
            </w:r>
          </w:p>
        </w:tc>
        <w:tc>
          <w:tcPr>
            <w:tcW w:w="827" w:type="pct"/>
            <w:hideMark/>
          </w:tcPr>
          <w:p w14:paraId="27B4C392" w14:textId="26BB322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-17.72</w:t>
            </w:r>
          </w:p>
        </w:tc>
        <w:tc>
          <w:tcPr>
            <w:tcW w:w="827" w:type="pct"/>
            <w:hideMark/>
          </w:tcPr>
          <w:p w14:paraId="5CBF8CEE" w14:textId="76805324"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-23.69</w:t>
            </w:r>
          </w:p>
        </w:tc>
        <w:tc>
          <w:tcPr>
            <w:tcW w:w="827" w:type="pct"/>
            <w:hideMark/>
          </w:tcPr>
          <w:p w14:paraId="3B8E7EF2" w14:textId="34027CC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-41.57</w:t>
            </w:r>
          </w:p>
        </w:tc>
        <w:tc>
          <w:tcPr>
            <w:tcW w:w="827" w:type="pct"/>
            <w:hideMark/>
          </w:tcPr>
          <w:p w14:paraId="64A8E6C0" w14:textId="5E79729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-39.68</w:t>
            </w:r>
          </w:p>
        </w:tc>
      </w:tr>
      <w:tr w:rsidR="005A62F8" w:rsidRPr="001F6657" w14:paraId="3E06702A"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B946808" w14:textId="77777777" w:rsidR="005A62F8" w:rsidRPr="00326725" w:rsidRDefault="005A62F8" w:rsidP="005A62F8">
            <w:pPr>
              <w:rPr>
                <w:b w:val="0"/>
              </w:rPr>
            </w:pPr>
            <w:r w:rsidRPr="00326725">
              <w:rPr>
                <w:b w:val="0"/>
              </w:rPr>
              <w:t>Less proceeds from disposals</w:t>
            </w:r>
          </w:p>
        </w:tc>
        <w:tc>
          <w:tcPr>
            <w:tcW w:w="827" w:type="pct"/>
            <w:hideMark/>
          </w:tcPr>
          <w:p w14:paraId="0767FE7C" w14:textId="742E3A0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-0.56</w:t>
            </w:r>
          </w:p>
        </w:tc>
        <w:tc>
          <w:tcPr>
            <w:tcW w:w="827" w:type="pct"/>
            <w:hideMark/>
          </w:tcPr>
          <w:p w14:paraId="3B9A8D06" w14:textId="2C755F0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-0.63</w:t>
            </w:r>
          </w:p>
        </w:tc>
        <w:tc>
          <w:tcPr>
            <w:tcW w:w="827" w:type="pct"/>
            <w:hideMark/>
          </w:tcPr>
          <w:p w14:paraId="3320FEF0" w14:textId="2DCBA82C"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-0.36</w:t>
            </w:r>
          </w:p>
        </w:tc>
        <w:tc>
          <w:tcPr>
            <w:tcW w:w="827" w:type="pct"/>
            <w:hideMark/>
          </w:tcPr>
          <w:p w14:paraId="13E11C46" w14:textId="78FF79E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-0.49</w:t>
            </w:r>
          </w:p>
        </w:tc>
      </w:tr>
      <w:tr w:rsidR="005A62F8" w:rsidRPr="001F6657" w14:paraId="1A4B829A"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1809C0B8" w14:textId="77777777" w:rsidR="005A62F8" w:rsidRPr="00326725" w:rsidRDefault="005A62F8" w:rsidP="005A62F8">
            <w:pPr>
              <w:rPr>
                <w:b w:val="0"/>
              </w:rPr>
            </w:pPr>
            <w:r w:rsidRPr="00326725">
              <w:rPr>
                <w:b w:val="0"/>
              </w:rPr>
              <w:t>Less regulatory depreciation</w:t>
            </w:r>
          </w:p>
        </w:tc>
        <w:tc>
          <w:tcPr>
            <w:tcW w:w="827" w:type="pct"/>
            <w:hideMark/>
          </w:tcPr>
          <w:p w14:paraId="493314EE" w14:textId="7BF44531"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-8.66</w:t>
            </w:r>
          </w:p>
        </w:tc>
        <w:tc>
          <w:tcPr>
            <w:tcW w:w="827" w:type="pct"/>
            <w:hideMark/>
          </w:tcPr>
          <w:p w14:paraId="47B6D03E" w14:textId="650F6481"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-7.83</w:t>
            </w:r>
          </w:p>
        </w:tc>
        <w:tc>
          <w:tcPr>
            <w:tcW w:w="827" w:type="pct"/>
            <w:hideMark/>
          </w:tcPr>
          <w:p w14:paraId="4B5FB5F0" w14:textId="1A8FA4D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-9.60</w:t>
            </w:r>
          </w:p>
        </w:tc>
        <w:tc>
          <w:tcPr>
            <w:tcW w:w="827" w:type="pct"/>
            <w:hideMark/>
          </w:tcPr>
          <w:p w14:paraId="31D382BE" w14:textId="19B9AE5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-15.10</w:t>
            </w:r>
          </w:p>
        </w:tc>
      </w:tr>
      <w:tr w:rsidR="005A62F8" w:rsidRPr="001F6657" w14:paraId="0C5D84AC"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5DDDFDAC" w14:textId="77777777" w:rsidR="005A62F8" w:rsidRPr="006C12BA" w:rsidRDefault="005A62F8" w:rsidP="005A62F8">
            <w:r w:rsidRPr="006C12BA">
              <w:t>Closing asset base</w:t>
            </w:r>
          </w:p>
        </w:tc>
        <w:tc>
          <w:tcPr>
            <w:tcW w:w="827" w:type="pct"/>
            <w:hideMark/>
          </w:tcPr>
          <w:p w14:paraId="2859A460" w14:textId="0362459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532.72</w:t>
            </w:r>
          </w:p>
        </w:tc>
        <w:tc>
          <w:tcPr>
            <w:tcW w:w="827" w:type="pct"/>
            <w:hideMark/>
          </w:tcPr>
          <w:p w14:paraId="1203B824" w14:textId="6C140FE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583.03</w:t>
            </w:r>
          </w:p>
        </w:tc>
        <w:tc>
          <w:tcPr>
            <w:tcW w:w="827" w:type="pct"/>
            <w:hideMark/>
          </w:tcPr>
          <w:p w14:paraId="33BBF893" w14:textId="58B352F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627.96</w:t>
            </w:r>
          </w:p>
        </w:tc>
        <w:tc>
          <w:tcPr>
            <w:tcW w:w="827" w:type="pct"/>
            <w:hideMark/>
          </w:tcPr>
          <w:p w14:paraId="4D3BDB6B" w14:textId="7283526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682.86</w:t>
            </w:r>
          </w:p>
        </w:tc>
      </w:tr>
      <w:tr w:rsidR="009E36EB" w:rsidRPr="001F6657" w14:paraId="397FD606"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70714D41" w14:textId="77777777" w:rsidR="009E36EB" w:rsidRPr="006C12BA" w:rsidRDefault="009E36EB" w:rsidP="006C12BA">
            <w:r w:rsidRPr="006C12BA">
              <w:t>Greater Western Water</w:t>
            </w:r>
          </w:p>
        </w:tc>
        <w:tc>
          <w:tcPr>
            <w:tcW w:w="827" w:type="pct"/>
            <w:shd w:val="clear" w:color="auto" w:fill="F4F0EE" w:themeFill="background2"/>
            <w:hideMark/>
          </w:tcPr>
          <w:p w14:paraId="45ADA103"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3106C73C"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6C1605C9"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3E8EAAE"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r>
      <w:tr w:rsidR="005A62F8" w:rsidRPr="001F6657" w14:paraId="37868D2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8428296" w14:textId="77777777" w:rsidR="005A62F8" w:rsidRPr="00326725" w:rsidRDefault="005A62F8" w:rsidP="005A62F8">
            <w:pPr>
              <w:rPr>
                <w:b w:val="0"/>
              </w:rPr>
            </w:pPr>
            <w:r w:rsidRPr="00326725">
              <w:rPr>
                <w:b w:val="0"/>
              </w:rPr>
              <w:lastRenderedPageBreak/>
              <w:t>Opening RAB</w:t>
            </w:r>
          </w:p>
        </w:tc>
        <w:tc>
          <w:tcPr>
            <w:tcW w:w="827" w:type="pct"/>
            <w:hideMark/>
          </w:tcPr>
          <w:p w14:paraId="2A98AF9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3E956B35"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53E95F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4D0AEF2E" w14:textId="32FD36D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2,914.80</w:t>
            </w:r>
          </w:p>
        </w:tc>
      </w:tr>
      <w:tr w:rsidR="005A62F8" w:rsidRPr="001F6657" w14:paraId="0AB285E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FE10786" w14:textId="77777777" w:rsidR="005A62F8" w:rsidRPr="00326725" w:rsidRDefault="005A62F8" w:rsidP="005A62F8">
            <w:pPr>
              <w:rPr>
                <w:b w:val="0"/>
              </w:rPr>
            </w:pPr>
            <w:proofErr w:type="gramStart"/>
            <w:r w:rsidRPr="00326725">
              <w:rPr>
                <w:b w:val="0"/>
              </w:rPr>
              <w:t>Plus</w:t>
            </w:r>
            <w:proofErr w:type="gramEnd"/>
            <w:r w:rsidRPr="00326725">
              <w:rPr>
                <w:b w:val="0"/>
              </w:rPr>
              <w:t xml:space="preserve"> gross capital expenditure</w:t>
            </w:r>
          </w:p>
        </w:tc>
        <w:tc>
          <w:tcPr>
            <w:tcW w:w="827" w:type="pct"/>
            <w:hideMark/>
          </w:tcPr>
          <w:p w14:paraId="36EA8608"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E24BF64"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42CF3B0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318D510" w14:textId="372DFF5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286.79</w:t>
            </w:r>
          </w:p>
        </w:tc>
      </w:tr>
      <w:tr w:rsidR="005A62F8" w:rsidRPr="001F6657" w14:paraId="2EE5DB4E"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DC7C681" w14:textId="77777777" w:rsidR="005A62F8" w:rsidRPr="00326725" w:rsidRDefault="005A62F8" w:rsidP="005A62F8">
            <w:pPr>
              <w:rPr>
                <w:b w:val="0"/>
              </w:rPr>
            </w:pPr>
            <w:r w:rsidRPr="00326725">
              <w:rPr>
                <w:b w:val="0"/>
              </w:rPr>
              <w:t>Less government contributions</w:t>
            </w:r>
          </w:p>
        </w:tc>
        <w:tc>
          <w:tcPr>
            <w:tcW w:w="827" w:type="pct"/>
            <w:hideMark/>
          </w:tcPr>
          <w:p w14:paraId="74175006"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3D65FE7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CE05162"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149EE5E2" w14:textId="7AAA9F7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5A62F8" w:rsidRPr="001F6657" w14:paraId="200A242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31B0EC3" w14:textId="77777777" w:rsidR="005A62F8" w:rsidRPr="00326725" w:rsidRDefault="005A62F8" w:rsidP="005A62F8">
            <w:pPr>
              <w:rPr>
                <w:b w:val="0"/>
              </w:rPr>
            </w:pPr>
            <w:r w:rsidRPr="00326725">
              <w:rPr>
                <w:b w:val="0"/>
              </w:rPr>
              <w:t>Less customer contributions</w:t>
            </w:r>
          </w:p>
        </w:tc>
        <w:tc>
          <w:tcPr>
            <w:tcW w:w="827" w:type="pct"/>
            <w:hideMark/>
          </w:tcPr>
          <w:p w14:paraId="0012170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1090B67"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6307554B"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B6014C9" w14:textId="7EB5CFF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-72.95</w:t>
            </w:r>
          </w:p>
        </w:tc>
      </w:tr>
      <w:tr w:rsidR="005A62F8" w:rsidRPr="001F6657" w14:paraId="63D206C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0190046" w14:textId="77777777" w:rsidR="005A62F8" w:rsidRPr="00326725" w:rsidRDefault="005A62F8" w:rsidP="005A62F8">
            <w:pPr>
              <w:rPr>
                <w:b w:val="0"/>
              </w:rPr>
            </w:pPr>
            <w:r w:rsidRPr="00326725">
              <w:rPr>
                <w:b w:val="0"/>
              </w:rPr>
              <w:t>Less proceeds from disposals</w:t>
            </w:r>
          </w:p>
        </w:tc>
        <w:tc>
          <w:tcPr>
            <w:tcW w:w="827" w:type="pct"/>
            <w:hideMark/>
          </w:tcPr>
          <w:p w14:paraId="1A2C41B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EE0E8FC"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556E28B"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713D9D8C" w14:textId="1FF8D256"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-0.97</w:t>
            </w:r>
          </w:p>
        </w:tc>
      </w:tr>
      <w:tr w:rsidR="005A62F8" w:rsidRPr="001F6657" w14:paraId="0243B647"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B5A26E8" w14:textId="77777777" w:rsidR="005A62F8" w:rsidRPr="00326725" w:rsidRDefault="005A62F8" w:rsidP="005A62F8">
            <w:pPr>
              <w:rPr>
                <w:b w:val="0"/>
              </w:rPr>
            </w:pPr>
            <w:r w:rsidRPr="00326725">
              <w:rPr>
                <w:b w:val="0"/>
              </w:rPr>
              <w:t>Less regulatory depreciation</w:t>
            </w:r>
          </w:p>
        </w:tc>
        <w:tc>
          <w:tcPr>
            <w:tcW w:w="827" w:type="pct"/>
            <w:hideMark/>
          </w:tcPr>
          <w:p w14:paraId="1C93516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AA5811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1A56A94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9A7B7D2" w14:textId="27A9F45A"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-106.57</w:t>
            </w:r>
          </w:p>
        </w:tc>
      </w:tr>
      <w:tr w:rsidR="005A62F8" w:rsidRPr="001F6657" w14:paraId="1B9FD9B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AB4841A" w14:textId="77777777" w:rsidR="005A62F8" w:rsidRPr="006C12BA" w:rsidRDefault="005A62F8" w:rsidP="005A62F8">
            <w:r w:rsidRPr="006C12BA">
              <w:t>Closing asset base</w:t>
            </w:r>
          </w:p>
        </w:tc>
        <w:tc>
          <w:tcPr>
            <w:tcW w:w="827" w:type="pct"/>
            <w:hideMark/>
          </w:tcPr>
          <w:p w14:paraId="7A3CD02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A098E7C"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BABCE57"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7917A848" w14:textId="3E0FE2A2"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3,021.11</w:t>
            </w:r>
          </w:p>
        </w:tc>
      </w:tr>
    </w:tbl>
    <w:p w14:paraId="50F1D4B4" w14:textId="0E9F7CF4" w:rsidR="000812B4" w:rsidRDefault="000812B4" w:rsidP="00C2059E"/>
    <w:p w14:paraId="636AE8AB" w14:textId="6D213E79" w:rsidR="007D1CF7" w:rsidRDefault="00D27F8F" w:rsidP="005B69CD">
      <w:pPr>
        <w:pStyle w:val="Heading3"/>
      </w:pPr>
      <w:r w:rsidRPr="00D27F8F">
        <w:t>Closing regulatory asset base as of 30 June 2023</w:t>
      </w:r>
    </w:p>
    <w:p w14:paraId="427B044B" w14:textId="169C3868" w:rsidR="00D27F8F" w:rsidRDefault="00BF562E" w:rsidP="00C2059E">
      <w:r w:rsidRPr="00BF562E">
        <w:t xml:space="preserve">GWW’s closing RAB as of 30 June 2023 was </w:t>
      </w:r>
      <w:r w:rsidRPr="00CC2124">
        <w:t>$3,</w:t>
      </w:r>
      <w:r w:rsidR="00326725">
        <w:t>255.5</w:t>
      </w:r>
      <w:r w:rsidR="00E4012D" w:rsidRPr="00CC2124">
        <w:t xml:space="preserve"> </w:t>
      </w:r>
      <w:r w:rsidRPr="00CC2124">
        <w:t>m</w:t>
      </w:r>
      <w:r w:rsidR="00E4012D" w:rsidRPr="00CC2124">
        <w:t>illion</w:t>
      </w:r>
      <w:r w:rsidRPr="00BF562E">
        <w:t>, as set out in</w:t>
      </w:r>
      <w:r w:rsidR="0062163A">
        <w:t xml:space="preserve"> </w:t>
      </w:r>
      <w:r w:rsidR="0062163A">
        <w:fldChar w:fldCharType="begin"/>
      </w:r>
      <w:r w:rsidR="0062163A">
        <w:instrText xml:space="preserve"> REF _Ref145335044 \h </w:instrText>
      </w:r>
      <w:r w:rsidR="008718CE">
        <w:instrText xml:space="preserve"> \* MERGEFORMAT </w:instrText>
      </w:r>
      <w:r w:rsidR="0062163A">
        <w:fldChar w:fldCharType="separate"/>
      </w:r>
      <w:r w:rsidR="003B42C6" w:rsidRPr="00783FCF">
        <w:rPr>
          <w:b/>
        </w:rPr>
        <w:t xml:space="preserve">Table </w:t>
      </w:r>
      <w:r w:rsidR="003B42C6" w:rsidRPr="003B42C6">
        <w:rPr>
          <w:b/>
          <w:bCs/>
          <w:noProof/>
        </w:rPr>
        <w:t>46</w:t>
      </w:r>
      <w:r w:rsidR="0062163A">
        <w:fldChar w:fldCharType="end"/>
      </w:r>
      <w:r w:rsidRPr="00BF562E">
        <w:t xml:space="preserve">. The values for inputs used to calculate the closing RAB – such as gross capital expenditure, </w:t>
      </w:r>
      <w:proofErr w:type="gramStart"/>
      <w:r w:rsidRPr="00BF562E">
        <w:t>government</w:t>
      </w:r>
      <w:proofErr w:type="gramEnd"/>
      <w:r w:rsidRPr="00BF562E">
        <w:t xml:space="preserve"> and customer contribution, and proceeds from disposals </w:t>
      </w:r>
      <w:r w:rsidR="00E4012D" w:rsidRPr="00BF562E">
        <w:t xml:space="preserve">– </w:t>
      </w:r>
      <w:r w:rsidRPr="00BF562E">
        <w:t xml:space="preserve">are actual values for the period 2020-21 to 2022-23. </w:t>
      </w:r>
      <w:r w:rsidR="00E4012D">
        <w:t>The</w:t>
      </w:r>
      <w:r w:rsidRPr="00BF562E">
        <w:t xml:space="preserve"> regulatory depreciation used was the sum of forecast values of CWW and WW according to their respective determinations in 2018 and 2020, over the same period.</w:t>
      </w:r>
    </w:p>
    <w:p w14:paraId="1855E763" w14:textId="71DBEFF5" w:rsidR="00CC2124" w:rsidRDefault="00CC2124" w:rsidP="00CC2124">
      <w:pPr>
        <w:pStyle w:val="Caption"/>
      </w:pPr>
      <w:bookmarkStart w:id="204" w:name="_Ref145335044"/>
      <w:r w:rsidRPr="00783FCF">
        <w:rPr>
          <w:b/>
        </w:rPr>
        <w:t xml:space="preserve">Table </w:t>
      </w:r>
      <w:r w:rsidRPr="00783FCF">
        <w:rPr>
          <w:b/>
        </w:rPr>
        <w:fldChar w:fldCharType="begin"/>
      </w:r>
      <w:r w:rsidRPr="00F447CD">
        <w:rPr>
          <w:b/>
        </w:rPr>
        <w:instrText>SEQ Table \* ARABIC</w:instrText>
      </w:r>
      <w:r w:rsidRPr="00783FCF">
        <w:rPr>
          <w:b/>
        </w:rPr>
        <w:fldChar w:fldCharType="separate"/>
      </w:r>
      <w:r w:rsidR="003B42C6">
        <w:rPr>
          <w:b/>
          <w:noProof/>
        </w:rPr>
        <w:t>46</w:t>
      </w:r>
      <w:r w:rsidRPr="00783FCF">
        <w:rPr>
          <w:b/>
        </w:rPr>
        <w:fldChar w:fldCharType="end"/>
      </w:r>
      <w:bookmarkEnd w:id="204"/>
      <w:r>
        <w:t xml:space="preserve"> </w:t>
      </w:r>
      <w:r w:rsidRPr="00CD5EEF">
        <w:t>Closing regulatory asset base, 2020-21 to 2022–23 ($million, 2023–24)</w:t>
      </w:r>
    </w:p>
    <w:tbl>
      <w:tblPr>
        <w:tblStyle w:val="GWWDefaulttable"/>
        <w:tblW w:w="5000" w:type="pct"/>
        <w:tblLook w:val="04A0" w:firstRow="1" w:lastRow="0" w:firstColumn="1" w:lastColumn="0" w:noHBand="0" w:noVBand="1"/>
      </w:tblPr>
      <w:tblGrid>
        <w:gridCol w:w="3880"/>
        <w:gridCol w:w="1920"/>
        <w:gridCol w:w="1920"/>
        <w:gridCol w:w="1918"/>
      </w:tblGrid>
      <w:tr w:rsidR="00370BB2" w:rsidRPr="006C12BA" w14:paraId="5E2D4947" w14:textId="77777777" w:rsidTr="00783F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673BEA3" w14:textId="77777777" w:rsidR="00370BB2" w:rsidRPr="006C12BA" w:rsidRDefault="00370BB2" w:rsidP="006C12BA">
            <w:r w:rsidRPr="006C12BA">
              <w:t> </w:t>
            </w:r>
          </w:p>
        </w:tc>
        <w:tc>
          <w:tcPr>
            <w:tcW w:w="996" w:type="pct"/>
            <w:vAlign w:val="center"/>
            <w:hideMark/>
          </w:tcPr>
          <w:p w14:paraId="61655D76"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2020-21</w:t>
            </w:r>
          </w:p>
        </w:tc>
        <w:tc>
          <w:tcPr>
            <w:tcW w:w="996" w:type="pct"/>
            <w:vAlign w:val="center"/>
            <w:hideMark/>
          </w:tcPr>
          <w:p w14:paraId="08BF6770"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2021-22</w:t>
            </w:r>
          </w:p>
        </w:tc>
        <w:tc>
          <w:tcPr>
            <w:tcW w:w="995" w:type="pct"/>
            <w:vAlign w:val="center"/>
            <w:hideMark/>
          </w:tcPr>
          <w:p w14:paraId="31EFF8EC"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2022-23</w:t>
            </w:r>
          </w:p>
        </w:tc>
      </w:tr>
      <w:tr w:rsidR="00263175" w:rsidRPr="006C12BA" w14:paraId="7B1AA006"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0A6116F1" w14:textId="77777777" w:rsidR="00263175" w:rsidRPr="00184AF5" w:rsidRDefault="00263175" w:rsidP="00263175">
            <w:pPr>
              <w:rPr>
                <w:b w:val="0"/>
                <w:bCs/>
              </w:rPr>
            </w:pPr>
            <w:r w:rsidRPr="00783FCF">
              <w:rPr>
                <w:b w:val="0"/>
              </w:rPr>
              <w:t>Opening RAB</w:t>
            </w:r>
          </w:p>
        </w:tc>
        <w:tc>
          <w:tcPr>
            <w:tcW w:w="996" w:type="pct"/>
            <w:vAlign w:val="center"/>
            <w:hideMark/>
          </w:tcPr>
          <w:p w14:paraId="49B9CF7A" w14:textId="60DE994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2,914.81</w:t>
            </w:r>
          </w:p>
        </w:tc>
        <w:tc>
          <w:tcPr>
            <w:tcW w:w="996" w:type="pct"/>
            <w:vAlign w:val="center"/>
            <w:hideMark/>
          </w:tcPr>
          <w:p w14:paraId="78595070" w14:textId="3B260AD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3,021.11</w:t>
            </w:r>
          </w:p>
        </w:tc>
        <w:tc>
          <w:tcPr>
            <w:tcW w:w="995" w:type="pct"/>
            <w:vAlign w:val="center"/>
            <w:hideMark/>
          </w:tcPr>
          <w:p w14:paraId="156FBFB8" w14:textId="0C7B626B"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3,109.62</w:t>
            </w:r>
          </w:p>
        </w:tc>
      </w:tr>
      <w:tr w:rsidR="00263175" w:rsidRPr="006C12BA" w14:paraId="462F25ED"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77A107F" w14:textId="77777777" w:rsidR="00263175" w:rsidRPr="00184AF5" w:rsidRDefault="00263175" w:rsidP="00263175">
            <w:pPr>
              <w:rPr>
                <w:b w:val="0"/>
                <w:bCs/>
              </w:rPr>
            </w:pPr>
            <w:proofErr w:type="gramStart"/>
            <w:r w:rsidRPr="00783FCF">
              <w:rPr>
                <w:b w:val="0"/>
              </w:rPr>
              <w:t>Plus</w:t>
            </w:r>
            <w:proofErr w:type="gramEnd"/>
            <w:r w:rsidRPr="00783FCF">
              <w:rPr>
                <w:b w:val="0"/>
              </w:rPr>
              <w:t xml:space="preserve"> gross capital expenditure</w:t>
            </w:r>
          </w:p>
        </w:tc>
        <w:tc>
          <w:tcPr>
            <w:tcW w:w="996" w:type="pct"/>
            <w:vAlign w:val="center"/>
            <w:hideMark/>
          </w:tcPr>
          <w:p w14:paraId="30D7BDF7" w14:textId="7E9814FC"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286.79</w:t>
            </w:r>
          </w:p>
        </w:tc>
        <w:tc>
          <w:tcPr>
            <w:tcW w:w="996" w:type="pct"/>
            <w:vAlign w:val="center"/>
            <w:hideMark/>
          </w:tcPr>
          <w:p w14:paraId="5F9F80CC" w14:textId="5EA34F3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281.36</w:t>
            </w:r>
          </w:p>
        </w:tc>
        <w:tc>
          <w:tcPr>
            <w:tcW w:w="995" w:type="pct"/>
            <w:vAlign w:val="center"/>
            <w:hideMark/>
          </w:tcPr>
          <w:p w14:paraId="051D0AAC" w14:textId="70C608C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336.42</w:t>
            </w:r>
          </w:p>
        </w:tc>
      </w:tr>
      <w:tr w:rsidR="00263175" w:rsidRPr="006C12BA" w14:paraId="03D6424F"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19CECCD7" w14:textId="77777777" w:rsidR="00263175" w:rsidRPr="00184AF5" w:rsidRDefault="00263175" w:rsidP="00263175">
            <w:pPr>
              <w:rPr>
                <w:b w:val="0"/>
                <w:bCs/>
              </w:rPr>
            </w:pPr>
            <w:r w:rsidRPr="00783FCF">
              <w:rPr>
                <w:b w:val="0"/>
              </w:rPr>
              <w:t>Less government contributions</w:t>
            </w:r>
          </w:p>
        </w:tc>
        <w:tc>
          <w:tcPr>
            <w:tcW w:w="996" w:type="pct"/>
            <w:vAlign w:val="center"/>
            <w:hideMark/>
          </w:tcPr>
          <w:p w14:paraId="2D95227B" w14:textId="4356692D"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c>
          <w:tcPr>
            <w:tcW w:w="996" w:type="pct"/>
            <w:vAlign w:val="center"/>
            <w:hideMark/>
          </w:tcPr>
          <w:p w14:paraId="4D58A25F" w14:textId="735D459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-12.11</w:t>
            </w:r>
          </w:p>
        </w:tc>
        <w:tc>
          <w:tcPr>
            <w:tcW w:w="995" w:type="pct"/>
            <w:vAlign w:val="center"/>
            <w:hideMark/>
          </w:tcPr>
          <w:p w14:paraId="5C5A009C" w14:textId="51471B5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-5.67</w:t>
            </w:r>
          </w:p>
        </w:tc>
      </w:tr>
      <w:tr w:rsidR="00263175" w:rsidRPr="006C12BA" w14:paraId="2F3D82A1"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DBA77D0" w14:textId="77777777" w:rsidR="00263175" w:rsidRPr="00184AF5" w:rsidRDefault="00263175" w:rsidP="00263175">
            <w:pPr>
              <w:rPr>
                <w:b w:val="0"/>
                <w:bCs/>
              </w:rPr>
            </w:pPr>
            <w:r w:rsidRPr="00783FCF">
              <w:rPr>
                <w:b w:val="0"/>
              </w:rPr>
              <w:t>Less customer contributions</w:t>
            </w:r>
          </w:p>
        </w:tc>
        <w:tc>
          <w:tcPr>
            <w:tcW w:w="996" w:type="pct"/>
            <w:vAlign w:val="center"/>
            <w:hideMark/>
          </w:tcPr>
          <w:p w14:paraId="0593395D" w14:textId="67AAF025"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-72.95</w:t>
            </w:r>
          </w:p>
        </w:tc>
        <w:tc>
          <w:tcPr>
            <w:tcW w:w="996" w:type="pct"/>
            <w:vAlign w:val="center"/>
            <w:hideMark/>
          </w:tcPr>
          <w:p w14:paraId="7C0C4D3E" w14:textId="07150E24"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-67.73</w:t>
            </w:r>
          </w:p>
        </w:tc>
        <w:tc>
          <w:tcPr>
            <w:tcW w:w="995" w:type="pct"/>
            <w:vAlign w:val="center"/>
            <w:hideMark/>
          </w:tcPr>
          <w:p w14:paraId="7EFC4705" w14:textId="360BBCE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-88.05</w:t>
            </w:r>
          </w:p>
        </w:tc>
      </w:tr>
      <w:tr w:rsidR="00263175" w:rsidRPr="006C12BA" w14:paraId="67B9C65A"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65C91F0C" w14:textId="77777777" w:rsidR="00263175" w:rsidRPr="00184AF5" w:rsidRDefault="00263175" w:rsidP="00263175">
            <w:pPr>
              <w:rPr>
                <w:b w:val="0"/>
                <w:bCs/>
              </w:rPr>
            </w:pPr>
            <w:r w:rsidRPr="00783FCF">
              <w:rPr>
                <w:b w:val="0"/>
              </w:rPr>
              <w:t>Less proceeds from disposals</w:t>
            </w:r>
          </w:p>
        </w:tc>
        <w:tc>
          <w:tcPr>
            <w:tcW w:w="996" w:type="pct"/>
            <w:vAlign w:val="center"/>
            <w:hideMark/>
          </w:tcPr>
          <w:p w14:paraId="6FB8F0EA" w14:textId="1B5BEA4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-0.97</w:t>
            </w:r>
          </w:p>
        </w:tc>
        <w:tc>
          <w:tcPr>
            <w:tcW w:w="996" w:type="pct"/>
            <w:vAlign w:val="center"/>
            <w:hideMark/>
          </w:tcPr>
          <w:p w14:paraId="24FF2DE1" w14:textId="06B58C4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-3.04</w:t>
            </w:r>
          </w:p>
        </w:tc>
        <w:tc>
          <w:tcPr>
            <w:tcW w:w="995" w:type="pct"/>
            <w:vAlign w:val="center"/>
            <w:hideMark/>
          </w:tcPr>
          <w:p w14:paraId="6C8FE7BA" w14:textId="4913B9F0"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-1.02</w:t>
            </w:r>
          </w:p>
        </w:tc>
      </w:tr>
      <w:tr w:rsidR="00263175" w:rsidRPr="006C12BA" w14:paraId="3E48AAD4"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5CFB473B" w14:textId="77777777" w:rsidR="00263175" w:rsidRPr="00184AF5" w:rsidRDefault="00263175" w:rsidP="00263175">
            <w:pPr>
              <w:rPr>
                <w:b w:val="0"/>
                <w:bCs/>
              </w:rPr>
            </w:pPr>
            <w:r w:rsidRPr="00783FCF">
              <w:rPr>
                <w:b w:val="0"/>
              </w:rPr>
              <w:t>Less regulatory depreciation</w:t>
            </w:r>
          </w:p>
        </w:tc>
        <w:tc>
          <w:tcPr>
            <w:tcW w:w="996" w:type="pct"/>
            <w:vAlign w:val="center"/>
            <w:hideMark/>
          </w:tcPr>
          <w:p w14:paraId="2EE888C9" w14:textId="719DA167"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-106.57</w:t>
            </w:r>
          </w:p>
        </w:tc>
        <w:tc>
          <w:tcPr>
            <w:tcW w:w="996" w:type="pct"/>
            <w:vAlign w:val="center"/>
            <w:hideMark/>
          </w:tcPr>
          <w:p w14:paraId="29D46581" w14:textId="2407B13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-109.98</w:t>
            </w:r>
          </w:p>
        </w:tc>
        <w:tc>
          <w:tcPr>
            <w:tcW w:w="995" w:type="pct"/>
            <w:vAlign w:val="center"/>
            <w:hideMark/>
          </w:tcPr>
          <w:p w14:paraId="5446E193" w14:textId="731468B3"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-95.81</w:t>
            </w:r>
          </w:p>
        </w:tc>
      </w:tr>
      <w:tr w:rsidR="00263175" w:rsidRPr="006C12BA" w14:paraId="2A0BE4B0"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04CE6C79" w14:textId="77777777" w:rsidR="00263175" w:rsidRPr="006C12BA" w:rsidRDefault="00263175" w:rsidP="00263175">
            <w:r w:rsidRPr="006C12BA">
              <w:t>Closing asset base</w:t>
            </w:r>
          </w:p>
        </w:tc>
        <w:tc>
          <w:tcPr>
            <w:tcW w:w="996" w:type="pct"/>
            <w:vAlign w:val="center"/>
            <w:hideMark/>
          </w:tcPr>
          <w:p w14:paraId="7E240F2E" w14:textId="6F8FBF22"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3,021.11</w:t>
            </w:r>
          </w:p>
        </w:tc>
        <w:tc>
          <w:tcPr>
            <w:tcW w:w="996" w:type="pct"/>
            <w:vAlign w:val="center"/>
            <w:hideMark/>
          </w:tcPr>
          <w:p w14:paraId="486764E0" w14:textId="1DA715F4"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3,109.62</w:t>
            </w:r>
          </w:p>
        </w:tc>
        <w:tc>
          <w:tcPr>
            <w:tcW w:w="995" w:type="pct"/>
            <w:vAlign w:val="center"/>
            <w:hideMark/>
          </w:tcPr>
          <w:p w14:paraId="4195C74E" w14:textId="224FEE7A"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3,255.48</w:t>
            </w:r>
          </w:p>
        </w:tc>
      </w:tr>
    </w:tbl>
    <w:p w14:paraId="6E7F0E36" w14:textId="415CF3E7" w:rsidR="00742F3F" w:rsidRDefault="00742F3F" w:rsidP="00C2059E"/>
    <w:p w14:paraId="61192ACD" w14:textId="02737423" w:rsidR="003C42A2" w:rsidRDefault="001F4289" w:rsidP="005B69CD">
      <w:pPr>
        <w:pStyle w:val="Heading3"/>
      </w:pPr>
      <w:r w:rsidRPr="001F4289">
        <w:t>Opening regulatory asset base as of 1 July 2024</w:t>
      </w:r>
    </w:p>
    <w:p w14:paraId="03275EA3" w14:textId="753FC484" w:rsidR="004D7EE8" w:rsidRDefault="004D7EE8" w:rsidP="004D7EE8">
      <w:r>
        <w:t xml:space="preserve">We estimate GWW’s opening RAB as of 1 July 2024 </w:t>
      </w:r>
      <w:r w:rsidRPr="0080460D">
        <w:t xml:space="preserve">at </w:t>
      </w:r>
      <w:r w:rsidRPr="00184AF5">
        <w:t>$3,</w:t>
      </w:r>
      <w:r w:rsidR="00706C92" w:rsidRPr="00184AF5">
        <w:t>40</w:t>
      </w:r>
      <w:r w:rsidR="00DF5A75" w:rsidRPr="0080460D">
        <w:t>2.</w:t>
      </w:r>
      <w:r w:rsidR="00DF5A75">
        <w:t>1</w:t>
      </w:r>
      <w:r w:rsidR="00E4012D" w:rsidRPr="005B4BB4">
        <w:t xml:space="preserve"> </w:t>
      </w:r>
      <w:r w:rsidRPr="005B4BB4">
        <w:t>m</w:t>
      </w:r>
      <w:r w:rsidR="00E4012D">
        <w:t>illion</w:t>
      </w:r>
      <w:r>
        <w:t xml:space="preserve">, as set out in </w:t>
      </w:r>
      <w:r w:rsidR="0062163A" w:rsidRPr="0078186C">
        <w:rPr>
          <w:b/>
          <w:bCs/>
        </w:rPr>
        <w:fldChar w:fldCharType="begin"/>
      </w:r>
      <w:r w:rsidR="0062163A" w:rsidRPr="0078186C">
        <w:rPr>
          <w:b/>
          <w:bCs/>
        </w:rPr>
        <w:instrText xml:space="preserve"> REF _Ref145335070 \h </w:instrText>
      </w:r>
      <w:r w:rsidR="00201AC7">
        <w:rPr>
          <w:b/>
          <w:bCs/>
        </w:rPr>
        <w:instrText xml:space="preserve"> \* MERGEFORMAT</w:instrText>
      </w:r>
      <w:r w:rsidR="00201AC7" w:rsidRPr="007E2492">
        <w:rPr>
          <w:b/>
        </w:rPr>
        <w:instrText xml:space="preserve"> </w:instrText>
      </w:r>
      <w:r w:rsidR="0062163A" w:rsidRPr="0078186C">
        <w:rPr>
          <w:b/>
          <w:bCs/>
        </w:rPr>
      </w:r>
      <w:r w:rsidR="0062163A" w:rsidRPr="0078186C">
        <w:rPr>
          <w:b/>
          <w:bCs/>
        </w:rPr>
        <w:fldChar w:fldCharType="separate"/>
      </w:r>
      <w:r w:rsidR="003B42C6" w:rsidRPr="003B42C6">
        <w:rPr>
          <w:b/>
          <w:bCs/>
        </w:rPr>
        <w:t xml:space="preserve">Table </w:t>
      </w:r>
      <w:r w:rsidR="003B42C6" w:rsidRPr="003B42C6">
        <w:rPr>
          <w:b/>
          <w:bCs/>
          <w:noProof/>
        </w:rPr>
        <w:t>47</w:t>
      </w:r>
      <w:r w:rsidR="0062163A" w:rsidRPr="0078186C">
        <w:rPr>
          <w:b/>
          <w:bCs/>
        </w:rPr>
        <w:fldChar w:fldCharType="end"/>
      </w:r>
      <w:r w:rsidR="0062163A">
        <w:t>.</w:t>
      </w:r>
    </w:p>
    <w:p w14:paraId="765C0DAF" w14:textId="7724A4CE" w:rsidR="001F4289" w:rsidRDefault="004D7EE8" w:rsidP="00C2059E">
      <w:r>
        <w:t>To calculate the closing RAB for each year of the next regulatory period, we added forecast capital expenditure to the opening RAB and subtracted customer contributions, government contributions, regulatory depreciation and proceeds from disposals. We</w:t>
      </w:r>
      <w:r w:rsidDel="00AA61F9">
        <w:t xml:space="preserve"> </w:t>
      </w:r>
      <w:r>
        <w:t>used the latest forecast capital expenditure for 2023–24 to determine the 2024–25 opening RAB.</w:t>
      </w:r>
    </w:p>
    <w:p w14:paraId="6DC690C7" w14:textId="7E578C3B" w:rsidR="00CC2124" w:rsidRDefault="00CC2124" w:rsidP="00CC2124">
      <w:pPr>
        <w:pStyle w:val="Caption"/>
      </w:pPr>
      <w:bookmarkStart w:id="205" w:name="_Ref145335070"/>
      <w:r w:rsidRPr="0009184B">
        <w:rPr>
          <w:b/>
        </w:rPr>
        <w:t xml:space="preserve">Table </w:t>
      </w:r>
      <w:r w:rsidRPr="0070437B">
        <w:rPr>
          <w:b/>
        </w:rPr>
        <w:fldChar w:fldCharType="begin"/>
      </w:r>
      <w:r w:rsidRPr="0070437B">
        <w:rPr>
          <w:b/>
        </w:rPr>
        <w:instrText>SEQ Table \* ARABIC</w:instrText>
      </w:r>
      <w:r w:rsidRPr="0070437B">
        <w:rPr>
          <w:b/>
        </w:rPr>
        <w:fldChar w:fldCharType="separate"/>
      </w:r>
      <w:r w:rsidR="003B42C6">
        <w:rPr>
          <w:b/>
          <w:noProof/>
        </w:rPr>
        <w:t>47</w:t>
      </w:r>
      <w:r w:rsidRPr="0070437B">
        <w:rPr>
          <w:b/>
        </w:rPr>
        <w:fldChar w:fldCharType="end"/>
      </w:r>
      <w:bookmarkEnd w:id="205"/>
      <w:r>
        <w:t xml:space="preserve"> </w:t>
      </w:r>
      <w:r w:rsidRPr="001E31E2">
        <w:t>Forecast regulatory asset base, 2023-24 to 2027–28 ($million, 2023–24)</w:t>
      </w:r>
    </w:p>
    <w:tbl>
      <w:tblPr>
        <w:tblStyle w:val="GWWDefaulttable"/>
        <w:tblW w:w="5000" w:type="pct"/>
        <w:tblLayout w:type="fixed"/>
        <w:tblLook w:val="04A0" w:firstRow="1" w:lastRow="0" w:firstColumn="1" w:lastColumn="0" w:noHBand="0" w:noVBand="1"/>
      </w:tblPr>
      <w:tblGrid>
        <w:gridCol w:w="2268"/>
        <w:gridCol w:w="1474"/>
        <w:gridCol w:w="1475"/>
        <w:gridCol w:w="1475"/>
        <w:gridCol w:w="1475"/>
        <w:gridCol w:w="1471"/>
      </w:tblGrid>
      <w:tr w:rsidR="00811E64" w:rsidRPr="001F6657" w14:paraId="730D1033" w14:textId="77777777" w:rsidTr="0070437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748C420D" w14:textId="7867B7C3" w:rsidR="00811E64" w:rsidRPr="006C12BA" w:rsidRDefault="00811E64" w:rsidP="006C12BA"/>
        </w:tc>
        <w:tc>
          <w:tcPr>
            <w:tcW w:w="765" w:type="pct"/>
            <w:vAlign w:val="center"/>
            <w:hideMark/>
          </w:tcPr>
          <w:p w14:paraId="43CECFC7"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2023-24</w:t>
            </w:r>
          </w:p>
        </w:tc>
        <w:tc>
          <w:tcPr>
            <w:tcW w:w="765" w:type="pct"/>
            <w:vAlign w:val="center"/>
            <w:hideMark/>
          </w:tcPr>
          <w:p w14:paraId="7005E439"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65" w:type="pct"/>
            <w:vAlign w:val="center"/>
            <w:hideMark/>
          </w:tcPr>
          <w:p w14:paraId="2D11643B"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65" w:type="pct"/>
            <w:vAlign w:val="center"/>
            <w:hideMark/>
          </w:tcPr>
          <w:p w14:paraId="0F3EF94A"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65" w:type="pct"/>
            <w:vAlign w:val="center"/>
            <w:hideMark/>
          </w:tcPr>
          <w:p w14:paraId="7DEE34CA"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2027-28</w:t>
            </w:r>
          </w:p>
        </w:tc>
      </w:tr>
      <w:tr w:rsidR="00BB0059" w:rsidRPr="001F6657" w14:paraId="047955DE"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6F86E599" w14:textId="77777777" w:rsidR="00BB0059" w:rsidRPr="00184AF5" w:rsidRDefault="00BB0059" w:rsidP="00BB0059">
            <w:pPr>
              <w:rPr>
                <w:b w:val="0"/>
              </w:rPr>
            </w:pPr>
            <w:r w:rsidRPr="0009184B">
              <w:rPr>
                <w:b w:val="0"/>
              </w:rPr>
              <w:t>Opening RAB</w:t>
            </w:r>
          </w:p>
        </w:tc>
        <w:tc>
          <w:tcPr>
            <w:tcW w:w="765" w:type="pct"/>
            <w:vAlign w:val="center"/>
            <w:hideMark/>
          </w:tcPr>
          <w:p w14:paraId="25230BAE" w14:textId="3E01B611"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3,255.48</w:t>
            </w:r>
          </w:p>
        </w:tc>
        <w:tc>
          <w:tcPr>
            <w:tcW w:w="765" w:type="pct"/>
            <w:vAlign w:val="center"/>
            <w:hideMark/>
          </w:tcPr>
          <w:p w14:paraId="4C83D7AB" w14:textId="62B27853"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3,402.11</w:t>
            </w:r>
          </w:p>
        </w:tc>
        <w:tc>
          <w:tcPr>
            <w:tcW w:w="765" w:type="pct"/>
            <w:vAlign w:val="center"/>
            <w:hideMark/>
          </w:tcPr>
          <w:p w14:paraId="78F5A391" w14:textId="73BEF3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3,575.73</w:t>
            </w:r>
          </w:p>
        </w:tc>
        <w:tc>
          <w:tcPr>
            <w:tcW w:w="765" w:type="pct"/>
            <w:vAlign w:val="center"/>
            <w:hideMark/>
          </w:tcPr>
          <w:p w14:paraId="0290F9D3" w14:textId="7F88A111"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3,730.56</w:t>
            </w:r>
          </w:p>
        </w:tc>
        <w:tc>
          <w:tcPr>
            <w:tcW w:w="765" w:type="pct"/>
            <w:vAlign w:val="center"/>
            <w:hideMark/>
          </w:tcPr>
          <w:p w14:paraId="0ECCC8C8" w14:textId="3798101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3,897.09</w:t>
            </w:r>
          </w:p>
        </w:tc>
      </w:tr>
      <w:tr w:rsidR="00BB0059" w:rsidRPr="001F6657" w14:paraId="7EBB50CA"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44C7361" w14:textId="77777777" w:rsidR="00BB0059" w:rsidRPr="00184AF5" w:rsidRDefault="00BB0059" w:rsidP="00BB0059">
            <w:pPr>
              <w:rPr>
                <w:b w:val="0"/>
              </w:rPr>
            </w:pPr>
            <w:proofErr w:type="gramStart"/>
            <w:r w:rsidRPr="0009184B">
              <w:rPr>
                <w:b w:val="0"/>
              </w:rPr>
              <w:t>Plus</w:t>
            </w:r>
            <w:proofErr w:type="gramEnd"/>
            <w:r w:rsidRPr="0009184B">
              <w:rPr>
                <w:b w:val="0"/>
              </w:rPr>
              <w:t xml:space="preserve"> gross capital expenditure</w:t>
            </w:r>
          </w:p>
        </w:tc>
        <w:tc>
          <w:tcPr>
            <w:tcW w:w="765" w:type="pct"/>
            <w:vAlign w:val="center"/>
            <w:hideMark/>
          </w:tcPr>
          <w:p w14:paraId="13F34401" w14:textId="5FAF545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334.35</w:t>
            </w:r>
          </w:p>
        </w:tc>
        <w:tc>
          <w:tcPr>
            <w:tcW w:w="765" w:type="pct"/>
            <w:vAlign w:val="center"/>
            <w:hideMark/>
          </w:tcPr>
          <w:p w14:paraId="7684A630" w14:textId="6443A11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370.86</w:t>
            </w:r>
          </w:p>
        </w:tc>
        <w:tc>
          <w:tcPr>
            <w:tcW w:w="765" w:type="pct"/>
            <w:vAlign w:val="center"/>
            <w:hideMark/>
          </w:tcPr>
          <w:p w14:paraId="59E878BF" w14:textId="1186CEA3"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348.77</w:t>
            </w:r>
          </w:p>
        </w:tc>
        <w:tc>
          <w:tcPr>
            <w:tcW w:w="765" w:type="pct"/>
            <w:vAlign w:val="center"/>
            <w:hideMark/>
          </w:tcPr>
          <w:p w14:paraId="466D1439" w14:textId="7BB205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357.92</w:t>
            </w:r>
          </w:p>
        </w:tc>
        <w:tc>
          <w:tcPr>
            <w:tcW w:w="765" w:type="pct"/>
            <w:vAlign w:val="center"/>
            <w:hideMark/>
          </w:tcPr>
          <w:p w14:paraId="61ADAA91" w14:textId="77823CC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309.52</w:t>
            </w:r>
          </w:p>
        </w:tc>
      </w:tr>
      <w:tr w:rsidR="00BB0059" w:rsidRPr="001F6657" w14:paraId="66FB4438"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A7E69D8" w14:textId="77777777" w:rsidR="00BB0059" w:rsidRPr="00184AF5" w:rsidRDefault="00BB0059" w:rsidP="00BB0059">
            <w:pPr>
              <w:rPr>
                <w:b w:val="0"/>
              </w:rPr>
            </w:pPr>
            <w:r w:rsidRPr="0009184B">
              <w:rPr>
                <w:b w:val="0"/>
              </w:rPr>
              <w:t>Less government contributions</w:t>
            </w:r>
          </w:p>
        </w:tc>
        <w:tc>
          <w:tcPr>
            <w:tcW w:w="765" w:type="pct"/>
            <w:vAlign w:val="center"/>
            <w:hideMark/>
          </w:tcPr>
          <w:p w14:paraId="3EAF5BCF" w14:textId="5A619399"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-15.60</w:t>
            </w:r>
          </w:p>
        </w:tc>
        <w:tc>
          <w:tcPr>
            <w:tcW w:w="765" w:type="pct"/>
            <w:vAlign w:val="center"/>
            <w:hideMark/>
          </w:tcPr>
          <w:p w14:paraId="6861F3F5" w14:textId="6C684C8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-18.16</w:t>
            </w:r>
          </w:p>
        </w:tc>
        <w:tc>
          <w:tcPr>
            <w:tcW w:w="765" w:type="pct"/>
            <w:vAlign w:val="center"/>
            <w:hideMark/>
          </w:tcPr>
          <w:p w14:paraId="10D8DD17" w14:textId="784D42E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-0.16</w:t>
            </w:r>
          </w:p>
        </w:tc>
        <w:tc>
          <w:tcPr>
            <w:tcW w:w="765" w:type="pct"/>
            <w:vAlign w:val="center"/>
            <w:hideMark/>
          </w:tcPr>
          <w:p w14:paraId="6AA68216" w14:textId="470D03B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c>
          <w:tcPr>
            <w:tcW w:w="765" w:type="pct"/>
            <w:vAlign w:val="center"/>
            <w:hideMark/>
          </w:tcPr>
          <w:p w14:paraId="10D971D1" w14:textId="595475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r>
      <w:tr w:rsidR="00BB0059" w:rsidRPr="001F6657" w14:paraId="137544FD"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172F51E0" w14:textId="77777777" w:rsidR="00BB0059" w:rsidRPr="00184AF5" w:rsidRDefault="00BB0059" w:rsidP="00BB0059">
            <w:pPr>
              <w:rPr>
                <w:b w:val="0"/>
              </w:rPr>
            </w:pPr>
            <w:r w:rsidRPr="0009184B">
              <w:rPr>
                <w:b w:val="0"/>
              </w:rPr>
              <w:t>Less customer contributions</w:t>
            </w:r>
          </w:p>
        </w:tc>
        <w:tc>
          <w:tcPr>
            <w:tcW w:w="765" w:type="pct"/>
            <w:vAlign w:val="center"/>
            <w:hideMark/>
          </w:tcPr>
          <w:p w14:paraId="0D64B36E" w14:textId="1824BB14"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-75.53</w:t>
            </w:r>
          </w:p>
        </w:tc>
        <w:tc>
          <w:tcPr>
            <w:tcW w:w="765" w:type="pct"/>
            <w:vAlign w:val="center"/>
            <w:hideMark/>
          </w:tcPr>
          <w:p w14:paraId="6B4432A7" w14:textId="5429B945"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-76.11</w:t>
            </w:r>
          </w:p>
        </w:tc>
        <w:tc>
          <w:tcPr>
            <w:tcW w:w="765" w:type="pct"/>
            <w:vAlign w:val="center"/>
            <w:hideMark/>
          </w:tcPr>
          <w:p w14:paraId="32580EE4" w14:textId="5FB55F16"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-84.89</w:t>
            </w:r>
          </w:p>
        </w:tc>
        <w:tc>
          <w:tcPr>
            <w:tcW w:w="765" w:type="pct"/>
            <w:vAlign w:val="center"/>
            <w:hideMark/>
          </w:tcPr>
          <w:p w14:paraId="7740175E" w14:textId="4C0DB2B9"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-76.56</w:t>
            </w:r>
          </w:p>
        </w:tc>
        <w:tc>
          <w:tcPr>
            <w:tcW w:w="765" w:type="pct"/>
            <w:vAlign w:val="center"/>
            <w:hideMark/>
          </w:tcPr>
          <w:p w14:paraId="70CD697B" w14:textId="448E33FB"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-81.41</w:t>
            </w:r>
          </w:p>
        </w:tc>
      </w:tr>
      <w:tr w:rsidR="00BB0059" w:rsidRPr="001F6657" w14:paraId="108E0A23"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2D1C4FD6" w14:textId="77777777" w:rsidR="00BB0059" w:rsidRPr="00184AF5" w:rsidRDefault="00BB0059" w:rsidP="00BB0059">
            <w:pPr>
              <w:rPr>
                <w:b w:val="0"/>
              </w:rPr>
            </w:pPr>
            <w:r w:rsidRPr="0009184B">
              <w:rPr>
                <w:b w:val="0"/>
              </w:rPr>
              <w:t>Less proceeds from disposals</w:t>
            </w:r>
          </w:p>
        </w:tc>
        <w:tc>
          <w:tcPr>
            <w:tcW w:w="765" w:type="pct"/>
            <w:vAlign w:val="center"/>
            <w:hideMark/>
          </w:tcPr>
          <w:p w14:paraId="322F90B8" w14:textId="1E6CF6A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-0.81</w:t>
            </w:r>
          </w:p>
        </w:tc>
        <w:tc>
          <w:tcPr>
            <w:tcW w:w="765" w:type="pct"/>
            <w:vAlign w:val="center"/>
            <w:hideMark/>
          </w:tcPr>
          <w:p w14:paraId="65CFC3B9" w14:textId="55404A86"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-0.82</w:t>
            </w:r>
          </w:p>
        </w:tc>
        <w:tc>
          <w:tcPr>
            <w:tcW w:w="765" w:type="pct"/>
            <w:vAlign w:val="center"/>
            <w:hideMark/>
          </w:tcPr>
          <w:p w14:paraId="6E948B16" w14:textId="1E77E44D"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-0.81</w:t>
            </w:r>
          </w:p>
        </w:tc>
        <w:tc>
          <w:tcPr>
            <w:tcW w:w="765" w:type="pct"/>
            <w:vAlign w:val="center"/>
            <w:hideMark/>
          </w:tcPr>
          <w:p w14:paraId="53A8C6FF" w14:textId="787E2DD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-0.80</w:t>
            </w:r>
          </w:p>
        </w:tc>
        <w:tc>
          <w:tcPr>
            <w:tcW w:w="765" w:type="pct"/>
            <w:vAlign w:val="center"/>
            <w:hideMark/>
          </w:tcPr>
          <w:p w14:paraId="0CE71628" w14:textId="1BB1A97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-0.79</w:t>
            </w:r>
          </w:p>
        </w:tc>
      </w:tr>
      <w:tr w:rsidR="00BB0059" w:rsidRPr="001F6657" w14:paraId="51EDB288"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F03221C" w14:textId="77777777" w:rsidR="00BB0059" w:rsidRPr="00184AF5" w:rsidRDefault="00BB0059" w:rsidP="00BB0059">
            <w:pPr>
              <w:rPr>
                <w:b w:val="0"/>
              </w:rPr>
            </w:pPr>
            <w:r w:rsidRPr="0009184B">
              <w:rPr>
                <w:b w:val="0"/>
              </w:rPr>
              <w:t>Less regulatory depreciation</w:t>
            </w:r>
          </w:p>
        </w:tc>
        <w:tc>
          <w:tcPr>
            <w:tcW w:w="765" w:type="pct"/>
            <w:vAlign w:val="center"/>
            <w:hideMark/>
          </w:tcPr>
          <w:p w14:paraId="1640840F" w14:textId="09BDEBC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-95.79</w:t>
            </w:r>
          </w:p>
        </w:tc>
        <w:tc>
          <w:tcPr>
            <w:tcW w:w="765" w:type="pct"/>
            <w:vAlign w:val="center"/>
            <w:hideMark/>
          </w:tcPr>
          <w:p w14:paraId="4416FEE7" w14:textId="560C079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-102.15</w:t>
            </w:r>
          </w:p>
        </w:tc>
        <w:tc>
          <w:tcPr>
            <w:tcW w:w="765" w:type="pct"/>
            <w:vAlign w:val="center"/>
            <w:hideMark/>
          </w:tcPr>
          <w:p w14:paraId="413DBA63" w14:textId="268B1554"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-108.07</w:t>
            </w:r>
          </w:p>
        </w:tc>
        <w:tc>
          <w:tcPr>
            <w:tcW w:w="765" w:type="pct"/>
            <w:vAlign w:val="center"/>
            <w:hideMark/>
          </w:tcPr>
          <w:p w14:paraId="782432F7" w14:textId="40BDEE37"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-114.04</w:t>
            </w:r>
          </w:p>
        </w:tc>
        <w:tc>
          <w:tcPr>
            <w:tcW w:w="765" w:type="pct"/>
            <w:vAlign w:val="center"/>
            <w:hideMark/>
          </w:tcPr>
          <w:p w14:paraId="1FC4271E" w14:textId="30C55D9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-119.49</w:t>
            </w:r>
          </w:p>
        </w:tc>
      </w:tr>
      <w:tr w:rsidR="00BB0059" w:rsidRPr="001F6657" w14:paraId="439AB870"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A0F6C79" w14:textId="77777777" w:rsidR="00BB0059" w:rsidRPr="006C12BA" w:rsidRDefault="00BB0059" w:rsidP="00BB0059">
            <w:r w:rsidRPr="006C12BA">
              <w:t>Closing asset base</w:t>
            </w:r>
          </w:p>
        </w:tc>
        <w:tc>
          <w:tcPr>
            <w:tcW w:w="765" w:type="pct"/>
            <w:vAlign w:val="center"/>
            <w:hideMark/>
          </w:tcPr>
          <w:p w14:paraId="1CC156D2" w14:textId="30B186E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3,402.11</w:t>
            </w:r>
          </w:p>
        </w:tc>
        <w:tc>
          <w:tcPr>
            <w:tcW w:w="765" w:type="pct"/>
            <w:vAlign w:val="center"/>
            <w:hideMark/>
          </w:tcPr>
          <w:p w14:paraId="402C693E" w14:textId="77BFA1B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3,575.73</w:t>
            </w:r>
          </w:p>
        </w:tc>
        <w:tc>
          <w:tcPr>
            <w:tcW w:w="765" w:type="pct"/>
            <w:vAlign w:val="center"/>
            <w:hideMark/>
          </w:tcPr>
          <w:p w14:paraId="02CE36C9" w14:textId="6FAA778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3,730.56</w:t>
            </w:r>
          </w:p>
        </w:tc>
        <w:tc>
          <w:tcPr>
            <w:tcW w:w="765" w:type="pct"/>
            <w:vAlign w:val="center"/>
            <w:hideMark/>
          </w:tcPr>
          <w:p w14:paraId="3C186688" w14:textId="4D4E2452"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3,897.09</w:t>
            </w:r>
          </w:p>
        </w:tc>
        <w:tc>
          <w:tcPr>
            <w:tcW w:w="765" w:type="pct"/>
            <w:vAlign w:val="center"/>
            <w:hideMark/>
          </w:tcPr>
          <w:p w14:paraId="0F223B04" w14:textId="6E2A645D"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4,004.92</w:t>
            </w:r>
          </w:p>
        </w:tc>
      </w:tr>
    </w:tbl>
    <w:p w14:paraId="050FB268" w14:textId="7733DACC" w:rsidR="006E0164" w:rsidRDefault="006E0164" w:rsidP="00C2059E"/>
    <w:p w14:paraId="675B56D6" w14:textId="11ADA409" w:rsidR="00BD1708" w:rsidRDefault="0062163A" w:rsidP="005B4BB4">
      <w:r w:rsidRPr="0078186C">
        <w:rPr>
          <w:b/>
          <w:bCs/>
        </w:rPr>
        <w:fldChar w:fldCharType="begin"/>
      </w:r>
      <w:r w:rsidRPr="0078186C">
        <w:rPr>
          <w:b/>
          <w:bCs/>
        </w:rPr>
        <w:instrText xml:space="preserve"> REF _Ref145335090 \h </w:instrText>
      </w:r>
      <w:r w:rsidR="00072D69">
        <w:rPr>
          <w:b/>
          <w:bCs/>
        </w:rPr>
        <w:instrText xml:space="preserve"> \* MERGEFORMAT</w:instrText>
      </w:r>
      <w:r w:rsidR="00072D69" w:rsidRPr="007E2492">
        <w:rPr>
          <w:b/>
        </w:rPr>
        <w:instrText xml:space="preserve"> </w:instrText>
      </w:r>
      <w:r w:rsidRPr="0078186C">
        <w:rPr>
          <w:b/>
          <w:bCs/>
        </w:rPr>
      </w:r>
      <w:r w:rsidRPr="0078186C">
        <w:rPr>
          <w:b/>
          <w:bCs/>
        </w:rPr>
        <w:fldChar w:fldCharType="separate"/>
      </w:r>
      <w:r w:rsidR="003B42C6" w:rsidRPr="003B42C6">
        <w:rPr>
          <w:b/>
          <w:bCs/>
        </w:rPr>
        <w:t xml:space="preserve">Table </w:t>
      </w:r>
      <w:r w:rsidR="003B42C6" w:rsidRPr="003B42C6">
        <w:rPr>
          <w:b/>
          <w:bCs/>
          <w:noProof/>
        </w:rPr>
        <w:t>48</w:t>
      </w:r>
      <w:r w:rsidRPr="0078186C">
        <w:rPr>
          <w:b/>
          <w:bCs/>
        </w:rPr>
        <w:fldChar w:fldCharType="end"/>
      </w:r>
      <w:r>
        <w:t xml:space="preserve"> </w:t>
      </w:r>
      <w:r w:rsidR="00BD1708">
        <w:t>outlines our proposed opening and closing RAB forecast over the period 2028-29 to 2032-33.</w:t>
      </w:r>
    </w:p>
    <w:p w14:paraId="436FAF28" w14:textId="31254634" w:rsidR="00CC2124" w:rsidRDefault="00CC2124" w:rsidP="008305DD">
      <w:pPr>
        <w:pStyle w:val="Caption"/>
      </w:pPr>
      <w:bookmarkStart w:id="206" w:name="_Ref145335090"/>
      <w:r w:rsidRPr="0009184B">
        <w:rPr>
          <w:b/>
        </w:rPr>
        <w:t xml:space="preserve">Table </w:t>
      </w:r>
      <w:r w:rsidRPr="00103F34">
        <w:rPr>
          <w:b/>
        </w:rPr>
        <w:fldChar w:fldCharType="begin"/>
      </w:r>
      <w:r w:rsidRPr="00103F34">
        <w:rPr>
          <w:b/>
        </w:rPr>
        <w:instrText>SEQ Table \* ARABIC</w:instrText>
      </w:r>
      <w:r w:rsidRPr="00103F34">
        <w:rPr>
          <w:b/>
        </w:rPr>
        <w:fldChar w:fldCharType="separate"/>
      </w:r>
      <w:r w:rsidR="003B42C6">
        <w:rPr>
          <w:b/>
          <w:noProof/>
        </w:rPr>
        <w:t>48</w:t>
      </w:r>
      <w:r w:rsidRPr="00103F34">
        <w:rPr>
          <w:b/>
        </w:rPr>
        <w:fldChar w:fldCharType="end"/>
      </w:r>
      <w:bookmarkEnd w:id="206"/>
      <w:r>
        <w:t xml:space="preserve"> </w:t>
      </w:r>
      <w:r w:rsidRPr="00B405E7">
        <w:t>Forecast regulatory asset base, 2028-29 to 2032–33 ($million, 2023–24)</w:t>
      </w:r>
    </w:p>
    <w:tbl>
      <w:tblPr>
        <w:tblStyle w:val="GWWDefaulttable"/>
        <w:tblW w:w="5000" w:type="pct"/>
        <w:tblLayout w:type="fixed"/>
        <w:tblLook w:val="04A0" w:firstRow="1" w:lastRow="0" w:firstColumn="1" w:lastColumn="0" w:noHBand="0" w:noVBand="1"/>
      </w:tblPr>
      <w:tblGrid>
        <w:gridCol w:w="1983"/>
        <w:gridCol w:w="1531"/>
        <w:gridCol w:w="1531"/>
        <w:gridCol w:w="1531"/>
        <w:gridCol w:w="1531"/>
        <w:gridCol w:w="1531"/>
      </w:tblGrid>
      <w:tr w:rsidR="001844FE" w:rsidRPr="006C12BA" w14:paraId="5A468601" w14:textId="77777777" w:rsidTr="001F665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6E35B7CA" w14:textId="77777777" w:rsidR="001844FE" w:rsidRPr="006C12BA" w:rsidRDefault="001844FE" w:rsidP="006C12BA">
            <w:r w:rsidRPr="006C12BA">
              <w:t> </w:t>
            </w:r>
          </w:p>
        </w:tc>
        <w:tc>
          <w:tcPr>
            <w:tcW w:w="794" w:type="pct"/>
            <w:vAlign w:val="center"/>
            <w:hideMark/>
          </w:tcPr>
          <w:p w14:paraId="1DD8A4F0"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94" w:type="pct"/>
            <w:vAlign w:val="center"/>
            <w:hideMark/>
          </w:tcPr>
          <w:p w14:paraId="1B3C5C0A"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94" w:type="pct"/>
            <w:vAlign w:val="center"/>
            <w:hideMark/>
          </w:tcPr>
          <w:p w14:paraId="75A39EBB"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94" w:type="pct"/>
            <w:vAlign w:val="center"/>
            <w:hideMark/>
          </w:tcPr>
          <w:p w14:paraId="210D677E"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94" w:type="pct"/>
            <w:vAlign w:val="center"/>
            <w:hideMark/>
          </w:tcPr>
          <w:p w14:paraId="1A48147C"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034D24" w:rsidRPr="006C12BA" w14:paraId="3DC34A17"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5E8FAD9A" w14:textId="77777777" w:rsidR="00034D24" w:rsidRPr="00184AF5" w:rsidRDefault="00034D24" w:rsidP="00034D24">
            <w:pPr>
              <w:rPr>
                <w:b w:val="0"/>
                <w:bCs/>
              </w:rPr>
            </w:pPr>
            <w:r w:rsidRPr="0009184B">
              <w:rPr>
                <w:b w:val="0"/>
              </w:rPr>
              <w:t>Opening RAB</w:t>
            </w:r>
          </w:p>
        </w:tc>
        <w:tc>
          <w:tcPr>
            <w:tcW w:w="794" w:type="pct"/>
            <w:vAlign w:val="center"/>
          </w:tcPr>
          <w:p w14:paraId="4903D399" w14:textId="74FAF92C"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4,004.92</w:t>
            </w:r>
          </w:p>
        </w:tc>
        <w:tc>
          <w:tcPr>
            <w:tcW w:w="794" w:type="pct"/>
            <w:vAlign w:val="center"/>
          </w:tcPr>
          <w:p w14:paraId="32D96894" w14:textId="40F2DB39"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4,140.37</w:t>
            </w:r>
          </w:p>
        </w:tc>
        <w:tc>
          <w:tcPr>
            <w:tcW w:w="794" w:type="pct"/>
            <w:vAlign w:val="center"/>
          </w:tcPr>
          <w:p w14:paraId="598DC0FE" w14:textId="4DD436C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4,319.82</w:t>
            </w:r>
          </w:p>
        </w:tc>
        <w:tc>
          <w:tcPr>
            <w:tcW w:w="794" w:type="pct"/>
            <w:vAlign w:val="center"/>
          </w:tcPr>
          <w:p w14:paraId="2E31B833" w14:textId="4D77884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4,487.63</w:t>
            </w:r>
          </w:p>
        </w:tc>
        <w:tc>
          <w:tcPr>
            <w:tcW w:w="794" w:type="pct"/>
            <w:vAlign w:val="center"/>
          </w:tcPr>
          <w:p w14:paraId="447453E5" w14:textId="67D3B4F3"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4,651.54</w:t>
            </w:r>
          </w:p>
        </w:tc>
      </w:tr>
      <w:tr w:rsidR="00034D24" w:rsidRPr="006C12BA" w14:paraId="68C8C636"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07FE1C4A" w14:textId="77777777" w:rsidR="00034D24" w:rsidRPr="00184AF5" w:rsidRDefault="00034D24" w:rsidP="00034D24">
            <w:pPr>
              <w:rPr>
                <w:b w:val="0"/>
                <w:bCs/>
              </w:rPr>
            </w:pPr>
            <w:proofErr w:type="gramStart"/>
            <w:r w:rsidRPr="0009184B">
              <w:rPr>
                <w:b w:val="0"/>
              </w:rPr>
              <w:t>Plus</w:t>
            </w:r>
            <w:proofErr w:type="gramEnd"/>
            <w:r w:rsidRPr="0009184B">
              <w:rPr>
                <w:b w:val="0"/>
              </w:rPr>
              <w:t xml:space="preserve"> gross capital expenditure</w:t>
            </w:r>
          </w:p>
        </w:tc>
        <w:tc>
          <w:tcPr>
            <w:tcW w:w="794" w:type="pct"/>
            <w:vAlign w:val="center"/>
          </w:tcPr>
          <w:p w14:paraId="3A9004BF" w14:textId="6EB758AE"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340.10</w:t>
            </w:r>
          </w:p>
        </w:tc>
        <w:tc>
          <w:tcPr>
            <w:tcW w:w="794" w:type="pct"/>
            <w:vAlign w:val="center"/>
          </w:tcPr>
          <w:p w14:paraId="4212E043" w14:textId="3699B86E"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389.16</w:t>
            </w:r>
          </w:p>
        </w:tc>
        <w:tc>
          <w:tcPr>
            <w:tcW w:w="794" w:type="pct"/>
            <w:vAlign w:val="center"/>
          </w:tcPr>
          <w:p w14:paraId="6932521D" w14:textId="6FEA2673"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380.80</w:t>
            </w:r>
          </w:p>
        </w:tc>
        <w:tc>
          <w:tcPr>
            <w:tcW w:w="794" w:type="pct"/>
            <w:vAlign w:val="center"/>
          </w:tcPr>
          <w:p w14:paraId="4A851254" w14:textId="04E4C141"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385.79</w:t>
            </w:r>
          </w:p>
        </w:tc>
        <w:tc>
          <w:tcPr>
            <w:tcW w:w="794" w:type="pct"/>
            <w:vAlign w:val="center"/>
          </w:tcPr>
          <w:p w14:paraId="6E1CFAA7" w14:textId="7E528E5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337.06</w:t>
            </w:r>
          </w:p>
        </w:tc>
      </w:tr>
      <w:tr w:rsidR="00034D24" w:rsidRPr="006C12BA" w14:paraId="1502DCE6"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7968F508" w14:textId="77777777" w:rsidR="00034D24" w:rsidRPr="00184AF5" w:rsidRDefault="00034D24" w:rsidP="00034D24">
            <w:pPr>
              <w:rPr>
                <w:b w:val="0"/>
                <w:bCs/>
              </w:rPr>
            </w:pPr>
            <w:r w:rsidRPr="0009184B">
              <w:rPr>
                <w:b w:val="0"/>
              </w:rPr>
              <w:lastRenderedPageBreak/>
              <w:t>Less government contributions</w:t>
            </w:r>
          </w:p>
        </w:tc>
        <w:tc>
          <w:tcPr>
            <w:tcW w:w="794" w:type="pct"/>
            <w:vAlign w:val="center"/>
          </w:tcPr>
          <w:p w14:paraId="4A8D37EE" w14:textId="5287CA37"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26A78166" w14:textId="56415BFC"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031BFB07" w14:textId="6145E15D"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6379EE45" w14:textId="46AFF74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57B6A5C8" w14:textId="124382DE"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r>
      <w:tr w:rsidR="00034D24" w:rsidRPr="006C12BA" w14:paraId="69C064C1"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29E124F8" w14:textId="77777777" w:rsidR="00034D24" w:rsidRPr="00184AF5" w:rsidRDefault="00034D24" w:rsidP="00034D24">
            <w:pPr>
              <w:rPr>
                <w:b w:val="0"/>
                <w:bCs/>
              </w:rPr>
            </w:pPr>
            <w:r w:rsidRPr="0009184B">
              <w:rPr>
                <w:b w:val="0"/>
              </w:rPr>
              <w:t>Less customer contributions</w:t>
            </w:r>
          </w:p>
        </w:tc>
        <w:tc>
          <w:tcPr>
            <w:tcW w:w="794" w:type="pct"/>
            <w:vAlign w:val="center"/>
          </w:tcPr>
          <w:p w14:paraId="3D540786" w14:textId="7A44DF25"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-82.66</w:t>
            </w:r>
          </w:p>
        </w:tc>
        <w:tc>
          <w:tcPr>
            <w:tcW w:w="794" w:type="pct"/>
            <w:vAlign w:val="center"/>
          </w:tcPr>
          <w:p w14:paraId="5BB179D1" w14:textId="6C7EF2FF"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-85.22</w:t>
            </w:r>
          </w:p>
        </w:tc>
        <w:tc>
          <w:tcPr>
            <w:tcW w:w="794" w:type="pct"/>
            <w:vAlign w:val="center"/>
          </w:tcPr>
          <w:p w14:paraId="429B3479" w14:textId="0C4453E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-84.19</w:t>
            </w:r>
          </w:p>
        </w:tc>
        <w:tc>
          <w:tcPr>
            <w:tcW w:w="794" w:type="pct"/>
            <w:vAlign w:val="center"/>
          </w:tcPr>
          <w:p w14:paraId="5738CEDC" w14:textId="6DD48BF7"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-88.05</w:t>
            </w:r>
          </w:p>
        </w:tc>
        <w:tc>
          <w:tcPr>
            <w:tcW w:w="794" w:type="pct"/>
            <w:vAlign w:val="center"/>
          </w:tcPr>
          <w:p w14:paraId="3964C402" w14:textId="42B2CEFD"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-89.50</w:t>
            </w:r>
          </w:p>
        </w:tc>
      </w:tr>
      <w:tr w:rsidR="00034D24" w:rsidRPr="006C12BA" w14:paraId="447E37D8"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14E62CC3" w14:textId="77777777" w:rsidR="00034D24" w:rsidRPr="00184AF5" w:rsidRDefault="00034D24" w:rsidP="00034D24">
            <w:pPr>
              <w:rPr>
                <w:b w:val="0"/>
                <w:bCs/>
              </w:rPr>
            </w:pPr>
            <w:r w:rsidRPr="0009184B">
              <w:rPr>
                <w:b w:val="0"/>
              </w:rPr>
              <w:t>Less proceeds from disposals</w:t>
            </w:r>
          </w:p>
        </w:tc>
        <w:tc>
          <w:tcPr>
            <w:tcW w:w="794" w:type="pct"/>
            <w:vAlign w:val="center"/>
          </w:tcPr>
          <w:p w14:paraId="5D4FF6DA" w14:textId="1A08B546"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-0.78</w:t>
            </w:r>
          </w:p>
        </w:tc>
        <w:tc>
          <w:tcPr>
            <w:tcW w:w="794" w:type="pct"/>
            <w:vAlign w:val="center"/>
          </w:tcPr>
          <w:p w14:paraId="5FBDE402" w14:textId="519150A5"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-0.77</w:t>
            </w:r>
          </w:p>
        </w:tc>
        <w:tc>
          <w:tcPr>
            <w:tcW w:w="794" w:type="pct"/>
            <w:vAlign w:val="center"/>
          </w:tcPr>
          <w:p w14:paraId="12E10043" w14:textId="0FF31403"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-0.76</w:t>
            </w:r>
          </w:p>
        </w:tc>
        <w:tc>
          <w:tcPr>
            <w:tcW w:w="794" w:type="pct"/>
            <w:vAlign w:val="center"/>
          </w:tcPr>
          <w:p w14:paraId="5CD3D484" w14:textId="49BBF36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-0.75</w:t>
            </w:r>
          </w:p>
        </w:tc>
        <w:tc>
          <w:tcPr>
            <w:tcW w:w="794" w:type="pct"/>
            <w:vAlign w:val="center"/>
          </w:tcPr>
          <w:p w14:paraId="458CC569" w14:textId="0AF54066"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-0.74</w:t>
            </w:r>
          </w:p>
        </w:tc>
      </w:tr>
      <w:tr w:rsidR="00034D24" w:rsidRPr="006C12BA" w14:paraId="39181FC7"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3931261F" w14:textId="77777777" w:rsidR="00034D24" w:rsidRPr="00184AF5" w:rsidRDefault="00034D24" w:rsidP="00034D24">
            <w:pPr>
              <w:rPr>
                <w:b w:val="0"/>
                <w:bCs/>
              </w:rPr>
            </w:pPr>
            <w:r w:rsidRPr="0009184B">
              <w:rPr>
                <w:b w:val="0"/>
              </w:rPr>
              <w:t>Less regulatory depreciation</w:t>
            </w:r>
          </w:p>
        </w:tc>
        <w:tc>
          <w:tcPr>
            <w:tcW w:w="794" w:type="pct"/>
            <w:vAlign w:val="center"/>
          </w:tcPr>
          <w:p w14:paraId="2D904622" w14:textId="071E3819"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-121.22</w:t>
            </w:r>
          </w:p>
        </w:tc>
        <w:tc>
          <w:tcPr>
            <w:tcW w:w="794" w:type="pct"/>
            <w:vAlign w:val="center"/>
          </w:tcPr>
          <w:p w14:paraId="12DF5C26" w14:textId="102D9536"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-123.72</w:t>
            </w:r>
          </w:p>
        </w:tc>
        <w:tc>
          <w:tcPr>
            <w:tcW w:w="794" w:type="pct"/>
            <w:vAlign w:val="center"/>
          </w:tcPr>
          <w:p w14:paraId="1DDED075" w14:textId="0BADFBDD"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-128.05</w:t>
            </w:r>
          </w:p>
        </w:tc>
        <w:tc>
          <w:tcPr>
            <w:tcW w:w="794" w:type="pct"/>
            <w:vAlign w:val="center"/>
          </w:tcPr>
          <w:p w14:paraId="07EFEA41" w14:textId="29B59669"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w:t>
            </w:r>
            <w:r w:rsidR="00C27626" w:rsidRPr="007E0F00">
              <w:t>133</w:t>
            </w:r>
            <w:r w:rsidRPr="007E0F00">
              <w:t>.07</w:t>
            </w:r>
          </w:p>
        </w:tc>
        <w:tc>
          <w:tcPr>
            <w:tcW w:w="794" w:type="pct"/>
            <w:vAlign w:val="center"/>
          </w:tcPr>
          <w:p w14:paraId="19FA799C" w14:textId="6B45C4C0"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-138.24</w:t>
            </w:r>
          </w:p>
        </w:tc>
      </w:tr>
      <w:tr w:rsidR="00034D24" w:rsidRPr="006C12BA" w14:paraId="0C676875"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6D87E16B" w14:textId="77777777" w:rsidR="00034D24" w:rsidRPr="006C12BA" w:rsidRDefault="00034D24" w:rsidP="00034D24">
            <w:r w:rsidRPr="006C12BA">
              <w:t>Closing asset base</w:t>
            </w:r>
          </w:p>
        </w:tc>
        <w:tc>
          <w:tcPr>
            <w:tcW w:w="794" w:type="pct"/>
            <w:vAlign w:val="center"/>
          </w:tcPr>
          <w:p w14:paraId="10DFB4B1" w14:textId="2489D237"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4,140.37</w:t>
            </w:r>
          </w:p>
        </w:tc>
        <w:tc>
          <w:tcPr>
            <w:tcW w:w="794" w:type="pct"/>
            <w:vAlign w:val="center"/>
          </w:tcPr>
          <w:p w14:paraId="7123B6A6" w14:textId="30C78F3D"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4,319.82</w:t>
            </w:r>
          </w:p>
        </w:tc>
        <w:tc>
          <w:tcPr>
            <w:tcW w:w="794" w:type="pct"/>
            <w:vAlign w:val="center"/>
          </w:tcPr>
          <w:p w14:paraId="02230208" w14:textId="073727BA"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4,487.63</w:t>
            </w:r>
          </w:p>
        </w:tc>
        <w:tc>
          <w:tcPr>
            <w:tcW w:w="794" w:type="pct"/>
            <w:vAlign w:val="center"/>
          </w:tcPr>
          <w:p w14:paraId="1411ACF9" w14:textId="7CA20267"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4,651.54</w:t>
            </w:r>
          </w:p>
        </w:tc>
        <w:tc>
          <w:tcPr>
            <w:tcW w:w="794" w:type="pct"/>
            <w:vAlign w:val="center"/>
          </w:tcPr>
          <w:p w14:paraId="05258B8E" w14:textId="21F6C6A2"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4,760.11</w:t>
            </w:r>
          </w:p>
        </w:tc>
      </w:tr>
    </w:tbl>
    <w:p w14:paraId="52E23E02" w14:textId="78CFCA5D" w:rsidR="00907F4F" w:rsidRDefault="00907F4F" w:rsidP="00C2059E"/>
    <w:p w14:paraId="0239D8D5" w14:textId="59CB1FAC" w:rsidR="00350401" w:rsidRPr="003523AD" w:rsidRDefault="00350401">
      <w:pPr>
        <w:pStyle w:val="ListBullet"/>
        <w:numPr>
          <w:ilvl w:val="0"/>
          <w:numId w:val="16"/>
        </w:numPr>
      </w:pPr>
      <w:r w:rsidRPr="0015542D">
        <w:rPr>
          <w:b/>
        </w:rPr>
        <w:t>Gross capital expenditure</w:t>
      </w:r>
      <w:r>
        <w:t xml:space="preserve"> - we forecast </w:t>
      </w:r>
      <w:r w:rsidRPr="00034D24">
        <w:t xml:space="preserve">expenditure on capital works of </w:t>
      </w:r>
      <w:r w:rsidRPr="00184AF5">
        <w:t>$1.7</w:t>
      </w:r>
      <w:r w:rsidRPr="00034D24">
        <w:t xml:space="preserve"> billion over the period 2023-24 to 2027-28 and </w:t>
      </w:r>
      <w:r w:rsidR="00AA61F9" w:rsidRPr="00034D24">
        <w:t xml:space="preserve">a </w:t>
      </w:r>
      <w:r w:rsidRPr="00034D24">
        <w:t xml:space="preserve">further </w:t>
      </w:r>
      <w:r w:rsidRPr="00184AF5">
        <w:t>$1.</w:t>
      </w:r>
      <w:r w:rsidR="00065939">
        <w:t>8</w:t>
      </w:r>
      <w:r w:rsidR="00065939" w:rsidRPr="00034D24">
        <w:t xml:space="preserve"> </w:t>
      </w:r>
      <w:r w:rsidRPr="00034D24">
        <w:t>billion</w:t>
      </w:r>
      <w:r w:rsidRPr="003523AD">
        <w:t xml:space="preserve"> over the period 2028-29 to 2032-33. This increases the value of the RAB by the end of 2032-33. </w:t>
      </w:r>
      <w:r w:rsidR="00AA61F9" w:rsidRPr="003523AD">
        <w:t>Our</w:t>
      </w:r>
      <w:r w:rsidRPr="003523AD">
        <w:t xml:space="preserve"> approach to forecasting gross capital expenditure is </w:t>
      </w:r>
      <w:r w:rsidR="006A3D48">
        <w:t xml:space="preserve">outlined in </w:t>
      </w:r>
      <w:r w:rsidR="003548B3">
        <w:t>S</w:t>
      </w:r>
      <w:r w:rsidR="006A3D48">
        <w:t>ection</w:t>
      </w:r>
      <w:r w:rsidR="003C58E4">
        <w:t xml:space="preserve"> 4.1</w:t>
      </w:r>
      <w:r w:rsidR="00B95E8B">
        <w:fldChar w:fldCharType="begin"/>
      </w:r>
      <w:r w:rsidR="00B95E8B">
        <w:instrText xml:space="preserve"> REF _Ref146620927 \r \h </w:instrText>
      </w:r>
      <w:r w:rsidR="0069425C">
        <w:fldChar w:fldCharType="separate"/>
      </w:r>
      <w:r w:rsidR="00B95E8B">
        <w:fldChar w:fldCharType="end"/>
      </w:r>
      <w:r w:rsidR="006A3D48">
        <w:t>.</w:t>
      </w:r>
    </w:p>
    <w:p w14:paraId="00401450" w14:textId="61E8171B" w:rsidR="00350401" w:rsidRDefault="00350401">
      <w:pPr>
        <w:pStyle w:val="ListBullet"/>
        <w:numPr>
          <w:ilvl w:val="0"/>
          <w:numId w:val="16"/>
        </w:numPr>
      </w:pPr>
      <w:r w:rsidRPr="0015542D">
        <w:rPr>
          <w:b/>
        </w:rPr>
        <w:t>Government contribution</w:t>
      </w:r>
      <w:r>
        <w:t xml:space="preserve"> – this mainly includes the Western Irrigation Network (WIN), which is a $116 million project jointly funded by the Australian Government, GWW and the private agribusinesses </w:t>
      </w:r>
      <w:r w:rsidR="00AA61F9">
        <w:t xml:space="preserve">that </w:t>
      </w:r>
      <w:r>
        <w:t xml:space="preserve">will become the network’s foundation customers. </w:t>
      </w:r>
      <w:r w:rsidR="00AA61F9">
        <w:t>WIN</w:t>
      </w:r>
      <w:r>
        <w:t xml:space="preserve"> will connect dryland farmers in the Parwan-Balliang area, near Bacchus Marsh, with a guaranteed supply of Class C recycled water suitable for irrigation farming from 2023.</w:t>
      </w:r>
    </w:p>
    <w:p w14:paraId="3557E5A1" w14:textId="24F37443" w:rsidR="00350401" w:rsidRDefault="00350401" w:rsidP="00663905">
      <w:pPr>
        <w:pStyle w:val="ListContinue"/>
      </w:pPr>
      <w:r>
        <w:t xml:space="preserve">GWW received a $2 million grant for the </w:t>
      </w:r>
      <w:r w:rsidRPr="006D3F0E">
        <w:t>Werribee Open Range Zoo (WORZ) Recycled Water Pipeline</w:t>
      </w:r>
      <w:r>
        <w:t xml:space="preserve"> project. </w:t>
      </w:r>
      <w:r w:rsidRPr="000760D0">
        <w:t xml:space="preserve">This grant has been fully paid by DEECA </w:t>
      </w:r>
      <w:r w:rsidR="00AA61F9">
        <w:t>and</w:t>
      </w:r>
      <w:r>
        <w:t xml:space="preserve"> </w:t>
      </w:r>
      <w:r w:rsidRPr="000760D0">
        <w:t xml:space="preserve">is sitting on </w:t>
      </w:r>
      <w:r>
        <w:t>GWW’s</w:t>
      </w:r>
      <w:r w:rsidRPr="000760D0">
        <w:t xml:space="preserve"> balance sheet until the project is completed in </w:t>
      </w:r>
      <w:r w:rsidR="0009073E">
        <w:t>January 2024</w:t>
      </w:r>
      <w:r w:rsidRPr="000760D0">
        <w:t>.</w:t>
      </w:r>
    </w:p>
    <w:p w14:paraId="0811348B" w14:textId="1617AE45" w:rsidR="00350401" w:rsidRDefault="00350401">
      <w:pPr>
        <w:pStyle w:val="ListBullet"/>
        <w:numPr>
          <w:ilvl w:val="0"/>
          <w:numId w:val="17"/>
        </w:numPr>
      </w:pPr>
      <w:r w:rsidRPr="0063318D">
        <w:rPr>
          <w:b/>
          <w:bCs/>
        </w:rPr>
        <w:t>Customer contribution</w:t>
      </w:r>
      <w:r>
        <w:t xml:space="preserve"> – </w:t>
      </w:r>
      <w:r w:rsidRPr="00AE73A6">
        <w:t>forecast</w:t>
      </w:r>
      <w:r w:rsidR="00AA61F9">
        <w:t>s</w:t>
      </w:r>
      <w:r>
        <w:t xml:space="preserve"> for new customer contributions</w:t>
      </w:r>
      <w:r w:rsidRPr="00AE73A6">
        <w:t xml:space="preserve"> </w:t>
      </w:r>
      <w:r w:rsidRPr="003523AD">
        <w:t xml:space="preserve">are based on growth in customer numbers and the prices proposed in this submission </w:t>
      </w:r>
      <w:r w:rsidR="000049B3">
        <w:t xml:space="preserve">outlined in </w:t>
      </w:r>
      <w:r w:rsidR="00085FB5">
        <w:t>S</w:t>
      </w:r>
      <w:r w:rsidR="000049B3">
        <w:t>ection</w:t>
      </w:r>
      <w:r w:rsidR="006B11C0">
        <w:t xml:space="preserve"> 6.3</w:t>
      </w:r>
      <w:r w:rsidR="00BB77E0">
        <w:t xml:space="preserve"> </w:t>
      </w:r>
      <w:r w:rsidR="00BB77E0">
        <w:fldChar w:fldCharType="begin"/>
      </w:r>
      <w:r w:rsidR="00BB77E0">
        <w:instrText xml:space="preserve"> REF _Ref145919928 \r \h </w:instrText>
      </w:r>
      <w:r w:rsidR="0069425C">
        <w:fldChar w:fldCharType="separate"/>
      </w:r>
      <w:r w:rsidR="00BB77E0">
        <w:fldChar w:fldCharType="end"/>
      </w:r>
      <w:r w:rsidRPr="00AE73A6">
        <w:t>.</w:t>
      </w:r>
    </w:p>
    <w:p w14:paraId="171960A9" w14:textId="77777777" w:rsidR="00350401" w:rsidRDefault="00350401">
      <w:pPr>
        <w:pStyle w:val="ListBullet"/>
        <w:numPr>
          <w:ilvl w:val="0"/>
          <w:numId w:val="17"/>
        </w:numPr>
      </w:pPr>
      <w:r w:rsidRPr="00223ACF">
        <w:rPr>
          <w:b/>
        </w:rPr>
        <w:t>Proceeds from disposals</w:t>
      </w:r>
      <w:r>
        <w:t xml:space="preserve"> – forecast estimates for proceeds from disposals have been derived from the acquisition and disposal activities associated with managing the corporate motor vehicle, heavy vehicle, </w:t>
      </w:r>
      <w:proofErr w:type="gramStart"/>
      <w:r>
        <w:t>plant</w:t>
      </w:r>
      <w:proofErr w:type="gramEnd"/>
      <w:r>
        <w:t xml:space="preserve"> and equipment fleet over the regulatory period.</w:t>
      </w:r>
    </w:p>
    <w:p w14:paraId="439DF4A8" w14:textId="2C000B9C" w:rsidR="00350401" w:rsidRDefault="00350401">
      <w:pPr>
        <w:pStyle w:val="ListBullet"/>
        <w:numPr>
          <w:ilvl w:val="0"/>
          <w:numId w:val="17"/>
        </w:numPr>
      </w:pPr>
      <w:r>
        <w:rPr>
          <w:b/>
          <w:bCs/>
        </w:rPr>
        <w:t xml:space="preserve">Regulatory depreciation </w:t>
      </w:r>
      <w:r>
        <w:t xml:space="preserve">– GWW </w:t>
      </w:r>
      <w:r w:rsidRPr="00E75711">
        <w:t xml:space="preserve">continues to calculate regulatory depreciation as per the approach </w:t>
      </w:r>
      <w:r>
        <w:t>(straight-line)</w:t>
      </w:r>
      <w:r w:rsidRPr="00E75711">
        <w:t xml:space="preserve"> used in the current regulatory period</w:t>
      </w:r>
      <w:r>
        <w:t xml:space="preserve">, which is in line with the </w:t>
      </w:r>
      <w:r w:rsidR="004C63C4">
        <w:t xml:space="preserve">ESC’s </w:t>
      </w:r>
      <w:r>
        <w:t>guidance paper. E</w:t>
      </w:r>
      <w:r w:rsidRPr="00831328">
        <w:t xml:space="preserve">xisting assets are depreciated </w:t>
      </w:r>
      <w:proofErr w:type="gramStart"/>
      <w:r w:rsidRPr="00831328">
        <w:t>on the basis of</w:t>
      </w:r>
      <w:proofErr w:type="gramEnd"/>
      <w:r w:rsidRPr="00831328">
        <w:t xml:space="preserve"> an average asset life</w:t>
      </w:r>
      <w:r>
        <w:t xml:space="preserve"> and </w:t>
      </w:r>
      <w:r w:rsidRPr="00613806">
        <w:t>new assets are depreciated using a straight-line approach, based on the estimated asset lives and asset utilisation for the individual asset types.</w:t>
      </w:r>
    </w:p>
    <w:p w14:paraId="34DFC370" w14:textId="642C3CEA" w:rsidR="006F61A6" w:rsidRDefault="006F61A6" w:rsidP="00E01D4E">
      <w:r w:rsidRPr="006F61A6">
        <w:t xml:space="preserve">Our existing RAB has an opening value in 2023-24 of $3,255.5 million with an average remaining asset life (book-value weighted) of 54.3 years. </w:t>
      </w:r>
      <w:r w:rsidR="002B5415" w:rsidRPr="0078186C">
        <w:rPr>
          <w:b/>
        </w:rPr>
        <w:fldChar w:fldCharType="begin"/>
      </w:r>
      <w:r w:rsidR="002B5415" w:rsidRPr="0078186C">
        <w:rPr>
          <w:b/>
        </w:rPr>
        <w:instrText xml:space="preserve"> REF _Ref145977080 \h </w:instrText>
      </w:r>
      <w:r w:rsidR="007621D9" w:rsidRPr="0078186C">
        <w:rPr>
          <w:b/>
        </w:rPr>
        <w:instrText xml:space="preserve"> \* MERGEFORMAT </w:instrText>
      </w:r>
      <w:r w:rsidR="002B5415" w:rsidRPr="0078186C">
        <w:rPr>
          <w:b/>
        </w:rPr>
      </w:r>
      <w:r w:rsidR="002B5415" w:rsidRPr="0078186C">
        <w:rPr>
          <w:b/>
        </w:rPr>
        <w:fldChar w:fldCharType="separate"/>
      </w:r>
      <w:r w:rsidR="003B42C6" w:rsidRPr="005922D2">
        <w:rPr>
          <w:b/>
        </w:rPr>
        <w:t xml:space="preserve">Table </w:t>
      </w:r>
      <w:r w:rsidR="003B42C6">
        <w:rPr>
          <w:b/>
        </w:rPr>
        <w:t>49</w:t>
      </w:r>
      <w:r w:rsidR="002B5415" w:rsidRPr="0078186C">
        <w:rPr>
          <w:b/>
        </w:rPr>
        <w:fldChar w:fldCharType="end"/>
      </w:r>
      <w:r w:rsidRPr="007621D9">
        <w:t xml:space="preserve"> s</w:t>
      </w:r>
      <w:r w:rsidRPr="006F61A6">
        <w:t xml:space="preserve">hows the </w:t>
      </w:r>
      <w:r w:rsidRPr="006F61A6">
        <w:lastRenderedPageBreak/>
        <w:t>breakdown of the average asset lives by asset class. The rate of depreciation for new assets is consistent with rates in our financial accounts and the useful life of the assets. The gross capex weighted average useful lives of new assets is 74.1 years over the period 2023-24 to 2027-28.</w:t>
      </w:r>
    </w:p>
    <w:p w14:paraId="154DD63F" w14:textId="6338DEC1" w:rsidR="006F61A6" w:rsidRDefault="006F61A6" w:rsidP="00B86BD8">
      <w:pPr>
        <w:pStyle w:val="Caption"/>
      </w:pPr>
      <w:bookmarkStart w:id="207" w:name="_Ref145977080"/>
      <w:r w:rsidRPr="005922D2">
        <w:rPr>
          <w:b/>
        </w:rPr>
        <w:t xml:space="preserve">Table </w:t>
      </w:r>
      <w:r w:rsidRPr="005922D2">
        <w:rPr>
          <w:b/>
        </w:rPr>
        <w:fldChar w:fldCharType="begin"/>
      </w:r>
      <w:r w:rsidRPr="005922D2">
        <w:rPr>
          <w:b/>
        </w:rPr>
        <w:instrText>SEQ Table \* ARABIC</w:instrText>
      </w:r>
      <w:r w:rsidRPr="005922D2">
        <w:rPr>
          <w:b/>
        </w:rPr>
        <w:fldChar w:fldCharType="separate"/>
      </w:r>
      <w:r w:rsidR="003B42C6">
        <w:rPr>
          <w:b/>
          <w:noProof/>
        </w:rPr>
        <w:t>49</w:t>
      </w:r>
      <w:r w:rsidRPr="005922D2">
        <w:rPr>
          <w:b/>
        </w:rPr>
        <w:fldChar w:fldCharType="end"/>
      </w:r>
      <w:bookmarkEnd w:id="207"/>
      <w:r>
        <w:t xml:space="preserve"> </w:t>
      </w:r>
      <w:r w:rsidR="00AF5931" w:rsidRPr="00AF5931">
        <w:t xml:space="preserve">Regulatory average asset lives by asset </w:t>
      </w:r>
      <w:proofErr w:type="gramStart"/>
      <w:r w:rsidR="00AF5931" w:rsidRPr="00AF5931">
        <w:t>class</w:t>
      </w:r>
      <w:proofErr w:type="gramEnd"/>
    </w:p>
    <w:tbl>
      <w:tblPr>
        <w:tblStyle w:val="GWWDefaulttable"/>
        <w:tblW w:w="5000" w:type="pct"/>
        <w:tblLook w:val="04A0" w:firstRow="1" w:lastRow="0" w:firstColumn="1" w:lastColumn="0" w:noHBand="0" w:noVBand="1"/>
      </w:tblPr>
      <w:tblGrid>
        <w:gridCol w:w="3599"/>
        <w:gridCol w:w="3146"/>
        <w:gridCol w:w="2893"/>
      </w:tblGrid>
      <w:tr w:rsidR="00991986" w:rsidRPr="00991986" w14:paraId="0E112649" w14:textId="77777777" w:rsidTr="005922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7" w:type="pct"/>
          </w:tcPr>
          <w:p w14:paraId="73DC5B75" w14:textId="77777777" w:rsidR="00991986" w:rsidRPr="00991986" w:rsidRDefault="00991986" w:rsidP="00991986">
            <w:r w:rsidRPr="00991986">
              <w:t>Asset class</w:t>
            </w:r>
          </w:p>
        </w:tc>
        <w:tc>
          <w:tcPr>
            <w:tcW w:w="1632" w:type="pct"/>
          </w:tcPr>
          <w:p w14:paraId="67AD7F6D" w14:textId="77777777" w:rsidR="00991986" w:rsidRPr="00991986" w:rsidRDefault="00991986" w:rsidP="00C16FCF">
            <w:pPr>
              <w:jc w:val="center"/>
              <w:cnfStyle w:val="100000000000" w:firstRow="1" w:lastRow="0" w:firstColumn="0" w:lastColumn="0" w:oddVBand="0" w:evenVBand="0" w:oddHBand="0" w:evenHBand="0" w:firstRowFirstColumn="0" w:firstRowLastColumn="0" w:lastRowFirstColumn="0" w:lastRowLastColumn="0"/>
            </w:pPr>
            <w:r w:rsidRPr="00991986">
              <w:t>Average asset life (A)</w:t>
            </w:r>
          </w:p>
        </w:tc>
        <w:tc>
          <w:tcPr>
            <w:tcW w:w="1501" w:type="pct"/>
          </w:tcPr>
          <w:p w14:paraId="05FE7668" w14:textId="77777777" w:rsidR="00991986" w:rsidRPr="00991986" w:rsidRDefault="00991986" w:rsidP="00C16FCF">
            <w:pPr>
              <w:jc w:val="center"/>
              <w:cnfStyle w:val="100000000000" w:firstRow="1" w:lastRow="0" w:firstColumn="0" w:lastColumn="0" w:oddVBand="0" w:evenVBand="0" w:oddHBand="0" w:evenHBand="0" w:firstRowFirstColumn="0" w:firstRowLastColumn="0" w:lastRowFirstColumn="0" w:lastRowLastColumn="0"/>
            </w:pPr>
            <w:r w:rsidRPr="00991986">
              <w:t>% of asset base (B)</w:t>
            </w:r>
          </w:p>
        </w:tc>
      </w:tr>
      <w:tr w:rsidR="00991986" w:rsidRPr="00991986" w14:paraId="6635F9C8"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42F68254" w14:textId="77777777" w:rsidR="00991986" w:rsidRPr="00C16FCF" w:rsidRDefault="00991986" w:rsidP="00991986">
            <w:pPr>
              <w:rPr>
                <w:b w:val="0"/>
                <w:bCs/>
              </w:rPr>
            </w:pPr>
            <w:r w:rsidRPr="005922D2">
              <w:rPr>
                <w:b w:val="0"/>
              </w:rPr>
              <w:t>Water</w:t>
            </w:r>
          </w:p>
        </w:tc>
        <w:tc>
          <w:tcPr>
            <w:tcW w:w="1632" w:type="pct"/>
          </w:tcPr>
          <w:p w14:paraId="05F2B91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64.36</w:t>
            </w:r>
          </w:p>
        </w:tc>
        <w:tc>
          <w:tcPr>
            <w:tcW w:w="1501" w:type="pct"/>
          </w:tcPr>
          <w:p w14:paraId="4BB47D41"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35.19%</w:t>
            </w:r>
          </w:p>
        </w:tc>
      </w:tr>
      <w:tr w:rsidR="00991986" w:rsidRPr="00991986" w14:paraId="272E7990"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3FBC5F53" w14:textId="77777777" w:rsidR="00991986" w:rsidRPr="00C16FCF" w:rsidRDefault="00991986" w:rsidP="00991986">
            <w:pPr>
              <w:rPr>
                <w:b w:val="0"/>
                <w:bCs/>
              </w:rPr>
            </w:pPr>
            <w:r w:rsidRPr="005922D2">
              <w:rPr>
                <w:b w:val="0"/>
              </w:rPr>
              <w:t>Sewerage</w:t>
            </w:r>
          </w:p>
        </w:tc>
        <w:tc>
          <w:tcPr>
            <w:tcW w:w="1632" w:type="pct"/>
          </w:tcPr>
          <w:p w14:paraId="38A1BBA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59.69</w:t>
            </w:r>
          </w:p>
        </w:tc>
        <w:tc>
          <w:tcPr>
            <w:tcW w:w="1501" w:type="pct"/>
          </w:tcPr>
          <w:p w14:paraId="2FA9FBD2"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43.77%</w:t>
            </w:r>
          </w:p>
        </w:tc>
      </w:tr>
      <w:tr w:rsidR="00991986" w:rsidRPr="00991986" w14:paraId="026B0960"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3CFA4DB9" w14:textId="77777777" w:rsidR="00991986" w:rsidRPr="00C16FCF" w:rsidRDefault="00991986" w:rsidP="00991986">
            <w:pPr>
              <w:rPr>
                <w:b w:val="0"/>
                <w:bCs/>
              </w:rPr>
            </w:pPr>
            <w:r w:rsidRPr="005922D2">
              <w:rPr>
                <w:b w:val="0"/>
              </w:rPr>
              <w:t>Recycled water</w:t>
            </w:r>
          </w:p>
        </w:tc>
        <w:tc>
          <w:tcPr>
            <w:tcW w:w="1632" w:type="pct"/>
          </w:tcPr>
          <w:p w14:paraId="698485D3"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43.64</w:t>
            </w:r>
          </w:p>
        </w:tc>
        <w:tc>
          <w:tcPr>
            <w:tcW w:w="1501" w:type="pct"/>
          </w:tcPr>
          <w:p w14:paraId="1C0EE4C5"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7.70%</w:t>
            </w:r>
          </w:p>
        </w:tc>
      </w:tr>
      <w:tr w:rsidR="00991986" w:rsidRPr="00991986" w14:paraId="1982A0E6"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5F535701" w14:textId="77777777" w:rsidR="00991986" w:rsidRPr="00C16FCF" w:rsidRDefault="00991986" w:rsidP="00991986">
            <w:pPr>
              <w:rPr>
                <w:b w:val="0"/>
                <w:bCs/>
              </w:rPr>
            </w:pPr>
            <w:r w:rsidRPr="005922D2">
              <w:rPr>
                <w:b w:val="0"/>
              </w:rPr>
              <w:t>Other</w:t>
            </w:r>
          </w:p>
        </w:tc>
        <w:tc>
          <w:tcPr>
            <w:tcW w:w="1632" w:type="pct"/>
          </w:tcPr>
          <w:p w14:paraId="1B3DA4D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16.28</w:t>
            </w:r>
          </w:p>
        </w:tc>
        <w:tc>
          <w:tcPr>
            <w:tcW w:w="1501" w:type="pct"/>
          </w:tcPr>
          <w:p w14:paraId="26EAD1E2"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13.35%</w:t>
            </w:r>
          </w:p>
        </w:tc>
      </w:tr>
      <w:tr w:rsidR="00991986" w:rsidRPr="00991986" w14:paraId="4D0C8087"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43634A35" w14:textId="77777777" w:rsidR="00991986" w:rsidRPr="00991986" w:rsidRDefault="00991986" w:rsidP="00991986">
            <w:r w:rsidRPr="00991986">
              <w:t>Total (sum product of A x B)</w:t>
            </w:r>
          </w:p>
        </w:tc>
        <w:tc>
          <w:tcPr>
            <w:tcW w:w="1632" w:type="pct"/>
          </w:tcPr>
          <w:p w14:paraId="5322A500" w14:textId="77777777" w:rsidR="00991986" w:rsidRPr="00C16FCF" w:rsidRDefault="00991986" w:rsidP="00C16FCF">
            <w:pPr>
              <w:jc w:val="center"/>
              <w:cnfStyle w:val="000000000000" w:firstRow="0" w:lastRow="0" w:firstColumn="0" w:lastColumn="0" w:oddVBand="0" w:evenVBand="0" w:oddHBand="0" w:evenHBand="0" w:firstRowFirstColumn="0" w:firstRowLastColumn="0" w:lastRowFirstColumn="0" w:lastRowLastColumn="0"/>
              <w:rPr>
                <w:b/>
                <w:bCs/>
              </w:rPr>
            </w:pPr>
            <w:r w:rsidRPr="00C16FCF">
              <w:rPr>
                <w:b/>
                <w:bCs/>
              </w:rPr>
              <w:t>54.30</w:t>
            </w:r>
          </w:p>
        </w:tc>
        <w:tc>
          <w:tcPr>
            <w:tcW w:w="1501" w:type="pct"/>
          </w:tcPr>
          <w:p w14:paraId="7320D15B"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p>
        </w:tc>
      </w:tr>
    </w:tbl>
    <w:p w14:paraId="3444DB70" w14:textId="24233D71" w:rsidR="009B738A" w:rsidRDefault="009B738A" w:rsidP="004C6C23">
      <w:r>
        <w:t>The regulatory depreciation for 2023-24 is calculated as the sum of:</w:t>
      </w:r>
    </w:p>
    <w:p w14:paraId="50A33280" w14:textId="76F8E18D" w:rsidR="009B738A" w:rsidRDefault="009B738A">
      <w:pPr>
        <w:pStyle w:val="ListBullet"/>
        <w:numPr>
          <w:ilvl w:val="0"/>
          <w:numId w:val="18"/>
        </w:numPr>
      </w:pPr>
      <w:r>
        <w:t xml:space="preserve">regulatory depreciation based on existing assets of $92.3 million (as shown in the ESC’s pricing model, </w:t>
      </w:r>
      <w:proofErr w:type="spellStart"/>
      <w:r>
        <w:t>RollForward_FO</w:t>
      </w:r>
      <w:proofErr w:type="spellEnd"/>
      <w:r>
        <w:t xml:space="preserve"> tab)</w:t>
      </w:r>
    </w:p>
    <w:p w14:paraId="4742FC62" w14:textId="5BA4530C" w:rsidR="00991986" w:rsidRPr="00991986" w:rsidRDefault="009B738A">
      <w:pPr>
        <w:pStyle w:val="ListBullet"/>
        <w:numPr>
          <w:ilvl w:val="0"/>
          <w:numId w:val="18"/>
        </w:numPr>
      </w:pPr>
      <w:r>
        <w:t xml:space="preserve">regulatory depreciation based on new assets of $3.5 million (as shown in </w:t>
      </w:r>
      <w:r w:rsidR="000613F4">
        <w:t>t</w:t>
      </w:r>
      <w:r>
        <w:t xml:space="preserve">he ESC’s pricing model, </w:t>
      </w:r>
      <w:proofErr w:type="spellStart"/>
      <w:r>
        <w:t>Capex_FO</w:t>
      </w:r>
      <w:proofErr w:type="spellEnd"/>
      <w:r>
        <w:t xml:space="preserve"> input tab)</w:t>
      </w:r>
    </w:p>
    <w:p w14:paraId="6F5B3B26" w14:textId="3332A433" w:rsidR="001B4D24" w:rsidRPr="00952983" w:rsidRDefault="00663905" w:rsidP="004C6C23">
      <w:r w:rsidRPr="0078186C">
        <w:rPr>
          <w:b/>
        </w:rPr>
        <w:fldChar w:fldCharType="begin"/>
      </w:r>
      <w:r w:rsidRPr="0078186C">
        <w:rPr>
          <w:b/>
          <w:highlight w:val="yellow"/>
        </w:rPr>
        <w:instrText xml:space="preserve"> REF _Ref145274821 \h </w:instrText>
      </w:r>
      <w:r w:rsidR="00952983" w:rsidRPr="0078186C">
        <w:rPr>
          <w:b/>
          <w:highlight w:val="yellow"/>
        </w:rPr>
        <w:instrText xml:space="preserve"> \* MERGEFORMAT </w:instrText>
      </w:r>
      <w:r w:rsidRPr="0078186C">
        <w:rPr>
          <w:b/>
        </w:rPr>
      </w:r>
      <w:r w:rsidRPr="0078186C">
        <w:rPr>
          <w:b/>
        </w:rPr>
        <w:fldChar w:fldCharType="separate"/>
      </w:r>
      <w:r w:rsidR="003B42C6" w:rsidRPr="00B86BD8">
        <w:rPr>
          <w:b/>
        </w:rPr>
        <w:t xml:space="preserve">Table </w:t>
      </w:r>
      <w:r w:rsidR="003B42C6">
        <w:rPr>
          <w:b/>
        </w:rPr>
        <w:t>50</w:t>
      </w:r>
      <w:r w:rsidRPr="0078186C">
        <w:rPr>
          <w:b/>
        </w:rPr>
        <w:fldChar w:fldCharType="end"/>
      </w:r>
      <w:r w:rsidR="009B738A" w:rsidRPr="00BB78FB">
        <w:t xml:space="preserve"> </w:t>
      </w:r>
      <w:r w:rsidRPr="00BB78FB">
        <w:t xml:space="preserve">and </w:t>
      </w:r>
      <w:r w:rsidRPr="0078186C">
        <w:rPr>
          <w:b/>
        </w:rPr>
        <w:fldChar w:fldCharType="begin"/>
      </w:r>
      <w:r w:rsidRPr="0078186C">
        <w:rPr>
          <w:b/>
          <w:highlight w:val="yellow"/>
        </w:rPr>
        <w:instrText xml:space="preserve"> REF _Ref145274837 \h </w:instrText>
      </w:r>
      <w:r w:rsidR="00952983" w:rsidRPr="0078186C">
        <w:rPr>
          <w:b/>
          <w:highlight w:val="yellow"/>
        </w:rPr>
        <w:instrText xml:space="preserve"> \* MERGEFORMAT </w:instrText>
      </w:r>
      <w:r w:rsidRPr="0078186C">
        <w:rPr>
          <w:b/>
        </w:rPr>
      </w:r>
      <w:r w:rsidRPr="0078186C">
        <w:rPr>
          <w:b/>
        </w:rPr>
        <w:fldChar w:fldCharType="separate"/>
      </w:r>
      <w:r w:rsidR="003B42C6" w:rsidRPr="00640CD7">
        <w:rPr>
          <w:b/>
        </w:rPr>
        <w:t xml:space="preserve">Table </w:t>
      </w:r>
      <w:r w:rsidR="003B42C6">
        <w:rPr>
          <w:b/>
        </w:rPr>
        <w:t>51</w:t>
      </w:r>
      <w:r w:rsidRPr="0078186C">
        <w:rPr>
          <w:b/>
        </w:rPr>
        <w:fldChar w:fldCharType="end"/>
      </w:r>
      <w:r w:rsidR="003523AD" w:rsidRPr="00BB78FB">
        <w:t xml:space="preserve"> </w:t>
      </w:r>
      <w:r w:rsidR="00350401" w:rsidRPr="00952983">
        <w:t>outline the regulatory depreciation on new and existing assets (a component of the revenue requirement) with the average depreciation rate across the period 202</w:t>
      </w:r>
      <w:r w:rsidR="000C6D0A" w:rsidRPr="00952983">
        <w:t>4</w:t>
      </w:r>
      <w:r w:rsidR="00350401" w:rsidRPr="00952983">
        <w:t>-28.</w:t>
      </w:r>
    </w:p>
    <w:p w14:paraId="4F1530E8" w14:textId="5F0479A8" w:rsidR="003523AD" w:rsidRDefault="003523AD" w:rsidP="003523AD">
      <w:pPr>
        <w:pStyle w:val="Caption"/>
      </w:pPr>
      <w:bookmarkStart w:id="208" w:name="_Ref145274821"/>
      <w:r w:rsidRPr="00B86BD8">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50</w:t>
      </w:r>
      <w:r w:rsidRPr="008270B3">
        <w:rPr>
          <w:b/>
        </w:rPr>
        <w:fldChar w:fldCharType="end"/>
      </w:r>
      <w:bookmarkEnd w:id="208"/>
      <w:r>
        <w:t xml:space="preserve"> </w:t>
      </w:r>
      <w:r w:rsidRPr="00EF64BC">
        <w:t>Regulatory depreciation, 2024-25 to 2027–28 ($million, 2023–24)</w:t>
      </w:r>
    </w:p>
    <w:tbl>
      <w:tblPr>
        <w:tblStyle w:val="GWWDefaulttable"/>
        <w:tblW w:w="5000" w:type="pct"/>
        <w:tblLook w:val="04A0" w:firstRow="1" w:lastRow="0" w:firstColumn="1" w:lastColumn="0" w:noHBand="0" w:noVBand="1"/>
      </w:tblPr>
      <w:tblGrid>
        <w:gridCol w:w="2270"/>
        <w:gridCol w:w="1472"/>
        <w:gridCol w:w="1475"/>
        <w:gridCol w:w="1473"/>
        <w:gridCol w:w="1475"/>
        <w:gridCol w:w="1473"/>
      </w:tblGrid>
      <w:tr w:rsidR="00E929E3" w:rsidRPr="006C12BA" w14:paraId="3D0EB01B" w14:textId="77777777" w:rsidTr="008270B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3824A564" w14:textId="77777777" w:rsidR="00E929E3" w:rsidRPr="006C12BA" w:rsidRDefault="00E929E3" w:rsidP="006C12BA">
            <w:r w:rsidRPr="006C12BA">
              <w:t> </w:t>
            </w:r>
          </w:p>
        </w:tc>
        <w:tc>
          <w:tcPr>
            <w:tcW w:w="764" w:type="pct"/>
            <w:vAlign w:val="center"/>
            <w:hideMark/>
          </w:tcPr>
          <w:p w14:paraId="70E9ADB0"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65" w:type="pct"/>
            <w:vAlign w:val="center"/>
            <w:hideMark/>
          </w:tcPr>
          <w:p w14:paraId="4FB93A43"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64" w:type="pct"/>
            <w:vAlign w:val="center"/>
            <w:hideMark/>
          </w:tcPr>
          <w:p w14:paraId="0FFD09F7"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65" w:type="pct"/>
            <w:vAlign w:val="center"/>
            <w:hideMark/>
          </w:tcPr>
          <w:p w14:paraId="7973F23D"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64" w:type="pct"/>
            <w:vAlign w:val="center"/>
            <w:hideMark/>
          </w:tcPr>
          <w:p w14:paraId="70210020"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E929E3" w:rsidRPr="006C12BA" w14:paraId="497A2468"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7786C59C" w14:textId="77777777" w:rsidR="00E929E3" w:rsidRPr="00B25CDA" w:rsidRDefault="00E929E3" w:rsidP="006C12BA">
            <w:pPr>
              <w:rPr>
                <w:b w:val="0"/>
                <w:bCs/>
              </w:rPr>
            </w:pPr>
            <w:r w:rsidRPr="00B86BD8">
              <w:rPr>
                <w:b w:val="0"/>
              </w:rPr>
              <w:t>Depreciation of existing assets</w:t>
            </w:r>
          </w:p>
        </w:tc>
        <w:tc>
          <w:tcPr>
            <w:tcW w:w="764" w:type="pct"/>
            <w:vAlign w:val="center"/>
            <w:hideMark/>
          </w:tcPr>
          <w:p w14:paraId="0857EEA8" w14:textId="552C9A34"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91.47</w:t>
            </w:r>
          </w:p>
        </w:tc>
        <w:tc>
          <w:tcPr>
            <w:tcW w:w="765" w:type="pct"/>
            <w:vAlign w:val="center"/>
            <w:hideMark/>
          </w:tcPr>
          <w:p w14:paraId="306B559C" w14:textId="36D6C8AC"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90.80</w:t>
            </w:r>
          </w:p>
        </w:tc>
        <w:tc>
          <w:tcPr>
            <w:tcW w:w="764" w:type="pct"/>
            <w:vAlign w:val="center"/>
            <w:hideMark/>
          </w:tcPr>
          <w:p w14:paraId="20C00C74" w14:textId="0D969988"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90.80</w:t>
            </w:r>
          </w:p>
        </w:tc>
        <w:tc>
          <w:tcPr>
            <w:tcW w:w="765" w:type="pct"/>
            <w:vAlign w:val="center"/>
            <w:hideMark/>
          </w:tcPr>
          <w:p w14:paraId="02AA7C43" w14:textId="62F8F6C5"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90.39</w:t>
            </w:r>
          </w:p>
        </w:tc>
        <w:tc>
          <w:tcPr>
            <w:tcW w:w="764" w:type="pct"/>
            <w:vAlign w:val="center"/>
            <w:hideMark/>
          </w:tcPr>
          <w:p w14:paraId="616DB9B4" w14:textId="7F881BC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363.46</w:t>
            </w:r>
          </w:p>
        </w:tc>
      </w:tr>
      <w:tr w:rsidR="00E929E3" w:rsidRPr="006C12BA" w14:paraId="72E579C0"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6DD3777B" w14:textId="77777777" w:rsidR="00E929E3" w:rsidRPr="00B25CDA" w:rsidRDefault="00E929E3" w:rsidP="006C12BA">
            <w:pPr>
              <w:rPr>
                <w:b w:val="0"/>
                <w:bCs/>
              </w:rPr>
            </w:pPr>
            <w:r w:rsidRPr="00B86BD8">
              <w:rPr>
                <w:b w:val="0"/>
              </w:rPr>
              <w:t>Depreciation of new assets</w:t>
            </w:r>
          </w:p>
        </w:tc>
        <w:tc>
          <w:tcPr>
            <w:tcW w:w="764" w:type="pct"/>
            <w:vAlign w:val="center"/>
            <w:hideMark/>
          </w:tcPr>
          <w:p w14:paraId="649B9162" w14:textId="239FD587"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10.68</w:t>
            </w:r>
          </w:p>
        </w:tc>
        <w:tc>
          <w:tcPr>
            <w:tcW w:w="765" w:type="pct"/>
            <w:vAlign w:val="center"/>
            <w:hideMark/>
          </w:tcPr>
          <w:p w14:paraId="3F25456D" w14:textId="45CF634D"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17.27</w:t>
            </w:r>
          </w:p>
        </w:tc>
        <w:tc>
          <w:tcPr>
            <w:tcW w:w="764" w:type="pct"/>
            <w:vAlign w:val="center"/>
            <w:hideMark/>
          </w:tcPr>
          <w:p w14:paraId="13E544DC" w14:textId="5927606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23.24</w:t>
            </w:r>
          </w:p>
        </w:tc>
        <w:tc>
          <w:tcPr>
            <w:tcW w:w="765" w:type="pct"/>
            <w:vAlign w:val="center"/>
            <w:hideMark/>
          </w:tcPr>
          <w:p w14:paraId="5D8F72BA" w14:textId="56AB66BA"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29.10</w:t>
            </w:r>
          </w:p>
        </w:tc>
        <w:tc>
          <w:tcPr>
            <w:tcW w:w="764" w:type="pct"/>
            <w:vAlign w:val="center"/>
            <w:hideMark/>
          </w:tcPr>
          <w:p w14:paraId="63313C5C" w14:textId="37893E6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80.28</w:t>
            </w:r>
          </w:p>
        </w:tc>
      </w:tr>
      <w:tr w:rsidR="00E929E3" w:rsidRPr="006C12BA" w14:paraId="7C3D7BD6"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687C9CE7" w14:textId="77777777" w:rsidR="00E929E3" w:rsidRPr="00D85EFB" w:rsidRDefault="00E929E3" w:rsidP="006C12BA">
            <w:r w:rsidRPr="00D85EFB">
              <w:t>Total depreciation</w:t>
            </w:r>
          </w:p>
        </w:tc>
        <w:tc>
          <w:tcPr>
            <w:tcW w:w="764" w:type="pct"/>
            <w:vAlign w:val="center"/>
            <w:hideMark/>
          </w:tcPr>
          <w:p w14:paraId="0F9C4853" w14:textId="272D0503"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102.15</w:t>
            </w:r>
          </w:p>
        </w:tc>
        <w:tc>
          <w:tcPr>
            <w:tcW w:w="765" w:type="pct"/>
            <w:vAlign w:val="center"/>
            <w:hideMark/>
          </w:tcPr>
          <w:p w14:paraId="798F5C09" w14:textId="208DF9B3"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108.07</w:t>
            </w:r>
          </w:p>
        </w:tc>
        <w:tc>
          <w:tcPr>
            <w:tcW w:w="764" w:type="pct"/>
            <w:vAlign w:val="center"/>
            <w:hideMark/>
          </w:tcPr>
          <w:p w14:paraId="0BCAB4D7" w14:textId="01B0FE21"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114.04</w:t>
            </w:r>
          </w:p>
        </w:tc>
        <w:tc>
          <w:tcPr>
            <w:tcW w:w="765" w:type="pct"/>
            <w:vAlign w:val="center"/>
            <w:hideMark/>
          </w:tcPr>
          <w:p w14:paraId="7A886169" w14:textId="1157BC56"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119.49</w:t>
            </w:r>
          </w:p>
        </w:tc>
        <w:tc>
          <w:tcPr>
            <w:tcW w:w="764" w:type="pct"/>
            <w:vAlign w:val="center"/>
            <w:hideMark/>
          </w:tcPr>
          <w:p w14:paraId="5D0DFA05" w14:textId="6B155418"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443.74</w:t>
            </w:r>
          </w:p>
        </w:tc>
      </w:tr>
      <w:tr w:rsidR="00E929E3" w:rsidRPr="006C12BA" w14:paraId="21394778"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5DC4C1C4" w14:textId="77777777" w:rsidR="00E929E3" w:rsidRPr="00B25CDA" w:rsidRDefault="00E929E3" w:rsidP="006C12BA">
            <w:pPr>
              <w:rPr>
                <w:b w:val="0"/>
                <w:bCs/>
              </w:rPr>
            </w:pPr>
            <w:r w:rsidRPr="00B86BD8">
              <w:rPr>
                <w:b w:val="0"/>
              </w:rPr>
              <w:t>Depreciation as a % of average RAB</w:t>
            </w:r>
          </w:p>
        </w:tc>
        <w:tc>
          <w:tcPr>
            <w:tcW w:w="764" w:type="pct"/>
            <w:vAlign w:val="center"/>
            <w:hideMark/>
          </w:tcPr>
          <w:p w14:paraId="604A7450" w14:textId="2C4813A2"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2.93%</w:t>
            </w:r>
          </w:p>
        </w:tc>
        <w:tc>
          <w:tcPr>
            <w:tcW w:w="765" w:type="pct"/>
            <w:vAlign w:val="center"/>
            <w:hideMark/>
          </w:tcPr>
          <w:p w14:paraId="235D016C" w14:textId="6425EB84"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2.96%</w:t>
            </w:r>
          </w:p>
        </w:tc>
        <w:tc>
          <w:tcPr>
            <w:tcW w:w="764" w:type="pct"/>
            <w:vAlign w:val="center"/>
            <w:hideMark/>
          </w:tcPr>
          <w:p w14:paraId="420C5657" w14:textId="1DC9139A"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2.99%</w:t>
            </w:r>
          </w:p>
        </w:tc>
        <w:tc>
          <w:tcPr>
            <w:tcW w:w="765" w:type="pct"/>
            <w:vAlign w:val="center"/>
            <w:hideMark/>
          </w:tcPr>
          <w:p w14:paraId="6E5913BB" w14:textId="4601BCF5"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3.02%</w:t>
            </w:r>
          </w:p>
        </w:tc>
        <w:tc>
          <w:tcPr>
            <w:tcW w:w="764" w:type="pct"/>
            <w:vAlign w:val="center"/>
            <w:hideMark/>
          </w:tcPr>
          <w:p w14:paraId="6A56DBC0" w14:textId="4BBADDD1"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2.98%</w:t>
            </w:r>
          </w:p>
        </w:tc>
      </w:tr>
    </w:tbl>
    <w:p w14:paraId="4C45793B" w14:textId="77777777" w:rsidR="007B1EED" w:rsidRDefault="007B1EED" w:rsidP="0021737E"/>
    <w:p w14:paraId="4A3E9C88" w14:textId="678947AB" w:rsidR="003523AD" w:rsidRDefault="003523AD" w:rsidP="003523AD">
      <w:pPr>
        <w:pStyle w:val="Caption"/>
      </w:pPr>
      <w:bookmarkStart w:id="209" w:name="_Ref145274837"/>
      <w:r w:rsidRPr="00640CD7">
        <w:rPr>
          <w:b/>
        </w:rPr>
        <w:lastRenderedPageBreak/>
        <w:t xml:space="preserve">Table </w:t>
      </w:r>
      <w:r w:rsidRPr="008270B3">
        <w:rPr>
          <w:b/>
        </w:rPr>
        <w:fldChar w:fldCharType="begin"/>
      </w:r>
      <w:r w:rsidRPr="008270B3">
        <w:rPr>
          <w:b/>
        </w:rPr>
        <w:instrText>SEQ Table \* ARABIC</w:instrText>
      </w:r>
      <w:r w:rsidRPr="008270B3">
        <w:rPr>
          <w:b/>
        </w:rPr>
        <w:fldChar w:fldCharType="separate"/>
      </w:r>
      <w:r w:rsidR="003B42C6">
        <w:rPr>
          <w:b/>
          <w:noProof/>
        </w:rPr>
        <w:t>51</w:t>
      </w:r>
      <w:r w:rsidRPr="008270B3">
        <w:rPr>
          <w:b/>
        </w:rPr>
        <w:fldChar w:fldCharType="end"/>
      </w:r>
      <w:bookmarkEnd w:id="209"/>
      <w:r>
        <w:t xml:space="preserve"> </w:t>
      </w:r>
      <w:r w:rsidRPr="0007634B">
        <w:t>Regulatory depreciation, 2028-29 to 2032–33 ($million, 2023–24)</w:t>
      </w:r>
    </w:p>
    <w:tbl>
      <w:tblPr>
        <w:tblStyle w:val="GWWDefaulttable"/>
        <w:tblW w:w="5000" w:type="pct"/>
        <w:tblLayout w:type="fixed"/>
        <w:tblLook w:val="04A0" w:firstRow="1" w:lastRow="0" w:firstColumn="1" w:lastColumn="0" w:noHBand="0" w:noVBand="1"/>
      </w:tblPr>
      <w:tblGrid>
        <w:gridCol w:w="2270"/>
        <w:gridCol w:w="1472"/>
        <w:gridCol w:w="1475"/>
        <w:gridCol w:w="1473"/>
        <w:gridCol w:w="1475"/>
        <w:gridCol w:w="1473"/>
      </w:tblGrid>
      <w:tr w:rsidR="00D06455" w:rsidRPr="006C12BA" w14:paraId="4A919E2D" w14:textId="77777777" w:rsidTr="007E54E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8F80192" w14:textId="77777777" w:rsidR="00D06455" w:rsidRPr="006C12BA" w:rsidRDefault="00D06455" w:rsidP="006C12BA">
            <w:r w:rsidRPr="006C12BA">
              <w:t> </w:t>
            </w:r>
          </w:p>
        </w:tc>
        <w:tc>
          <w:tcPr>
            <w:tcW w:w="764" w:type="pct"/>
            <w:vAlign w:val="center"/>
            <w:hideMark/>
          </w:tcPr>
          <w:p w14:paraId="7D6100F3"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65" w:type="pct"/>
            <w:vAlign w:val="center"/>
            <w:hideMark/>
          </w:tcPr>
          <w:p w14:paraId="0D6E577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64" w:type="pct"/>
            <w:vAlign w:val="center"/>
            <w:hideMark/>
          </w:tcPr>
          <w:p w14:paraId="5D1F132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65" w:type="pct"/>
            <w:vAlign w:val="center"/>
            <w:hideMark/>
          </w:tcPr>
          <w:p w14:paraId="0C2F8B1B"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64" w:type="pct"/>
            <w:vAlign w:val="center"/>
            <w:hideMark/>
          </w:tcPr>
          <w:p w14:paraId="16F8318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7B2A9B" w:rsidRPr="006C12BA" w14:paraId="2567EEB5"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4F6E07C7" w14:textId="77777777" w:rsidR="007B2A9B" w:rsidRPr="006C12BA" w:rsidRDefault="007B2A9B" w:rsidP="007B2A9B">
            <w:pPr>
              <w:rPr>
                <w:b w:val="0"/>
                <w:bCs/>
              </w:rPr>
            </w:pPr>
            <w:r w:rsidRPr="006C12BA">
              <w:rPr>
                <w:b w:val="0"/>
                <w:bCs/>
              </w:rPr>
              <w:t>Depreciation of existing assets</w:t>
            </w:r>
          </w:p>
        </w:tc>
        <w:tc>
          <w:tcPr>
            <w:tcW w:w="764" w:type="pct"/>
            <w:vAlign w:val="center"/>
            <w:hideMark/>
          </w:tcPr>
          <w:p w14:paraId="4B2D388E" w14:textId="528D92E3"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86.69</w:t>
            </w:r>
          </w:p>
        </w:tc>
        <w:tc>
          <w:tcPr>
            <w:tcW w:w="765" w:type="pct"/>
            <w:vAlign w:val="center"/>
            <w:hideMark/>
          </w:tcPr>
          <w:p w14:paraId="20DF8292" w14:textId="32A05A0C"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83.81</w:t>
            </w:r>
          </w:p>
        </w:tc>
        <w:tc>
          <w:tcPr>
            <w:tcW w:w="764" w:type="pct"/>
            <w:vAlign w:val="center"/>
            <w:hideMark/>
          </w:tcPr>
          <w:p w14:paraId="39A0CC7E" w14:textId="6069DBFB"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82.14</w:t>
            </w:r>
          </w:p>
        </w:tc>
        <w:tc>
          <w:tcPr>
            <w:tcW w:w="765" w:type="pct"/>
            <w:vAlign w:val="center"/>
            <w:hideMark/>
          </w:tcPr>
          <w:p w14:paraId="68D1D31D" w14:textId="38EFE4D1"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81.11</w:t>
            </w:r>
          </w:p>
        </w:tc>
        <w:tc>
          <w:tcPr>
            <w:tcW w:w="764" w:type="pct"/>
            <w:vAlign w:val="center"/>
            <w:hideMark/>
          </w:tcPr>
          <w:p w14:paraId="549CFB77" w14:textId="75038B56"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80.86</w:t>
            </w:r>
          </w:p>
        </w:tc>
      </w:tr>
      <w:tr w:rsidR="007B2A9B" w:rsidRPr="006C12BA" w14:paraId="69DB51B3"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F3D4D81" w14:textId="77777777" w:rsidR="007B2A9B" w:rsidRPr="006C12BA" w:rsidRDefault="007B2A9B" w:rsidP="007B2A9B">
            <w:pPr>
              <w:rPr>
                <w:b w:val="0"/>
                <w:bCs/>
              </w:rPr>
            </w:pPr>
            <w:r w:rsidRPr="006C12BA">
              <w:rPr>
                <w:b w:val="0"/>
                <w:bCs/>
              </w:rPr>
              <w:t>Depreciation of new assets</w:t>
            </w:r>
          </w:p>
        </w:tc>
        <w:tc>
          <w:tcPr>
            <w:tcW w:w="764" w:type="pct"/>
            <w:vAlign w:val="center"/>
            <w:hideMark/>
          </w:tcPr>
          <w:p w14:paraId="0DD306BD" w14:textId="7D0907E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34.</w:t>
            </w:r>
            <w:r w:rsidR="000E7306" w:rsidRPr="004806C6">
              <w:t>53</w:t>
            </w:r>
          </w:p>
        </w:tc>
        <w:tc>
          <w:tcPr>
            <w:tcW w:w="765" w:type="pct"/>
            <w:vAlign w:val="center"/>
            <w:hideMark/>
          </w:tcPr>
          <w:p w14:paraId="73B62EF7" w14:textId="7DED575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39.</w:t>
            </w:r>
            <w:r w:rsidR="000E7306" w:rsidRPr="004806C6">
              <w:t>90</w:t>
            </w:r>
          </w:p>
        </w:tc>
        <w:tc>
          <w:tcPr>
            <w:tcW w:w="764" w:type="pct"/>
            <w:vAlign w:val="center"/>
            <w:hideMark/>
          </w:tcPr>
          <w:p w14:paraId="2F349D50" w14:textId="3487E4B6"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45.91</w:t>
            </w:r>
          </w:p>
        </w:tc>
        <w:tc>
          <w:tcPr>
            <w:tcW w:w="765" w:type="pct"/>
            <w:vAlign w:val="center"/>
            <w:hideMark/>
          </w:tcPr>
          <w:p w14:paraId="1083C8FA" w14:textId="1876916F"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51</w:t>
            </w:r>
            <w:r w:rsidR="007B2A9B" w:rsidRPr="004806C6">
              <w:t>.96</w:t>
            </w:r>
          </w:p>
        </w:tc>
        <w:tc>
          <w:tcPr>
            <w:tcW w:w="764" w:type="pct"/>
            <w:vAlign w:val="center"/>
            <w:hideMark/>
          </w:tcPr>
          <w:p w14:paraId="2AC1DA2A" w14:textId="3CBBA277"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57.38</w:t>
            </w:r>
          </w:p>
        </w:tc>
      </w:tr>
      <w:tr w:rsidR="007B2A9B" w:rsidRPr="006C12BA" w14:paraId="29E666FF"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DDA3511" w14:textId="77777777" w:rsidR="007B2A9B" w:rsidRPr="006C12BA" w:rsidRDefault="007B2A9B" w:rsidP="007B2A9B">
            <w:r w:rsidRPr="006C12BA">
              <w:t>Total depreciation</w:t>
            </w:r>
          </w:p>
        </w:tc>
        <w:tc>
          <w:tcPr>
            <w:tcW w:w="764" w:type="pct"/>
            <w:vAlign w:val="center"/>
            <w:hideMark/>
          </w:tcPr>
          <w:p w14:paraId="57329C60" w14:textId="14C2843E"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121.22</w:t>
            </w:r>
          </w:p>
        </w:tc>
        <w:tc>
          <w:tcPr>
            <w:tcW w:w="765" w:type="pct"/>
            <w:vAlign w:val="center"/>
            <w:hideMark/>
          </w:tcPr>
          <w:p w14:paraId="4BA5E87D" w14:textId="1C727E93"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123.72</w:t>
            </w:r>
          </w:p>
        </w:tc>
        <w:tc>
          <w:tcPr>
            <w:tcW w:w="764" w:type="pct"/>
            <w:vAlign w:val="center"/>
            <w:hideMark/>
          </w:tcPr>
          <w:p w14:paraId="36D4E68B" w14:textId="0207733A"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128.05</w:t>
            </w:r>
          </w:p>
        </w:tc>
        <w:tc>
          <w:tcPr>
            <w:tcW w:w="765" w:type="pct"/>
            <w:vAlign w:val="center"/>
            <w:hideMark/>
          </w:tcPr>
          <w:p w14:paraId="209D21E3" w14:textId="0362ACD5"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133</w:t>
            </w:r>
            <w:r w:rsidR="007B2A9B" w:rsidRPr="000E7306">
              <w:rPr>
                <w:b/>
              </w:rPr>
              <w:t>.07</w:t>
            </w:r>
          </w:p>
        </w:tc>
        <w:tc>
          <w:tcPr>
            <w:tcW w:w="764" w:type="pct"/>
            <w:vAlign w:val="center"/>
            <w:hideMark/>
          </w:tcPr>
          <w:p w14:paraId="4729CE91" w14:textId="6D5DAB79"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138.24</w:t>
            </w:r>
          </w:p>
        </w:tc>
      </w:tr>
      <w:tr w:rsidR="007B2A9B" w:rsidRPr="006C12BA" w14:paraId="02D4E701"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070A01B5" w14:textId="77777777" w:rsidR="007B2A9B" w:rsidRPr="006C12BA" w:rsidRDefault="007B2A9B" w:rsidP="007B2A9B">
            <w:pPr>
              <w:rPr>
                <w:b w:val="0"/>
                <w:bCs/>
              </w:rPr>
            </w:pPr>
            <w:r w:rsidRPr="006C12BA">
              <w:rPr>
                <w:b w:val="0"/>
                <w:bCs/>
              </w:rPr>
              <w:t>Depreciation as a % of average RAB</w:t>
            </w:r>
          </w:p>
        </w:tc>
        <w:tc>
          <w:tcPr>
            <w:tcW w:w="764" w:type="pct"/>
            <w:vAlign w:val="center"/>
            <w:hideMark/>
          </w:tcPr>
          <w:p w14:paraId="25F031A8" w14:textId="2C2AB6D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98</w:t>
            </w:r>
            <w:r w:rsidRPr="004806C6">
              <w:t>%</w:t>
            </w:r>
          </w:p>
        </w:tc>
        <w:tc>
          <w:tcPr>
            <w:tcW w:w="765" w:type="pct"/>
            <w:vAlign w:val="center"/>
            <w:hideMark/>
          </w:tcPr>
          <w:p w14:paraId="0AADB6A7" w14:textId="0ABABC25"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92</w:t>
            </w:r>
            <w:r w:rsidRPr="004806C6">
              <w:t>%</w:t>
            </w:r>
          </w:p>
        </w:tc>
        <w:tc>
          <w:tcPr>
            <w:tcW w:w="764" w:type="pct"/>
            <w:vAlign w:val="center"/>
            <w:hideMark/>
          </w:tcPr>
          <w:p w14:paraId="4544D61F" w14:textId="313504A7"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91</w:t>
            </w:r>
            <w:r w:rsidRPr="004806C6">
              <w:t>%</w:t>
            </w:r>
          </w:p>
        </w:tc>
        <w:tc>
          <w:tcPr>
            <w:tcW w:w="765" w:type="pct"/>
            <w:vAlign w:val="center"/>
            <w:hideMark/>
          </w:tcPr>
          <w:p w14:paraId="7CD7389A" w14:textId="5572820B"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91</w:t>
            </w:r>
            <w:r w:rsidRPr="004806C6">
              <w:t>%</w:t>
            </w:r>
          </w:p>
        </w:tc>
        <w:tc>
          <w:tcPr>
            <w:tcW w:w="764" w:type="pct"/>
            <w:vAlign w:val="center"/>
            <w:hideMark/>
          </w:tcPr>
          <w:p w14:paraId="67A367E0" w14:textId="34136517"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2.94%</w:t>
            </w:r>
          </w:p>
        </w:tc>
      </w:tr>
    </w:tbl>
    <w:p w14:paraId="20211DAE" w14:textId="0F7B528B" w:rsidR="007B1EED" w:rsidRDefault="007B1EED" w:rsidP="005B4BB4">
      <w:pPr>
        <w:rPr>
          <w:iCs/>
        </w:rPr>
        <w:sectPr w:rsidR="007B1EED" w:rsidSect="008C1A38">
          <w:pgSz w:w="11906" w:h="16838"/>
          <w:pgMar w:top="1134" w:right="1134" w:bottom="1134" w:left="1134" w:header="720" w:footer="720" w:gutter="0"/>
          <w:cols w:space="708"/>
        </w:sectPr>
      </w:pPr>
    </w:p>
    <w:p w14:paraId="0C03B45C" w14:textId="60A4E003" w:rsidR="007443F9" w:rsidRDefault="007443F9" w:rsidP="00C6645D">
      <w:pPr>
        <w:pStyle w:val="Heading2"/>
      </w:pPr>
      <w:bookmarkStart w:id="210" w:name="_Toc146004880"/>
      <w:bookmarkStart w:id="211" w:name="_Toc146004768"/>
      <w:bookmarkStart w:id="212" w:name="_Toc146746714"/>
      <w:r w:rsidRPr="00736243">
        <w:lastRenderedPageBreak/>
        <w:t>Return o</w:t>
      </w:r>
      <w:r w:rsidR="00436553">
        <w:t>n</w:t>
      </w:r>
      <w:r w:rsidRPr="00736243">
        <w:t xml:space="preserve"> the regulatory asset </w:t>
      </w:r>
      <w:proofErr w:type="gramStart"/>
      <w:r w:rsidRPr="00736243">
        <w:t>base</w:t>
      </w:r>
      <w:bookmarkEnd w:id="210"/>
      <w:bookmarkEnd w:id="211"/>
      <w:bookmarkEnd w:id="212"/>
      <w:proofErr w:type="gramEnd"/>
    </w:p>
    <w:p w14:paraId="360820A0" w14:textId="30FA31C3" w:rsidR="00D67ECC" w:rsidRDefault="00D67ECC" w:rsidP="00D67ECC">
      <w:r>
        <w:t xml:space="preserve">The return on assets is a function of the RAB and the regulatory rate of return (RRR). GWW’s return on assets is calculated by applying a RRR to the </w:t>
      </w:r>
      <w:r w:rsidR="00323151">
        <w:t>RAB</w:t>
      </w:r>
      <w:r>
        <w:t>. The RRR comprises two components: cost of debt and return on equity (based on PREMO rating).</w:t>
      </w:r>
    </w:p>
    <w:p w14:paraId="70D86DAB" w14:textId="77777777" w:rsidR="00D67ECC" w:rsidRDefault="00D67ECC" w:rsidP="005B69CD">
      <w:pPr>
        <w:pStyle w:val="Heading3"/>
      </w:pPr>
      <w:r>
        <w:t>Cost of debt</w:t>
      </w:r>
    </w:p>
    <w:p w14:paraId="39F42744" w14:textId="21B8511F" w:rsidR="00D67ECC" w:rsidRDefault="00D67ECC" w:rsidP="00663905">
      <w:r>
        <w:t xml:space="preserve">The 10-year </w:t>
      </w:r>
      <w:r w:rsidR="00784D94">
        <w:t>trailing</w:t>
      </w:r>
      <w:r>
        <w:t xml:space="preserve"> average approach provided by the </w:t>
      </w:r>
      <w:r w:rsidR="00996FB3">
        <w:t>ESC was</w:t>
      </w:r>
      <w:r>
        <w:t xml:space="preserve"> used to estimate the benchmark cost of debt in the pricing model. This is calculated as the simple average of 10 years of cost of debt that reflects the yields of the Reserve Bank of Australia 10-year BBB</w:t>
      </w:r>
      <w:r w:rsidR="00996FB3">
        <w:t>-</w:t>
      </w:r>
      <w:r>
        <w:t>rated corporate bond.</w:t>
      </w:r>
    </w:p>
    <w:p w14:paraId="66933624" w14:textId="77777777" w:rsidR="00D67ECC" w:rsidRDefault="00D67ECC" w:rsidP="005B69CD">
      <w:pPr>
        <w:pStyle w:val="Heading3"/>
      </w:pPr>
      <w:r>
        <w:t xml:space="preserve">Return on equity and PREMO </w:t>
      </w:r>
      <w:proofErr w:type="gramStart"/>
      <w:r>
        <w:t>rating</w:t>
      </w:r>
      <w:proofErr w:type="gramEnd"/>
    </w:p>
    <w:p w14:paraId="2F3E13FC" w14:textId="42933D27" w:rsidR="00FE388D" w:rsidRDefault="00D67ECC" w:rsidP="00663905">
      <w:r>
        <w:t>We have applied a return on equity (real) of 4.1</w:t>
      </w:r>
      <w:r w:rsidR="00880C6F">
        <w:t>%</w:t>
      </w:r>
      <w:r>
        <w:t>, which reflects our self-assessed PREMO rating of ‘Standard’</w:t>
      </w:r>
      <w:r w:rsidR="00B32FC6">
        <w:t xml:space="preserve">. </w:t>
      </w:r>
      <w:r>
        <w:t xml:space="preserve">As outlined in </w:t>
      </w:r>
      <w:r w:rsidR="002E595B">
        <w:rPr>
          <w:highlight w:val="yellow"/>
        </w:rPr>
        <w:fldChar w:fldCharType="begin"/>
      </w:r>
      <w:r w:rsidR="002E595B">
        <w:instrText xml:space="preserve"> REF _Ref145977177 \h </w:instrText>
      </w:r>
      <w:r w:rsidR="00027602">
        <w:rPr>
          <w:highlight w:val="yellow"/>
        </w:rPr>
        <w:instrText xml:space="preserve"> \* MERGEFORMAT </w:instrText>
      </w:r>
      <w:r w:rsidR="002E595B">
        <w:rPr>
          <w:highlight w:val="yellow"/>
        </w:rPr>
      </w:r>
      <w:r w:rsidR="002E595B">
        <w:rPr>
          <w:highlight w:val="yellow"/>
        </w:rPr>
        <w:fldChar w:fldCharType="separate"/>
      </w:r>
      <w:r w:rsidR="003B42C6" w:rsidRPr="00C50B8F">
        <w:rPr>
          <w:b/>
        </w:rPr>
        <w:t xml:space="preserve">Table </w:t>
      </w:r>
      <w:r w:rsidR="003B42C6" w:rsidRPr="003B42C6">
        <w:rPr>
          <w:b/>
          <w:bCs/>
          <w:noProof/>
        </w:rPr>
        <w:t>52</w:t>
      </w:r>
      <w:r w:rsidR="002E595B">
        <w:rPr>
          <w:highlight w:val="yellow"/>
        </w:rPr>
        <w:fldChar w:fldCharType="end"/>
      </w:r>
      <w:r w:rsidR="002E595B">
        <w:t xml:space="preserve"> </w:t>
      </w:r>
      <w:r>
        <w:t xml:space="preserve">this results in a RRR of 2.41% to 2.69% over the regulatory period 2024-25 to 2027-28. To calculate the RRR, in line with the </w:t>
      </w:r>
      <w:r w:rsidR="00996FB3">
        <w:t xml:space="preserve">ESC’s </w:t>
      </w:r>
      <w:r>
        <w:t>guidance paper and advice, we have applied a benchmark gearing ratio of 60</w:t>
      </w:r>
      <w:r w:rsidR="00880C6F">
        <w:t>%</w:t>
      </w:r>
      <w:r>
        <w:t xml:space="preserve"> and forecast inflation of 3.5</w:t>
      </w:r>
      <w:r w:rsidR="00880C6F">
        <w:t>%</w:t>
      </w:r>
      <w:r>
        <w:t xml:space="preserve"> over the same period.</w:t>
      </w:r>
    </w:p>
    <w:p w14:paraId="05E69426" w14:textId="6F0839EB" w:rsidR="003523AD" w:rsidRDefault="003523AD" w:rsidP="003523AD">
      <w:pPr>
        <w:pStyle w:val="Caption"/>
      </w:pPr>
      <w:bookmarkStart w:id="213" w:name="_Ref145977177"/>
      <w:r w:rsidRPr="00C50B8F">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52</w:t>
      </w:r>
      <w:r w:rsidRPr="008270B3">
        <w:rPr>
          <w:b/>
        </w:rPr>
        <w:fldChar w:fldCharType="end"/>
      </w:r>
      <w:bookmarkEnd w:id="213"/>
      <w:r>
        <w:t xml:space="preserve"> </w:t>
      </w:r>
      <w:r w:rsidRPr="00B9579E">
        <w:t>Regulatory rate of return, 2024-25 to 2027–28</w:t>
      </w:r>
    </w:p>
    <w:tbl>
      <w:tblPr>
        <w:tblStyle w:val="GWWNumbertable"/>
        <w:tblW w:w="5000" w:type="pct"/>
        <w:tblLook w:val="04A0" w:firstRow="1" w:lastRow="0" w:firstColumn="1" w:lastColumn="0" w:noHBand="0" w:noVBand="1"/>
      </w:tblPr>
      <w:tblGrid>
        <w:gridCol w:w="4697"/>
        <w:gridCol w:w="1235"/>
        <w:gridCol w:w="1236"/>
        <w:gridCol w:w="1236"/>
        <w:gridCol w:w="1234"/>
      </w:tblGrid>
      <w:tr w:rsidR="008C3AF1" w:rsidRPr="006C12BA" w14:paraId="4345BE10" w14:textId="77777777" w:rsidTr="00C50B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349562D4" w14:textId="77777777" w:rsidR="008C3AF1" w:rsidRPr="006C12BA" w:rsidRDefault="008C3AF1" w:rsidP="006C12BA">
            <w:r w:rsidRPr="006C12BA">
              <w:t> </w:t>
            </w:r>
          </w:p>
        </w:tc>
        <w:tc>
          <w:tcPr>
            <w:tcW w:w="641" w:type="pct"/>
            <w:hideMark/>
          </w:tcPr>
          <w:p w14:paraId="61FD37F4"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2024-25</w:t>
            </w:r>
          </w:p>
        </w:tc>
        <w:tc>
          <w:tcPr>
            <w:tcW w:w="641" w:type="pct"/>
            <w:hideMark/>
          </w:tcPr>
          <w:p w14:paraId="4A587CC8"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2025-26</w:t>
            </w:r>
          </w:p>
        </w:tc>
        <w:tc>
          <w:tcPr>
            <w:tcW w:w="641" w:type="pct"/>
            <w:hideMark/>
          </w:tcPr>
          <w:p w14:paraId="3FB7E923"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2026-27</w:t>
            </w:r>
          </w:p>
        </w:tc>
        <w:tc>
          <w:tcPr>
            <w:tcW w:w="640" w:type="pct"/>
            <w:hideMark/>
          </w:tcPr>
          <w:p w14:paraId="0D77AD73"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2027-28</w:t>
            </w:r>
          </w:p>
        </w:tc>
      </w:tr>
      <w:tr w:rsidR="008C3AF1" w:rsidRPr="006C12BA" w14:paraId="63175196"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659948DF" w14:textId="77777777" w:rsidR="008C3AF1" w:rsidRPr="002E595B" w:rsidRDefault="008C3AF1" w:rsidP="006C12BA">
            <w:pPr>
              <w:rPr>
                <w:b w:val="0"/>
                <w:bCs/>
              </w:rPr>
            </w:pPr>
            <w:r w:rsidRPr="00C50B8F">
              <w:rPr>
                <w:b w:val="0"/>
              </w:rPr>
              <w:t>Cost of debt - nominal</w:t>
            </w:r>
          </w:p>
        </w:tc>
        <w:tc>
          <w:tcPr>
            <w:tcW w:w="641" w:type="pct"/>
            <w:hideMark/>
          </w:tcPr>
          <w:p w14:paraId="448D83C7"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1" w:type="pct"/>
            <w:hideMark/>
          </w:tcPr>
          <w:p w14:paraId="0405514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1" w:type="pct"/>
            <w:hideMark/>
          </w:tcPr>
          <w:p w14:paraId="5B0C889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0" w:type="pct"/>
            <w:hideMark/>
          </w:tcPr>
          <w:p w14:paraId="0AE089E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r>
      <w:tr w:rsidR="008C3AF1" w:rsidRPr="006C12BA" w14:paraId="0BC84222"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10A1CC33" w14:textId="77777777" w:rsidR="008C3AF1" w:rsidRPr="002E595B" w:rsidRDefault="008C3AF1" w:rsidP="006C12BA">
            <w:pPr>
              <w:rPr>
                <w:b w:val="0"/>
                <w:bCs/>
              </w:rPr>
            </w:pPr>
            <w:r w:rsidRPr="00C50B8F">
              <w:rPr>
                <w:b w:val="0"/>
              </w:rPr>
              <w:t>Cost of debt – 10-year trailing average</w:t>
            </w:r>
          </w:p>
        </w:tc>
        <w:tc>
          <w:tcPr>
            <w:tcW w:w="641" w:type="pct"/>
            <w:hideMark/>
          </w:tcPr>
          <w:p w14:paraId="2A2378CD"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4.83%</w:t>
            </w:r>
          </w:p>
        </w:tc>
        <w:tc>
          <w:tcPr>
            <w:tcW w:w="641" w:type="pct"/>
            <w:hideMark/>
          </w:tcPr>
          <w:p w14:paraId="2DDE13C2"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4.97%</w:t>
            </w:r>
          </w:p>
        </w:tc>
        <w:tc>
          <w:tcPr>
            <w:tcW w:w="641" w:type="pct"/>
            <w:hideMark/>
          </w:tcPr>
          <w:p w14:paraId="3BA8D7A9"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5.12%</w:t>
            </w:r>
          </w:p>
        </w:tc>
        <w:tc>
          <w:tcPr>
            <w:tcW w:w="640" w:type="pct"/>
            <w:hideMark/>
          </w:tcPr>
          <w:p w14:paraId="5766549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5.31%</w:t>
            </w:r>
          </w:p>
        </w:tc>
      </w:tr>
      <w:tr w:rsidR="008C3AF1" w:rsidRPr="006C12BA" w14:paraId="30B912A4"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1A206C" w:themeColor="text2"/>
            </w:tcBorders>
            <w:hideMark/>
          </w:tcPr>
          <w:p w14:paraId="1C9DCFF2" w14:textId="77777777" w:rsidR="008C3AF1" w:rsidRPr="002E595B" w:rsidRDefault="008C3AF1" w:rsidP="006C12BA">
            <w:pPr>
              <w:rPr>
                <w:b w:val="0"/>
                <w:bCs/>
              </w:rPr>
            </w:pPr>
            <w:r w:rsidRPr="00C50B8F">
              <w:rPr>
                <w:b w:val="0"/>
              </w:rPr>
              <w:t>Forecast inflation</w:t>
            </w:r>
          </w:p>
        </w:tc>
        <w:tc>
          <w:tcPr>
            <w:tcW w:w="0" w:type="pct"/>
            <w:tcBorders>
              <w:bottom w:val="single" w:sz="12" w:space="0" w:color="1A206C" w:themeColor="text2"/>
            </w:tcBorders>
            <w:hideMark/>
          </w:tcPr>
          <w:p w14:paraId="6D3F363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2D103B91"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62CA041D"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7B0CAF96"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r>
      <w:tr w:rsidR="008C3AF1" w:rsidRPr="006C12BA" w14:paraId="423FCBBB"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1A206C" w:themeColor="text2"/>
            </w:tcBorders>
            <w:hideMark/>
          </w:tcPr>
          <w:p w14:paraId="470CEEE0" w14:textId="77777777" w:rsidR="008C3AF1" w:rsidRPr="002E595B" w:rsidRDefault="008C3AF1" w:rsidP="006C12BA">
            <w:pPr>
              <w:rPr>
                <w:b w:val="0"/>
                <w:bCs/>
              </w:rPr>
            </w:pPr>
            <w:r w:rsidRPr="00C50B8F">
              <w:rPr>
                <w:b w:val="0"/>
              </w:rPr>
              <w:t>Cost of debt (real)</w:t>
            </w:r>
          </w:p>
        </w:tc>
        <w:tc>
          <w:tcPr>
            <w:tcW w:w="0" w:type="pct"/>
            <w:tcBorders>
              <w:top w:val="single" w:sz="12" w:space="0" w:color="1A206C" w:themeColor="text2"/>
            </w:tcBorders>
            <w:hideMark/>
          </w:tcPr>
          <w:p w14:paraId="5634E449"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1.29%</w:t>
            </w:r>
          </w:p>
        </w:tc>
        <w:tc>
          <w:tcPr>
            <w:tcW w:w="0" w:type="pct"/>
            <w:tcBorders>
              <w:top w:val="single" w:sz="12" w:space="0" w:color="1A206C" w:themeColor="text2"/>
            </w:tcBorders>
            <w:hideMark/>
          </w:tcPr>
          <w:p w14:paraId="4626A75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1.42%</w:t>
            </w:r>
          </w:p>
        </w:tc>
        <w:tc>
          <w:tcPr>
            <w:tcW w:w="0" w:type="pct"/>
            <w:tcBorders>
              <w:top w:val="single" w:sz="12" w:space="0" w:color="1A206C" w:themeColor="text2"/>
            </w:tcBorders>
            <w:hideMark/>
          </w:tcPr>
          <w:p w14:paraId="53EEF193"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1.56%</w:t>
            </w:r>
          </w:p>
        </w:tc>
        <w:tc>
          <w:tcPr>
            <w:tcW w:w="0" w:type="pct"/>
            <w:tcBorders>
              <w:top w:val="single" w:sz="12" w:space="0" w:color="1A206C" w:themeColor="text2"/>
            </w:tcBorders>
            <w:hideMark/>
          </w:tcPr>
          <w:p w14:paraId="10B671FE"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1.74%</w:t>
            </w:r>
          </w:p>
        </w:tc>
      </w:tr>
      <w:tr w:rsidR="008C3AF1" w:rsidRPr="006C12BA" w14:paraId="3AFC20A6"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24779017" w14:textId="77777777" w:rsidR="008C3AF1" w:rsidRPr="002E595B" w:rsidRDefault="008C3AF1" w:rsidP="006C12BA">
            <w:pPr>
              <w:rPr>
                <w:b w:val="0"/>
                <w:bCs/>
              </w:rPr>
            </w:pPr>
            <w:r w:rsidRPr="00C50B8F">
              <w:rPr>
                <w:b w:val="0"/>
              </w:rPr>
              <w:t>Return on equity (real)</w:t>
            </w:r>
          </w:p>
        </w:tc>
        <w:tc>
          <w:tcPr>
            <w:tcW w:w="641" w:type="pct"/>
            <w:hideMark/>
          </w:tcPr>
          <w:p w14:paraId="19DF7CF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1" w:type="pct"/>
            <w:hideMark/>
          </w:tcPr>
          <w:p w14:paraId="2DC951C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1" w:type="pct"/>
            <w:hideMark/>
          </w:tcPr>
          <w:p w14:paraId="1F529DB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0" w:type="pct"/>
            <w:hideMark/>
          </w:tcPr>
          <w:p w14:paraId="3F79B406"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r>
      <w:tr w:rsidR="008C3AF1" w:rsidRPr="006C12BA" w14:paraId="5BA9D5C8"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1A206C" w:themeColor="text2"/>
            </w:tcBorders>
            <w:hideMark/>
          </w:tcPr>
          <w:p w14:paraId="757D4B4E" w14:textId="77777777" w:rsidR="008C3AF1" w:rsidRPr="002E595B" w:rsidRDefault="008C3AF1" w:rsidP="006C12BA">
            <w:pPr>
              <w:rPr>
                <w:b w:val="0"/>
                <w:bCs/>
              </w:rPr>
            </w:pPr>
            <w:r w:rsidRPr="00C50B8F">
              <w:rPr>
                <w:b w:val="0"/>
              </w:rPr>
              <w:t>Gearing</w:t>
            </w:r>
          </w:p>
        </w:tc>
        <w:tc>
          <w:tcPr>
            <w:tcW w:w="0" w:type="pct"/>
            <w:tcBorders>
              <w:bottom w:val="single" w:sz="12" w:space="0" w:color="1A206C" w:themeColor="text2"/>
            </w:tcBorders>
            <w:hideMark/>
          </w:tcPr>
          <w:p w14:paraId="62BEE8B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50F2BE93"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0B85DE2E"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29A936D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r>
      <w:tr w:rsidR="008C3AF1" w:rsidRPr="006C12BA" w14:paraId="0B02E4F5"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1A206C" w:themeColor="text2"/>
            </w:tcBorders>
            <w:hideMark/>
          </w:tcPr>
          <w:p w14:paraId="1D7B4747" w14:textId="77777777" w:rsidR="008C3AF1" w:rsidRPr="006C12BA" w:rsidRDefault="008C3AF1" w:rsidP="006C12BA">
            <w:r w:rsidRPr="006C12BA">
              <w:t>Regulatory rate of return (real)</w:t>
            </w:r>
          </w:p>
        </w:tc>
        <w:tc>
          <w:tcPr>
            <w:tcW w:w="0" w:type="pct"/>
            <w:tcBorders>
              <w:top w:val="single" w:sz="12" w:space="0" w:color="1A206C" w:themeColor="text2"/>
            </w:tcBorders>
            <w:hideMark/>
          </w:tcPr>
          <w:p w14:paraId="1D6A3EAB"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2.41%</w:t>
            </w:r>
          </w:p>
        </w:tc>
        <w:tc>
          <w:tcPr>
            <w:tcW w:w="0" w:type="pct"/>
            <w:tcBorders>
              <w:top w:val="single" w:sz="12" w:space="0" w:color="1A206C" w:themeColor="text2"/>
            </w:tcBorders>
            <w:hideMark/>
          </w:tcPr>
          <w:p w14:paraId="0FF2F1B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2.49%</w:t>
            </w:r>
          </w:p>
        </w:tc>
        <w:tc>
          <w:tcPr>
            <w:tcW w:w="0" w:type="pct"/>
            <w:tcBorders>
              <w:top w:val="single" w:sz="12" w:space="0" w:color="1A206C" w:themeColor="text2"/>
            </w:tcBorders>
            <w:hideMark/>
          </w:tcPr>
          <w:p w14:paraId="76302A9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2.58%</w:t>
            </w:r>
          </w:p>
        </w:tc>
        <w:tc>
          <w:tcPr>
            <w:tcW w:w="0" w:type="pct"/>
            <w:tcBorders>
              <w:top w:val="single" w:sz="12" w:space="0" w:color="1A206C" w:themeColor="text2"/>
            </w:tcBorders>
            <w:hideMark/>
          </w:tcPr>
          <w:p w14:paraId="30DF8BC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2.69%</w:t>
            </w:r>
          </w:p>
        </w:tc>
      </w:tr>
    </w:tbl>
    <w:p w14:paraId="6FAB0B91" w14:textId="76B28811" w:rsidR="00035C77" w:rsidRDefault="007E0BE4" w:rsidP="00C2059E">
      <w:r w:rsidRPr="007E0BE4">
        <w:t xml:space="preserve">An outline of the value of the return on assets (a component of the revenue requirement) for each year from 2024-25 to 2032-33 is provided in </w:t>
      </w:r>
      <w:r w:rsidR="002E595B" w:rsidRPr="0078186C">
        <w:rPr>
          <w:b/>
          <w:bCs/>
          <w:highlight w:val="yellow"/>
        </w:rPr>
        <w:fldChar w:fldCharType="begin"/>
      </w:r>
      <w:r w:rsidR="002E595B" w:rsidRPr="0078186C">
        <w:rPr>
          <w:b/>
          <w:bCs/>
        </w:rPr>
        <w:instrText xml:space="preserve"> REF _Ref145977231 \h </w:instrText>
      </w:r>
      <w:r w:rsidR="003F2BF6">
        <w:rPr>
          <w:b/>
          <w:bCs/>
          <w:highlight w:val="yellow"/>
        </w:rPr>
        <w:instrText xml:space="preserve"> \* MERGEFORMAT</w:instrText>
      </w:r>
      <w:r w:rsidR="003F2BF6" w:rsidRPr="007E2492">
        <w:rPr>
          <w:b/>
          <w:highlight w:val="yellow"/>
        </w:rPr>
        <w:instrText xml:space="preserve"> </w:instrText>
      </w:r>
      <w:r w:rsidR="002E595B" w:rsidRPr="0078186C">
        <w:rPr>
          <w:b/>
          <w:bCs/>
          <w:highlight w:val="yellow"/>
        </w:rPr>
      </w:r>
      <w:r w:rsidR="002E595B" w:rsidRPr="0078186C">
        <w:rPr>
          <w:b/>
          <w:bCs/>
          <w:highlight w:val="yellow"/>
        </w:rPr>
        <w:fldChar w:fldCharType="separate"/>
      </w:r>
      <w:r w:rsidR="003B42C6" w:rsidRPr="003B42C6">
        <w:rPr>
          <w:b/>
          <w:bCs/>
        </w:rPr>
        <w:t xml:space="preserve">Table </w:t>
      </w:r>
      <w:r w:rsidR="003B42C6" w:rsidRPr="003B42C6">
        <w:rPr>
          <w:b/>
          <w:bCs/>
          <w:noProof/>
        </w:rPr>
        <w:t>53</w:t>
      </w:r>
      <w:r w:rsidR="002E595B" w:rsidRPr="0078186C">
        <w:rPr>
          <w:b/>
          <w:bCs/>
          <w:highlight w:val="yellow"/>
        </w:rPr>
        <w:fldChar w:fldCharType="end"/>
      </w:r>
      <w:r w:rsidR="003523AD">
        <w:t xml:space="preserve"> </w:t>
      </w:r>
      <w:r w:rsidR="005010A9">
        <w:t>and</w:t>
      </w:r>
      <w:r w:rsidRPr="007E0BE4">
        <w:t xml:space="preserve"> </w:t>
      </w:r>
      <w:r w:rsidR="007602AB">
        <w:fldChar w:fldCharType="begin"/>
      </w:r>
      <w:r w:rsidR="007602AB">
        <w:rPr>
          <w:highlight w:val="yellow"/>
        </w:rPr>
        <w:instrText xml:space="preserve"> REF _Ref145977256 \h </w:instrText>
      </w:r>
      <w:r w:rsidR="003F2BF6">
        <w:instrText xml:space="preserve"> \* MERGEFORMAT </w:instrText>
      </w:r>
      <w:r w:rsidR="007602AB">
        <w:fldChar w:fldCharType="separate"/>
      </w:r>
      <w:r w:rsidR="003B42C6" w:rsidRPr="00B8216E">
        <w:rPr>
          <w:b/>
        </w:rPr>
        <w:t xml:space="preserve">Table </w:t>
      </w:r>
      <w:r w:rsidR="003B42C6" w:rsidRPr="003B42C6">
        <w:rPr>
          <w:b/>
          <w:bCs/>
          <w:noProof/>
        </w:rPr>
        <w:t>54</w:t>
      </w:r>
      <w:r w:rsidR="007602AB">
        <w:fldChar w:fldCharType="end"/>
      </w:r>
      <w:r w:rsidR="007602AB">
        <w:t>.</w:t>
      </w:r>
    </w:p>
    <w:p w14:paraId="11199DF6" w14:textId="0B0BBE4A" w:rsidR="003523AD" w:rsidRDefault="003523AD" w:rsidP="003523AD">
      <w:pPr>
        <w:pStyle w:val="Caption"/>
      </w:pPr>
      <w:bookmarkStart w:id="214" w:name="_Ref145977231"/>
      <w:r w:rsidRPr="00F84003">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53</w:t>
      </w:r>
      <w:r w:rsidRPr="008270B3">
        <w:rPr>
          <w:b/>
        </w:rPr>
        <w:fldChar w:fldCharType="end"/>
      </w:r>
      <w:bookmarkEnd w:id="214"/>
      <w:r>
        <w:t xml:space="preserve"> </w:t>
      </w:r>
      <w:r w:rsidRPr="004D005A">
        <w:t>Return on assets, 2024-25 to 2027–28 ($million, 2023–24)</w:t>
      </w:r>
    </w:p>
    <w:tbl>
      <w:tblPr>
        <w:tblStyle w:val="GWWDefaulttable"/>
        <w:tblW w:w="5000" w:type="pct"/>
        <w:tblLook w:val="04A0" w:firstRow="1" w:lastRow="0" w:firstColumn="1" w:lastColumn="0" w:noHBand="0" w:noVBand="1"/>
      </w:tblPr>
      <w:tblGrid>
        <w:gridCol w:w="2871"/>
        <w:gridCol w:w="1354"/>
        <w:gridCol w:w="1354"/>
        <w:gridCol w:w="1353"/>
        <w:gridCol w:w="1353"/>
        <w:gridCol w:w="1353"/>
      </w:tblGrid>
      <w:tr w:rsidR="005010A9" w:rsidRPr="006C12BA" w14:paraId="6976D513" w14:textId="77777777" w:rsidTr="008270B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484B7B52" w14:textId="77777777" w:rsidR="005010A9" w:rsidRPr="006C12BA" w:rsidRDefault="005010A9" w:rsidP="006C12BA">
            <w:r w:rsidRPr="006C12BA">
              <w:t> </w:t>
            </w:r>
          </w:p>
        </w:tc>
        <w:tc>
          <w:tcPr>
            <w:tcW w:w="702" w:type="pct"/>
            <w:vAlign w:val="center"/>
            <w:hideMark/>
          </w:tcPr>
          <w:p w14:paraId="12C6D734"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02" w:type="pct"/>
            <w:vAlign w:val="center"/>
            <w:hideMark/>
          </w:tcPr>
          <w:p w14:paraId="713A9445"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02" w:type="pct"/>
            <w:vAlign w:val="center"/>
            <w:hideMark/>
          </w:tcPr>
          <w:p w14:paraId="6F57059D"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02" w:type="pct"/>
            <w:vAlign w:val="center"/>
            <w:hideMark/>
          </w:tcPr>
          <w:p w14:paraId="787F3D43"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02" w:type="pct"/>
            <w:vAlign w:val="center"/>
            <w:hideMark/>
          </w:tcPr>
          <w:p w14:paraId="445E1C77"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BB624F" w:rsidRPr="006C12BA" w14:paraId="2464AA09"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0ED91D8F" w14:textId="77777777" w:rsidR="00BB624F" w:rsidRPr="002E595B" w:rsidRDefault="00BB624F" w:rsidP="00BB624F">
            <w:pPr>
              <w:rPr>
                <w:b w:val="0"/>
                <w:bCs/>
              </w:rPr>
            </w:pPr>
            <w:r w:rsidRPr="00F84003">
              <w:rPr>
                <w:b w:val="0"/>
              </w:rPr>
              <w:t>Return on existing assets</w:t>
            </w:r>
          </w:p>
        </w:tc>
        <w:tc>
          <w:tcPr>
            <w:tcW w:w="702" w:type="pct"/>
            <w:vAlign w:val="center"/>
            <w:hideMark/>
          </w:tcPr>
          <w:p w14:paraId="3A4FC0C1" w14:textId="4D4E8E11"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75.10</w:t>
            </w:r>
          </w:p>
        </w:tc>
        <w:tc>
          <w:tcPr>
            <w:tcW w:w="702" w:type="pct"/>
            <w:vAlign w:val="center"/>
            <w:hideMark/>
          </w:tcPr>
          <w:p w14:paraId="20A282BC" w14:textId="59AD082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75.31</w:t>
            </w:r>
          </w:p>
        </w:tc>
        <w:tc>
          <w:tcPr>
            <w:tcW w:w="702" w:type="pct"/>
            <w:vAlign w:val="center"/>
            <w:hideMark/>
          </w:tcPr>
          <w:p w14:paraId="157E18E0" w14:textId="5E1EA22C"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75.66</w:t>
            </w:r>
          </w:p>
        </w:tc>
        <w:tc>
          <w:tcPr>
            <w:tcW w:w="702" w:type="pct"/>
            <w:vAlign w:val="center"/>
            <w:hideMark/>
          </w:tcPr>
          <w:p w14:paraId="218D1428" w14:textId="5840624D"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76.43</w:t>
            </w:r>
          </w:p>
        </w:tc>
        <w:tc>
          <w:tcPr>
            <w:tcW w:w="702" w:type="pct"/>
            <w:vAlign w:val="center"/>
            <w:hideMark/>
          </w:tcPr>
          <w:p w14:paraId="3C4B00A6" w14:textId="3908088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302.50</w:t>
            </w:r>
          </w:p>
        </w:tc>
      </w:tr>
      <w:tr w:rsidR="00BB624F" w:rsidRPr="006C12BA" w14:paraId="60FAA2F9"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44DBEAEB" w14:textId="77777777" w:rsidR="00BB624F" w:rsidRPr="002E595B" w:rsidRDefault="00BB624F" w:rsidP="00BB624F">
            <w:pPr>
              <w:rPr>
                <w:b w:val="0"/>
                <w:bCs/>
              </w:rPr>
            </w:pPr>
            <w:r w:rsidRPr="00F84003">
              <w:rPr>
                <w:b w:val="0"/>
              </w:rPr>
              <w:lastRenderedPageBreak/>
              <w:t>Return on new assets</w:t>
            </w:r>
          </w:p>
        </w:tc>
        <w:tc>
          <w:tcPr>
            <w:tcW w:w="702" w:type="pct"/>
            <w:vAlign w:val="center"/>
            <w:hideMark/>
          </w:tcPr>
          <w:p w14:paraId="43D0166F" w14:textId="043BF3BF"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8.98</w:t>
            </w:r>
          </w:p>
        </w:tc>
        <w:tc>
          <w:tcPr>
            <w:tcW w:w="702" w:type="pct"/>
            <w:vAlign w:val="center"/>
            <w:hideMark/>
          </w:tcPr>
          <w:p w14:paraId="20F96ABB" w14:textId="0B028B8E"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15.66</w:t>
            </w:r>
          </w:p>
        </w:tc>
        <w:tc>
          <w:tcPr>
            <w:tcW w:w="702" w:type="pct"/>
            <w:vAlign w:val="center"/>
            <w:hideMark/>
          </w:tcPr>
          <w:p w14:paraId="1B804993" w14:textId="7BB07DA8"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22.73</w:t>
            </w:r>
          </w:p>
        </w:tc>
        <w:tc>
          <w:tcPr>
            <w:tcW w:w="702" w:type="pct"/>
            <w:vAlign w:val="center"/>
            <w:hideMark/>
          </w:tcPr>
          <w:p w14:paraId="23934460" w14:textId="3CD1834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29.85</w:t>
            </w:r>
          </w:p>
        </w:tc>
        <w:tc>
          <w:tcPr>
            <w:tcW w:w="702" w:type="pct"/>
            <w:vAlign w:val="center"/>
            <w:hideMark/>
          </w:tcPr>
          <w:p w14:paraId="63B2E4A6" w14:textId="4CA60E56"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77.22</w:t>
            </w:r>
          </w:p>
        </w:tc>
      </w:tr>
      <w:tr w:rsidR="00BB624F" w:rsidRPr="006C12BA" w14:paraId="17C0145D"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0A4B0F2A" w14:textId="77777777" w:rsidR="00BB624F" w:rsidRPr="006C12BA" w:rsidRDefault="00BB624F" w:rsidP="00BB624F">
            <w:r w:rsidRPr="006C12BA">
              <w:t>Total return on assets</w:t>
            </w:r>
          </w:p>
        </w:tc>
        <w:tc>
          <w:tcPr>
            <w:tcW w:w="702" w:type="pct"/>
            <w:vAlign w:val="center"/>
            <w:hideMark/>
          </w:tcPr>
          <w:p w14:paraId="7C917687" w14:textId="1980E764"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84.08</w:t>
            </w:r>
          </w:p>
        </w:tc>
        <w:tc>
          <w:tcPr>
            <w:tcW w:w="702" w:type="pct"/>
            <w:vAlign w:val="center"/>
            <w:hideMark/>
          </w:tcPr>
          <w:p w14:paraId="737D02B0" w14:textId="01399B42"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90.96</w:t>
            </w:r>
          </w:p>
        </w:tc>
        <w:tc>
          <w:tcPr>
            <w:tcW w:w="702" w:type="pct"/>
            <w:vAlign w:val="center"/>
            <w:hideMark/>
          </w:tcPr>
          <w:p w14:paraId="1DDD1EA3" w14:textId="1A05E1BC"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98.40</w:t>
            </w:r>
          </w:p>
        </w:tc>
        <w:tc>
          <w:tcPr>
            <w:tcW w:w="702" w:type="pct"/>
            <w:vAlign w:val="center"/>
            <w:hideMark/>
          </w:tcPr>
          <w:p w14:paraId="46ED2111" w14:textId="6EB1A9F5"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106.28</w:t>
            </w:r>
          </w:p>
        </w:tc>
        <w:tc>
          <w:tcPr>
            <w:tcW w:w="702" w:type="pct"/>
            <w:vAlign w:val="center"/>
            <w:hideMark/>
          </w:tcPr>
          <w:p w14:paraId="121A5874" w14:textId="30D21E58"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379.73</w:t>
            </w:r>
          </w:p>
        </w:tc>
      </w:tr>
    </w:tbl>
    <w:p w14:paraId="62AA2E54" w14:textId="77777777" w:rsidR="005010A9" w:rsidRDefault="005010A9" w:rsidP="00A26ABE"/>
    <w:p w14:paraId="04D0C116" w14:textId="7D750B3C" w:rsidR="003523AD" w:rsidRDefault="003523AD" w:rsidP="008305DD">
      <w:pPr>
        <w:pStyle w:val="Caption"/>
      </w:pPr>
      <w:bookmarkStart w:id="215" w:name="_Ref145977256"/>
      <w:r w:rsidRPr="00B8216E">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54</w:t>
      </w:r>
      <w:r w:rsidRPr="008270B3">
        <w:rPr>
          <w:b/>
        </w:rPr>
        <w:fldChar w:fldCharType="end"/>
      </w:r>
      <w:bookmarkEnd w:id="215"/>
      <w:r>
        <w:t xml:space="preserve"> </w:t>
      </w:r>
      <w:bookmarkStart w:id="216" w:name="_Ref145977245"/>
      <w:r w:rsidRPr="00681E96">
        <w:t>Return on assets, 2028-29 to 2032–33 ($million, 2023–24)</w:t>
      </w:r>
      <w:bookmarkEnd w:id="216"/>
    </w:p>
    <w:tbl>
      <w:tblPr>
        <w:tblStyle w:val="GWWDefaulttable"/>
        <w:tblW w:w="5000" w:type="pct"/>
        <w:tblLook w:val="04A0" w:firstRow="1" w:lastRow="0" w:firstColumn="1" w:lastColumn="0" w:noHBand="0" w:noVBand="1"/>
      </w:tblPr>
      <w:tblGrid>
        <w:gridCol w:w="2835"/>
        <w:gridCol w:w="1361"/>
        <w:gridCol w:w="1361"/>
        <w:gridCol w:w="1361"/>
        <w:gridCol w:w="1361"/>
        <w:gridCol w:w="1359"/>
      </w:tblGrid>
      <w:tr w:rsidR="00EE34F0" w:rsidRPr="006C12BA" w14:paraId="69650FB4" w14:textId="77777777" w:rsidTr="00F8400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08479788" w14:textId="77777777" w:rsidR="00EE34F0" w:rsidRPr="006C12BA" w:rsidRDefault="00EE34F0" w:rsidP="006C12BA">
            <w:r w:rsidRPr="006C12BA">
              <w:t> </w:t>
            </w:r>
          </w:p>
        </w:tc>
        <w:tc>
          <w:tcPr>
            <w:tcW w:w="706" w:type="pct"/>
            <w:vAlign w:val="center"/>
            <w:hideMark/>
          </w:tcPr>
          <w:p w14:paraId="3D8CF1E8"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06" w:type="pct"/>
            <w:vAlign w:val="center"/>
            <w:hideMark/>
          </w:tcPr>
          <w:p w14:paraId="63291F48"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06" w:type="pct"/>
            <w:vAlign w:val="center"/>
            <w:hideMark/>
          </w:tcPr>
          <w:p w14:paraId="3BA1EA5E"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06" w:type="pct"/>
            <w:vAlign w:val="center"/>
            <w:hideMark/>
          </w:tcPr>
          <w:p w14:paraId="4DA8F07D"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05" w:type="pct"/>
            <w:vAlign w:val="center"/>
            <w:hideMark/>
          </w:tcPr>
          <w:p w14:paraId="651ECB2B"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BB624F" w:rsidRPr="006C12BA" w14:paraId="5B565C1C"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6518597C" w14:textId="77777777" w:rsidR="00BB624F" w:rsidRPr="002E595B" w:rsidRDefault="00BB624F" w:rsidP="00BB624F">
            <w:pPr>
              <w:rPr>
                <w:b w:val="0"/>
                <w:bCs/>
              </w:rPr>
            </w:pPr>
            <w:r w:rsidRPr="00F84003">
              <w:rPr>
                <w:b w:val="0"/>
              </w:rPr>
              <w:t>Return on existing assets</w:t>
            </w:r>
          </w:p>
        </w:tc>
        <w:tc>
          <w:tcPr>
            <w:tcW w:w="706" w:type="pct"/>
            <w:hideMark/>
          </w:tcPr>
          <w:p w14:paraId="722DD5DE" w14:textId="3B125F6E"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77.61</w:t>
            </w:r>
          </w:p>
        </w:tc>
        <w:tc>
          <w:tcPr>
            <w:tcW w:w="706" w:type="pct"/>
            <w:hideMark/>
          </w:tcPr>
          <w:p w14:paraId="63728E19" w14:textId="225FDDE1"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78.38</w:t>
            </w:r>
          </w:p>
        </w:tc>
        <w:tc>
          <w:tcPr>
            <w:tcW w:w="706" w:type="pct"/>
            <w:hideMark/>
          </w:tcPr>
          <w:p w14:paraId="3CC23704" w14:textId="07CDF64D"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81.08</w:t>
            </w:r>
          </w:p>
        </w:tc>
        <w:tc>
          <w:tcPr>
            <w:tcW w:w="706" w:type="pct"/>
            <w:hideMark/>
          </w:tcPr>
          <w:p w14:paraId="01C55771" w14:textId="4306D6B4"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84.00</w:t>
            </w:r>
          </w:p>
        </w:tc>
        <w:tc>
          <w:tcPr>
            <w:tcW w:w="705" w:type="pct"/>
            <w:hideMark/>
          </w:tcPr>
          <w:p w14:paraId="0AB84C5E" w14:textId="370D83AF"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85.36</w:t>
            </w:r>
          </w:p>
        </w:tc>
      </w:tr>
      <w:tr w:rsidR="00BB624F" w:rsidRPr="006C12BA" w14:paraId="723C027E"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1B188438" w14:textId="77777777" w:rsidR="00BB624F" w:rsidRPr="002E595B" w:rsidRDefault="00BB624F" w:rsidP="00BB624F">
            <w:pPr>
              <w:rPr>
                <w:b w:val="0"/>
                <w:bCs/>
              </w:rPr>
            </w:pPr>
            <w:r w:rsidRPr="00F84003">
              <w:rPr>
                <w:b w:val="0"/>
              </w:rPr>
              <w:t>Return on new assets</w:t>
            </w:r>
          </w:p>
        </w:tc>
        <w:tc>
          <w:tcPr>
            <w:tcW w:w="706" w:type="pct"/>
            <w:hideMark/>
          </w:tcPr>
          <w:p w14:paraId="16950BAC" w14:textId="37002455"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37.24</w:t>
            </w:r>
          </w:p>
        </w:tc>
        <w:tc>
          <w:tcPr>
            <w:tcW w:w="706" w:type="pct"/>
            <w:hideMark/>
          </w:tcPr>
          <w:p w14:paraId="6EED8938" w14:textId="66599BA6"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45.98</w:t>
            </w:r>
          </w:p>
        </w:tc>
        <w:tc>
          <w:tcPr>
            <w:tcW w:w="706" w:type="pct"/>
            <w:hideMark/>
          </w:tcPr>
          <w:p w14:paraId="29B60AFA" w14:textId="3FB8A23A"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57.19</w:t>
            </w:r>
          </w:p>
        </w:tc>
        <w:tc>
          <w:tcPr>
            <w:tcW w:w="706" w:type="pct"/>
            <w:hideMark/>
          </w:tcPr>
          <w:p w14:paraId="47CFE65F" w14:textId="599D157D"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69.54</w:t>
            </w:r>
          </w:p>
        </w:tc>
        <w:tc>
          <w:tcPr>
            <w:tcW w:w="705" w:type="pct"/>
            <w:hideMark/>
          </w:tcPr>
          <w:p w14:paraId="0DC5A447" w14:textId="2727B40B"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80.76</w:t>
            </w:r>
          </w:p>
        </w:tc>
      </w:tr>
      <w:tr w:rsidR="00BB624F" w:rsidRPr="006C12BA" w14:paraId="3F74597A"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03389FA7" w14:textId="77777777" w:rsidR="00BB624F" w:rsidRPr="006C12BA" w:rsidRDefault="00BB624F" w:rsidP="00BB624F">
            <w:r w:rsidRPr="006C12BA">
              <w:t>Total return on assets</w:t>
            </w:r>
          </w:p>
        </w:tc>
        <w:tc>
          <w:tcPr>
            <w:tcW w:w="706" w:type="pct"/>
            <w:hideMark/>
          </w:tcPr>
          <w:p w14:paraId="2E517128" w14:textId="6C5C0874" w:rsidR="00BB624F" w:rsidRPr="00B43093" w:rsidRDefault="00BB624F"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rPr>
              <w:t>114.</w:t>
            </w:r>
            <w:r w:rsidR="00B43093" w:rsidRPr="00B43093">
              <w:rPr>
                <w:b/>
                <w:bCs/>
              </w:rPr>
              <w:t>85</w:t>
            </w:r>
          </w:p>
        </w:tc>
        <w:tc>
          <w:tcPr>
            <w:tcW w:w="706" w:type="pct"/>
            <w:hideMark/>
          </w:tcPr>
          <w:p w14:paraId="056EDAD0" w14:textId="716D56AB"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124.36</w:t>
            </w:r>
          </w:p>
        </w:tc>
        <w:tc>
          <w:tcPr>
            <w:tcW w:w="706" w:type="pct"/>
            <w:hideMark/>
          </w:tcPr>
          <w:p w14:paraId="08CD086D" w14:textId="224F6952"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138.28</w:t>
            </w:r>
          </w:p>
        </w:tc>
        <w:tc>
          <w:tcPr>
            <w:tcW w:w="706" w:type="pct"/>
            <w:hideMark/>
          </w:tcPr>
          <w:p w14:paraId="3CC8ED2D" w14:textId="154046B5"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153.54</w:t>
            </w:r>
          </w:p>
        </w:tc>
        <w:tc>
          <w:tcPr>
            <w:tcW w:w="705" w:type="pct"/>
            <w:hideMark/>
          </w:tcPr>
          <w:p w14:paraId="033FBE4E" w14:textId="415D0B14"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166.12</w:t>
            </w:r>
          </w:p>
        </w:tc>
      </w:tr>
    </w:tbl>
    <w:p w14:paraId="1E20E0A1" w14:textId="77777777" w:rsidR="005010A9" w:rsidRPr="00FE388D" w:rsidRDefault="005010A9" w:rsidP="00A26ABE"/>
    <w:p w14:paraId="598E1A70" w14:textId="77777777" w:rsidR="00B443C4" w:rsidRDefault="009F50DD" w:rsidP="00C6645D">
      <w:pPr>
        <w:pStyle w:val="Heading2"/>
      </w:pPr>
      <w:bookmarkStart w:id="217" w:name="_Toc146004881"/>
      <w:bookmarkStart w:id="218" w:name="_Toc146004769"/>
      <w:bookmarkStart w:id="219" w:name="_Toc146746715"/>
      <w:r w:rsidRPr="00736243">
        <w:t>Tax allowance</w:t>
      </w:r>
      <w:bookmarkEnd w:id="217"/>
      <w:bookmarkEnd w:id="218"/>
      <w:bookmarkEnd w:id="219"/>
    </w:p>
    <w:p w14:paraId="3734DEBF" w14:textId="395066DB" w:rsidR="008D2B2D" w:rsidRDefault="008D2B2D" w:rsidP="008D2B2D">
      <w:r>
        <w:t xml:space="preserve">The regulated return on assets is expressed in post-tax terms rather than a tax adjustment being included in the specification. </w:t>
      </w:r>
      <w:r w:rsidR="00996FB3">
        <w:t>Therefore</w:t>
      </w:r>
      <w:r>
        <w:t>, it is necessary to include an estimate of tax liabilities in the revenue requirement.</w:t>
      </w:r>
    </w:p>
    <w:p w14:paraId="02520588" w14:textId="50B28FDA" w:rsidR="008D2B2D" w:rsidRDefault="008D2B2D" w:rsidP="008D2B2D">
      <w:r w:rsidRPr="002B226C">
        <w:t xml:space="preserve">The tax liability has been calculated in accordance with the </w:t>
      </w:r>
      <w:r w:rsidR="00712EC6" w:rsidRPr="002B226C">
        <w:t xml:space="preserve">ESC’s </w:t>
      </w:r>
      <w:r w:rsidRPr="002B226C">
        <w:t xml:space="preserve">guidance paper. </w:t>
      </w:r>
      <w:r w:rsidR="000D265C">
        <w:t>Our</w:t>
      </w:r>
      <w:r w:rsidRPr="002B226C">
        <w:t xml:space="preserve"> </w:t>
      </w:r>
      <w:proofErr w:type="spellStart"/>
      <w:r w:rsidR="000D265C">
        <w:t>O</w:t>
      </w:r>
      <w:r w:rsidRPr="002B226C">
        <w:t>ur</w:t>
      </w:r>
      <w:proofErr w:type="spellEnd"/>
      <w:r w:rsidRPr="002B226C">
        <w:t xml:space="preserve"> proposed tax allowance for the next regulatory period </w:t>
      </w:r>
      <w:r w:rsidRPr="00AF7C66">
        <w:t>is $</w:t>
      </w:r>
      <w:r w:rsidR="00B62E06" w:rsidRPr="00AF7C66">
        <w:t>1</w:t>
      </w:r>
      <w:r w:rsidR="00D900C2" w:rsidRPr="00AF7C66">
        <w:t>38</w:t>
      </w:r>
      <w:r w:rsidR="00B62E06" w:rsidRPr="00AF7C66">
        <w:t>.</w:t>
      </w:r>
      <w:r w:rsidR="002B226C" w:rsidRPr="00AF7C66">
        <w:t>7</w:t>
      </w:r>
      <w:r w:rsidRPr="002B226C">
        <w:t xml:space="preserve"> million. This is the estimate determined in the </w:t>
      </w:r>
      <w:r w:rsidR="00712EC6" w:rsidRPr="002B226C">
        <w:t xml:space="preserve">ESC’s </w:t>
      </w:r>
      <w:r w:rsidRPr="002B226C">
        <w:t>financial model and assumes the corporate tax rate</w:t>
      </w:r>
      <w:r>
        <w:t xml:space="preserve"> remains at 30% for the duration of the next regulatory period.</w:t>
      </w:r>
    </w:p>
    <w:p w14:paraId="1FAAD21A" w14:textId="2FC987CD" w:rsidR="008D2B2D" w:rsidRDefault="008D2B2D" w:rsidP="00663905">
      <w:r>
        <w:t>Based on the precedent</w:t>
      </w:r>
      <w:r w:rsidR="003E294A">
        <w:t>,</w:t>
      </w:r>
      <w:r w:rsidR="0084356A">
        <w:rPr>
          <w:rStyle w:val="EndnoteReference"/>
        </w:rPr>
        <w:endnoteReference w:id="16"/>
      </w:r>
      <w:r>
        <w:t xml:space="preserve"> </w:t>
      </w:r>
      <w:r w:rsidR="00A945C8">
        <w:t>it</w:t>
      </w:r>
      <w:r w:rsidDel="00A945C8">
        <w:t xml:space="preserve"> is </w:t>
      </w:r>
      <w:r>
        <w:t>possib</w:t>
      </w:r>
      <w:r w:rsidR="00A945C8">
        <w:t>le</w:t>
      </w:r>
      <w:r>
        <w:t xml:space="preserve"> that an application to the Australian Taxation Office (ATO) to exclude gifted assets from taxable revenue would be supported. If supported, future taxable revenue would exclude gifted assets from taxable revenue, subsequently reducing taxable profit and delaying the payment of tax.</w:t>
      </w:r>
    </w:p>
    <w:p w14:paraId="59A94A5A" w14:textId="243EEC9F" w:rsidR="0012167F" w:rsidRDefault="0012167F" w:rsidP="00663905">
      <w:r w:rsidRPr="0012167F">
        <w:t xml:space="preserve">If, </w:t>
      </w:r>
      <w:proofErr w:type="gramStart"/>
      <w:r w:rsidRPr="0012167F">
        <w:t>during the course of</w:t>
      </w:r>
      <w:proofErr w:type="gramEnd"/>
      <w:r w:rsidRPr="0012167F">
        <w:t xml:space="preserve"> the 2024-28 period, there are changes associated with taxation status of either new customer contributions or developer gifted assets, we will assess the impact and in the case of there being a benefit, will consider passing that benefit to customers through lower prices.</w:t>
      </w:r>
    </w:p>
    <w:p w14:paraId="53D7F543" w14:textId="7C667697" w:rsidR="00AF2E0B" w:rsidRDefault="00B443C4" w:rsidP="00C6645D">
      <w:pPr>
        <w:pStyle w:val="Heading2"/>
      </w:pPr>
      <w:bookmarkStart w:id="220" w:name="_Toc146004882"/>
      <w:bookmarkStart w:id="221" w:name="_Toc146004770"/>
      <w:bookmarkStart w:id="222" w:name="_Toc146746716"/>
      <w:r>
        <w:t>Financial position</w:t>
      </w:r>
      <w:bookmarkEnd w:id="220"/>
      <w:bookmarkEnd w:id="221"/>
      <w:bookmarkEnd w:id="222"/>
    </w:p>
    <w:p w14:paraId="320F0F19" w14:textId="7192364D" w:rsidR="008C5E50" w:rsidRDefault="000F5D64" w:rsidP="00B64F09">
      <w:r w:rsidRPr="000F5D64">
        <w:t xml:space="preserve">Our financial model provides outcomes for the four key financial indicators, </w:t>
      </w:r>
      <w:r w:rsidRPr="000F5D64" w:rsidDel="00005789">
        <w:t>and these ar</w:t>
      </w:r>
      <w:r w:rsidRPr="000F5D64">
        <w:t>e summarised in</w:t>
      </w:r>
      <w:r w:rsidR="0000376F">
        <w:t xml:space="preserve"> </w:t>
      </w:r>
      <w:r w:rsidR="00175F12">
        <w:fldChar w:fldCharType="begin"/>
      </w:r>
      <w:r w:rsidR="00175F12">
        <w:instrText xml:space="preserve"> REF _Ref146031146 \h </w:instrText>
      </w:r>
      <w:r w:rsidR="00C47E9D">
        <w:instrText xml:space="preserve"> \* MERGEFORMAT </w:instrText>
      </w:r>
      <w:r w:rsidR="00175F12">
        <w:fldChar w:fldCharType="separate"/>
      </w:r>
      <w:r w:rsidR="003B42C6" w:rsidRPr="006169C0">
        <w:rPr>
          <w:b/>
        </w:rPr>
        <w:t xml:space="preserve">Table </w:t>
      </w:r>
      <w:r w:rsidR="003B42C6" w:rsidRPr="003B42C6">
        <w:rPr>
          <w:b/>
          <w:bCs/>
          <w:noProof/>
        </w:rPr>
        <w:t>55</w:t>
      </w:r>
      <w:r w:rsidR="00175F12">
        <w:fldChar w:fldCharType="end"/>
      </w:r>
      <w:r w:rsidRPr="000F5D64">
        <w:t xml:space="preserve">. Except for </w:t>
      </w:r>
      <w:r w:rsidR="00D77A1D">
        <w:t xml:space="preserve">the </w:t>
      </w:r>
      <w:r w:rsidRPr="000F5D64">
        <w:t>interest cover</w:t>
      </w:r>
      <w:r w:rsidR="00D77A1D">
        <w:t xml:space="preserve"> ratio</w:t>
      </w:r>
      <w:r w:rsidRPr="000F5D64">
        <w:t xml:space="preserve">, the remaining three financial indicators breach the </w:t>
      </w:r>
      <w:r w:rsidR="00005789">
        <w:t>ESC</w:t>
      </w:r>
      <w:r w:rsidR="00005789" w:rsidRPr="000F5D64">
        <w:t xml:space="preserve">’s </w:t>
      </w:r>
      <w:r w:rsidRPr="000F5D64">
        <w:t xml:space="preserve">benchmark requirements for all years </w:t>
      </w:r>
      <w:r w:rsidR="00735B3D">
        <w:t>of</w:t>
      </w:r>
      <w:r w:rsidR="00735B3D" w:rsidRPr="000F5D64">
        <w:t xml:space="preserve"> </w:t>
      </w:r>
      <w:r w:rsidRPr="000F5D64">
        <w:t>the regulatory period 2024-25 to 2027-28.</w:t>
      </w:r>
      <w:r w:rsidR="00B443C4">
        <w:t xml:space="preserve"> </w:t>
      </w:r>
    </w:p>
    <w:p w14:paraId="3C504559" w14:textId="5E68F60A" w:rsidR="00D515A0" w:rsidRDefault="00D515A0" w:rsidP="00D515A0">
      <w:pPr>
        <w:pStyle w:val="Caption"/>
      </w:pPr>
      <w:bookmarkStart w:id="223" w:name="_Ref146031146"/>
      <w:bookmarkStart w:id="224" w:name="_Ref146031139"/>
      <w:r w:rsidRPr="006169C0">
        <w:rPr>
          <w:b/>
        </w:rPr>
        <w:lastRenderedPageBreak/>
        <w:t xml:space="preserve">Table </w:t>
      </w:r>
      <w:r w:rsidRPr="008270B3">
        <w:rPr>
          <w:b/>
        </w:rPr>
        <w:fldChar w:fldCharType="begin"/>
      </w:r>
      <w:r w:rsidRPr="008270B3">
        <w:rPr>
          <w:b/>
        </w:rPr>
        <w:instrText>SEQ Table \* ARABIC</w:instrText>
      </w:r>
      <w:r w:rsidRPr="008270B3">
        <w:rPr>
          <w:b/>
        </w:rPr>
        <w:fldChar w:fldCharType="separate"/>
      </w:r>
      <w:r w:rsidR="003B42C6">
        <w:rPr>
          <w:b/>
          <w:noProof/>
        </w:rPr>
        <w:t>55</w:t>
      </w:r>
      <w:r w:rsidRPr="008270B3">
        <w:rPr>
          <w:b/>
        </w:rPr>
        <w:fldChar w:fldCharType="end"/>
      </w:r>
      <w:bookmarkEnd w:id="223"/>
      <w:r>
        <w:t xml:space="preserve"> </w:t>
      </w:r>
      <w:r w:rsidRPr="000A15EA">
        <w:t>Financial indicators, 2024-25 to 2027–28</w:t>
      </w:r>
      <w:bookmarkEnd w:id="224"/>
    </w:p>
    <w:tbl>
      <w:tblPr>
        <w:tblStyle w:val="GWWDefaulttable"/>
        <w:tblW w:w="5000" w:type="pct"/>
        <w:tblLook w:val="04A0" w:firstRow="1" w:lastRow="0" w:firstColumn="1" w:lastColumn="0" w:noHBand="0" w:noVBand="1"/>
      </w:tblPr>
      <w:tblGrid>
        <w:gridCol w:w="2695"/>
        <w:gridCol w:w="1417"/>
        <w:gridCol w:w="1380"/>
        <w:gridCol w:w="1382"/>
        <w:gridCol w:w="1382"/>
        <w:gridCol w:w="1382"/>
      </w:tblGrid>
      <w:tr w:rsidR="002B4D0E" w:rsidRPr="006C12BA" w14:paraId="5AC3B4A0" w14:textId="77777777" w:rsidTr="00EA7CA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6233CAE0" w14:textId="77777777" w:rsidR="002B4D0E" w:rsidRPr="006C12BA" w:rsidRDefault="002B4D0E" w:rsidP="006C12BA">
            <w:r w:rsidRPr="006C12BA">
              <w:t> </w:t>
            </w:r>
          </w:p>
        </w:tc>
        <w:tc>
          <w:tcPr>
            <w:tcW w:w="735" w:type="pct"/>
            <w:vAlign w:val="center"/>
            <w:hideMark/>
          </w:tcPr>
          <w:p w14:paraId="77FAD321"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Benchmark</w:t>
            </w:r>
          </w:p>
        </w:tc>
        <w:tc>
          <w:tcPr>
            <w:tcW w:w="716" w:type="pct"/>
            <w:vAlign w:val="center"/>
            <w:hideMark/>
          </w:tcPr>
          <w:p w14:paraId="6C829E6F"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2024-25</w:t>
            </w:r>
          </w:p>
        </w:tc>
        <w:tc>
          <w:tcPr>
            <w:tcW w:w="717" w:type="pct"/>
            <w:vAlign w:val="center"/>
            <w:hideMark/>
          </w:tcPr>
          <w:p w14:paraId="6A04F57E"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2025-26</w:t>
            </w:r>
          </w:p>
        </w:tc>
        <w:tc>
          <w:tcPr>
            <w:tcW w:w="717" w:type="pct"/>
            <w:vAlign w:val="center"/>
            <w:hideMark/>
          </w:tcPr>
          <w:p w14:paraId="5B4AD5A3"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2026-27</w:t>
            </w:r>
          </w:p>
        </w:tc>
        <w:tc>
          <w:tcPr>
            <w:tcW w:w="717" w:type="pct"/>
            <w:vAlign w:val="center"/>
            <w:hideMark/>
          </w:tcPr>
          <w:p w14:paraId="60F2B983"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2027-28</w:t>
            </w:r>
          </w:p>
        </w:tc>
      </w:tr>
      <w:tr w:rsidR="002B4D0E" w:rsidRPr="006C12BA" w14:paraId="6FE32BDD"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20F53665" w14:textId="77777777" w:rsidR="002B4D0E" w:rsidRPr="00CD7E67" w:rsidRDefault="002B4D0E" w:rsidP="006C12BA">
            <w:pPr>
              <w:rPr>
                <w:b w:val="0"/>
                <w:bCs/>
              </w:rPr>
            </w:pPr>
            <w:r w:rsidRPr="00B8216E">
              <w:rPr>
                <w:b w:val="0"/>
              </w:rPr>
              <w:t>Interest cover (times)</w:t>
            </w:r>
          </w:p>
        </w:tc>
        <w:tc>
          <w:tcPr>
            <w:tcW w:w="735" w:type="pct"/>
            <w:vAlign w:val="center"/>
            <w:hideMark/>
          </w:tcPr>
          <w:p w14:paraId="7A34731D" w14:textId="5D9F2F06"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&gt;1.5</w:t>
            </w:r>
            <w:r w:rsidR="00AD4366" w:rsidRPr="008D67DC">
              <w:rPr>
                <w:color w:val="002060"/>
              </w:rPr>
              <w:t>0x</w:t>
            </w:r>
          </w:p>
        </w:tc>
        <w:tc>
          <w:tcPr>
            <w:tcW w:w="716" w:type="pct"/>
            <w:vAlign w:val="center"/>
            <w:hideMark/>
          </w:tcPr>
          <w:p w14:paraId="4931291A" w14:textId="3DC2AE3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w:t>
            </w:r>
            <w:r w:rsidR="00624508" w:rsidRPr="00CD7E67">
              <w:rPr>
                <w:rFonts w:ascii="Verdana" w:hAnsi="Verdana" w:cs="Arial"/>
                <w:szCs w:val="20"/>
              </w:rPr>
              <w:t>87x</w:t>
            </w:r>
          </w:p>
        </w:tc>
        <w:tc>
          <w:tcPr>
            <w:tcW w:w="717" w:type="pct"/>
            <w:vAlign w:val="center"/>
            <w:hideMark/>
          </w:tcPr>
          <w:p w14:paraId="7E02B72A" w14:textId="4BDEAD9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1.87x</w:t>
            </w:r>
          </w:p>
        </w:tc>
        <w:tc>
          <w:tcPr>
            <w:tcW w:w="717" w:type="pct"/>
            <w:vAlign w:val="center"/>
            <w:hideMark/>
          </w:tcPr>
          <w:p w14:paraId="4939B59A" w14:textId="739C94A6"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w:t>
            </w:r>
            <w:r w:rsidR="00624508" w:rsidRPr="00CD7E67">
              <w:rPr>
                <w:rFonts w:ascii="Verdana" w:hAnsi="Verdana" w:cs="Arial"/>
                <w:szCs w:val="20"/>
              </w:rPr>
              <w:t>75x</w:t>
            </w:r>
          </w:p>
        </w:tc>
        <w:tc>
          <w:tcPr>
            <w:tcW w:w="717" w:type="pct"/>
            <w:vAlign w:val="center"/>
            <w:hideMark/>
          </w:tcPr>
          <w:p w14:paraId="45F8ABCA" w14:textId="6176AB0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1.71x</w:t>
            </w:r>
          </w:p>
        </w:tc>
      </w:tr>
      <w:tr w:rsidR="002B4D0E" w:rsidRPr="006C12BA" w14:paraId="619ACB66"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7916A210" w14:textId="77777777" w:rsidR="002B4D0E" w:rsidRPr="00CD7E67" w:rsidRDefault="002B4D0E" w:rsidP="006C12BA">
            <w:pPr>
              <w:rPr>
                <w:b w:val="0"/>
                <w:bCs/>
              </w:rPr>
            </w:pPr>
            <w:r w:rsidRPr="00B8216E">
              <w:rPr>
                <w:b w:val="0"/>
              </w:rPr>
              <w:t>Net debt / RAV (gearing) %</w:t>
            </w:r>
          </w:p>
        </w:tc>
        <w:tc>
          <w:tcPr>
            <w:tcW w:w="735" w:type="pct"/>
            <w:vAlign w:val="center"/>
            <w:hideMark/>
          </w:tcPr>
          <w:p w14:paraId="7454257D" w14:textId="3C78088E"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&lt;70%</w:t>
            </w:r>
          </w:p>
        </w:tc>
        <w:tc>
          <w:tcPr>
            <w:tcW w:w="716" w:type="pct"/>
            <w:vAlign w:val="center"/>
            <w:hideMark/>
          </w:tcPr>
          <w:p w14:paraId="5B2F18FB" w14:textId="3C2DDE1A"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75.61%</w:t>
            </w:r>
          </w:p>
        </w:tc>
        <w:tc>
          <w:tcPr>
            <w:tcW w:w="717" w:type="pct"/>
            <w:vAlign w:val="center"/>
            <w:hideMark/>
          </w:tcPr>
          <w:p w14:paraId="38DE36AB" w14:textId="312C0E7A"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78.</w:t>
            </w:r>
            <w:r w:rsidR="00624508" w:rsidRPr="00CD7E67">
              <w:rPr>
                <w:rFonts w:ascii="Verdana" w:hAnsi="Verdana" w:cs="Arial"/>
                <w:szCs w:val="20"/>
              </w:rPr>
              <w:t>38</w:t>
            </w:r>
            <w:r w:rsidRPr="00CD7E67">
              <w:rPr>
                <w:rFonts w:ascii="Verdana" w:hAnsi="Verdana" w:cs="Arial"/>
                <w:szCs w:val="20"/>
              </w:rPr>
              <w:t>%</w:t>
            </w:r>
          </w:p>
        </w:tc>
        <w:tc>
          <w:tcPr>
            <w:tcW w:w="717" w:type="pct"/>
            <w:vAlign w:val="center"/>
            <w:hideMark/>
          </w:tcPr>
          <w:p w14:paraId="3FE3FDA9" w14:textId="39AE5DF2"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80.</w:t>
            </w:r>
            <w:r w:rsidR="00624508" w:rsidRPr="00CD7E67">
              <w:rPr>
                <w:rFonts w:ascii="Verdana" w:hAnsi="Verdana" w:cs="Arial"/>
                <w:szCs w:val="20"/>
              </w:rPr>
              <w:t>37</w:t>
            </w:r>
            <w:r w:rsidRPr="00CD7E67">
              <w:rPr>
                <w:rFonts w:ascii="Verdana" w:hAnsi="Verdana" w:cs="Arial"/>
                <w:szCs w:val="20"/>
              </w:rPr>
              <w:t>%</w:t>
            </w:r>
          </w:p>
        </w:tc>
        <w:tc>
          <w:tcPr>
            <w:tcW w:w="717" w:type="pct"/>
            <w:vAlign w:val="center"/>
            <w:hideMark/>
          </w:tcPr>
          <w:p w14:paraId="2887176F" w14:textId="2238D1A2"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82.</w:t>
            </w:r>
            <w:r w:rsidR="00624508" w:rsidRPr="00CD7E67">
              <w:rPr>
                <w:rFonts w:ascii="Verdana" w:hAnsi="Verdana" w:cs="Arial"/>
                <w:szCs w:val="20"/>
              </w:rPr>
              <w:t>91</w:t>
            </w:r>
            <w:r w:rsidRPr="00CD7E67">
              <w:rPr>
                <w:rFonts w:ascii="Verdana" w:hAnsi="Verdana" w:cs="Arial"/>
                <w:szCs w:val="20"/>
              </w:rPr>
              <w:t>%</w:t>
            </w:r>
          </w:p>
        </w:tc>
      </w:tr>
      <w:tr w:rsidR="002B4D0E" w:rsidRPr="006C12BA" w14:paraId="20B11795"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0A79EC3D" w14:textId="77777777" w:rsidR="002B4D0E" w:rsidRPr="00CD7E67" w:rsidRDefault="002B4D0E" w:rsidP="006C12BA">
            <w:pPr>
              <w:rPr>
                <w:b w:val="0"/>
                <w:bCs/>
              </w:rPr>
            </w:pPr>
            <w:r w:rsidRPr="00B8216E">
              <w:rPr>
                <w:b w:val="0"/>
              </w:rPr>
              <w:t>Funds from operation / net debt (%)</w:t>
            </w:r>
          </w:p>
        </w:tc>
        <w:tc>
          <w:tcPr>
            <w:tcW w:w="735" w:type="pct"/>
            <w:vAlign w:val="center"/>
            <w:hideMark/>
          </w:tcPr>
          <w:p w14:paraId="02688E05" w14:textId="21B869F9"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&gt;10%</w:t>
            </w:r>
          </w:p>
        </w:tc>
        <w:tc>
          <w:tcPr>
            <w:tcW w:w="716" w:type="pct"/>
            <w:vAlign w:val="center"/>
            <w:hideMark/>
          </w:tcPr>
          <w:p w14:paraId="001D0F97" w14:textId="47E62984"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4.</w:t>
            </w:r>
            <w:r w:rsidR="00624508" w:rsidRPr="00CD7E67">
              <w:rPr>
                <w:rFonts w:ascii="Verdana" w:hAnsi="Verdana" w:cs="Arial"/>
                <w:szCs w:val="20"/>
              </w:rPr>
              <w:t>11</w:t>
            </w:r>
            <w:r w:rsidRPr="00CD7E67">
              <w:rPr>
                <w:rFonts w:ascii="Verdana" w:hAnsi="Verdana" w:cs="Arial"/>
                <w:szCs w:val="20"/>
              </w:rPr>
              <w:t>%</w:t>
            </w:r>
          </w:p>
        </w:tc>
        <w:tc>
          <w:tcPr>
            <w:tcW w:w="717" w:type="pct"/>
            <w:vAlign w:val="center"/>
            <w:hideMark/>
          </w:tcPr>
          <w:p w14:paraId="75EBC90E" w14:textId="53B367D1"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4.</w:t>
            </w:r>
            <w:r w:rsidR="00624508" w:rsidRPr="00CD7E67">
              <w:rPr>
                <w:rFonts w:ascii="Verdana" w:hAnsi="Verdana" w:cs="Arial"/>
                <w:szCs w:val="20"/>
              </w:rPr>
              <w:t>22</w:t>
            </w:r>
            <w:r w:rsidRPr="00CD7E67">
              <w:rPr>
                <w:rFonts w:ascii="Verdana" w:hAnsi="Verdana" w:cs="Arial"/>
                <w:szCs w:val="20"/>
              </w:rPr>
              <w:t>%</w:t>
            </w:r>
          </w:p>
        </w:tc>
        <w:tc>
          <w:tcPr>
            <w:tcW w:w="717" w:type="pct"/>
            <w:vAlign w:val="center"/>
            <w:hideMark/>
          </w:tcPr>
          <w:p w14:paraId="718D0D92" w14:textId="6244F76D"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3.</w:t>
            </w:r>
            <w:r w:rsidR="00624508" w:rsidRPr="00CD7E67">
              <w:rPr>
                <w:rFonts w:ascii="Verdana" w:hAnsi="Verdana" w:cs="Arial"/>
                <w:szCs w:val="20"/>
              </w:rPr>
              <w:t>75</w:t>
            </w:r>
            <w:r w:rsidRPr="00CD7E67">
              <w:rPr>
                <w:rFonts w:ascii="Verdana" w:hAnsi="Verdana" w:cs="Arial"/>
                <w:szCs w:val="20"/>
              </w:rPr>
              <w:t>%</w:t>
            </w:r>
          </w:p>
        </w:tc>
        <w:tc>
          <w:tcPr>
            <w:tcW w:w="717" w:type="pct"/>
            <w:vAlign w:val="center"/>
            <w:hideMark/>
          </w:tcPr>
          <w:p w14:paraId="4B4E94D9" w14:textId="0A30ED64"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3.</w:t>
            </w:r>
            <w:r w:rsidR="00624508" w:rsidRPr="00CD7E67">
              <w:rPr>
                <w:rFonts w:ascii="Verdana" w:hAnsi="Verdana" w:cs="Arial"/>
                <w:szCs w:val="20"/>
              </w:rPr>
              <w:t>62</w:t>
            </w:r>
            <w:r w:rsidRPr="00CD7E67">
              <w:rPr>
                <w:rFonts w:ascii="Verdana" w:hAnsi="Verdana" w:cs="Arial"/>
                <w:szCs w:val="20"/>
              </w:rPr>
              <w:t>%</w:t>
            </w:r>
          </w:p>
        </w:tc>
      </w:tr>
      <w:tr w:rsidR="002B4D0E" w:rsidRPr="006C12BA" w14:paraId="2F1B20E6"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44E2854C" w14:textId="77777777" w:rsidR="002B4D0E" w:rsidRPr="00CD7E67" w:rsidRDefault="002B4D0E" w:rsidP="006C12BA">
            <w:pPr>
              <w:rPr>
                <w:b w:val="0"/>
                <w:bCs/>
              </w:rPr>
            </w:pPr>
            <w:r w:rsidRPr="00B8216E">
              <w:rPr>
                <w:b w:val="0"/>
              </w:rPr>
              <w:t>Internal financing ratio (%)</w:t>
            </w:r>
          </w:p>
        </w:tc>
        <w:tc>
          <w:tcPr>
            <w:tcW w:w="735" w:type="pct"/>
            <w:vAlign w:val="center"/>
            <w:hideMark/>
          </w:tcPr>
          <w:p w14:paraId="41208A1A" w14:textId="69946DB3"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&gt;35%</w:t>
            </w:r>
          </w:p>
        </w:tc>
        <w:tc>
          <w:tcPr>
            <w:tcW w:w="716" w:type="pct"/>
            <w:vAlign w:val="center"/>
            <w:hideMark/>
          </w:tcPr>
          <w:p w14:paraId="185EEAF4" w14:textId="63C071E8"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9.</w:t>
            </w:r>
            <w:r w:rsidR="00624508" w:rsidRPr="00CD7E67">
              <w:rPr>
                <w:rFonts w:ascii="Verdana" w:hAnsi="Verdana" w:cs="Arial"/>
                <w:szCs w:val="20"/>
              </w:rPr>
              <w:t>59</w:t>
            </w:r>
            <w:r w:rsidRPr="00CD7E67">
              <w:rPr>
                <w:rFonts w:ascii="Verdana" w:hAnsi="Verdana" w:cs="Arial"/>
                <w:szCs w:val="20"/>
              </w:rPr>
              <w:t>%</w:t>
            </w:r>
          </w:p>
        </w:tc>
        <w:tc>
          <w:tcPr>
            <w:tcW w:w="717" w:type="pct"/>
            <w:vAlign w:val="center"/>
            <w:hideMark/>
          </w:tcPr>
          <w:p w14:paraId="0C684E83" w14:textId="685EED41"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14.</w:t>
            </w:r>
            <w:r w:rsidR="00624508" w:rsidRPr="00CD7E67">
              <w:rPr>
                <w:rFonts w:ascii="Verdana" w:hAnsi="Verdana" w:cs="Arial"/>
                <w:szCs w:val="20"/>
              </w:rPr>
              <w:t>68</w:t>
            </w:r>
            <w:r w:rsidRPr="00CD7E67">
              <w:rPr>
                <w:rFonts w:ascii="Verdana" w:hAnsi="Verdana" w:cs="Arial"/>
                <w:szCs w:val="20"/>
              </w:rPr>
              <w:t>%</w:t>
            </w:r>
          </w:p>
        </w:tc>
        <w:tc>
          <w:tcPr>
            <w:tcW w:w="717" w:type="pct"/>
            <w:vAlign w:val="center"/>
            <w:hideMark/>
          </w:tcPr>
          <w:p w14:paraId="1898B017" w14:textId="13F31C4E"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11.</w:t>
            </w:r>
            <w:r w:rsidR="00624508" w:rsidRPr="00CD7E67">
              <w:rPr>
                <w:rFonts w:ascii="Verdana" w:hAnsi="Verdana" w:cs="Arial"/>
                <w:szCs w:val="20"/>
              </w:rPr>
              <w:t>19</w:t>
            </w:r>
            <w:r w:rsidRPr="00CD7E67">
              <w:rPr>
                <w:rFonts w:ascii="Verdana" w:hAnsi="Verdana" w:cs="Arial"/>
                <w:szCs w:val="20"/>
              </w:rPr>
              <w:t>%</w:t>
            </w:r>
          </w:p>
        </w:tc>
        <w:tc>
          <w:tcPr>
            <w:tcW w:w="717" w:type="pct"/>
            <w:vAlign w:val="center"/>
            <w:hideMark/>
          </w:tcPr>
          <w:p w14:paraId="34A8142F" w14:textId="3C3609C6"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12.</w:t>
            </w:r>
            <w:r w:rsidR="00624508" w:rsidRPr="00CD7E67">
              <w:rPr>
                <w:rFonts w:ascii="Verdana" w:hAnsi="Verdana" w:cs="Arial"/>
                <w:szCs w:val="20"/>
              </w:rPr>
              <w:t>51</w:t>
            </w:r>
            <w:r w:rsidRPr="00CD7E67">
              <w:rPr>
                <w:rFonts w:ascii="Verdana" w:hAnsi="Verdana" w:cs="Arial"/>
                <w:szCs w:val="20"/>
              </w:rPr>
              <w:t>%</w:t>
            </w:r>
          </w:p>
        </w:tc>
      </w:tr>
    </w:tbl>
    <w:p w14:paraId="62512AC7" w14:textId="77777777" w:rsidR="00BA0EA5" w:rsidRDefault="00BA0EA5" w:rsidP="00971980"/>
    <w:p w14:paraId="68F8CAE3" w14:textId="0D61490C" w:rsidR="00971980" w:rsidRDefault="00942C08" w:rsidP="00971980">
      <w:r>
        <w:t>I</w:t>
      </w:r>
      <w:r w:rsidR="00971980">
        <w:t xml:space="preserve">nterest cover is forecast to hover above ESC’s </w:t>
      </w:r>
      <w:proofErr w:type="gramStart"/>
      <w:r w:rsidR="00971980">
        <w:t>benchmark,</w:t>
      </w:r>
      <w:proofErr w:type="gramEnd"/>
      <w:r w:rsidR="00971980">
        <w:t xml:space="preserve"> </w:t>
      </w:r>
      <w:r w:rsidR="003A0B59">
        <w:t xml:space="preserve">however </w:t>
      </w:r>
      <w:r w:rsidR="00971980">
        <w:t>we note that over the regulatory period it is trending downwards driven by higher interest payments</w:t>
      </w:r>
      <w:r w:rsidR="00DB308C">
        <w:t xml:space="preserve"> </w:t>
      </w:r>
      <w:r w:rsidR="00971980">
        <w:t>outpacing the growth in earnings.</w:t>
      </w:r>
    </w:p>
    <w:p w14:paraId="1505BD9F" w14:textId="1A14B056" w:rsidR="003A0B59" w:rsidRDefault="00971980" w:rsidP="00B64F09">
      <w:r>
        <w:t xml:space="preserve">The gearing ratio is forecast to </w:t>
      </w:r>
      <w:r w:rsidR="00116EA1">
        <w:t>increase</w:t>
      </w:r>
      <w:r w:rsidRPr="00D515A0">
        <w:t xml:space="preserve"> from 7</w:t>
      </w:r>
      <w:r w:rsidR="00317FEC" w:rsidRPr="00D515A0">
        <w:t>5.</w:t>
      </w:r>
      <w:r w:rsidR="003C7FF4">
        <w:t>6</w:t>
      </w:r>
      <w:r w:rsidRPr="00D515A0">
        <w:t xml:space="preserve">% to </w:t>
      </w:r>
      <w:r w:rsidR="00CF62CB">
        <w:t>82</w:t>
      </w:r>
      <w:r w:rsidR="00317FEC" w:rsidRPr="00D515A0">
        <w:t>.</w:t>
      </w:r>
      <w:r w:rsidR="00806DFE" w:rsidRPr="00D515A0">
        <w:t>9</w:t>
      </w:r>
      <w:r w:rsidR="008D487E">
        <w:t>1</w:t>
      </w:r>
      <w:r w:rsidRPr="00D515A0">
        <w:t>% over 2024</w:t>
      </w:r>
      <w:r w:rsidR="00CF62CB">
        <w:t xml:space="preserve">-25 to </w:t>
      </w:r>
      <w:r w:rsidR="00806DFE">
        <w:t>20</w:t>
      </w:r>
      <w:r w:rsidR="00CF62CB">
        <w:t>27-28</w:t>
      </w:r>
      <w:r>
        <w:t xml:space="preserve">. This is forecast to remain above the </w:t>
      </w:r>
      <w:r w:rsidR="00005789">
        <w:t xml:space="preserve">ESC’s </w:t>
      </w:r>
      <w:r>
        <w:t>benchmark 70% figure.</w:t>
      </w:r>
      <w:r w:rsidR="00DB308C">
        <w:t xml:space="preserve"> </w:t>
      </w:r>
      <w:r>
        <w:t xml:space="preserve">As noted throughout the submission, the main driver of GWW’s financial position is the </w:t>
      </w:r>
      <w:r w:rsidR="00C035FF">
        <w:t xml:space="preserve">required </w:t>
      </w:r>
      <w:r>
        <w:t>increase</w:t>
      </w:r>
      <w:r w:rsidR="00C035FF">
        <w:t xml:space="preserve"> in</w:t>
      </w:r>
      <w:r>
        <w:t xml:space="preserve"> capital expenditure to fund the acceleration in population growth across our service region.</w:t>
      </w:r>
    </w:p>
    <w:p w14:paraId="0EA255F9" w14:textId="5899F042" w:rsidR="00331E86" w:rsidRDefault="00331E86" w:rsidP="00B64F09">
      <w:r>
        <w:t>W</w:t>
      </w:r>
      <w:r w:rsidRPr="00E05B67">
        <w:t xml:space="preserve">e believe </w:t>
      </w:r>
      <w:r>
        <w:t>our gearing ratio</w:t>
      </w:r>
      <w:r w:rsidRPr="00E05B67">
        <w:t xml:space="preserve"> remains serviceable based on the strong forecast growth in our service region and the proposed stable real price path. Based on our extensive customer engagement, we feel this best meets the views of our customers and ensures smooth price movements into the future.</w:t>
      </w:r>
    </w:p>
    <w:p w14:paraId="3FB7E4B9" w14:textId="4DE595E2" w:rsidR="00407A1B" w:rsidRPr="00736243" w:rsidRDefault="000E42BB" w:rsidP="00C6645D">
      <w:pPr>
        <w:pStyle w:val="Heading2"/>
      </w:pPr>
      <w:bookmarkStart w:id="225" w:name="_Toc146004883"/>
      <w:bookmarkStart w:id="226" w:name="_Toc146004771"/>
      <w:bookmarkStart w:id="227" w:name="_Ref146617747"/>
      <w:bookmarkStart w:id="228" w:name="_Ref146626248"/>
      <w:bookmarkStart w:id="229" w:name="_Toc146746717"/>
      <w:r>
        <w:t>G</w:t>
      </w:r>
      <w:r w:rsidR="000D191C" w:rsidRPr="00736243">
        <w:t>rowth</w:t>
      </w:r>
      <w:r>
        <w:t xml:space="preserve"> forecasts</w:t>
      </w:r>
      <w:bookmarkEnd w:id="225"/>
      <w:bookmarkEnd w:id="226"/>
      <w:bookmarkEnd w:id="227"/>
      <w:bookmarkEnd w:id="228"/>
      <w:bookmarkEnd w:id="229"/>
    </w:p>
    <w:p w14:paraId="17F93DFB" w14:textId="0D09CD58" w:rsidR="0076765F" w:rsidRDefault="00E95794" w:rsidP="0076765F">
      <w:r>
        <w:t>D</w:t>
      </w:r>
      <w:r w:rsidR="0076765F">
        <w:t>emand forecasting is a key input to our price submission, driving our forecast costs and prices.</w:t>
      </w:r>
    </w:p>
    <w:p w14:paraId="4FCB8FD6" w14:textId="6EEEA3EC" w:rsidR="0076765F" w:rsidRDefault="0003465E" w:rsidP="0076765F">
      <w:r>
        <w:t xml:space="preserve">Demand </w:t>
      </w:r>
      <w:r w:rsidR="00EB316B">
        <w:t>forecasting considers</w:t>
      </w:r>
      <w:r w:rsidR="0076765F">
        <w:t xml:space="preserve"> several forecasts but begins with growth forecasting. Growth forecasting relates to population growth and the subsequent growth in lots and </w:t>
      </w:r>
      <w:r w:rsidR="00423F10">
        <w:t xml:space="preserve">serviced </w:t>
      </w:r>
      <w:r w:rsidR="0076765F">
        <w:t xml:space="preserve">dwellings in our service area. These forecasts influence: </w:t>
      </w:r>
    </w:p>
    <w:p w14:paraId="4F59F3C9" w14:textId="6C5EE328" w:rsidR="0076765F" w:rsidRDefault="0076765F">
      <w:pPr>
        <w:pStyle w:val="ListBullet"/>
        <w:numPr>
          <w:ilvl w:val="0"/>
          <w:numId w:val="19"/>
        </w:numPr>
      </w:pPr>
      <w:r>
        <w:t xml:space="preserve">how we plan our growth assets (location, </w:t>
      </w:r>
      <w:proofErr w:type="gramStart"/>
      <w:r>
        <w:t>timing</w:t>
      </w:r>
      <w:proofErr w:type="gramEnd"/>
      <w:r>
        <w:t xml:space="preserve"> and size) </w:t>
      </w:r>
    </w:p>
    <w:p w14:paraId="48EA4734" w14:textId="0F3D555E" w:rsidR="0076765F" w:rsidRDefault="0076765F">
      <w:pPr>
        <w:pStyle w:val="ListBullet"/>
        <w:numPr>
          <w:ilvl w:val="0"/>
          <w:numId w:val="19"/>
        </w:numPr>
      </w:pPr>
      <w:r>
        <w:t xml:space="preserve">the number of new connections and meters. </w:t>
      </w:r>
    </w:p>
    <w:p w14:paraId="5EBA5FEB" w14:textId="46547A2A" w:rsidR="0076765F" w:rsidRDefault="0076765F" w:rsidP="009B2DDF">
      <w:r>
        <w:t>We use these growth forecasts to forecast:</w:t>
      </w:r>
    </w:p>
    <w:p w14:paraId="2EFEA5E5" w14:textId="65476470" w:rsidR="0076765F" w:rsidRDefault="0076765F">
      <w:pPr>
        <w:pStyle w:val="ListBullet"/>
        <w:numPr>
          <w:ilvl w:val="0"/>
          <w:numId w:val="20"/>
        </w:numPr>
      </w:pPr>
      <w:r>
        <w:t xml:space="preserve">demand for water and sewer usage </w:t>
      </w:r>
    </w:p>
    <w:p w14:paraId="4633B737" w14:textId="53BE3DD6" w:rsidR="007E7348" w:rsidRDefault="0076765F">
      <w:pPr>
        <w:pStyle w:val="ListBullet"/>
        <w:numPr>
          <w:ilvl w:val="0"/>
          <w:numId w:val="20"/>
        </w:numPr>
      </w:pPr>
      <w:r>
        <w:t xml:space="preserve">the </w:t>
      </w:r>
      <w:r w:rsidR="007E7348">
        <w:t>volume</w:t>
      </w:r>
      <w:r>
        <w:t xml:space="preserve"> of water we need to order or source </w:t>
      </w:r>
      <w:proofErr w:type="gramStart"/>
      <w:r>
        <w:t>locally</w:t>
      </w:r>
      <w:proofErr w:type="gramEnd"/>
      <w:r>
        <w:t xml:space="preserve"> </w:t>
      </w:r>
    </w:p>
    <w:p w14:paraId="7A2F0EC4" w14:textId="1B95358A" w:rsidR="0076765F" w:rsidRDefault="0076765F">
      <w:pPr>
        <w:pStyle w:val="ListBullet"/>
        <w:numPr>
          <w:ilvl w:val="0"/>
          <w:numId w:val="20"/>
        </w:numPr>
      </w:pPr>
      <w:r>
        <w:t>how much sewage will need to be treated from our bulk suppliers or locally.</w:t>
      </w:r>
    </w:p>
    <w:p w14:paraId="02072B3C" w14:textId="77777777" w:rsidR="006169C0" w:rsidRDefault="006169C0" w:rsidP="002D7B22">
      <w:pPr>
        <w:pStyle w:val="ListBullet"/>
        <w:numPr>
          <w:ilvl w:val="0"/>
          <w:numId w:val="0"/>
        </w:numPr>
      </w:pPr>
    </w:p>
    <w:p w14:paraId="36E40CBE" w14:textId="1EE7B139" w:rsidR="00593827" w:rsidRDefault="00DB642B" w:rsidP="00593827">
      <w:r>
        <w:rPr>
          <w:noProof/>
        </w:rPr>
        <w:lastRenderedPageBreak/>
        <w:drawing>
          <wp:inline distT="0" distB="0" distL="0" distR="0" wp14:anchorId="6041C983" wp14:editId="4B7761D9">
            <wp:extent cx="6452554" cy="3324225"/>
            <wp:effectExtent l="0" t="0" r="5715" b="0"/>
            <wp:docPr id="2020177361" name="Picture 2020177361" descr="Horizontal flow chart broken into the following sections: Data, Growth forecast, Demand forecast, OPEX, CAPEX, Outputs. The below items have been numbered by transcriber to describe the flow:  1. Historical Billing data and Melbourne Water Southern Rural Water bulk water orders (Blue)(Data); 2. VIF2022 .ID RDL data Research4 Data Internal land development data (Blue)(Data); 3. Population growth forecast (Orange)(Growth forecast); 4. Serviced dwelling growth forecast (Orange)(Growth forecast); 5. Alternative water demand forecast (Green)(Demand forecast); 6. Potable water demand forecast (iSDP and Mass Balance model) (Green)(Demand forecast); 7. Sewer and trade waste flow and load demand forecast (Green)(Demand forecast); 8. Bulk water demand [Bulk water order forecast][Locally sourced forecast](Blue)(OPEX); 9. Bulk sewerage demand forecast (Blue)(OPEX); 10. Infrastructure for infill growth (Blue)(CAPEX); 11. Infrastructure for greenfield growth (Blue)(CAPEX); 12. Bulk charges and Forecast retail product quantities for Price Submission (Blue)(Outputs); 13. Growth CAPEX Plan (Blue)(Outputs). 1 links to 5 and 8. 2 links to 3 and 4. 3 links to 6. 4 links to 6, 10 and 11. 5 links to 6, 8 and 9. 6 links to 7, 8 and 9. 7 links to 8, 8 links to 9 and 12, 9 links to 12. 10 links to 13, 11 links to 13. 12 – no links. 13 links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7361" name="Picture 2020177361" descr="Horizontal flow chart broken into the following sections: Data, Growth forecast, Demand forecast, OPEX, CAPEX, Outputs. The below items have been numbered by transcriber to describe the flow:  1. Historical Billing data and Melbourne Water Southern Rural Water bulk water orders (Blue)(Data); 2. VIF2022 .ID RDL data Research4 Data Internal land development data (Blue)(Data); 3. Population growth forecast (Orange)(Growth forecast); 4. Serviced dwelling growth forecast (Orange)(Growth forecast); 5. Alternative water demand forecast (Green)(Demand forecast); 6. Potable water demand forecast (iSDP and Mass Balance model) (Green)(Demand forecast); 7. Sewer and trade waste flow and load demand forecast (Green)(Demand forecast); 8. Bulk water demand [Bulk water order forecast][Locally sourced forecast](Blue)(OPEX); 9. Bulk sewerage demand forecast (Blue)(OPEX); 10. Infrastructure for infill growth (Blue)(CAPEX); 11. Infrastructure for greenfield growth (Blue)(CAPEX); 12. Bulk charges and Forecast retail product quantities for Price Submission (Blue)(Outputs); 13. Growth CAPEX Plan (Blue)(Outputs). 1 links to 5 and 8. 2 links to 3 and 4. 3 links to 6. 4 links to 6, 10 and 11. 5 links to 6, 8 and 9. 6 links to 7, 8 and 9. 7 links to 8, 8 links to 9 and 12, 9 links to 12. 10 links to 13, 11 links to 13. 12 – no links. 13 links to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52554" cy="3324225"/>
                    </a:xfrm>
                    <a:prstGeom prst="rect">
                      <a:avLst/>
                    </a:prstGeom>
                    <a:noFill/>
                  </pic:spPr>
                </pic:pic>
              </a:graphicData>
            </a:graphic>
          </wp:inline>
        </w:drawing>
      </w:r>
    </w:p>
    <w:p w14:paraId="180348A3" w14:textId="392E5197" w:rsidR="00D515A0" w:rsidRDefault="00D515A0" w:rsidP="00D515A0">
      <w:pPr>
        <w:pStyle w:val="Caption"/>
      </w:pPr>
      <w:bookmarkStart w:id="230" w:name="_Toc145498148"/>
      <w:r w:rsidRPr="006169C0">
        <w:rPr>
          <w:b/>
        </w:rPr>
        <w:t xml:space="preserve">Figure </w:t>
      </w:r>
      <w:r w:rsidRPr="006169C0">
        <w:rPr>
          <w:b/>
        </w:rPr>
        <w:fldChar w:fldCharType="begin"/>
      </w:r>
      <w:r>
        <w:instrText>SEQ Figure \* ARABIC</w:instrText>
      </w:r>
      <w:r w:rsidRPr="006169C0">
        <w:rPr>
          <w:b/>
        </w:rPr>
        <w:fldChar w:fldCharType="separate"/>
      </w:r>
      <w:r w:rsidR="003B42C6">
        <w:rPr>
          <w:noProof/>
        </w:rPr>
        <w:t>11</w:t>
      </w:r>
      <w:r w:rsidRPr="006169C0">
        <w:rPr>
          <w:b/>
        </w:rPr>
        <w:fldChar w:fldCharType="end"/>
      </w:r>
      <w:r>
        <w:t xml:space="preserve"> How demand and growth influence our price </w:t>
      </w:r>
      <w:proofErr w:type="gramStart"/>
      <w:r>
        <w:t>submission</w:t>
      </w:r>
      <w:bookmarkEnd w:id="230"/>
      <w:proofErr w:type="gramEnd"/>
    </w:p>
    <w:p w14:paraId="7A566777" w14:textId="1AD865B2" w:rsidR="0076765F" w:rsidRDefault="0019076A" w:rsidP="005B69CD">
      <w:pPr>
        <w:pStyle w:val="Heading3"/>
      </w:pPr>
      <w:r>
        <w:t>Residential g</w:t>
      </w:r>
      <w:r w:rsidR="0076765F">
        <w:t>rowth forecast</w:t>
      </w:r>
    </w:p>
    <w:p w14:paraId="00B142E7" w14:textId="41549BD3" w:rsidR="00FA4FDF" w:rsidRDefault="0076765F" w:rsidP="0076765F">
      <w:r>
        <w:t xml:space="preserve">Our service region has grown considerably over the past decade with growth per annum peaking at </w:t>
      </w:r>
      <w:r w:rsidRPr="00D21339">
        <w:t xml:space="preserve">almost </w:t>
      </w:r>
      <w:r w:rsidR="00D21339" w:rsidRPr="00D21339">
        <w:t>3.</w:t>
      </w:r>
      <w:r w:rsidR="00D03E52">
        <w:t>9</w:t>
      </w:r>
      <w:r>
        <w:t xml:space="preserve">% in 2020-21. The number of residential </w:t>
      </w:r>
      <w:r w:rsidR="00FC4221">
        <w:t xml:space="preserve">and non-residential </w:t>
      </w:r>
      <w:r>
        <w:t xml:space="preserve">water customers increased from </w:t>
      </w:r>
      <w:r w:rsidR="005F014B">
        <w:t>524,035</w:t>
      </w:r>
      <w:r>
        <w:t xml:space="preserve"> in 2017-18 to </w:t>
      </w:r>
      <w:r w:rsidR="005F014B">
        <w:t>615,619</w:t>
      </w:r>
      <w:r>
        <w:t xml:space="preserve"> in 2022-23, an increase of </w:t>
      </w:r>
      <w:r w:rsidR="00FC4221">
        <w:t>17.5</w:t>
      </w:r>
      <w:r>
        <w:t>% or 3.</w:t>
      </w:r>
      <w:r w:rsidR="00FC4221">
        <w:t>5</w:t>
      </w:r>
      <w:r>
        <w:t>% per annum.</w:t>
      </w:r>
    </w:p>
    <w:p w14:paraId="20CB680B" w14:textId="66CDEFC7" w:rsidR="00DB404F" w:rsidRDefault="00DB404F" w:rsidP="0076765F"/>
    <w:p w14:paraId="5E7A026A" w14:textId="7A456D95" w:rsidR="00D515A0" w:rsidRDefault="00F84A64" w:rsidP="00DD4A48">
      <w:pPr>
        <w:pStyle w:val="Caption"/>
      </w:pPr>
      <w:bookmarkStart w:id="231" w:name="_Toc145498149"/>
      <w:r>
        <w:rPr>
          <w:b/>
          <w:noProof/>
        </w:rPr>
        <w:drawing>
          <wp:inline distT="0" distB="0" distL="0" distR="0" wp14:anchorId="70E45745" wp14:editId="37550A13">
            <wp:extent cx="6120765" cy="3615055"/>
            <wp:effectExtent l="0" t="0" r="0" b="4445"/>
            <wp:docPr id="99" name="Picture 99" descr="Line graph showing two data sets, GWW – Historical water customers (ESC BED1) and GWW – Historical water customer growth (ESC BED1). The x-axis shows years 2015 to 2023. There are two y-axis titles and values, left is titled Cumulative water customers (ESC BED1) and shows values 0 to 700000 in increments of 100000. On the right it is titled &quot;Annual water customer growth&quot; and shows values 0.0% to 4.5% in increments of 0.5%. GWW – Historical water customers (ESC BED1) trends in a linear fashion from 489000 to 615600. and GWW – Historical water customer growth (ESC BED1) trends upward to 2021 in a non linear fashion from 2.6% to 3.9% where it drops to 3.0%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ine graph showing two data sets, GWW – Historical water customers (ESC BED1) and GWW – Historical water customer growth (ESC BED1). The x-axis shows years 2015 to 2023. There are two y-axis titles and values, left is titled Cumulative water customers (ESC BED1) and shows values 0 to 700000 in increments of 100000. On the right it is titled &quot;Annual water customer growth&quot; and shows values 0.0% to 4.5% in increments of 0.5%. GWW – Historical water customers (ESC BED1) trends in a linear fashion from 489000 to 615600. and GWW – Historical water customer growth (ESC BED1) trends upward to 2021 in a non linear fashion from 2.6% to 3.9% where it drops to 3.0% in 2023.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615055"/>
                    </a:xfrm>
                    <a:prstGeom prst="rect">
                      <a:avLst/>
                    </a:prstGeom>
                    <a:noFill/>
                  </pic:spPr>
                </pic:pic>
              </a:graphicData>
            </a:graphic>
          </wp:inline>
        </w:drawing>
      </w:r>
      <w:r w:rsidR="00D515A0" w:rsidRPr="006169C0">
        <w:rPr>
          <w:b/>
        </w:rPr>
        <w:t xml:space="preserve">Figure </w:t>
      </w:r>
      <w:r w:rsidR="00D515A0" w:rsidRPr="007B6361">
        <w:rPr>
          <w:b/>
        </w:rPr>
        <w:fldChar w:fldCharType="begin"/>
      </w:r>
      <w:r w:rsidR="00D515A0" w:rsidRPr="007B6361">
        <w:rPr>
          <w:b/>
        </w:rPr>
        <w:instrText>SEQ Figure \* ARABIC</w:instrText>
      </w:r>
      <w:r w:rsidR="00D515A0" w:rsidRPr="007B6361">
        <w:rPr>
          <w:b/>
        </w:rPr>
        <w:fldChar w:fldCharType="separate"/>
      </w:r>
      <w:r w:rsidR="003B42C6">
        <w:rPr>
          <w:b/>
          <w:noProof/>
        </w:rPr>
        <w:t>12</w:t>
      </w:r>
      <w:r w:rsidR="00D515A0" w:rsidRPr="007B6361">
        <w:rPr>
          <w:b/>
        </w:rPr>
        <w:fldChar w:fldCharType="end"/>
      </w:r>
      <w:r w:rsidR="00D515A0">
        <w:t xml:space="preserve"> Historical ESC water customer growth</w:t>
      </w:r>
      <w:bookmarkEnd w:id="231"/>
    </w:p>
    <w:p w14:paraId="1D6EB41A" w14:textId="77777777" w:rsidR="00425093" w:rsidRPr="00425093" w:rsidRDefault="00425093" w:rsidP="00425093"/>
    <w:p w14:paraId="60939D60" w14:textId="2C7E6CFA" w:rsidR="00654F1A" w:rsidRDefault="009F37DA" w:rsidP="00263E93">
      <w:r w:rsidRPr="009F37DA">
        <w:lastRenderedPageBreak/>
        <w:t xml:space="preserve">This growth was primarily </w:t>
      </w:r>
      <w:r w:rsidR="0089133A">
        <w:t>in</w:t>
      </w:r>
      <w:r w:rsidRPr="009F37DA">
        <w:t xml:space="preserve"> the outer regions, our high growth areas</w:t>
      </w:r>
      <w:r w:rsidR="0089133A">
        <w:t>. G</w:t>
      </w:r>
      <w:r w:rsidRPr="009F37DA">
        <w:t>rowth in the previous W</w:t>
      </w:r>
      <w:r w:rsidR="00B25CEE">
        <w:t>W</w:t>
      </w:r>
      <w:r w:rsidRPr="009F37DA">
        <w:t xml:space="preserve"> region peak</w:t>
      </w:r>
      <w:r w:rsidR="0089133A">
        <w:t>ed</w:t>
      </w:r>
      <w:r w:rsidRPr="009F37DA">
        <w:t xml:space="preserve"> at over 7% </w:t>
      </w:r>
      <w:r w:rsidR="00906034">
        <w:t xml:space="preserve">in 2021-22 </w:t>
      </w:r>
      <w:r w:rsidRPr="009F37DA">
        <w:t>and growth in the previous C</w:t>
      </w:r>
      <w:r w:rsidR="00B25CEE">
        <w:t>WW</w:t>
      </w:r>
      <w:r w:rsidRPr="009F37DA">
        <w:t xml:space="preserve"> region peak</w:t>
      </w:r>
      <w:r w:rsidR="0089133A">
        <w:t>ed</w:t>
      </w:r>
      <w:r w:rsidRPr="009F37DA">
        <w:t xml:space="preserve"> at </w:t>
      </w:r>
      <w:r w:rsidR="009F4516">
        <w:t xml:space="preserve">just </w:t>
      </w:r>
      <w:r w:rsidRPr="009F37DA">
        <w:t>below 4%</w:t>
      </w:r>
      <w:r w:rsidR="009F4516">
        <w:t xml:space="preserve"> in 2020-21</w:t>
      </w:r>
      <w:r w:rsidR="00EC1350">
        <w:t>.</w:t>
      </w:r>
    </w:p>
    <w:p w14:paraId="4D0D8040" w14:textId="3774089C" w:rsidR="005534BB" w:rsidRDefault="005534BB" w:rsidP="00263E93"/>
    <w:p w14:paraId="4197DBCC" w14:textId="2B9B77A8" w:rsidR="00D515A0" w:rsidRDefault="007D347D" w:rsidP="00DD4A48">
      <w:pPr>
        <w:pStyle w:val="Caption"/>
      </w:pPr>
      <w:bookmarkStart w:id="232" w:name="_Toc145498150"/>
      <w:r>
        <w:rPr>
          <w:b/>
          <w:noProof/>
        </w:rPr>
        <w:drawing>
          <wp:inline distT="0" distB="0" distL="0" distR="0" wp14:anchorId="3BAD9BB4" wp14:editId="4FD82234">
            <wp:extent cx="6120765" cy="3274060"/>
            <wp:effectExtent l="0" t="0" r="0" b="2540"/>
            <wp:docPr id="100" name="Picture 100" descr="Line graph showing 3 data sets: GWW Historical water customer growth (ESC BED1), Central -  Historical water customer growth (ESC BED 1) and Western - Historical water customer growth (ESC BED 1). X-axis shows years from 2015 to 2023. The y-axis is titled &quot;Water customers (ESC BED1)&quot; and shows values 0.0% to 8.0% in increments of 1.0%. All data points start at 2.9%. GWW Historical water customer growth (ESC BED1) undulates but remains between 2.8% and 4.0%, ending at 3.0%. Central Historical water customer growth (ESC BED1) undulates but remains between 2.0% and 4.0%, ending at 2.5%. Western Historical water customer growth (ESC BED1) raises steadily and ends at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ine graph showing 3 data sets: GWW Historical water customer growth (ESC BED1), Central -  Historical water customer growth (ESC BED 1) and Western - Historical water customer growth (ESC BED 1). X-axis shows years from 2015 to 2023. The y-axis is titled &quot;Water customers (ESC BED1)&quot; and shows values 0.0% to 8.0% in increments of 1.0%. All data points start at 2.9%. GWW Historical water customer growth (ESC BED1) undulates but remains between 2.8% and 4.0%, ending at 3.0%. Central Historical water customer growth (ESC BED1) undulates but remains between 2.0% and 4.0%, ending at 2.5%. Western Historical water customer growth (ESC BED1) raises steadily and ends at 6.8%.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274060"/>
                    </a:xfrm>
                    <a:prstGeom prst="rect">
                      <a:avLst/>
                    </a:prstGeom>
                    <a:noFill/>
                  </pic:spPr>
                </pic:pic>
              </a:graphicData>
            </a:graphic>
          </wp:inline>
        </w:drawing>
      </w:r>
      <w:r w:rsidR="00D515A0" w:rsidRPr="006169C0">
        <w:rPr>
          <w:b/>
        </w:rPr>
        <w:t xml:space="preserve">Figure </w:t>
      </w:r>
      <w:r w:rsidR="00D515A0" w:rsidRPr="007B6361">
        <w:rPr>
          <w:b/>
        </w:rPr>
        <w:fldChar w:fldCharType="begin"/>
      </w:r>
      <w:r w:rsidR="00D515A0" w:rsidRPr="007B6361">
        <w:rPr>
          <w:b/>
        </w:rPr>
        <w:instrText>SEQ Figure \* ARABIC</w:instrText>
      </w:r>
      <w:r w:rsidR="00D515A0" w:rsidRPr="007B6361">
        <w:rPr>
          <w:b/>
        </w:rPr>
        <w:fldChar w:fldCharType="separate"/>
      </w:r>
      <w:r w:rsidR="003B42C6">
        <w:rPr>
          <w:b/>
          <w:noProof/>
        </w:rPr>
        <w:t>13</w:t>
      </w:r>
      <w:r w:rsidR="00D515A0" w:rsidRPr="007B6361">
        <w:rPr>
          <w:b/>
        </w:rPr>
        <w:fldChar w:fldCharType="end"/>
      </w:r>
      <w:r w:rsidR="00D515A0">
        <w:t xml:space="preserve"> Historical ESC customer growth by region</w:t>
      </w:r>
      <w:bookmarkEnd w:id="232"/>
    </w:p>
    <w:p w14:paraId="23F32798" w14:textId="2CD3C599" w:rsidR="00263E93" w:rsidRPr="00263E93" w:rsidRDefault="00263E93" w:rsidP="00263E93">
      <w:r w:rsidRPr="00263E93">
        <w:t xml:space="preserve">The </w:t>
      </w:r>
      <w:r w:rsidR="00B621C5">
        <w:t xml:space="preserve">COVID-19 </w:t>
      </w:r>
      <w:r w:rsidRPr="00263E93">
        <w:t>pandemic and the Federal and State government responses, such as closure of international borders, increased interstate migration and restrictions to business trading and movement, have significantly reduced growth since 2020-21. This slowdown was exacerbated by the impacts of material supply and labour constraints in the construction and land development industry and the public failure of several home builders.</w:t>
      </w:r>
    </w:p>
    <w:p w14:paraId="4242B3B5" w14:textId="2A762760" w:rsidR="00263E93" w:rsidRPr="00263E93" w:rsidRDefault="00263E93" w:rsidP="00263E93">
      <w:r w:rsidRPr="00263E93">
        <w:t xml:space="preserve">Growth across </w:t>
      </w:r>
      <w:r w:rsidR="00E33A84">
        <w:t xml:space="preserve">the service </w:t>
      </w:r>
      <w:r w:rsidRPr="00263E93">
        <w:t>region</w:t>
      </w:r>
      <w:r w:rsidR="001B4DA0">
        <w:t xml:space="preserve"> </w:t>
      </w:r>
      <w:r w:rsidRPr="00263E93">
        <w:t xml:space="preserve">dropped to </w:t>
      </w:r>
      <w:r w:rsidR="00297CB0">
        <w:t>a</w:t>
      </w:r>
      <w:r w:rsidRPr="00263E93">
        <w:t xml:space="preserve"> low of 2.5% in 2021-22, with the decline primarily driven by inner-city regions. Growth in our western region continued to climb even through the pandemic. </w:t>
      </w:r>
    </w:p>
    <w:p w14:paraId="13F4F728" w14:textId="3F5D7654" w:rsidR="00263E93" w:rsidRPr="00263E93" w:rsidRDefault="00263E93" w:rsidP="00263E93">
      <w:r w:rsidRPr="00263E93">
        <w:t xml:space="preserve">In 2022-23, overall growth in residential and non-residential customers has </w:t>
      </w:r>
      <w:r w:rsidR="00EC0F07">
        <w:t>indicated a small rebound towards</w:t>
      </w:r>
      <w:r w:rsidRPr="00263E93">
        <w:t xml:space="preserve"> pre-pandemic levels</w:t>
      </w:r>
      <w:r w:rsidR="00AE779E">
        <w:t>.</w:t>
      </w:r>
      <w:r w:rsidRPr="00263E93">
        <w:t xml:space="preserve"> </w:t>
      </w:r>
      <w:r w:rsidR="00AE779E">
        <w:t>H</w:t>
      </w:r>
      <w:r w:rsidR="00EC0F07">
        <w:t>owever</w:t>
      </w:r>
      <w:r w:rsidR="00F118B0">
        <w:t>,</w:t>
      </w:r>
      <w:r w:rsidR="00EC0F07">
        <w:t xml:space="preserve"> water and sewerage volumes remain lower than historic volumes.</w:t>
      </w:r>
    </w:p>
    <w:p w14:paraId="37BA6930" w14:textId="2702D7ED" w:rsidR="00263E93" w:rsidRPr="00263E93" w:rsidRDefault="00263E93" w:rsidP="00263E93">
      <w:r w:rsidRPr="00263E93">
        <w:t xml:space="preserve">While migration has recommenced and is expected to add to demand over time, </w:t>
      </w:r>
      <w:r w:rsidR="00EC0F07">
        <w:t xml:space="preserve">the rate of </w:t>
      </w:r>
      <w:r w:rsidR="007414E3">
        <w:t xml:space="preserve">rebound towards pre-pandemic levels remains uncertain </w:t>
      </w:r>
      <w:r w:rsidRPr="00263E93">
        <w:t xml:space="preserve">over the forecast period. </w:t>
      </w:r>
      <w:r w:rsidR="00EB5147">
        <w:t xml:space="preserve">Although we continue to experience high growth, </w:t>
      </w:r>
      <w:r w:rsidR="00A07CA5">
        <w:t>we</w:t>
      </w:r>
      <w:r w:rsidR="007414E3">
        <w:t xml:space="preserve"> anticipate </w:t>
      </w:r>
      <w:r w:rsidR="00F118B0">
        <w:t>that the</w:t>
      </w:r>
      <w:r w:rsidR="007414E3">
        <w:t xml:space="preserve"> </w:t>
      </w:r>
      <w:r w:rsidR="00786076" w:rsidRPr="0057103F">
        <w:t xml:space="preserve">rapid increase in interest rates since late 2022, high inflation and low wage growth </w:t>
      </w:r>
      <w:r w:rsidR="007414E3" w:rsidRPr="0057103F">
        <w:t xml:space="preserve">will </w:t>
      </w:r>
      <w:r w:rsidR="00786076" w:rsidRPr="00D440FF">
        <w:t>place significant downward pressure on growth</w:t>
      </w:r>
      <w:r w:rsidR="007414E3" w:rsidRPr="00D440FF">
        <w:t xml:space="preserve"> </w:t>
      </w:r>
      <w:proofErr w:type="gramStart"/>
      <w:r w:rsidR="007414E3" w:rsidRPr="00D440FF">
        <w:t>in the near future</w:t>
      </w:r>
      <w:proofErr w:type="gramEnd"/>
      <w:r w:rsidR="00786076" w:rsidRPr="00D440FF">
        <w:t>.</w:t>
      </w:r>
      <w:r w:rsidR="00DB7428">
        <w:t xml:space="preserve"> We are seeing a decline in developer work applications compared to the previous financial year.</w:t>
      </w:r>
    </w:p>
    <w:p w14:paraId="05621DFF" w14:textId="698D7320" w:rsidR="00263E93" w:rsidRPr="00263E93" w:rsidRDefault="00035A51" w:rsidP="00663905">
      <w:r>
        <w:t>W</w:t>
      </w:r>
      <w:r w:rsidR="00263E93" w:rsidRPr="00263E93">
        <w:t>e have primarily adopted the Department of Transport and Planning’s unpublished Victorian Government Projections – Victoria in Future 202</w:t>
      </w:r>
      <w:r w:rsidR="00D440FF">
        <w:t>2</w:t>
      </w:r>
      <w:r w:rsidR="00263E93" w:rsidRPr="00263E93" w:rsidDel="00A74E31">
        <w:t xml:space="preserve"> </w:t>
      </w:r>
      <w:r w:rsidRPr="00263E93">
        <w:t xml:space="preserve">to forecast </w:t>
      </w:r>
      <w:r w:rsidR="00263E93" w:rsidRPr="00263E93" w:rsidDel="00A74E31">
        <w:t xml:space="preserve">our residential serviced dwelling </w:t>
      </w:r>
      <w:r w:rsidRPr="00263E93">
        <w:t>demands for the 2024-28 period</w:t>
      </w:r>
      <w:r w:rsidR="00263E93" w:rsidRPr="00263E93">
        <w:t>. This forecast is residential in nature, is at a Statistical Area Level 2 (SA2) resolution and is the most up-to-date data available.</w:t>
      </w:r>
    </w:p>
    <w:p w14:paraId="20258506" w14:textId="5D3C1062" w:rsidR="00263E93" w:rsidRPr="00263E93" w:rsidRDefault="00263E93" w:rsidP="00263E93">
      <w:r w:rsidRPr="00263E93">
        <w:lastRenderedPageBreak/>
        <w:t xml:space="preserve">Ultimately our forecast is based </w:t>
      </w:r>
      <w:r w:rsidR="00225D3E">
        <w:t>on Victoria in Future</w:t>
      </w:r>
      <w:r w:rsidR="00F609C6">
        <w:t xml:space="preserve"> </w:t>
      </w:r>
      <w:r w:rsidR="00F609C6" w:rsidRPr="00F609C6">
        <w:t xml:space="preserve">population and </w:t>
      </w:r>
      <w:proofErr w:type="gramStart"/>
      <w:r w:rsidR="00F609C6" w:rsidRPr="00F609C6">
        <w:t>households</w:t>
      </w:r>
      <w:proofErr w:type="gramEnd"/>
      <w:r w:rsidR="00F609C6" w:rsidRPr="00F609C6">
        <w:t xml:space="preserve"> projection</w:t>
      </w:r>
      <w:r w:rsidR="00F609C6">
        <w:t xml:space="preserve"> reports</w:t>
      </w:r>
      <w:r w:rsidR="00225D3E" w:rsidRPr="00263E93">
        <w:t xml:space="preserve"> </w:t>
      </w:r>
      <w:r w:rsidR="004C2871">
        <w:t>(</w:t>
      </w:r>
      <w:r w:rsidRPr="00263E93">
        <w:t>VIF</w:t>
      </w:r>
      <w:r w:rsidR="00225D3E">
        <w:t>)</w:t>
      </w:r>
      <w:r w:rsidR="00F24738">
        <w:t>.</w:t>
      </w:r>
      <w:r w:rsidRPr="00263E93">
        <w:t xml:space="preserve"> </w:t>
      </w:r>
      <w:r w:rsidR="00F24738">
        <w:t>H</w:t>
      </w:r>
      <w:r w:rsidRPr="00263E93">
        <w:t>owever</w:t>
      </w:r>
      <w:r w:rsidR="00A74E31">
        <w:t>,</w:t>
      </w:r>
      <w:r w:rsidRPr="00263E93">
        <w:t xml:space="preserve"> the significant differences in capital costs in growth in infill and greenfield areas, particularly in those greenfield areas where GWW provides non-retail assets such as transfer and treatment facilities, requires a reliable and smaller resolution of the spatial distribution of the growth within our service area. This is complicated by the significant areas where some or all services are unlikely to be provided in the forecast period. To address this, we have:</w:t>
      </w:r>
    </w:p>
    <w:p w14:paraId="5A6CF24C" w14:textId="1E51B0B7" w:rsidR="00263E93" w:rsidRPr="00263E93" w:rsidRDefault="00263E93">
      <w:pPr>
        <w:pStyle w:val="ListBullet"/>
        <w:numPr>
          <w:ilvl w:val="0"/>
          <w:numId w:val="21"/>
        </w:numPr>
      </w:pPr>
      <w:r w:rsidRPr="00263E93">
        <w:t xml:space="preserve">reviewed our own work applications (to develop lots into dwellings) to understand and distribute the growth in VIF at a Statistical Area Level 1 (SA1) resolution (this is a finer resolution than VIF) in the short </w:t>
      </w:r>
      <w:proofErr w:type="gramStart"/>
      <w:r w:rsidRPr="00263E93">
        <w:t>term</w:t>
      </w:r>
      <w:proofErr w:type="gramEnd"/>
    </w:p>
    <w:p w14:paraId="20983384" w14:textId="1C366D8E" w:rsidR="00263E93" w:rsidRPr="00263E93" w:rsidRDefault="00263E93">
      <w:pPr>
        <w:pStyle w:val="ListBullet"/>
        <w:numPr>
          <w:ilvl w:val="0"/>
          <w:numId w:val="21"/>
        </w:numPr>
      </w:pPr>
      <w:r w:rsidRPr="00263E93">
        <w:t xml:space="preserve">continued to engage growth forecasting </w:t>
      </w:r>
      <w:proofErr w:type="gramStart"/>
      <w:r w:rsidRPr="00263E93">
        <w:t>experts</w:t>
      </w:r>
      <w:proofErr w:type="gramEnd"/>
      <w:r w:rsidR="00F40114">
        <w:t xml:space="preserve"> </w:t>
      </w:r>
      <w:proofErr w:type="spellStart"/>
      <w:r w:rsidRPr="00263E93">
        <w:t>iD</w:t>
      </w:r>
      <w:proofErr w:type="spellEnd"/>
      <w:r w:rsidRPr="00263E93">
        <w:t xml:space="preserve"> and Research4 to provide independent forecasts for population and dwelling growth at the SA1 </w:t>
      </w:r>
      <w:r w:rsidR="00787392">
        <w:t>and even finer resolution.</w:t>
      </w:r>
      <w:r w:rsidRPr="00263E93">
        <w:t xml:space="preserve"> </w:t>
      </w:r>
      <w:r w:rsidR="008A52A1">
        <w:t>F</w:t>
      </w:r>
      <w:r w:rsidRPr="00263E93">
        <w:t>iner resolution allows us to better refine the VIF forecast and its distribution of growth across our service region in the short to medium term forecast.</w:t>
      </w:r>
    </w:p>
    <w:p w14:paraId="78F96FA2" w14:textId="021500EA" w:rsidR="0084356A" w:rsidRDefault="00263E93" w:rsidP="00263E93">
      <w:r w:rsidRPr="00263E93">
        <w:t xml:space="preserve">With these sources, we have developed growth forecasts for residential serviced dwellings using an amelioration process that synthetises the top-down (SA2) level data from VIF with our more granular level data (SA1). These forecasts have been rebased to our ESC reported water customer numbers as </w:t>
      </w:r>
      <w:proofErr w:type="gramStart"/>
      <w:r w:rsidRPr="00263E93">
        <w:t>at</w:t>
      </w:r>
      <w:proofErr w:type="gramEnd"/>
      <w:r w:rsidRPr="00263E93">
        <w:t xml:space="preserve"> 30 June 2023.</w:t>
      </w:r>
      <w:r w:rsidR="0084356A">
        <w:rPr>
          <w:rStyle w:val="EndnoteReference"/>
        </w:rPr>
        <w:endnoteReference w:id="17"/>
      </w:r>
    </w:p>
    <w:p w14:paraId="6E33FB08" w14:textId="7F6B16C0" w:rsidR="00975965" w:rsidRDefault="00CC5652" w:rsidP="00263E93">
      <w:r>
        <w:rPr>
          <w:b/>
        </w:rPr>
        <w:fldChar w:fldCharType="begin"/>
      </w:r>
      <w:r>
        <w:instrText xml:space="preserve"> REF _Ref146621433 \h </w:instrText>
      </w:r>
      <w:r>
        <w:rPr>
          <w:b/>
        </w:rPr>
      </w:r>
      <w:r>
        <w:rPr>
          <w:b/>
        </w:rPr>
        <w:fldChar w:fldCharType="separate"/>
      </w:r>
      <w:r w:rsidR="003B42C6" w:rsidRPr="007B6361">
        <w:rPr>
          <w:b/>
          <w:bCs/>
        </w:rPr>
        <w:t xml:space="preserve">Figure </w:t>
      </w:r>
      <w:r w:rsidR="003B42C6">
        <w:rPr>
          <w:b/>
          <w:bCs/>
          <w:noProof/>
        </w:rPr>
        <w:t>14</w:t>
      </w:r>
      <w:r>
        <w:rPr>
          <w:b/>
        </w:rPr>
        <w:fldChar w:fldCharType="end"/>
      </w:r>
      <w:r w:rsidR="00DB288E" w:rsidRPr="00A21BEB">
        <w:rPr>
          <w:b/>
        </w:rPr>
        <w:t xml:space="preserve"> </w:t>
      </w:r>
      <w:r w:rsidR="00DB288E">
        <w:t xml:space="preserve">presents our </w:t>
      </w:r>
      <w:r w:rsidR="00914853">
        <w:t>final</w:t>
      </w:r>
      <w:r w:rsidR="00DB288E">
        <w:t xml:space="preserve"> </w:t>
      </w:r>
      <w:r w:rsidR="00914853">
        <w:t xml:space="preserve">residential </w:t>
      </w:r>
      <w:r w:rsidR="00DB288E">
        <w:t>serviced dwellings</w:t>
      </w:r>
      <w:r w:rsidR="00914853">
        <w:t xml:space="preserve"> forecast</w:t>
      </w:r>
      <w:r w:rsidR="00F91680">
        <w:t xml:space="preserve"> against</w:t>
      </w:r>
      <w:r w:rsidR="00975965">
        <w:t>:</w:t>
      </w:r>
    </w:p>
    <w:p w14:paraId="7FF725F2" w14:textId="7303EC95" w:rsidR="00DB40BD" w:rsidRPr="00DB40BD" w:rsidRDefault="00DB40BD">
      <w:pPr>
        <w:pStyle w:val="ListBullet"/>
        <w:numPr>
          <w:ilvl w:val="0"/>
          <w:numId w:val="22"/>
        </w:numPr>
      </w:pPr>
      <w:r w:rsidRPr="00DB40BD">
        <w:t>the upper bound of forecast residential serviced dwellings derived from VIF that includes all SA2 localities in GWW’s service region, include SA2 localities that overlap with other authorities (Central Highlands Water).</w:t>
      </w:r>
    </w:p>
    <w:p w14:paraId="4777A6CE" w14:textId="0F4563F1" w:rsidR="00DB40BD" w:rsidRPr="00DB40BD" w:rsidRDefault="00DB40BD">
      <w:pPr>
        <w:pStyle w:val="ListBullet"/>
        <w:numPr>
          <w:ilvl w:val="0"/>
          <w:numId w:val="22"/>
        </w:numPr>
      </w:pPr>
      <w:r w:rsidRPr="00DB40BD">
        <w:t xml:space="preserve">the lower bound of forecast residential serviced dwellings from VIF that only includes SA2 localities fully encompassed in GWW’s service region </w:t>
      </w:r>
      <w:r w:rsidR="00BD47DF">
        <w:t>(</w:t>
      </w:r>
      <w:r w:rsidRPr="00DB40BD">
        <w:t>excludes SA2s that overlap our boundaries with others</w:t>
      </w:r>
      <w:r w:rsidR="00BD47DF">
        <w:t>)</w:t>
      </w:r>
    </w:p>
    <w:p w14:paraId="29AB431A" w14:textId="74D124DA" w:rsidR="00F63698" w:rsidRDefault="007376F8">
      <w:pPr>
        <w:pStyle w:val="ListBullet"/>
        <w:numPr>
          <w:ilvl w:val="0"/>
          <w:numId w:val="22"/>
        </w:numPr>
      </w:pPr>
      <w:r>
        <w:t xml:space="preserve">forecast </w:t>
      </w:r>
      <w:r w:rsidR="00914853">
        <w:t xml:space="preserve">residential </w:t>
      </w:r>
      <w:r>
        <w:t xml:space="preserve">serviced dwellings constructed from internal land development data and external </w:t>
      </w:r>
      <w:proofErr w:type="spellStart"/>
      <w:r w:rsidRPr="00FC597B">
        <w:t>iD’s</w:t>
      </w:r>
      <w:proofErr w:type="spellEnd"/>
      <w:r w:rsidRPr="00FC597B">
        <w:t xml:space="preserve"> RDL data and Research4</w:t>
      </w:r>
      <w:r>
        <w:t xml:space="preserve"> forecasts.</w:t>
      </w:r>
    </w:p>
    <w:p w14:paraId="0C3BF275" w14:textId="07DBEC4B" w:rsidR="00811D2B" w:rsidRPr="009027D1" w:rsidRDefault="006B623E" w:rsidP="009027D1">
      <w:r>
        <w:t>Overall,</w:t>
      </w:r>
      <w:r w:rsidR="007376F8">
        <w:t xml:space="preserve"> our final serviced dwelling forecast sits between the upper </w:t>
      </w:r>
      <w:r>
        <w:t xml:space="preserve">and </w:t>
      </w:r>
      <w:r w:rsidR="00DE2A52">
        <w:t>lower bound</w:t>
      </w:r>
      <w:r w:rsidR="00487DEB">
        <w:t>s</w:t>
      </w:r>
      <w:r w:rsidR="00DE2A52">
        <w:t xml:space="preserve"> of </w:t>
      </w:r>
      <w:r w:rsidR="00322ED5">
        <w:t>the VIF 2022 forecasts.</w:t>
      </w:r>
    </w:p>
    <w:p w14:paraId="1E9EDC3A" w14:textId="417DDEB7" w:rsidR="005F5B08" w:rsidRDefault="00A85A05" w:rsidP="005F5B08">
      <w:pPr>
        <w:pStyle w:val="Caption"/>
      </w:pPr>
      <w:bookmarkStart w:id="233" w:name="_Ref146621433"/>
      <w:bookmarkStart w:id="234" w:name="_Toc145498151"/>
      <w:r>
        <w:rPr>
          <w:b/>
          <w:bCs/>
          <w:noProof/>
        </w:rPr>
        <w:lastRenderedPageBreak/>
        <w:drawing>
          <wp:inline distT="0" distB="0" distL="0" distR="0" wp14:anchorId="4B3F1191" wp14:editId="75FADB88">
            <wp:extent cx="6120765" cy="3914140"/>
            <wp:effectExtent l="0" t="0" r="0" b="0"/>
            <wp:docPr id="101" name="Picture 101" descr="Line graph with 5 datasets, one actual data, four forecasts. X-axis shows years from 2014 to 2058 in increments of 2 years. The y-axis is titled &quot;Cumulative serviced dwellings (no.)&quot; and shows values from 0 to 1400000 in increments of 200000. Dataset &quot;GWW – Residential water service&quot; starts at 2014 with value 400000 and trends upward to 2024 with a value of 580000. Dataset &quot;Final GWW PS24 forecast&quot; starts at 2024 with value 580000 and trends upward to 2058 with a value of 1900000. Dataset &quot;VIF (2022) GWW SA2 serviced dwelling forecast (includes overlapping boundaries with other authorities)&quot; starts at 2024 with value 580000 and trends upward to 2058 with a value of 1200000. Dataset &quot;Land development data, iD and Research 4 data&quot; starts at 2024 with value 580000 and trends upward to 2058 with a value of 980000. Dataset &quot;VIF (2022) GWW SA2 serviced dwelling forecast (no overlap with other authorities)&quot; starts at 2024 with value 400000 and trends upward to 2058 with a value of 98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ine graph with 5 datasets, one actual data, four forecasts. X-axis shows years from 2014 to 2058 in increments of 2 years. The y-axis is titled &quot;Cumulative serviced dwellings (no.)&quot; and shows values from 0 to 1400000 in increments of 200000. Dataset &quot;GWW – Residential water service&quot; starts at 2014 with value 400000 and trends upward to 2024 with a value of 580000. Dataset &quot;Final GWW PS24 forecast&quot; starts at 2024 with value 580000 and trends upward to 2058 with a value of 1900000. Dataset &quot;VIF (2022) GWW SA2 serviced dwelling forecast (includes overlapping boundaries with other authorities)&quot; starts at 2024 with value 580000 and trends upward to 2058 with a value of 1200000. Dataset &quot;Land development data, iD and Research 4 data&quot; starts at 2024 with value 580000 and trends upward to 2058 with a value of 980000. Dataset &quot;VIF (2022) GWW SA2 serviced dwelling forecast (no overlap with other authorities)&quot; starts at 2024 with value 400000 and trends upward to 2058 with a value of 980000.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914140"/>
                    </a:xfrm>
                    <a:prstGeom prst="rect">
                      <a:avLst/>
                    </a:prstGeom>
                    <a:noFill/>
                  </pic:spPr>
                </pic:pic>
              </a:graphicData>
            </a:graphic>
          </wp:inline>
        </w:drawing>
      </w:r>
      <w:r w:rsidR="005F5B08" w:rsidRPr="007B6361">
        <w:rPr>
          <w:b/>
          <w:bCs/>
        </w:rPr>
        <w:t xml:space="preserve">Figure </w:t>
      </w:r>
      <w:r w:rsidR="005F5B08" w:rsidRPr="007B6361">
        <w:rPr>
          <w:b/>
          <w:bCs/>
        </w:rPr>
        <w:fldChar w:fldCharType="begin"/>
      </w:r>
      <w:r w:rsidR="005F5B08" w:rsidRPr="007B6361">
        <w:rPr>
          <w:b/>
          <w:bCs/>
        </w:rPr>
        <w:instrText>SEQ Figure \* ARABIC</w:instrText>
      </w:r>
      <w:r w:rsidR="005F5B08" w:rsidRPr="007B6361">
        <w:rPr>
          <w:b/>
          <w:bCs/>
        </w:rPr>
        <w:fldChar w:fldCharType="separate"/>
      </w:r>
      <w:r w:rsidR="003B42C6">
        <w:rPr>
          <w:b/>
          <w:bCs/>
          <w:noProof/>
        </w:rPr>
        <w:t>14</w:t>
      </w:r>
      <w:r w:rsidR="005F5B08" w:rsidRPr="007B6361">
        <w:rPr>
          <w:b/>
          <w:bCs/>
        </w:rPr>
        <w:fldChar w:fldCharType="end"/>
      </w:r>
      <w:bookmarkEnd w:id="233"/>
      <w:r w:rsidR="005F5B08">
        <w:t xml:space="preserve"> Forecast serviced </w:t>
      </w:r>
      <w:proofErr w:type="gramStart"/>
      <w:r w:rsidR="005F5B08">
        <w:t>dwellings</w:t>
      </w:r>
      <w:bookmarkEnd w:id="234"/>
      <w:proofErr w:type="gramEnd"/>
    </w:p>
    <w:p w14:paraId="150745A4" w14:textId="7B72E759" w:rsidR="008D2E25" w:rsidRPr="000D191C" w:rsidRDefault="00C37417" w:rsidP="00472AFE">
      <w:r>
        <w:t>This</w:t>
      </w:r>
      <w:r w:rsidR="00454D3D">
        <w:t xml:space="preserve"> growth is not shared consistently across </w:t>
      </w:r>
      <w:r w:rsidR="00E33A84">
        <w:t xml:space="preserve">the service </w:t>
      </w:r>
      <w:r w:rsidR="009F21DB">
        <w:t>region,</w:t>
      </w:r>
      <w:r w:rsidR="00454D3D" w:rsidDel="00C37417">
        <w:t xml:space="preserve"> with most </w:t>
      </w:r>
      <w:r w:rsidR="00454D3D" w:rsidDel="00487DEB">
        <w:t xml:space="preserve">of the growth </w:t>
      </w:r>
      <w:r w:rsidR="00454D3D" w:rsidDel="00C37417">
        <w:t xml:space="preserve">occurring in </w:t>
      </w:r>
      <w:r w:rsidR="00A7661F" w:rsidDel="00C37417">
        <w:t xml:space="preserve">the CBD, </w:t>
      </w:r>
      <w:r w:rsidR="00A7661F" w:rsidDel="00487DEB">
        <w:t xml:space="preserve">and </w:t>
      </w:r>
      <w:r w:rsidR="00A7661F" w:rsidDel="00C37417">
        <w:t>the west and outer west</w:t>
      </w:r>
      <w:r>
        <w:t xml:space="preserve"> as shown in </w:t>
      </w:r>
      <w:r w:rsidR="003A62C7">
        <w:fldChar w:fldCharType="begin"/>
      </w:r>
      <w:r w:rsidR="003A62C7">
        <w:instrText xml:space="preserve"> REF _Ref144724323 \h </w:instrText>
      </w:r>
      <w:r w:rsidR="003A62C7">
        <w:fldChar w:fldCharType="separate"/>
      </w:r>
      <w:r w:rsidR="003B42C6" w:rsidRPr="00D114DE">
        <w:rPr>
          <w:b/>
        </w:rPr>
        <w:t xml:space="preserve">Figure </w:t>
      </w:r>
      <w:r w:rsidR="003B42C6">
        <w:rPr>
          <w:b/>
          <w:noProof/>
        </w:rPr>
        <w:t>15</w:t>
      </w:r>
      <w:r w:rsidR="003A62C7">
        <w:fldChar w:fldCharType="end"/>
      </w:r>
      <w:r w:rsidR="00771EFA">
        <w:t>.</w:t>
      </w:r>
    </w:p>
    <w:p w14:paraId="1FD712D6" w14:textId="55EDE8FE" w:rsidR="00771EFA" w:rsidRDefault="001B2E8F" w:rsidP="00771EFA">
      <w:pPr>
        <w:pStyle w:val="Caption"/>
      </w:pPr>
      <w:bookmarkStart w:id="235" w:name="_Ref144724323"/>
      <w:bookmarkStart w:id="236" w:name="_Toc145498152"/>
      <w:r>
        <w:rPr>
          <w:b/>
          <w:noProof/>
        </w:rPr>
        <w:lastRenderedPageBreak/>
        <w:drawing>
          <wp:inline distT="0" distB="0" distL="0" distR="0" wp14:anchorId="5AD3E0A7" wp14:editId="00DEF71B">
            <wp:extent cx="5864860" cy="4493260"/>
            <wp:effectExtent l="0" t="0" r="2540" b="2540"/>
            <wp:docPr id="102" name="Picture 102" descr="Map titled &quot;GWW Growth 2030&quot;. Regions are shaded from light green to dark blue, light green indicates 0-820, and dark blue indicates 7376-8196. Lightest regions are Romsey and Woodend to the north, the darkest regions are Werribee-West and  Rockbank-Mount Cottrell in the centr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 titled &quot;GWW Growth 2030&quot;. Regions are shaded from light green to dark blue, light green indicates 0-820, and dark blue indicates 7376-8196. Lightest regions are Romsey and Woodend to the north, the darkest regions are Werribee-West and  Rockbank-Mount Cottrell in the centre sou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4860" cy="4493260"/>
                    </a:xfrm>
                    <a:prstGeom prst="rect">
                      <a:avLst/>
                    </a:prstGeom>
                    <a:noFill/>
                  </pic:spPr>
                </pic:pic>
              </a:graphicData>
            </a:graphic>
          </wp:inline>
        </w:drawing>
      </w:r>
      <w:r w:rsidR="00771EFA" w:rsidRPr="00D114DE">
        <w:rPr>
          <w:b/>
        </w:rPr>
        <w:t xml:space="preserve">Figure </w:t>
      </w:r>
      <w:r w:rsidR="00771EFA" w:rsidRPr="007B6361">
        <w:rPr>
          <w:b/>
        </w:rPr>
        <w:fldChar w:fldCharType="begin"/>
      </w:r>
      <w:r w:rsidR="00771EFA" w:rsidRPr="007B6361">
        <w:rPr>
          <w:b/>
        </w:rPr>
        <w:instrText>SEQ Figure \* ARABIC</w:instrText>
      </w:r>
      <w:r w:rsidR="00771EFA" w:rsidRPr="007B6361">
        <w:rPr>
          <w:b/>
        </w:rPr>
        <w:fldChar w:fldCharType="separate"/>
      </w:r>
      <w:r w:rsidR="003B42C6">
        <w:rPr>
          <w:b/>
          <w:noProof/>
        </w:rPr>
        <w:t>15</w:t>
      </w:r>
      <w:r w:rsidR="00771EFA" w:rsidRPr="007B6361">
        <w:rPr>
          <w:b/>
        </w:rPr>
        <w:fldChar w:fldCharType="end"/>
      </w:r>
      <w:bookmarkEnd w:id="235"/>
      <w:r w:rsidR="00771EFA">
        <w:t xml:space="preserve"> Growth disruption across the GWW service region</w:t>
      </w:r>
      <w:bookmarkEnd w:id="236"/>
      <w:r w:rsidR="00771EFA">
        <w:t xml:space="preserve"> </w:t>
      </w:r>
    </w:p>
    <w:p w14:paraId="3757F0C9" w14:textId="01888957" w:rsidR="005130C5" w:rsidRPr="00D515A0" w:rsidRDefault="005130C5" w:rsidP="005B69CD">
      <w:pPr>
        <w:pStyle w:val="Heading3"/>
      </w:pPr>
      <w:r w:rsidRPr="00D515A0">
        <w:t>Non-residential growth</w:t>
      </w:r>
    </w:p>
    <w:p w14:paraId="1B2E00DD" w14:textId="4BF53CFB" w:rsidR="00AE756E" w:rsidRPr="00B04525" w:rsidRDefault="00AE756E" w:rsidP="00AE756E">
      <w:r w:rsidRPr="00B04525">
        <w:t xml:space="preserve">The primary references for our growth forecast are residential in nature, primarily through </w:t>
      </w:r>
      <w:proofErr w:type="spellStart"/>
      <w:r w:rsidRPr="00B04525">
        <w:t>V</w:t>
      </w:r>
      <w:r w:rsidR="00225D3E" w:rsidRPr="00B04525">
        <w:t>iF</w:t>
      </w:r>
      <w:proofErr w:type="spellEnd"/>
      <w:r w:rsidRPr="00B04525">
        <w:t xml:space="preserve"> and other government planning documents (outlined in our lot forecast). </w:t>
      </w:r>
    </w:p>
    <w:p w14:paraId="69A51756" w14:textId="58AF70E5" w:rsidR="00883333" w:rsidRPr="00B04525" w:rsidRDefault="00AE756E" w:rsidP="00AE756E">
      <w:r w:rsidRPr="00B04525">
        <w:t xml:space="preserve">Non-residential growth forecasting </w:t>
      </w:r>
      <w:r w:rsidRPr="00B04525" w:rsidDel="00C84504">
        <w:t xml:space="preserve">has been challenging historically and </w:t>
      </w:r>
      <w:r w:rsidR="00C84504" w:rsidRPr="00B04525">
        <w:t>continues to be</w:t>
      </w:r>
      <w:r w:rsidRPr="00B04525">
        <w:t xml:space="preserve"> challenging due to the </w:t>
      </w:r>
      <w:r w:rsidR="004463ED" w:rsidRPr="00C704F8">
        <w:t>COVID-19 pandemic</w:t>
      </w:r>
      <w:r w:rsidRPr="00B04525">
        <w:t xml:space="preserve"> changing our economic landscape.</w:t>
      </w:r>
      <w:r w:rsidR="003E0914" w:rsidRPr="00B04525">
        <w:t xml:space="preserve"> </w:t>
      </w:r>
    </w:p>
    <w:p w14:paraId="7FD1DED3" w14:textId="14029B95" w:rsidR="0017010E" w:rsidRDefault="005C4D1F" w:rsidP="00AE756E">
      <w:r>
        <w:t>We</w:t>
      </w:r>
      <w:r w:rsidR="00F46F1B">
        <w:t xml:space="preserve"> forecast non-residential growth by first determining the historical average ratio of non-residential serviced dwellings to residential serviced dwellings </w:t>
      </w:r>
      <w:r w:rsidR="0017010E">
        <w:t>in each of the</w:t>
      </w:r>
      <w:r w:rsidR="00F46F1B">
        <w:t xml:space="preserve"> smallest geographical level of detail in our data (this is at the ABS’s residential mesh</w:t>
      </w:r>
      <w:r w:rsidR="007E070A">
        <w:t xml:space="preserve"> </w:t>
      </w:r>
      <w:r w:rsidR="00F46F1B">
        <w:t>block level)</w:t>
      </w:r>
      <w:r w:rsidR="0084356A">
        <w:rPr>
          <w:rStyle w:val="EndnoteReference"/>
        </w:rPr>
        <w:endnoteReference w:id="18"/>
      </w:r>
      <w:r w:rsidR="0084356A">
        <w:t>.</w:t>
      </w:r>
      <w:r w:rsidR="0017010E">
        <w:t xml:space="preserve"> Overall, </w:t>
      </w:r>
      <w:proofErr w:type="gramStart"/>
      <w:r w:rsidR="0017010E">
        <w:t>this averages</w:t>
      </w:r>
      <w:proofErr w:type="gramEnd"/>
      <w:r w:rsidR="0017010E">
        <w:t xml:space="preserve"> to about 1.7 non-residential serviced dwellings for every 100 residential serviced dwellings across GWW. </w:t>
      </w:r>
    </w:p>
    <w:p w14:paraId="11B01D55" w14:textId="52C00042" w:rsidR="00914853" w:rsidRDefault="002D2B4D" w:rsidP="00AE756E">
      <w:r>
        <w:t xml:space="preserve">For </w:t>
      </w:r>
      <w:r w:rsidR="006B5718">
        <w:t xml:space="preserve">each </w:t>
      </w:r>
      <w:proofErr w:type="spellStart"/>
      <w:r w:rsidR="006B5718">
        <w:t>meshblock</w:t>
      </w:r>
      <w:proofErr w:type="spellEnd"/>
      <w:r w:rsidR="006B5718">
        <w:t xml:space="preserve"> </w:t>
      </w:r>
      <w:r>
        <w:t xml:space="preserve">we assume the non-residential connections have the same growth rate as residential </w:t>
      </w:r>
      <w:r w:rsidR="001C79CB">
        <w:t>connections and</w:t>
      </w:r>
      <w:r>
        <w:t xml:space="preserve"> apply that to the non-residential connections to </w:t>
      </w:r>
      <w:r w:rsidR="00F46F1B">
        <w:t xml:space="preserve">forecast </w:t>
      </w:r>
      <w:r w:rsidR="00087DA4">
        <w:t xml:space="preserve">non-residential growth in that </w:t>
      </w:r>
      <w:proofErr w:type="spellStart"/>
      <w:r w:rsidR="00087DA4">
        <w:t>meshblock</w:t>
      </w:r>
      <w:proofErr w:type="spellEnd"/>
      <w:r w:rsidR="00087DA4">
        <w:t xml:space="preserve">. </w:t>
      </w:r>
      <w:r w:rsidR="005B3AEE">
        <w:t xml:space="preserve">This is then aggregated to provide to overall non-residential </w:t>
      </w:r>
      <w:r w:rsidR="00A67A66">
        <w:t xml:space="preserve">connection </w:t>
      </w:r>
      <w:r w:rsidR="005B3AEE">
        <w:t>growth used in our price submission.</w:t>
      </w:r>
    </w:p>
    <w:p w14:paraId="017543BC" w14:textId="5CFB10F2" w:rsidR="00530197" w:rsidRPr="00D515A0" w:rsidRDefault="00530197" w:rsidP="00C6645D">
      <w:pPr>
        <w:pStyle w:val="Heading2"/>
      </w:pPr>
      <w:bookmarkStart w:id="237" w:name="_Toc146004884"/>
      <w:bookmarkStart w:id="238" w:name="_Toc146004772"/>
      <w:bookmarkStart w:id="239" w:name="_Toc146746718"/>
      <w:r w:rsidRPr="00D515A0">
        <w:t xml:space="preserve">Bulk water </w:t>
      </w:r>
      <w:r w:rsidR="006B4649" w:rsidRPr="00D515A0">
        <w:t xml:space="preserve">demand </w:t>
      </w:r>
      <w:r w:rsidR="00DD5F7E" w:rsidRPr="00D515A0">
        <w:t>forecasts</w:t>
      </w:r>
      <w:bookmarkEnd w:id="237"/>
      <w:bookmarkEnd w:id="238"/>
      <w:bookmarkEnd w:id="239"/>
    </w:p>
    <w:p w14:paraId="364C36D2" w14:textId="61913587" w:rsidR="00032BC4" w:rsidRDefault="00A76F66" w:rsidP="00032BC4">
      <w:r>
        <w:t>Bulk water demand forecasts are used to determine</w:t>
      </w:r>
      <w:r w:rsidR="006E6B86">
        <w:t>:</w:t>
      </w:r>
      <w:r>
        <w:t xml:space="preserve"> </w:t>
      </w:r>
    </w:p>
    <w:p w14:paraId="0CBF5B35" w14:textId="77777777" w:rsidR="00032BC4" w:rsidRDefault="00A76F66">
      <w:pPr>
        <w:pStyle w:val="ListBullet"/>
        <w:numPr>
          <w:ilvl w:val="0"/>
          <w:numId w:val="23"/>
        </w:numPr>
      </w:pPr>
      <w:r>
        <w:t>our water sales</w:t>
      </w:r>
      <w:r w:rsidR="00032BC4">
        <w:t xml:space="preserve"> forecast </w:t>
      </w:r>
    </w:p>
    <w:p w14:paraId="3AC2653B" w14:textId="77777777" w:rsidR="00032BC4" w:rsidRDefault="00A76F66">
      <w:pPr>
        <w:pStyle w:val="ListBullet"/>
        <w:numPr>
          <w:ilvl w:val="0"/>
          <w:numId w:val="23"/>
        </w:numPr>
      </w:pPr>
      <w:r>
        <w:t xml:space="preserve">required supply volumes from different parts of our </w:t>
      </w:r>
      <w:proofErr w:type="gramStart"/>
      <w:r>
        <w:t>network</w:t>
      </w:r>
      <w:proofErr w:type="gramEnd"/>
    </w:p>
    <w:p w14:paraId="4179634E" w14:textId="77777777" w:rsidR="009101A6" w:rsidRDefault="007A34F1">
      <w:pPr>
        <w:pStyle w:val="ListBullet"/>
        <w:numPr>
          <w:ilvl w:val="0"/>
          <w:numId w:val="23"/>
        </w:numPr>
      </w:pPr>
      <w:r>
        <w:t>forecast bulk water costs payable to Melbourne Water</w:t>
      </w:r>
    </w:p>
    <w:p w14:paraId="6C5D1933" w14:textId="71261795" w:rsidR="00704672" w:rsidRDefault="009101A6">
      <w:pPr>
        <w:pStyle w:val="ListBullet"/>
        <w:numPr>
          <w:ilvl w:val="0"/>
          <w:numId w:val="23"/>
        </w:numPr>
      </w:pPr>
      <w:r>
        <w:t xml:space="preserve">where we need new </w:t>
      </w:r>
      <w:r w:rsidR="00A856CA" w:rsidRPr="00A24BC0">
        <w:t xml:space="preserve">capital </w:t>
      </w:r>
      <w:r w:rsidR="00A856CA">
        <w:t>expenditure.</w:t>
      </w:r>
    </w:p>
    <w:p w14:paraId="43A0B3C5" w14:textId="7B78CC61" w:rsidR="003C0169" w:rsidRDefault="008D2E25" w:rsidP="00DD5F7E">
      <w:r>
        <w:lastRenderedPageBreak/>
        <w:t>Our growth</w:t>
      </w:r>
      <w:r w:rsidR="0072725E">
        <w:t xml:space="preserve"> forecasts </w:t>
      </w:r>
      <w:r w:rsidR="009101A6">
        <w:t xml:space="preserve">are </w:t>
      </w:r>
      <w:r w:rsidR="009B3A60">
        <w:t xml:space="preserve">an input into the </w:t>
      </w:r>
      <w:r w:rsidR="0072725E">
        <w:t>bulk water</w:t>
      </w:r>
      <w:r w:rsidR="009B3A60">
        <w:t xml:space="preserve"> demand</w:t>
      </w:r>
      <w:r w:rsidR="0072725E">
        <w:t xml:space="preserve"> forecast</w:t>
      </w:r>
      <w:r w:rsidR="003C0169">
        <w:t>.</w:t>
      </w:r>
    </w:p>
    <w:p w14:paraId="5A83FDED" w14:textId="52F1F2F9" w:rsidR="00E0288A" w:rsidRDefault="00F51BD7" w:rsidP="00C5677E">
      <w:r>
        <w:t>In 2022-23</w:t>
      </w:r>
      <w:r w:rsidR="00FB12A5" w:rsidRPr="00FB12A5">
        <w:t xml:space="preserve">, GWW’s residential </w:t>
      </w:r>
      <w:r w:rsidR="00F04DE4" w:rsidRPr="00FB12A5">
        <w:t>customers</w:t>
      </w:r>
      <w:r w:rsidR="00FB12A5" w:rsidRPr="00FB12A5">
        <w:t xml:space="preserve"> account for </w:t>
      </w:r>
      <w:r w:rsidR="00550F28">
        <w:t>59</w:t>
      </w:r>
      <w:r w:rsidR="00FB12A5" w:rsidRPr="00FB12A5">
        <w:t>% of total water demand and non-residential customers for 29%</w:t>
      </w:r>
      <w:r w:rsidR="007F798E">
        <w:t xml:space="preserve"> of total water demand</w:t>
      </w:r>
      <w:r w:rsidR="00FB12A5" w:rsidRPr="00FB12A5">
        <w:t xml:space="preserve">. The remaining </w:t>
      </w:r>
      <w:r w:rsidR="00550F28" w:rsidRPr="00FB12A5">
        <w:t>1</w:t>
      </w:r>
      <w:r w:rsidR="00550F28">
        <w:t>2</w:t>
      </w:r>
      <w:r w:rsidR="00F10988">
        <w:t xml:space="preserve">% </w:t>
      </w:r>
      <w:r w:rsidR="00FB12A5" w:rsidRPr="00FB12A5">
        <w:t>is non-revenue water</w:t>
      </w:r>
      <w:r w:rsidR="001F7F7B">
        <w:t>. Non-revenue</w:t>
      </w:r>
      <w:r w:rsidR="00FB12A5" w:rsidRPr="00FB12A5">
        <w:t xml:space="preserve"> water is not billed to customers or used internally by GWW and our processes</w:t>
      </w:r>
      <w:r w:rsidR="001F7F7B">
        <w:t>. It is generally water that is</w:t>
      </w:r>
      <w:r w:rsidR="00FB12A5" w:rsidRPr="00FB12A5">
        <w:t xml:space="preserve"> lost through leaks</w:t>
      </w:r>
      <w:r w:rsidR="008E5662">
        <w:t xml:space="preserve"> or</w:t>
      </w:r>
      <w:r w:rsidR="00FB12A5" w:rsidRPr="00FB12A5">
        <w:t xml:space="preserve"> bursts, used for </w:t>
      </w:r>
      <w:proofErr w:type="gramStart"/>
      <w:r w:rsidR="00FB12A5" w:rsidRPr="00FB12A5">
        <w:t>firefighting</w:t>
      </w:r>
      <w:proofErr w:type="gramEnd"/>
      <w:r w:rsidR="00FB12A5" w:rsidRPr="00FB12A5">
        <w:t xml:space="preserve"> or stolen.</w:t>
      </w:r>
      <w:r w:rsidR="007F798E">
        <w:t xml:space="preserve"> </w:t>
      </w:r>
    </w:p>
    <w:p w14:paraId="1BCDB30F" w14:textId="60FA09AC" w:rsidR="004C3C83" w:rsidRDefault="007F798E" w:rsidP="00C5677E">
      <w:pPr>
        <w:rPr>
          <w:noProof/>
        </w:rPr>
      </w:pPr>
      <w:r>
        <w:t xml:space="preserve">We source most of </w:t>
      </w:r>
      <w:r w:rsidR="00BA4051">
        <w:t xml:space="preserve">our </w:t>
      </w:r>
      <w:r w:rsidR="00106DA0">
        <w:t xml:space="preserve">water </w:t>
      </w:r>
      <w:r>
        <w:t>from Melbourne Water</w:t>
      </w:r>
      <w:r w:rsidR="00266567">
        <w:t>. Water from</w:t>
      </w:r>
      <w:r>
        <w:t xml:space="preserve"> Southern Rural Water and potable water from our own local </w:t>
      </w:r>
      <w:r w:rsidR="00E0288A">
        <w:t>sources mak</w:t>
      </w:r>
      <w:r w:rsidR="00266567">
        <w:t>e</w:t>
      </w:r>
      <w:r w:rsidR="00BA4051">
        <w:t>s</w:t>
      </w:r>
      <w:r w:rsidR="00266567">
        <w:t xml:space="preserve"> up</w:t>
      </w:r>
      <w:r w:rsidR="00E0288A">
        <w:t xml:space="preserve"> the rest of our supply requirements.</w:t>
      </w:r>
    </w:p>
    <w:p w14:paraId="1DA9071D" w14:textId="77777777" w:rsidR="00010A9E" w:rsidRDefault="00B92B2E" w:rsidP="002D2358">
      <w:pPr>
        <w:pStyle w:val="Caption"/>
        <w:rPr>
          <w:b/>
        </w:rPr>
      </w:pPr>
      <w:bookmarkStart w:id="240" w:name="_Ref144740286"/>
      <w:bookmarkStart w:id="241" w:name="_Toc145498153"/>
      <w:r>
        <w:rPr>
          <w:b/>
          <w:noProof/>
        </w:rPr>
        <w:drawing>
          <wp:inline distT="0" distB="0" distL="0" distR="0" wp14:anchorId="27D96089" wp14:editId="702D6066">
            <wp:extent cx="3023870" cy="2719070"/>
            <wp:effectExtent l="0" t="0" r="5080" b="5080"/>
            <wp:docPr id="103" name="Picture 103" descr="Pie chart titled &quot;Greater Western – Demand Requirements&quot; with 3 slices: Residential potable water 59%, Non-residential potable water 29% and Non-revenue water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ie chart titled &quot;Greater Western – Demand Requirements&quot; with 3 slices: Residential potable water 59%, Non-residential potable water 29% and Non-revenue water 12%.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3870" cy="2719070"/>
                    </a:xfrm>
                    <a:prstGeom prst="rect">
                      <a:avLst/>
                    </a:prstGeom>
                    <a:noFill/>
                  </pic:spPr>
                </pic:pic>
              </a:graphicData>
            </a:graphic>
          </wp:inline>
        </w:drawing>
      </w:r>
    </w:p>
    <w:p w14:paraId="612EFE6F" w14:textId="18119320" w:rsidR="00010A9E" w:rsidRDefault="00010A9E" w:rsidP="002D2358">
      <w:pPr>
        <w:pStyle w:val="Caption"/>
        <w:rPr>
          <w:b/>
        </w:rPr>
      </w:pPr>
      <w:r>
        <w:rPr>
          <w:b/>
          <w:noProof/>
        </w:rPr>
        <w:drawing>
          <wp:inline distT="0" distB="0" distL="0" distR="0" wp14:anchorId="6E4679CD" wp14:editId="4EB2500C">
            <wp:extent cx="3023870" cy="2700655"/>
            <wp:effectExtent l="0" t="0" r="5080" b="4445"/>
            <wp:docPr id="104" name="Picture 104" descr="Pie chart titled &quot;Greater Western - Supply requirements&quot; with 3 slices: Total MV supply requirement 96%, Total SRW supply requirement 4% and Total local supply requirement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ie chart titled &quot;Greater Western - Supply requirements&quot; with 3 slices: Total MV supply requirement 96%, Total SRW supply requirement 4% and Total local supply requirement 0.5%.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3870" cy="2700655"/>
                    </a:xfrm>
                    <a:prstGeom prst="rect">
                      <a:avLst/>
                    </a:prstGeom>
                    <a:noFill/>
                  </pic:spPr>
                </pic:pic>
              </a:graphicData>
            </a:graphic>
          </wp:inline>
        </w:drawing>
      </w:r>
    </w:p>
    <w:p w14:paraId="08C4DB4B" w14:textId="4189DEA4" w:rsidR="002D2358" w:rsidRDefault="002D2358" w:rsidP="002D2358">
      <w:pPr>
        <w:pStyle w:val="Caption"/>
      </w:pPr>
      <w:r w:rsidRPr="00E74F62">
        <w:rPr>
          <w:b/>
        </w:rPr>
        <w:t xml:space="preserve">Figure </w:t>
      </w:r>
      <w:r w:rsidRPr="007B6361">
        <w:rPr>
          <w:b/>
        </w:rPr>
        <w:fldChar w:fldCharType="begin"/>
      </w:r>
      <w:r w:rsidRPr="007B6361">
        <w:rPr>
          <w:b/>
        </w:rPr>
        <w:instrText>SEQ Figure \* ARABIC</w:instrText>
      </w:r>
      <w:r w:rsidRPr="007B6361">
        <w:rPr>
          <w:b/>
        </w:rPr>
        <w:fldChar w:fldCharType="separate"/>
      </w:r>
      <w:r w:rsidR="003B42C6">
        <w:rPr>
          <w:b/>
          <w:noProof/>
        </w:rPr>
        <w:t>16</w:t>
      </w:r>
      <w:r w:rsidRPr="007B6361">
        <w:rPr>
          <w:b/>
        </w:rPr>
        <w:fldChar w:fldCharType="end"/>
      </w:r>
      <w:bookmarkEnd w:id="240"/>
      <w:r>
        <w:t xml:space="preserve"> Breakdown of GWW potable water demand and supply</w:t>
      </w:r>
      <w:bookmarkEnd w:id="241"/>
      <w:r w:rsidR="00F51BD7">
        <w:t xml:space="preserve"> in 2022-23</w:t>
      </w:r>
    </w:p>
    <w:p w14:paraId="437C0D75" w14:textId="60E4D1F1" w:rsidR="000012AD" w:rsidRDefault="00266567" w:rsidP="00E55194">
      <w:r>
        <w:t>As we currently</w:t>
      </w:r>
      <w:r w:rsidR="00F55F41">
        <w:t xml:space="preserve"> </w:t>
      </w:r>
      <w:r>
        <w:t>have</w:t>
      </w:r>
      <w:r w:rsidR="00F55F41">
        <w:t xml:space="preserve"> </w:t>
      </w:r>
      <w:r w:rsidR="00AC3EE8">
        <w:t>different tariffs for customers in central and western</w:t>
      </w:r>
      <w:r>
        <w:t xml:space="preserve"> regions</w:t>
      </w:r>
      <w:r w:rsidR="00AC3EE8">
        <w:t xml:space="preserve">, </w:t>
      </w:r>
      <w:r w:rsidR="00F71FF9">
        <w:t>we forecast our bulk water demands for central and western separatel</w:t>
      </w:r>
      <w:r w:rsidR="00AC3EE8">
        <w:t xml:space="preserve">y. </w:t>
      </w:r>
      <w:r w:rsidR="00BD733E">
        <w:t>However,</w:t>
      </w:r>
      <w:r w:rsidR="00F71FF9">
        <w:t xml:space="preserve"> we present our total bulk water </w:t>
      </w:r>
      <w:r w:rsidR="002A3DDC">
        <w:t xml:space="preserve">supply </w:t>
      </w:r>
      <w:r w:rsidR="00F71FF9">
        <w:t xml:space="preserve">costs </w:t>
      </w:r>
      <w:r w:rsidR="000012AD">
        <w:t>as the cumulative cost for GWW</w:t>
      </w:r>
      <w:r w:rsidR="00BD733E">
        <w:t>.</w:t>
      </w:r>
    </w:p>
    <w:p w14:paraId="279138CB" w14:textId="35F11AAC" w:rsidR="00EE303F" w:rsidRDefault="00794AA8" w:rsidP="005B69CD">
      <w:pPr>
        <w:pStyle w:val="Heading3"/>
      </w:pPr>
      <w:r>
        <w:lastRenderedPageBreak/>
        <w:t>Bulk water</w:t>
      </w:r>
      <w:r w:rsidR="00892B36" w:rsidRPr="00892B36">
        <w:t xml:space="preserve"> </w:t>
      </w:r>
      <w:r w:rsidR="009E40CB">
        <w:t xml:space="preserve">demand </w:t>
      </w:r>
      <w:proofErr w:type="gramStart"/>
      <w:r w:rsidR="00892B36" w:rsidRPr="00892B36">
        <w:t>forecast</w:t>
      </w:r>
      <w:proofErr w:type="gramEnd"/>
    </w:p>
    <w:p w14:paraId="1D8E49C6" w14:textId="3A854881" w:rsidR="00BA74B3" w:rsidRDefault="00BA74B3" w:rsidP="00BA74B3">
      <w:r>
        <w:t xml:space="preserve">Underpinning our potable water demand forecasts is the </w:t>
      </w:r>
      <w:r w:rsidR="008B52EE">
        <w:t>Integrated Supply-Demand Planning</w:t>
      </w:r>
      <w:r>
        <w:t xml:space="preserve"> </w:t>
      </w:r>
      <w:r w:rsidR="008B52EE">
        <w:t>(</w:t>
      </w:r>
      <w:proofErr w:type="spellStart"/>
      <w:r>
        <w:t>iSDP</w:t>
      </w:r>
      <w:proofErr w:type="spellEnd"/>
      <w:r w:rsidR="008B52EE">
        <w:t>)</w:t>
      </w:r>
      <w:r>
        <w:t xml:space="preserve"> model, developed by the Institute for Sustainable Futures at the University of Technology Sydney (UTS), Sydney Water and the CSIRO on behalf of Water Services Association of Australia (WSAA) and the National Water Commission.</w:t>
      </w:r>
    </w:p>
    <w:p w14:paraId="76B0E4C7" w14:textId="649D78FF" w:rsidR="00BA74B3" w:rsidRDefault="00BA74B3" w:rsidP="00BA74B3">
      <w:r>
        <w:t>C</w:t>
      </w:r>
      <w:r w:rsidR="00266567">
        <w:t>WW</w:t>
      </w:r>
      <w:r>
        <w:t xml:space="preserve"> and W</w:t>
      </w:r>
      <w:r w:rsidR="00266567">
        <w:t>W</w:t>
      </w:r>
      <w:r>
        <w:t xml:space="preserve"> used the </w:t>
      </w:r>
      <w:proofErr w:type="spellStart"/>
      <w:r>
        <w:t>iSDP</w:t>
      </w:r>
      <w:proofErr w:type="spellEnd"/>
      <w:r>
        <w:t xml:space="preserve"> model to forecast total potable water demand that underpins their end-use potable water forecasts for previous price submissions.</w:t>
      </w:r>
      <w:r w:rsidR="0084356A">
        <w:rPr>
          <w:rStyle w:val="EndnoteReference"/>
        </w:rPr>
        <w:endnoteReference w:id="19"/>
      </w:r>
      <w:r w:rsidR="0084356A">
        <w:t xml:space="preserve"> </w:t>
      </w:r>
      <w:r>
        <w:t xml:space="preserve">The </w:t>
      </w:r>
      <w:proofErr w:type="spellStart"/>
      <w:r>
        <w:t>iSDP</w:t>
      </w:r>
      <w:proofErr w:type="spellEnd"/>
      <w:r>
        <w:t xml:space="preserve"> model is also used when supplying bulk potable water forecasts to Melbourne Water in the development of its price submission and to DEECA in its development of the </w:t>
      </w:r>
      <w:r w:rsidRPr="001667D6">
        <w:rPr>
          <w:i/>
        </w:rPr>
        <w:t>Greater Melbourne Urban Water and System Strategy</w:t>
      </w:r>
      <w:r>
        <w:t xml:space="preserve"> for the central region.</w:t>
      </w:r>
    </w:p>
    <w:p w14:paraId="7B459ACE" w14:textId="0EE55D35" w:rsidR="00BA74B3" w:rsidRDefault="00BA74B3" w:rsidP="00BA74B3">
      <w:r>
        <w:t>The extensive use and experience across C</w:t>
      </w:r>
      <w:r w:rsidR="00266567">
        <w:t>WW</w:t>
      </w:r>
      <w:r>
        <w:t xml:space="preserve"> and W</w:t>
      </w:r>
      <w:r w:rsidR="00266567">
        <w:t>W</w:t>
      </w:r>
      <w:r>
        <w:t xml:space="preserve"> and the ESC’s general acceptance of the approach in previous price submissions, supported the decision to continue using the </w:t>
      </w:r>
      <w:proofErr w:type="spellStart"/>
      <w:r>
        <w:t>iSDP</w:t>
      </w:r>
      <w:proofErr w:type="spellEnd"/>
      <w:r>
        <w:t xml:space="preserve"> model to forecast potable water</w:t>
      </w:r>
      <w:r w:rsidR="009E40CB">
        <w:t xml:space="preserve"> demands</w:t>
      </w:r>
      <w:r>
        <w:t xml:space="preserve">. However, we continue to maintain different </w:t>
      </w:r>
      <w:proofErr w:type="spellStart"/>
      <w:r>
        <w:t>iSDP</w:t>
      </w:r>
      <w:proofErr w:type="spellEnd"/>
      <w:r>
        <w:t xml:space="preserve"> models for the areas previously serviced by </w:t>
      </w:r>
      <w:r w:rsidR="00745FC6">
        <w:t>CWW</w:t>
      </w:r>
      <w:r>
        <w:t xml:space="preserve"> and W</w:t>
      </w:r>
      <w:r w:rsidR="00745FC6">
        <w:t>W</w:t>
      </w:r>
      <w:r>
        <w:t xml:space="preserve">. </w:t>
      </w:r>
    </w:p>
    <w:p w14:paraId="51826484" w14:textId="279F7FD3" w:rsidR="00892B36" w:rsidRDefault="00BA74B3" w:rsidP="00BA74B3">
      <w:r>
        <w:t xml:space="preserve">The </w:t>
      </w:r>
      <w:proofErr w:type="spellStart"/>
      <w:r>
        <w:t>iSDP</w:t>
      </w:r>
      <w:proofErr w:type="spellEnd"/>
      <w:r>
        <w:t xml:space="preserve"> model produces a forecast </w:t>
      </w:r>
      <w:r w:rsidR="00A112E1">
        <w:t xml:space="preserve">for bulk potable water demand per year </w:t>
      </w:r>
      <w:r>
        <w:t xml:space="preserve">by separately determining a residential and non-residential water demand forecast and adding a fixed percentage representing non-revenue water. The residential forecast generated represents the aggregated demand for each (water) use – showers, toilets, dishwashers, taps, clothes washers, </w:t>
      </w:r>
      <w:proofErr w:type="gramStart"/>
      <w:r w:rsidR="00BE3B69">
        <w:t>coolers</w:t>
      </w:r>
      <w:proofErr w:type="gramEnd"/>
      <w:r>
        <w:t xml:space="preserve"> and others.  </w:t>
      </w:r>
    </w:p>
    <w:p w14:paraId="1E803A2E" w14:textId="29867374" w:rsidR="009D6404" w:rsidRDefault="009D6404" w:rsidP="009D6404">
      <w:r>
        <w:t>These models are calibrated for end-use assumptions supported by relevant studies before calibrating landscape/garden demands to match actual demand profiles over the calibration period (2018-2</w:t>
      </w:r>
      <w:r w:rsidR="00990CBC">
        <w:t>2</w:t>
      </w:r>
      <w:r>
        <w:t>).</w:t>
      </w:r>
    </w:p>
    <w:p w14:paraId="3844BFFE" w14:textId="7317F6F8" w:rsidR="009D6404" w:rsidRDefault="009D6404" w:rsidP="009D6404">
      <w:r>
        <w:t>The modelling does not explicitly calibrate for existing Permanent Water Savings Rules (PWSR)</w:t>
      </w:r>
      <w:r w:rsidR="00854E8A">
        <w:t>.</w:t>
      </w:r>
      <w:r>
        <w:t xml:space="preserve"> </w:t>
      </w:r>
      <w:r w:rsidR="00854E8A">
        <w:t>H</w:t>
      </w:r>
      <w:r>
        <w:t xml:space="preserve">owever, any existing PWSR embedded into consumption behaviour forms part of the model’s calibration. That is, the model assumes existing PWSR will continue and will not change over the pricing period, on the basis that there is no information that customers drawing water from the Melbourne system will be affected by more intense restrictions in this period, and that the Melbourne Desalination Plant is available for use. This is consistent with the </w:t>
      </w:r>
      <w:r w:rsidRPr="001667D6">
        <w:rPr>
          <w:i/>
        </w:rPr>
        <w:t>Greater Melbourne Urban Water and System Strategy</w:t>
      </w:r>
      <w:r>
        <w:t>.</w:t>
      </w:r>
    </w:p>
    <w:p w14:paraId="40863F7A" w14:textId="4A25D3D2" w:rsidR="009D6404" w:rsidRDefault="009D6404" w:rsidP="009D6404">
      <w:r>
        <w:t>The</w:t>
      </w:r>
      <w:r w:rsidR="00EE6735">
        <w:t>se are the</w:t>
      </w:r>
      <w:r>
        <w:t xml:space="preserve"> key sources of data for the assumptions supporting the forecast:</w:t>
      </w:r>
    </w:p>
    <w:p w14:paraId="793DFABE" w14:textId="31B1D674" w:rsidR="009D6404" w:rsidRDefault="009D6404">
      <w:pPr>
        <w:pStyle w:val="ListBullet"/>
        <w:numPr>
          <w:ilvl w:val="0"/>
          <w:numId w:val="24"/>
        </w:numPr>
      </w:pPr>
      <w:r>
        <w:t xml:space="preserve">Growth forecasts (serviced dwelling and population forecasts): population information is derived from the </w:t>
      </w:r>
      <w:proofErr w:type="spellStart"/>
      <w:r>
        <w:t>V</w:t>
      </w:r>
      <w:r w:rsidR="00EE6735">
        <w:t>iF</w:t>
      </w:r>
      <w:proofErr w:type="spellEnd"/>
      <w:r>
        <w:t xml:space="preserve"> 2022 dataset and the process for determining dwelling count is described in an earlier section</w:t>
      </w:r>
      <w:r w:rsidR="000D265C">
        <w:t xml:space="preserve"> 7.6</w:t>
      </w:r>
      <w:r w:rsidR="000C47BB">
        <w:t xml:space="preserve">. </w:t>
      </w:r>
    </w:p>
    <w:p w14:paraId="59C9398B" w14:textId="7827079A" w:rsidR="009D6404" w:rsidRDefault="009D6404">
      <w:pPr>
        <w:pStyle w:val="ListBullet"/>
        <w:numPr>
          <w:ilvl w:val="0"/>
          <w:numId w:val="24"/>
        </w:numPr>
      </w:pPr>
      <w:r>
        <w:t xml:space="preserve">Residential End Use Measurement study (REUMs 2018) </w:t>
      </w:r>
    </w:p>
    <w:p w14:paraId="17B16057" w14:textId="0C5B9EC7" w:rsidR="009D6404" w:rsidRDefault="009D6404">
      <w:pPr>
        <w:pStyle w:val="ListBullet"/>
        <w:numPr>
          <w:ilvl w:val="0"/>
          <w:numId w:val="24"/>
        </w:numPr>
      </w:pPr>
      <w:r>
        <w:t>Appliance Stock and Usage Pattern Survey (2021)</w:t>
      </w:r>
    </w:p>
    <w:p w14:paraId="0AC9B117" w14:textId="6CAFCB0F" w:rsidR="009D6404" w:rsidRDefault="009D6404">
      <w:pPr>
        <w:pStyle w:val="ListBullet"/>
        <w:numPr>
          <w:ilvl w:val="0"/>
          <w:numId w:val="24"/>
        </w:numPr>
      </w:pPr>
      <w:r>
        <w:t>Climatic data from the Bureau of Metrology’s Essendon weather station for the central region and the Government of Queensland’s SILO climate data across townships for the western region</w:t>
      </w:r>
    </w:p>
    <w:p w14:paraId="769B7DC5" w14:textId="553B63C8" w:rsidR="009D6404" w:rsidRDefault="009D6404">
      <w:pPr>
        <w:pStyle w:val="ListBullet"/>
        <w:numPr>
          <w:ilvl w:val="0"/>
          <w:numId w:val="24"/>
        </w:numPr>
      </w:pPr>
      <w:r>
        <w:t xml:space="preserve">Historical quarterly and triannual billing data from Gentrack (central) and </w:t>
      </w:r>
      <w:proofErr w:type="spellStart"/>
      <w:r>
        <w:t>Aquarate</w:t>
      </w:r>
      <w:proofErr w:type="spellEnd"/>
      <w:r>
        <w:t xml:space="preserve"> (western) transformed into daily consumption using daily bulk water consumption from our systems (SCADA).</w:t>
      </w:r>
    </w:p>
    <w:p w14:paraId="60D76C49" w14:textId="7C68EDD0" w:rsidR="009D6404" w:rsidRDefault="007A4A3C" w:rsidP="009D6404">
      <w:r>
        <w:lastRenderedPageBreak/>
        <w:t>A</w:t>
      </w:r>
      <w:r w:rsidR="009D6404">
        <w:t xml:space="preserve"> price elasticity factor i</w:t>
      </w:r>
      <w:r>
        <w:t>s not included in</w:t>
      </w:r>
      <w:r w:rsidR="009D6404">
        <w:t xml:space="preserve"> our water use demand forecasts due to the relative inelastic demand impacts of any price change and the challenges in measuring price elasticity for the separate regions in our service area.</w:t>
      </w:r>
    </w:p>
    <w:p w14:paraId="7462735D" w14:textId="1B6CDF90" w:rsidR="00724741" w:rsidRDefault="000B13C5" w:rsidP="005211EB">
      <w:pPr>
        <w:pStyle w:val="Heading4"/>
      </w:pPr>
      <w:r w:rsidRPr="000B13C5">
        <w:t>Residential water use</w:t>
      </w:r>
    </w:p>
    <w:p w14:paraId="7A33F6C0" w14:textId="3233E21B" w:rsidR="002A69CC" w:rsidRDefault="002A69CC" w:rsidP="002A69CC">
      <w:r>
        <w:t xml:space="preserve">Modelled </w:t>
      </w:r>
      <w:proofErr w:type="spellStart"/>
      <w:r>
        <w:t>iSDP</w:t>
      </w:r>
      <w:proofErr w:type="spellEnd"/>
      <w:r>
        <w:t xml:space="preserve"> outputs for litres per person per day </w:t>
      </w:r>
      <w:r w:rsidR="003C1E26">
        <w:t xml:space="preserve">(L/p/day) </w:t>
      </w:r>
      <w:r>
        <w:t>forecasts show a decline over time, in line with historical observed decline across the region since 2018</w:t>
      </w:r>
      <w:r w:rsidR="00124DC9">
        <w:t xml:space="preserve">, as shown in </w:t>
      </w:r>
      <w:r w:rsidR="00373BC1">
        <w:fldChar w:fldCharType="begin"/>
      </w:r>
      <w:r w:rsidR="00373BC1">
        <w:instrText xml:space="preserve"> REF _Ref144740326 \h </w:instrText>
      </w:r>
      <w:r w:rsidR="00C137FB">
        <w:instrText xml:space="preserve"> \* MERGEFORMAT </w:instrText>
      </w:r>
      <w:r w:rsidR="00373BC1">
        <w:fldChar w:fldCharType="separate"/>
      </w:r>
      <w:r w:rsidR="003B42C6" w:rsidRPr="008B4B3A">
        <w:rPr>
          <w:b/>
        </w:rPr>
        <w:t xml:space="preserve">Figure </w:t>
      </w:r>
      <w:r w:rsidR="003B42C6" w:rsidRPr="003B42C6">
        <w:rPr>
          <w:b/>
          <w:bCs/>
          <w:noProof/>
        </w:rPr>
        <w:t>17</w:t>
      </w:r>
      <w:r w:rsidR="00373BC1">
        <w:fldChar w:fldCharType="end"/>
      </w:r>
      <w:r w:rsidR="00373BC1">
        <w:t>.</w:t>
      </w:r>
    </w:p>
    <w:p w14:paraId="06983B61" w14:textId="4460B90D" w:rsidR="007C2C16" w:rsidRDefault="002A69CC" w:rsidP="007C2C16">
      <w:r>
        <w:t>With increasing urbanisation, we expect that water efficiency gains through in</w:t>
      </w:r>
      <w:r w:rsidR="00960ECA">
        <w:t>-</w:t>
      </w:r>
      <w:r>
        <w:t xml:space="preserve">house appliances and smaller garden sizes will result in a decrease from </w:t>
      </w:r>
      <w:r w:rsidR="000B5144">
        <w:t xml:space="preserve">147 </w:t>
      </w:r>
      <w:r>
        <w:t xml:space="preserve">L/p/day in </w:t>
      </w:r>
      <w:r w:rsidR="000B5144">
        <w:t>2022-23</w:t>
      </w:r>
      <w:r>
        <w:t xml:space="preserve"> to </w:t>
      </w:r>
      <w:r w:rsidR="007D3404">
        <w:t xml:space="preserve">140 </w:t>
      </w:r>
      <w:r>
        <w:t>L/p/day</w:t>
      </w:r>
      <w:r w:rsidR="007D3404">
        <w:t xml:space="preserve"> in 2027-28</w:t>
      </w:r>
      <w:r>
        <w:t xml:space="preserve">. We still anticipate </w:t>
      </w:r>
      <w:r w:rsidR="0062034F">
        <w:t>L/p/day</w:t>
      </w:r>
      <w:r>
        <w:t xml:space="preserve"> to be larger in the western region driven by larger</w:t>
      </w:r>
      <w:r w:rsidR="00812AFF">
        <w:t xml:space="preserve"> lots </w:t>
      </w:r>
      <w:r w:rsidR="0062034F">
        <w:t>and</w:t>
      </w:r>
      <w:r w:rsidR="00812AFF">
        <w:t xml:space="preserve"> gardens</w:t>
      </w:r>
      <w:r>
        <w:t>.</w:t>
      </w:r>
      <w:r w:rsidR="00C24574">
        <w:t xml:space="preserve"> </w:t>
      </w:r>
      <w:r w:rsidR="00C24574" w:rsidRPr="00C24574">
        <w:t>However, total residential potable water demand is forecast to grow driven by high growth in customer numbers.</w:t>
      </w:r>
    </w:p>
    <w:p w14:paraId="23B79739" w14:textId="77A5F325" w:rsidR="00EB6235" w:rsidRDefault="00EB6235" w:rsidP="007C2C16"/>
    <w:p w14:paraId="4ED89AE0" w14:textId="0269C05E" w:rsidR="00A35C29" w:rsidRDefault="00150BB3" w:rsidP="00A35C29">
      <w:pPr>
        <w:pStyle w:val="Caption"/>
      </w:pPr>
      <w:bookmarkStart w:id="242" w:name="_Ref144740326"/>
      <w:bookmarkStart w:id="243" w:name="_Toc145498154"/>
      <w:r>
        <w:rPr>
          <w:b/>
          <w:noProof/>
        </w:rPr>
        <w:drawing>
          <wp:inline distT="0" distB="0" distL="0" distR="0" wp14:anchorId="5D0AB652" wp14:editId="7C427111">
            <wp:extent cx="6120765" cy="3347085"/>
            <wp:effectExtent l="0" t="0" r="0" b="5715"/>
            <wp:docPr id="105" name="Picture 105" descr="Line graph with 3 data sets. X-axis shows years from 2014 to 2033. Y-axis is titled &quot;Litres per person per day (L/p/day) and shows values from 100.0 to 200.0 in increments of 10.0. Data set &quot;Western – Litres per person per day&quot; starts at 167.9 spikes in 2018 at 194.5 and then steadily decreases to 143.3 in 2033. Data set &quot;GWW – Litres per person per day&quot; starts at 155.3, and undulates in a downward trend to 135.7 in 2033. Data set &quot;Central – Litres per person per day&quot; starts at 155.3, and undulates in a downward trend to 134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Line graph with 3 data sets. X-axis shows years from 2014 to 2033. Y-axis is titled &quot;Litres per person per day (L/p/day) and shows values from 100.0 to 200.0 in increments of 10.0. Data set &quot;Western – Litres per person per day&quot; starts at 167.9 spikes in 2018 at 194.5 and then steadily decreases to 143.3 in 2033. Data set &quot;GWW – Litres per person per day&quot; starts at 155.3, and undulates in a downward trend to 135.7 in 2033. Data set &quot;Central – Litres per person per day&quot; starts at 155.3, and undulates in a downward trend to 134 in 2033.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347085"/>
                    </a:xfrm>
                    <a:prstGeom prst="rect">
                      <a:avLst/>
                    </a:prstGeom>
                    <a:noFill/>
                  </pic:spPr>
                </pic:pic>
              </a:graphicData>
            </a:graphic>
          </wp:inline>
        </w:drawing>
      </w:r>
      <w:r w:rsidR="00A35C29" w:rsidRPr="008B4B3A">
        <w:rPr>
          <w:b/>
        </w:rPr>
        <w:t xml:space="preserve">Figure </w:t>
      </w:r>
      <w:r w:rsidR="00A35C29" w:rsidRPr="001F6657">
        <w:rPr>
          <w:b/>
        </w:rPr>
        <w:fldChar w:fldCharType="begin"/>
      </w:r>
      <w:r w:rsidR="00A35C29" w:rsidRPr="001F6657">
        <w:rPr>
          <w:b/>
        </w:rPr>
        <w:instrText>SEQ Figure \* ARABIC</w:instrText>
      </w:r>
      <w:r w:rsidR="00A35C29" w:rsidRPr="001F6657">
        <w:rPr>
          <w:b/>
        </w:rPr>
        <w:fldChar w:fldCharType="separate"/>
      </w:r>
      <w:r w:rsidR="003B42C6">
        <w:rPr>
          <w:b/>
          <w:noProof/>
        </w:rPr>
        <w:t>17</w:t>
      </w:r>
      <w:r w:rsidR="00A35C29" w:rsidRPr="001F6657">
        <w:rPr>
          <w:b/>
        </w:rPr>
        <w:fldChar w:fldCharType="end"/>
      </w:r>
      <w:bookmarkEnd w:id="242"/>
      <w:r w:rsidR="00A35C29">
        <w:t xml:space="preserve"> Historical and forecast total litres per person per </w:t>
      </w:r>
      <w:proofErr w:type="gramStart"/>
      <w:r w:rsidR="00A35C29">
        <w:t>day</w:t>
      </w:r>
      <w:bookmarkEnd w:id="243"/>
      <w:proofErr w:type="gramEnd"/>
      <w:r w:rsidR="00A35C29">
        <w:t xml:space="preserve"> </w:t>
      </w:r>
    </w:p>
    <w:p w14:paraId="198C47B7" w14:textId="6DACF7C8" w:rsidR="007B6361" w:rsidRDefault="00142BD0" w:rsidP="007B6361">
      <w:r w:rsidRPr="00355237">
        <w:t xml:space="preserve">Total residential water use is forecast to increase </w:t>
      </w:r>
      <w:r>
        <w:t xml:space="preserve">from 77,160 ML in 2022-23 to 85,865 ML by 2027-28, an increase of 11.3% over the five years or 2.26% per annum as shown in </w:t>
      </w:r>
      <w:r w:rsidR="00F1581E">
        <w:fldChar w:fldCharType="begin"/>
      </w:r>
      <w:r w:rsidR="00F1581E">
        <w:instrText xml:space="preserve"> REF _Ref146357834 \h </w:instrText>
      </w:r>
      <w:r w:rsidR="00F1581E">
        <w:fldChar w:fldCharType="separate"/>
      </w:r>
      <w:r w:rsidR="003B42C6" w:rsidRPr="008B4B3A">
        <w:rPr>
          <w:b/>
        </w:rPr>
        <w:t xml:space="preserve">Figure </w:t>
      </w:r>
      <w:r w:rsidR="003B42C6">
        <w:rPr>
          <w:b/>
          <w:noProof/>
        </w:rPr>
        <w:t>18</w:t>
      </w:r>
      <w:r w:rsidR="00F1581E">
        <w:fldChar w:fldCharType="end"/>
      </w:r>
      <w:r w:rsidR="0028438B">
        <w:t xml:space="preserve"> </w:t>
      </w:r>
      <w:r>
        <w:t>is driven by continued high growth in serviced dwellings and connections over the period even as L/p/day</w:t>
      </w:r>
      <w:r w:rsidDel="0062034F">
        <w:t xml:space="preserve"> </w:t>
      </w:r>
      <w:r>
        <w:t>decline over time. Note this includes potable water volumes in lieu of recycled water volumes – we account for this in our retail sales.</w:t>
      </w:r>
      <w:r w:rsidR="007260DD" w:rsidDel="007260DD">
        <w:t xml:space="preserve"> </w:t>
      </w:r>
    </w:p>
    <w:p w14:paraId="3C1F4A54" w14:textId="361F938B" w:rsidR="00944403" w:rsidRPr="00944403" w:rsidRDefault="00FC1C9F" w:rsidP="0032141D">
      <w:pPr>
        <w:pStyle w:val="Caption"/>
      </w:pPr>
      <w:bookmarkStart w:id="244" w:name="_Ref146357834"/>
      <w:bookmarkStart w:id="245" w:name="_Ref145977509"/>
      <w:r>
        <w:rPr>
          <w:b/>
          <w:noProof/>
        </w:rPr>
        <w:lastRenderedPageBreak/>
        <w:drawing>
          <wp:inline distT="0" distB="0" distL="0" distR="0" wp14:anchorId="4EF93699" wp14:editId="7D987042">
            <wp:extent cx="6120765" cy="3572510"/>
            <wp:effectExtent l="0" t="0" r="0" b="8890"/>
            <wp:docPr id="106" name="Picture 106" descr="Line graph with 3 data sets. X-axis shows years from 2014 to 2033. Y-axis is titled &quot;Total residential potable water demand (ML)&quot; and shows values 0 to 100000 in increments of 10000. Dataset &quot;GWW – Residential potable water&quot; stats at 61000 and trends upward to 92000. Dataset &quot;Central – residential potable water&quot; starts at 53000 and trends upward to 71000. Dataset &quot;Western – residential potable water&quot; starts at 10000 and trends upward to 2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ine graph with 3 data sets. X-axis shows years from 2014 to 2033. Y-axis is titled &quot;Total residential potable water demand (ML)&quot; and shows values 0 to 100000 in increments of 10000. Dataset &quot;GWW – Residential potable water&quot; stats at 61000 and trends upward to 92000. Dataset &quot;Central – residential potable water&quot; starts at 53000 and trends upward to 71000. Dataset &quot;Western – residential potable water&quot; starts at 10000 and trends upward to 20000.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572510"/>
                    </a:xfrm>
                    <a:prstGeom prst="rect">
                      <a:avLst/>
                    </a:prstGeom>
                    <a:noFill/>
                  </pic:spPr>
                </pic:pic>
              </a:graphicData>
            </a:graphic>
          </wp:inline>
        </w:drawing>
      </w:r>
      <w:r w:rsidR="00D010A4" w:rsidRPr="008B4B3A">
        <w:rPr>
          <w:b/>
        </w:rPr>
        <w:t xml:space="preserve">Figure </w:t>
      </w:r>
      <w:r w:rsidR="00D010A4" w:rsidRPr="00046748">
        <w:rPr>
          <w:b/>
        </w:rPr>
        <w:fldChar w:fldCharType="begin"/>
      </w:r>
      <w:r w:rsidR="00D010A4" w:rsidRPr="00DF1DA0">
        <w:rPr>
          <w:b/>
        </w:rPr>
        <w:instrText>SEQ Figure \* ARABIC</w:instrText>
      </w:r>
      <w:r w:rsidR="00D010A4" w:rsidRPr="00046748">
        <w:rPr>
          <w:b/>
        </w:rPr>
        <w:fldChar w:fldCharType="separate"/>
      </w:r>
      <w:r w:rsidR="003B42C6">
        <w:rPr>
          <w:b/>
          <w:noProof/>
        </w:rPr>
        <w:t>18</w:t>
      </w:r>
      <w:r w:rsidR="00D010A4" w:rsidRPr="00046748">
        <w:rPr>
          <w:b/>
        </w:rPr>
        <w:fldChar w:fldCharType="end"/>
      </w:r>
      <w:bookmarkEnd w:id="244"/>
      <w:r w:rsidR="00DA76A8">
        <w:t xml:space="preserve"> </w:t>
      </w:r>
      <w:r w:rsidR="00DA76A8" w:rsidRPr="00DA76A8">
        <w:t xml:space="preserve">Modelled residential potable water </w:t>
      </w:r>
      <w:proofErr w:type="gramStart"/>
      <w:r w:rsidR="00DA76A8" w:rsidRPr="00DA76A8">
        <w:t>demand</w:t>
      </w:r>
      <w:bookmarkEnd w:id="245"/>
      <w:proofErr w:type="gramEnd"/>
    </w:p>
    <w:p w14:paraId="65BFB6FC" w14:textId="77777777" w:rsidR="00672E57" w:rsidRPr="007260DD" w:rsidRDefault="00A81C3F" w:rsidP="007260DD">
      <w:pPr>
        <w:pStyle w:val="Heading4"/>
      </w:pPr>
      <w:r w:rsidRPr="007260DD">
        <w:t xml:space="preserve">Non-residential </w:t>
      </w:r>
      <w:r w:rsidR="007D3404" w:rsidRPr="007260DD">
        <w:t>water use</w:t>
      </w:r>
    </w:p>
    <w:p w14:paraId="10204C38" w14:textId="03A4A6FE" w:rsidR="0095488C" w:rsidRDefault="00672E57" w:rsidP="003E39F7">
      <w:r w:rsidRPr="00A67A66">
        <w:t xml:space="preserve">Total non-residential water use is forecast to increase </w:t>
      </w:r>
      <w:r>
        <w:t>from 38.010 ML in 2022-23 to 42.614 ML by 2027-28, an increase of 12.1</w:t>
      </w:r>
      <w:r w:rsidR="000F453F">
        <w:t>%</w:t>
      </w:r>
      <w:r>
        <w:t xml:space="preserve"> over the </w:t>
      </w:r>
      <w:r w:rsidR="000F453F">
        <w:t>five</w:t>
      </w:r>
      <w:r>
        <w:t xml:space="preserve"> years or 2.4</w:t>
      </w:r>
      <w:r w:rsidR="000F453F">
        <w:t>%</w:t>
      </w:r>
      <w:r>
        <w:t xml:space="preserve"> per annum as shown in</w:t>
      </w:r>
      <w:r w:rsidR="0028438B">
        <w:t xml:space="preserve"> </w:t>
      </w:r>
      <w:r w:rsidR="00CB607B">
        <w:fldChar w:fldCharType="begin"/>
      </w:r>
      <w:r w:rsidR="00CB607B">
        <w:instrText xml:space="preserve"> REF _Ref146357958 \h </w:instrText>
      </w:r>
      <w:r w:rsidR="00CB607B">
        <w:fldChar w:fldCharType="separate"/>
      </w:r>
      <w:r w:rsidR="003B42C6" w:rsidRPr="009A18B7">
        <w:rPr>
          <w:b/>
        </w:rPr>
        <w:t xml:space="preserve">Figure </w:t>
      </w:r>
      <w:r w:rsidR="003B42C6">
        <w:rPr>
          <w:b/>
          <w:noProof/>
        </w:rPr>
        <w:t>19</w:t>
      </w:r>
      <w:r w:rsidR="00CB607B">
        <w:fldChar w:fldCharType="end"/>
      </w:r>
      <w:r w:rsidR="003E39F7">
        <w:t>.</w:t>
      </w:r>
      <w:r w:rsidR="00680554">
        <w:t xml:space="preserve"> </w:t>
      </w:r>
      <w:proofErr w:type="gramStart"/>
      <w:r w:rsidR="00680554" w:rsidRPr="00680554">
        <w:t>Similar to</w:t>
      </w:r>
      <w:proofErr w:type="gramEnd"/>
      <w:r w:rsidR="00680554" w:rsidRPr="00680554">
        <w:t xml:space="preserve"> residential demand, this is driven by continued high growth in serviced dwelling</w:t>
      </w:r>
      <w:r w:rsidR="00680554">
        <w:t>s.</w:t>
      </w:r>
      <w:bookmarkStart w:id="246" w:name="_Ref146357958"/>
    </w:p>
    <w:p w14:paraId="3CF2772C" w14:textId="7E52E268" w:rsidR="0028438B" w:rsidRDefault="0032141D" w:rsidP="0028438B">
      <w:pPr>
        <w:pStyle w:val="Caption"/>
      </w:pPr>
      <w:r>
        <w:rPr>
          <w:b/>
          <w:noProof/>
        </w:rPr>
        <w:drawing>
          <wp:inline distT="0" distB="0" distL="0" distR="0" wp14:anchorId="232F5130" wp14:editId="3A2B93F3">
            <wp:extent cx="6120765" cy="3194685"/>
            <wp:effectExtent l="0" t="0" r="0" b="5715"/>
            <wp:docPr id="107" name="Picture 107" descr="Line graph with 3 data sets. X-axis shows years from 2014 to 2023. Y-axis is titled &quot;Total non-residential demand (ML)&quot; and shows values 0 to 50000 in increments of 5000. Dataset &quot;GWW - Non-residential potable water&quot; stats at 42500 , dips in 2022 and ends at 45000. Dataset &quot;Central - Non-residential potable water&quot; starts at 41000, dips in 2022 and ends at 40000. Dataset &quot;Western - Non-residential potable water&quot; starts at 2000 and trends upward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ine graph with 3 data sets. X-axis shows years from 2014 to 2023. Y-axis is titled &quot;Total non-residential demand (ML)&quot; and shows values 0 to 50000 in increments of 5000. Dataset &quot;GWW - Non-residential potable water&quot; stats at 42500 , dips in 2022 and ends at 45000. Dataset &quot;Central - Non-residential potable water&quot; starts at 41000, dips in 2022 and ends at 40000. Dataset &quot;Western - Non-residential potable water&quot; starts at 2000 and trends upward to  50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194685"/>
                    </a:xfrm>
                    <a:prstGeom prst="rect">
                      <a:avLst/>
                    </a:prstGeom>
                    <a:noFill/>
                  </pic:spPr>
                </pic:pic>
              </a:graphicData>
            </a:graphic>
          </wp:inline>
        </w:drawing>
      </w:r>
      <w:r w:rsidR="0028438B" w:rsidRPr="009A18B7">
        <w:rPr>
          <w:b/>
        </w:rPr>
        <w:t xml:space="preserve">Figure </w:t>
      </w:r>
      <w:r w:rsidR="0028438B" w:rsidRPr="009A18B7">
        <w:rPr>
          <w:b/>
        </w:rPr>
        <w:fldChar w:fldCharType="begin"/>
      </w:r>
      <w:r w:rsidR="0028438B" w:rsidRPr="009A18B7">
        <w:rPr>
          <w:b/>
        </w:rPr>
        <w:instrText xml:space="preserve"> SEQ Figure \* ARABIC </w:instrText>
      </w:r>
      <w:r w:rsidR="0028438B" w:rsidRPr="009A18B7">
        <w:rPr>
          <w:b/>
        </w:rPr>
        <w:fldChar w:fldCharType="separate"/>
      </w:r>
      <w:r w:rsidR="003B42C6">
        <w:rPr>
          <w:b/>
          <w:noProof/>
        </w:rPr>
        <w:t>19</w:t>
      </w:r>
      <w:r w:rsidR="0028438B" w:rsidRPr="009A18B7">
        <w:rPr>
          <w:b/>
        </w:rPr>
        <w:fldChar w:fldCharType="end"/>
      </w:r>
      <w:bookmarkEnd w:id="246"/>
      <w:r w:rsidR="00680554">
        <w:t xml:space="preserve"> Modelled </w:t>
      </w:r>
      <w:r w:rsidR="009A18B7">
        <w:t>non-</w:t>
      </w:r>
      <w:r w:rsidR="0028438B" w:rsidRPr="0028438B">
        <w:t xml:space="preserve">residential </w:t>
      </w:r>
      <w:r w:rsidR="009A18B7">
        <w:t xml:space="preserve">potable water </w:t>
      </w:r>
      <w:proofErr w:type="gramStart"/>
      <w:r w:rsidR="0028438B" w:rsidRPr="0028438B">
        <w:t>demand</w:t>
      </w:r>
      <w:proofErr w:type="gramEnd"/>
    </w:p>
    <w:p w14:paraId="57861FB9" w14:textId="6D96B4DF" w:rsidR="00847E2D" w:rsidRDefault="00E56113" w:rsidP="00E56113">
      <w:r>
        <w:t xml:space="preserve">Non-residential customers are heterogeneous (vary in type, </w:t>
      </w:r>
      <w:proofErr w:type="gramStart"/>
      <w:r>
        <w:t>size</w:t>
      </w:r>
      <w:proofErr w:type="gramEnd"/>
      <w:r>
        <w:t xml:space="preserve"> and function) and therefore it is not practical to apply end use modelling. Rather, we divide non-residential customers into two groups</w:t>
      </w:r>
      <w:r w:rsidR="00EE3640">
        <w:t>:</w:t>
      </w:r>
      <w:r>
        <w:t xml:space="preserve"> 'large' or high intensity users and ‘typical users’. </w:t>
      </w:r>
    </w:p>
    <w:p w14:paraId="6680F9CF" w14:textId="7174ADA0" w:rsidR="001D7AD5" w:rsidRDefault="00142BD0" w:rsidP="00D33FCC">
      <w:r>
        <w:lastRenderedPageBreak/>
        <w:t>The top 225 water consuming customers in the central region and the top 490 water consuming customers in the western region</w:t>
      </w:r>
      <w:r w:rsidRPr="0019153E">
        <w:t xml:space="preserve"> </w:t>
      </w:r>
      <w:r>
        <w:t xml:space="preserve">are considered high intensity users. </w:t>
      </w:r>
      <w:r w:rsidRPr="00455AED">
        <w:rPr>
          <w:b/>
          <w:bCs/>
        </w:rPr>
        <w:fldChar w:fldCharType="begin"/>
      </w:r>
      <w:r w:rsidRPr="00455AED">
        <w:rPr>
          <w:b/>
          <w:bCs/>
        </w:rPr>
        <w:instrText xml:space="preserve"> REF _Ref145511446 \h </w:instrText>
      </w:r>
      <w:r w:rsidR="00073EA0">
        <w:rPr>
          <w:b/>
          <w:bCs/>
        </w:rPr>
        <w:instrText xml:space="preserve"> \* MERGEFORMAT </w:instrText>
      </w:r>
      <w:r w:rsidRPr="00455AED">
        <w:rPr>
          <w:b/>
          <w:bCs/>
        </w:rPr>
      </w:r>
      <w:r w:rsidRPr="00455AED">
        <w:rPr>
          <w:b/>
          <w:bCs/>
        </w:rPr>
        <w:fldChar w:fldCharType="separate"/>
      </w:r>
      <w:r w:rsidR="003B42C6" w:rsidRPr="003B42C6">
        <w:rPr>
          <w:b/>
          <w:bCs/>
        </w:rPr>
        <w:t xml:space="preserve">Figure </w:t>
      </w:r>
      <w:r w:rsidR="003B42C6" w:rsidRPr="003B42C6">
        <w:rPr>
          <w:b/>
          <w:bCs/>
          <w:noProof/>
        </w:rPr>
        <w:t>20</w:t>
      </w:r>
      <w:r w:rsidRPr="00455AED">
        <w:rPr>
          <w:b/>
          <w:bCs/>
        </w:rPr>
        <w:fldChar w:fldCharType="end"/>
      </w:r>
      <w:r w:rsidRPr="00455AED">
        <w:rPr>
          <w:b/>
        </w:rPr>
        <w:t xml:space="preserve"> </w:t>
      </w:r>
      <w:r>
        <w:t xml:space="preserve">and </w:t>
      </w:r>
      <w:r>
        <w:fldChar w:fldCharType="begin"/>
      </w:r>
      <w:r>
        <w:instrText xml:space="preserve"> REF _Ref145511447 \h </w:instrText>
      </w:r>
      <w:r w:rsidR="00073EA0">
        <w:instrText xml:space="preserve"> \* MERGEFORMAT </w:instrText>
      </w:r>
      <w:r>
        <w:fldChar w:fldCharType="separate"/>
      </w:r>
      <w:r w:rsidR="003B42C6" w:rsidRPr="0026015C">
        <w:rPr>
          <w:b/>
        </w:rPr>
        <w:t xml:space="preserve">Figure </w:t>
      </w:r>
      <w:r w:rsidR="003B42C6" w:rsidRPr="003B42C6">
        <w:rPr>
          <w:b/>
          <w:bCs/>
          <w:noProof/>
        </w:rPr>
        <w:t>21</w:t>
      </w:r>
      <w:r>
        <w:fldChar w:fldCharType="end"/>
      </w:r>
      <w:r>
        <w:t xml:space="preserve"> present historical non-residential demands between typical and large customers in central and western respectively.</w:t>
      </w:r>
      <w:r w:rsidR="00D33FCC">
        <w:t xml:space="preserve"> </w:t>
      </w:r>
    </w:p>
    <w:p w14:paraId="2203AD34" w14:textId="65BC76C0" w:rsidR="001A1A3B" w:rsidRPr="00712446" w:rsidRDefault="00CB3D19" w:rsidP="00712446">
      <w:pPr>
        <w:pStyle w:val="Caption"/>
        <w:rPr>
          <w:szCs w:val="22"/>
        </w:rPr>
      </w:pPr>
      <w:bookmarkStart w:id="247" w:name="_Ref144740381"/>
      <w:bookmarkStart w:id="248" w:name="_Ref145511446"/>
      <w:r>
        <w:rPr>
          <w:b/>
          <w:noProof/>
        </w:rPr>
        <w:drawing>
          <wp:inline distT="0" distB="0" distL="0" distR="0" wp14:anchorId="538445EE" wp14:editId="714DA192">
            <wp:extent cx="6120765" cy="2456815"/>
            <wp:effectExtent l="0" t="0" r="0" b="635"/>
            <wp:docPr id="108" name="Picture 108" descr="Line graph with 2 data sets. X-axis shows years from 2009-10 to 2021-22. Y-axis is titled &quot;Central non-residential demand per connection (ML/year)&quot; and shows values 0 to 30,000 in increments of 5,000. Dataset &quot;Non-residential typical users&quot; stats at 14500 and trends to 15500. Dataset &quot;Non-residential large users&quot; starts at 25000 and trends downward to 1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Line graph with 2 data sets. X-axis shows years from 2009-10 to 2021-22. Y-axis is titled &quot;Central non-residential demand per connection (ML/year)&quot; and shows values 0 to 30,000 in increments of 5,000. Dataset &quot;Non-residential typical users&quot; stats at 14500 and trends to 15500. Dataset &quot;Non-residential large users&quot; starts at 25000 and trends downward to 175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456815"/>
                    </a:xfrm>
                    <a:prstGeom prst="rect">
                      <a:avLst/>
                    </a:prstGeom>
                    <a:noFill/>
                  </pic:spPr>
                </pic:pic>
              </a:graphicData>
            </a:graphic>
          </wp:inline>
        </w:drawing>
      </w:r>
      <w:r w:rsidR="00D010A4" w:rsidRPr="0026015C">
        <w:rPr>
          <w:b/>
        </w:rPr>
        <w:t xml:space="preserve">Figure </w:t>
      </w:r>
      <w:r w:rsidR="00D010A4" w:rsidRPr="004321DB">
        <w:rPr>
          <w:b/>
        </w:rPr>
        <w:fldChar w:fldCharType="begin"/>
      </w:r>
      <w:r w:rsidR="00D010A4" w:rsidRPr="004321DB">
        <w:rPr>
          <w:b/>
        </w:rPr>
        <w:instrText>SEQ Figure \* ARABIC</w:instrText>
      </w:r>
      <w:r w:rsidR="00D010A4" w:rsidRPr="004321DB">
        <w:rPr>
          <w:b/>
        </w:rPr>
        <w:fldChar w:fldCharType="separate"/>
      </w:r>
      <w:r w:rsidR="003B42C6">
        <w:rPr>
          <w:b/>
          <w:noProof/>
        </w:rPr>
        <w:t>20</w:t>
      </w:r>
      <w:r w:rsidR="00D010A4" w:rsidRPr="004321DB">
        <w:rPr>
          <w:b/>
        </w:rPr>
        <w:fldChar w:fldCharType="end"/>
      </w:r>
      <w:bookmarkEnd w:id="247"/>
      <w:bookmarkEnd w:id="248"/>
      <w:r w:rsidR="00142BD0" w:rsidRPr="004321DB">
        <w:rPr>
          <w:b/>
        </w:rPr>
        <w:t xml:space="preserve"> </w:t>
      </w:r>
      <w:r w:rsidR="00142BD0">
        <w:t>Large and typical non-residentia</w:t>
      </w:r>
      <w:r w:rsidR="00142BD0">
        <w:rPr>
          <w:noProof/>
        </w:rPr>
        <w:t xml:space="preserve">l potable water demand </w:t>
      </w:r>
      <w:r w:rsidR="001D7AD5">
        <w:rPr>
          <w:noProof/>
        </w:rPr>
        <w:t>–</w:t>
      </w:r>
      <w:r w:rsidR="00142BD0">
        <w:rPr>
          <w:noProof/>
        </w:rPr>
        <w:t xml:space="preserve"> central</w:t>
      </w:r>
    </w:p>
    <w:p w14:paraId="755E0CF1" w14:textId="014C196F" w:rsidR="00142BD0" w:rsidRDefault="00712446" w:rsidP="00142BD0">
      <w:pPr>
        <w:pStyle w:val="Caption"/>
      </w:pPr>
      <w:bookmarkStart w:id="249" w:name="_Ref145511447"/>
      <w:r>
        <w:rPr>
          <w:b/>
          <w:noProof/>
        </w:rPr>
        <w:drawing>
          <wp:inline distT="0" distB="0" distL="0" distR="0" wp14:anchorId="59F779EC" wp14:editId="5D1636D8">
            <wp:extent cx="6120765" cy="2517775"/>
            <wp:effectExtent l="0" t="0" r="0" b="0"/>
            <wp:docPr id="109" name="Picture 109" descr="Line graph with 2 data sets. X-axis shows years from 2017-18 to 2021-22. Y-axis is titled &quot;Western non-residential demand per connection (ML/year)&quot; and shows values 0 to 2500 in increments of 500. Dataset &quot;Non-residential typical users&quot; stats at 400 and trends to 600. Dataset &quot;Non-residential large users&quot; starts at 1500 and stays around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Line graph with 2 data sets. X-axis shows years from 2017-18 to 2021-22. Y-axis is titled &quot;Western non-residential demand per connection (ML/year)&quot; and shows values 0 to 2500 in increments of 500. Dataset &quot;Non-residential typical users&quot; stats at 400 and trends to 600. Dataset &quot;Non-residential large users&quot; starts at 1500 and stays around 15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517775"/>
                    </a:xfrm>
                    <a:prstGeom prst="rect">
                      <a:avLst/>
                    </a:prstGeom>
                    <a:noFill/>
                  </pic:spPr>
                </pic:pic>
              </a:graphicData>
            </a:graphic>
          </wp:inline>
        </w:drawing>
      </w:r>
      <w:r w:rsidR="00142BD0" w:rsidRPr="0026015C">
        <w:rPr>
          <w:b/>
        </w:rPr>
        <w:t xml:space="preserve">Figure </w:t>
      </w:r>
      <w:r w:rsidR="00142BD0" w:rsidRPr="003F58BD">
        <w:rPr>
          <w:b/>
        </w:rPr>
        <w:fldChar w:fldCharType="begin"/>
      </w:r>
      <w:r w:rsidR="00142BD0" w:rsidRPr="00855809">
        <w:rPr>
          <w:b/>
        </w:rPr>
        <w:instrText>SEQ Figure \* ARABIC</w:instrText>
      </w:r>
      <w:r w:rsidR="00142BD0" w:rsidRPr="003F58BD">
        <w:rPr>
          <w:b/>
        </w:rPr>
        <w:fldChar w:fldCharType="separate"/>
      </w:r>
      <w:r w:rsidR="003B42C6">
        <w:rPr>
          <w:b/>
          <w:noProof/>
        </w:rPr>
        <w:t>21</w:t>
      </w:r>
      <w:r w:rsidR="00142BD0" w:rsidRPr="003F58BD">
        <w:rPr>
          <w:b/>
        </w:rPr>
        <w:fldChar w:fldCharType="end"/>
      </w:r>
      <w:bookmarkEnd w:id="249"/>
      <w:r w:rsidR="00142BD0">
        <w:t xml:space="preserve"> Large and typical non-residentia</w:t>
      </w:r>
      <w:r w:rsidR="00142BD0">
        <w:rPr>
          <w:noProof/>
        </w:rPr>
        <w:t>l potable water demand – western</w:t>
      </w:r>
    </w:p>
    <w:p w14:paraId="342367C5" w14:textId="12BC3443" w:rsidR="00142BD0" w:rsidRDefault="00142BD0" w:rsidP="00142BD0">
      <w:pPr>
        <w:rPr>
          <w:rFonts w:cstheme="minorHAnsi"/>
          <w:szCs w:val="20"/>
        </w:rPr>
      </w:pPr>
      <w:r>
        <w:t xml:space="preserve">Overall, non-residential potable water demand is forecast by multiplying the projected number of customers by the average use for that category of use (large or typical). </w:t>
      </w:r>
      <w:r>
        <w:rPr>
          <w:rFonts w:cstheme="minorHAnsi"/>
          <w:szCs w:val="20"/>
        </w:rPr>
        <w:t xml:space="preserve">We apply additional assumptions onto average consumption per connection for large customers discussed below and apply different averaging windows based largely on data availability, </w:t>
      </w:r>
      <w:proofErr w:type="gramStart"/>
      <w:r>
        <w:rPr>
          <w:rFonts w:cstheme="minorHAnsi"/>
          <w:szCs w:val="20"/>
        </w:rPr>
        <w:t>suitability</w:t>
      </w:r>
      <w:proofErr w:type="gramEnd"/>
      <w:r>
        <w:rPr>
          <w:rFonts w:cstheme="minorHAnsi"/>
          <w:szCs w:val="20"/>
        </w:rPr>
        <w:t xml:space="preserve"> and its reliability.</w:t>
      </w:r>
    </w:p>
    <w:p w14:paraId="4D50D1E6" w14:textId="77777777" w:rsidR="00142BD0" w:rsidRDefault="00142BD0" w:rsidP="00142BD0">
      <w:pPr>
        <w:rPr>
          <w:rFonts w:cstheme="minorHAnsi"/>
        </w:rPr>
      </w:pPr>
      <w:r w:rsidRPr="005628F7">
        <w:rPr>
          <w:rFonts w:cstheme="minorHAnsi"/>
        </w:rPr>
        <w:t>In the case of typical users</w:t>
      </w:r>
      <w:r>
        <w:rPr>
          <w:rFonts w:cstheme="minorHAnsi"/>
        </w:rPr>
        <w:t xml:space="preserve"> demand per consumption (ML/connection):</w:t>
      </w:r>
    </w:p>
    <w:p w14:paraId="30913C86" w14:textId="4A523EDB" w:rsidR="00142BD0" w:rsidRDefault="00142BD0">
      <w:pPr>
        <w:pStyle w:val="ListBullet"/>
        <w:numPr>
          <w:ilvl w:val="0"/>
          <w:numId w:val="25"/>
        </w:numPr>
        <w:rPr>
          <w:rFonts w:cstheme="minorHAnsi"/>
        </w:rPr>
      </w:pPr>
      <w:r>
        <w:rPr>
          <w:rFonts w:cstheme="minorHAnsi"/>
        </w:rPr>
        <w:t xml:space="preserve">We apply a </w:t>
      </w:r>
      <w:r w:rsidR="001103EF">
        <w:rPr>
          <w:rFonts w:cstheme="minorHAnsi"/>
        </w:rPr>
        <w:t>three</w:t>
      </w:r>
      <w:r>
        <w:rPr>
          <w:rFonts w:cstheme="minorHAnsi"/>
        </w:rPr>
        <w:t xml:space="preserve">-year pre-pandemic (2017-18 to 2019-20) averaging window to determine average typical consumption per connection in the central region. Average consumption peaked prior to the pandemic before significantly declining driven by restrictions impacting trading and closures specifically in the CBD and inner urban areas. Consumption has increased since the lifting of pandemic restrictions and we anticipate typical consumption per customer to return to pre-pandemic levels warranting the use of a </w:t>
      </w:r>
      <w:r w:rsidR="001103EF">
        <w:rPr>
          <w:rFonts w:cstheme="minorHAnsi"/>
        </w:rPr>
        <w:t>three</w:t>
      </w:r>
      <w:r>
        <w:rPr>
          <w:rFonts w:cstheme="minorHAnsi"/>
        </w:rPr>
        <w:t xml:space="preserve">-year pre-pandemic averaging window. </w:t>
      </w:r>
    </w:p>
    <w:p w14:paraId="4ECB9D99" w14:textId="408D5AF5" w:rsidR="00142BD0" w:rsidRPr="00F73FD3" w:rsidRDefault="00142BD0">
      <w:pPr>
        <w:pStyle w:val="ListBullet"/>
        <w:numPr>
          <w:ilvl w:val="0"/>
          <w:numId w:val="25"/>
        </w:numPr>
        <w:rPr>
          <w:rFonts w:cstheme="minorHAnsi"/>
        </w:rPr>
      </w:pPr>
      <w:r>
        <w:rPr>
          <w:rFonts w:cstheme="minorHAnsi"/>
        </w:rPr>
        <w:lastRenderedPageBreak/>
        <w:t xml:space="preserve">We apply a </w:t>
      </w:r>
      <w:r w:rsidR="001103EF">
        <w:rPr>
          <w:rFonts w:cstheme="minorHAnsi"/>
        </w:rPr>
        <w:t>five</w:t>
      </w:r>
      <w:r>
        <w:rPr>
          <w:rFonts w:cstheme="minorHAnsi"/>
        </w:rPr>
        <w:t xml:space="preserve">-year averaging window </w:t>
      </w:r>
      <w:r>
        <w:t>(2017-18 to 2020-21</w:t>
      </w:r>
      <w:r>
        <w:rPr>
          <w:rFonts w:cstheme="minorHAnsi"/>
        </w:rPr>
        <w:t xml:space="preserve">) of recent consumption to determine average typical consumption per connection in the western region. Average consumption across that period has remained stable even through the pandemic and justifies the </w:t>
      </w:r>
      <w:r w:rsidR="001103EF">
        <w:rPr>
          <w:rFonts w:cstheme="minorHAnsi"/>
        </w:rPr>
        <w:t>five</w:t>
      </w:r>
      <w:r>
        <w:rPr>
          <w:rFonts w:cstheme="minorHAnsi"/>
        </w:rPr>
        <w:t>-year averaging window as opposed to pre-pandemic window.</w:t>
      </w:r>
    </w:p>
    <w:p w14:paraId="7469C3E8" w14:textId="77777777" w:rsidR="00142BD0" w:rsidRDefault="00142BD0" w:rsidP="00142BD0">
      <w:r>
        <w:t>In the case of large users</w:t>
      </w:r>
      <w:r w:rsidRPr="00F73FD3">
        <w:rPr>
          <w:rFonts w:cstheme="minorHAnsi"/>
        </w:rPr>
        <w:t xml:space="preserve"> </w:t>
      </w:r>
      <w:r>
        <w:rPr>
          <w:rFonts w:cstheme="minorHAnsi"/>
        </w:rPr>
        <w:t>demand per consumption (ML/connection):</w:t>
      </w:r>
    </w:p>
    <w:p w14:paraId="188D8682" w14:textId="78013D95" w:rsidR="00142BD0" w:rsidRDefault="00142BD0">
      <w:pPr>
        <w:pStyle w:val="ListBullet"/>
        <w:numPr>
          <w:ilvl w:val="0"/>
          <w:numId w:val="26"/>
        </w:numPr>
      </w:pPr>
      <w:r>
        <w:t xml:space="preserve">We apply a </w:t>
      </w:r>
      <w:r w:rsidR="001103EF">
        <w:t>five</w:t>
      </w:r>
      <w:r>
        <w:t>-year averaging window (2017-18 to 2021-22) of recent consumption to determine average typical consumption per connection in the central region. Large customers consumption in the central region have been slowly declining driven by increasing urbanisation. We further adjust the average consumption per connection (ML/connection) by 1% per annum due to the efficiency gains or closures of significant manufacturing plants due to urbanisation to align with the observed decline.</w:t>
      </w:r>
    </w:p>
    <w:p w14:paraId="3C6CD623" w14:textId="2F431798" w:rsidR="00142BD0" w:rsidRDefault="00142BD0">
      <w:pPr>
        <w:pStyle w:val="ListBullet"/>
        <w:numPr>
          <w:ilvl w:val="0"/>
          <w:numId w:val="26"/>
        </w:numPr>
      </w:pPr>
      <w:r>
        <w:t xml:space="preserve">We apply a </w:t>
      </w:r>
      <w:r w:rsidR="001103EF">
        <w:t>four-</w:t>
      </w:r>
      <w:r>
        <w:t xml:space="preserve">year averaging window (2017-18 to 2020-21) of recent consumption to determine average typical consumption per connection in the western region. Unlike central, we did not have 2021-22 consumption readily available for analysis. Large non-residential customers in the western region are mostly represented by agricultural businesses or heavy industries with these types of customer’s demand correlating with population growth (as population increases, more food and goods are required). We therefore further adjust the average consumption per connection (ML/connection) by increasing it year on year in proportion with population growth. </w:t>
      </w:r>
    </w:p>
    <w:p w14:paraId="1C1252B8" w14:textId="00D5198E" w:rsidR="004E1DF7" w:rsidRDefault="008036D4" w:rsidP="008423AD">
      <w:pPr>
        <w:pStyle w:val="Heading4"/>
      </w:pPr>
      <w:r w:rsidRPr="008036D4">
        <w:t>Non-revenue water volume</w:t>
      </w:r>
    </w:p>
    <w:p w14:paraId="642D7BCB" w14:textId="696CF9EC" w:rsidR="00093976" w:rsidRDefault="00093976" w:rsidP="00093976">
      <w:r>
        <w:t>The proportion of total water delivered defined as non-revenue water is assumed to be 10.0% for central 10.4% for western. This has been calibrated based on a 5-year average window for central and western. However, we have excluded 2019-20 and 2020-21 from the central benchmark and instead used an additional two years of pre-pandemic years.</w:t>
      </w:r>
    </w:p>
    <w:p w14:paraId="3FF3110F" w14:textId="77777777" w:rsidR="00093976" w:rsidRDefault="00BD62B7" w:rsidP="00093976">
      <w:r>
        <w:t>W</w:t>
      </w:r>
      <w:r w:rsidR="006109F5">
        <w:t>e have excluded 2019-</w:t>
      </w:r>
      <w:r w:rsidR="00E175FC">
        <w:t>2021</w:t>
      </w:r>
      <w:r w:rsidR="006109F5">
        <w:t xml:space="preserve"> as outlier</w:t>
      </w:r>
      <w:r w:rsidR="00E175FC">
        <w:t>s</w:t>
      </w:r>
      <w:r w:rsidR="006109F5">
        <w:t xml:space="preserve"> for the central region, primarily driven by the pandemic and our inability to accurately read meters across the region</w:t>
      </w:r>
      <w:r w:rsidR="00093976">
        <w:t xml:space="preserve"> at the time.</w:t>
      </w:r>
      <w:r w:rsidR="006109F5">
        <w:t xml:space="preserve"> This under-stated our non-revenue water </w:t>
      </w:r>
      <w:r w:rsidR="00093976">
        <w:t xml:space="preserve">significantly </w:t>
      </w:r>
      <w:r w:rsidR="0078402A">
        <w:t xml:space="preserve">in the pandemic years </w:t>
      </w:r>
      <w:r w:rsidR="006109F5">
        <w:t>and hence excluded from our calibration averaging window</w:t>
      </w:r>
      <w:r w:rsidR="00093976">
        <w:t xml:space="preserve"> to forecast long-term demand. The inclusion of the 2019-21 period would reduce non-revenue water as a share of total potable water demand to 8.8%, lower than long-term trends. We consider the inclusion of the high proportion observed in 2022-23 balances both the long-term view and higher than anticipated return post pandemic. </w:t>
      </w:r>
    </w:p>
    <w:p w14:paraId="7D251C4F" w14:textId="6AE23F05" w:rsidR="00577192" w:rsidRDefault="00093976" w:rsidP="00404661">
      <w:r>
        <w:t>In the western region, we include pandemic years as it is consistent with our long-term observations. Although we observe a drop during the pandemic years, the rapid bounce-back higher than the long-term trend balances the level of uncertainty and volatility driven by the pandemic.</w:t>
      </w:r>
    </w:p>
    <w:p w14:paraId="79DBEA4E" w14:textId="7DDCF05C" w:rsidR="006C6258" w:rsidRDefault="00134B4E" w:rsidP="008423AD">
      <w:pPr>
        <w:pStyle w:val="Heading4"/>
      </w:pPr>
      <w:r>
        <w:t>High</w:t>
      </w:r>
      <w:r w:rsidR="00701E47">
        <w:t xml:space="preserve"> and low demand scenario</w:t>
      </w:r>
    </w:p>
    <w:p w14:paraId="06274546" w14:textId="3713BC93" w:rsidR="00F02137" w:rsidRDefault="00F02137" w:rsidP="00F02137">
      <w:r>
        <w:t>Climate and population</w:t>
      </w:r>
      <w:r w:rsidR="00371A58">
        <w:t xml:space="preserve"> are known to have a significant impact on water use </w:t>
      </w:r>
      <w:r w:rsidR="00C60C0E">
        <w:t xml:space="preserve">and </w:t>
      </w:r>
      <w:r w:rsidR="00371A58">
        <w:t>were adjusted to take on values that represent high and low water</w:t>
      </w:r>
      <w:r w:rsidR="00CC0BF2">
        <w:t xml:space="preserve"> demand</w:t>
      </w:r>
      <w:r w:rsidR="00371A58">
        <w:t xml:space="preserve">. This approach to factoring climate </w:t>
      </w:r>
      <w:r>
        <w:t xml:space="preserve">and population </w:t>
      </w:r>
      <w:r w:rsidR="00371A58">
        <w:t>is</w:t>
      </w:r>
      <w:r w:rsidR="00371A58" w:rsidRPr="20943D8C">
        <w:t xml:space="preserve"> consistent with modelling used in the </w:t>
      </w:r>
      <w:r w:rsidR="00371A58" w:rsidRPr="00455AED">
        <w:rPr>
          <w:i/>
        </w:rPr>
        <w:t xml:space="preserve">Greater </w:t>
      </w:r>
      <w:r w:rsidR="00371A58" w:rsidRPr="00455AED">
        <w:rPr>
          <w:i/>
        </w:rPr>
        <w:lastRenderedPageBreak/>
        <w:t>Melbourne Urban Water System Strategy</w:t>
      </w:r>
      <w:r w:rsidR="00371A58">
        <w:t>.</w:t>
      </w:r>
      <w:r>
        <w:t xml:space="preserve"> Our adopted forecast (or P50) represents the same climate and population assumptions in the medium scenario for this strategy. </w:t>
      </w:r>
    </w:p>
    <w:p w14:paraId="2B994547" w14:textId="77777777" w:rsidR="007E6B22" w:rsidRDefault="00804C4B" w:rsidP="007E6B22">
      <w:r>
        <w:t>While</w:t>
      </w:r>
      <w:r w:rsidR="00F02137">
        <w:t xml:space="preserve"> population is </w:t>
      </w:r>
      <w:r>
        <w:t>from</w:t>
      </w:r>
      <w:r w:rsidR="00F02137">
        <w:t xml:space="preserve"> </w:t>
      </w:r>
      <w:proofErr w:type="spellStart"/>
      <w:r w:rsidR="00F02137">
        <w:t>Vi</w:t>
      </w:r>
      <w:r>
        <w:t>F</w:t>
      </w:r>
      <w:proofErr w:type="spellEnd"/>
      <w:r w:rsidR="00F02137">
        <w:t xml:space="preserve"> projections, the high and low scenarios consider deviation of proposed population growth and associated per capita water consumption. Climate scenarios are consistent with the Victorian </w:t>
      </w:r>
      <w:r>
        <w:t>G</w:t>
      </w:r>
      <w:r w:rsidR="00F02137">
        <w:t xml:space="preserve">overnment’s climate guidelines </w:t>
      </w:r>
      <w:r w:rsidR="00B90159">
        <w:t xml:space="preserve">(for a low, </w:t>
      </w:r>
      <w:proofErr w:type="gramStart"/>
      <w:r w:rsidR="00B90159">
        <w:t>medium</w:t>
      </w:r>
      <w:proofErr w:type="gramEnd"/>
      <w:r w:rsidR="00B90159">
        <w:t xml:space="preserve"> and high climate) </w:t>
      </w:r>
      <w:r w:rsidR="00F02137">
        <w:t xml:space="preserve">based on </w:t>
      </w:r>
      <w:r w:rsidR="00B90159">
        <w:t>the Intergovernmental</w:t>
      </w:r>
      <w:r w:rsidR="007E6B22">
        <w:t xml:space="preserve"> Panel on Climate Change (IPCC)’s Fifth Assessment Report. Consistent with the IPCC’s guidelines, all three scenarios use the Representative Concentration Pathway 8.5 (RCP8.5) and consider the range of results from the suite of Global Climate Models in the IPCC Report. </w:t>
      </w:r>
    </w:p>
    <w:p w14:paraId="2F34CC20" w14:textId="11C39F88" w:rsidR="00096884" w:rsidRDefault="002D7975" w:rsidP="00701E47">
      <w:r w:rsidRPr="00CE6406">
        <w:t xml:space="preserve">The result is a </w:t>
      </w:r>
      <w:r w:rsidR="00804C4B">
        <w:t>h</w:t>
      </w:r>
      <w:r w:rsidRPr="00CE6406">
        <w:t xml:space="preserve">igh and </w:t>
      </w:r>
      <w:r w:rsidR="00804C4B">
        <w:t>l</w:t>
      </w:r>
      <w:r w:rsidRPr="00CE6406">
        <w:t>ow scenario of our bulk potable water demand forecasts</w:t>
      </w:r>
      <w:r>
        <w:t xml:space="preserve"> presented in</w:t>
      </w:r>
      <w:r w:rsidR="00EA7C7B">
        <w:t>.</w:t>
      </w:r>
      <w:r w:rsidR="00D010A4">
        <w:t xml:space="preserve"> </w:t>
      </w:r>
      <w:r w:rsidR="00134B4E">
        <w:t>Our adopted forecast represents our P50 percentile forecast for bulk potable water demand</w:t>
      </w:r>
      <w:r w:rsidR="00EA7C7B">
        <w:t xml:space="preserve"> as shown in</w:t>
      </w:r>
      <w:r w:rsidR="00EA7C7B">
        <w:rPr>
          <w:b/>
        </w:rPr>
        <w:t xml:space="preserve"> </w:t>
      </w:r>
      <w:r w:rsidR="00A62B03">
        <w:rPr>
          <w:b/>
        </w:rPr>
        <w:fldChar w:fldCharType="begin"/>
      </w:r>
      <w:r w:rsidR="00A62B03">
        <w:rPr>
          <w:b/>
        </w:rPr>
        <w:instrText xml:space="preserve"> REF _Ref146621535 \h </w:instrText>
      </w:r>
      <w:r w:rsidR="00A62B03">
        <w:rPr>
          <w:b/>
        </w:rPr>
      </w:r>
      <w:r w:rsidR="00A62B03">
        <w:rPr>
          <w:b/>
        </w:rPr>
        <w:fldChar w:fldCharType="separate"/>
      </w:r>
      <w:r w:rsidR="003B42C6" w:rsidRPr="0026015C">
        <w:rPr>
          <w:b/>
        </w:rPr>
        <w:t xml:space="preserve">Figure </w:t>
      </w:r>
      <w:r w:rsidR="003B42C6">
        <w:rPr>
          <w:b/>
          <w:noProof/>
        </w:rPr>
        <w:t>22</w:t>
      </w:r>
      <w:r w:rsidR="00A62B03">
        <w:rPr>
          <w:b/>
        </w:rPr>
        <w:fldChar w:fldCharType="end"/>
      </w:r>
      <w:r w:rsidR="00EA7C7B">
        <w:t>.</w:t>
      </w:r>
    </w:p>
    <w:p w14:paraId="73343319" w14:textId="49F08648" w:rsidR="00EA7C7B" w:rsidRDefault="00CE4E9F" w:rsidP="00EA7C7B">
      <w:pPr>
        <w:pStyle w:val="Caption"/>
      </w:pPr>
      <w:bookmarkStart w:id="250" w:name="_Ref146621535"/>
      <w:r>
        <w:rPr>
          <w:b/>
          <w:noProof/>
        </w:rPr>
        <w:drawing>
          <wp:inline distT="0" distB="0" distL="0" distR="0" wp14:anchorId="23B768C1" wp14:editId="6859F63E">
            <wp:extent cx="6120765" cy="3060700"/>
            <wp:effectExtent l="0" t="0" r="0" b="6350"/>
            <wp:docPr id="110" name="Picture 110" descr="Line graph with 3 data sets. X-axis shows years from 2014 to 2058. Y-axis is titled &quot;Total potable water demand - GWW (ML)&quot; and shows values 0 to 300,000 in increments of 50,000. Dataset &quot;Total potable water demand - Adopted&quot; starts at 130000 and trends upward to 215000. Dataset &quot;Total potable water demand - High&quot; starts at 130000 and trends upward to 256000. Dataset &quot;Total potable water demand - low&quot; stats at 130000 and trends upward to 1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ine graph with 3 data sets. X-axis shows years from 2014 to 2058. Y-axis is titled &quot;Total potable water demand - GWW (ML)&quot; and shows values 0 to 300,000 in increments of 50,000. Dataset &quot;Total potable water demand - Adopted&quot; starts at 130000 and trends upward to 215000. Dataset &quot;Total potable water demand - High&quot; starts at 130000 and trends upward to 256000. Dataset &quot;Total potable water demand - low&quot; stats at 130000 and trends upward to 1850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EA7C7B" w:rsidRPr="0026015C">
        <w:rPr>
          <w:b/>
        </w:rPr>
        <w:t xml:space="preserve">Figure </w:t>
      </w:r>
      <w:r w:rsidR="00EA7C7B" w:rsidRPr="003F58BD">
        <w:rPr>
          <w:b/>
        </w:rPr>
        <w:fldChar w:fldCharType="begin"/>
      </w:r>
      <w:r w:rsidR="00EA7C7B" w:rsidRPr="00542F03">
        <w:rPr>
          <w:b/>
        </w:rPr>
        <w:instrText>SEQ Figure \* ARABIC</w:instrText>
      </w:r>
      <w:r w:rsidR="00EA7C7B" w:rsidRPr="003F58BD">
        <w:rPr>
          <w:b/>
        </w:rPr>
        <w:fldChar w:fldCharType="separate"/>
      </w:r>
      <w:r w:rsidR="003B42C6">
        <w:rPr>
          <w:b/>
          <w:noProof/>
        </w:rPr>
        <w:t>22</w:t>
      </w:r>
      <w:r w:rsidR="00EA7C7B" w:rsidRPr="003F58BD">
        <w:rPr>
          <w:b/>
        </w:rPr>
        <w:fldChar w:fldCharType="end"/>
      </w:r>
      <w:bookmarkEnd w:id="250"/>
      <w:r w:rsidR="00EA7C7B">
        <w:t xml:space="preserve"> </w:t>
      </w:r>
      <w:r w:rsidR="00EA7C7B" w:rsidRPr="00EA7C7B">
        <w:t>Total GWW potable water demand – high and low scenario</w:t>
      </w:r>
    </w:p>
    <w:p w14:paraId="78B1F414" w14:textId="778AB729" w:rsidR="0042768D" w:rsidRDefault="00F6575A" w:rsidP="00C6645D">
      <w:pPr>
        <w:pStyle w:val="Heading2"/>
      </w:pPr>
      <w:bookmarkStart w:id="251" w:name="_Toc146004885"/>
      <w:bookmarkStart w:id="252" w:name="_Toc146004773"/>
      <w:bookmarkStart w:id="253" w:name="_Toc146746719"/>
      <w:r>
        <w:t xml:space="preserve">Bulk water supply </w:t>
      </w:r>
      <w:r w:rsidR="001C489C">
        <w:t>forecasting</w:t>
      </w:r>
      <w:bookmarkEnd w:id="251"/>
      <w:bookmarkEnd w:id="252"/>
      <w:bookmarkEnd w:id="253"/>
      <w:r w:rsidR="001C489C">
        <w:t xml:space="preserve"> </w:t>
      </w:r>
    </w:p>
    <w:p w14:paraId="34A715AA" w14:textId="17D41AA6" w:rsidR="004C153F" w:rsidRPr="001C489C" w:rsidRDefault="004C153F" w:rsidP="004C153F">
      <w:r>
        <w:t>Bulk potable water demands in the area previously serviced by C</w:t>
      </w:r>
      <w:r w:rsidR="00D2371A">
        <w:t>WW</w:t>
      </w:r>
      <w:r>
        <w:t xml:space="preserve"> is exclusively sourced from Melbourne Water. </w:t>
      </w:r>
    </w:p>
    <w:p w14:paraId="6AB1C4C0" w14:textId="17FA15B8" w:rsidR="004C153F" w:rsidRDefault="00D2371A" w:rsidP="004C153F">
      <w:r>
        <w:t>B</w:t>
      </w:r>
      <w:r w:rsidR="004C153F">
        <w:t>ulk potable water demands for the area previously serviced by W</w:t>
      </w:r>
      <w:r>
        <w:t>W</w:t>
      </w:r>
      <w:r w:rsidR="004C153F">
        <w:t xml:space="preserve"> are partially supplied and treated locally by </w:t>
      </w:r>
      <w:r w:rsidR="00B5507E">
        <w:t>GWW</w:t>
      </w:r>
      <w:r w:rsidR="004C153F">
        <w:t xml:space="preserve">. </w:t>
      </w:r>
      <w:r>
        <w:t>To</w:t>
      </w:r>
      <w:r w:rsidR="004C153F">
        <w:t xml:space="preserve"> estimate our bulk water supply costs, we need to disaggregate this bulk potable demand to either Melbourne Water, our water stored in Southern Rural Water’s assets</w:t>
      </w:r>
      <w:r w:rsidR="009D3FE0">
        <w:t>,</w:t>
      </w:r>
      <w:r w:rsidR="004C153F">
        <w:t xml:space="preserve"> or </w:t>
      </w:r>
      <w:r w:rsidR="009D3FE0">
        <w:t xml:space="preserve">water </w:t>
      </w:r>
      <w:r w:rsidR="004C153F">
        <w:t xml:space="preserve">from our </w:t>
      </w:r>
      <w:r w:rsidR="002D5C5E">
        <w:t xml:space="preserve">other smaller </w:t>
      </w:r>
      <w:r w:rsidR="004C153F">
        <w:t xml:space="preserve">local sources. </w:t>
      </w:r>
      <w:r w:rsidR="009108E3">
        <w:t xml:space="preserve">Where our water is supplied from is an important component of forecasting our controllable and non-controllable operating expenditure. </w:t>
      </w:r>
    </w:p>
    <w:p w14:paraId="256041E3" w14:textId="67D128C9" w:rsidR="004C153F" w:rsidRPr="00224D51" w:rsidRDefault="004C153F" w:rsidP="004C153F">
      <w:pPr>
        <w:rPr>
          <w:b/>
        </w:rPr>
      </w:pPr>
      <w:r w:rsidRPr="00224D51">
        <w:rPr>
          <w:b/>
        </w:rPr>
        <w:t xml:space="preserve">Our approach to forecasting bulk water </w:t>
      </w:r>
      <w:proofErr w:type="gramStart"/>
      <w:r w:rsidRPr="00224D51">
        <w:rPr>
          <w:b/>
        </w:rPr>
        <w:t>supply</w:t>
      </w:r>
      <w:proofErr w:type="gramEnd"/>
      <w:r w:rsidRPr="00224D51">
        <w:rPr>
          <w:b/>
        </w:rPr>
        <w:t xml:space="preserve"> </w:t>
      </w:r>
    </w:p>
    <w:p w14:paraId="78CC5563" w14:textId="4BEF38DD" w:rsidR="004C153F" w:rsidRDefault="004C153F" w:rsidP="009B11E0">
      <w:pPr>
        <w:pStyle w:val="ListNumber"/>
        <w:numPr>
          <w:ilvl w:val="0"/>
          <w:numId w:val="11"/>
        </w:numPr>
        <w:ind w:left="340" w:hanging="340"/>
      </w:pPr>
      <w:r>
        <w:t>For customers in the area previously serviced by C</w:t>
      </w:r>
      <w:r w:rsidR="009D3FE0">
        <w:t>WW</w:t>
      </w:r>
      <w:r>
        <w:t>, our entire bulk potable water demand is equal to our bulk potable water supply from Melbourne Water. We forecast this using our end-use forecasting model - the Integrated Supply-Demand Planning (</w:t>
      </w:r>
      <w:proofErr w:type="spellStart"/>
      <w:r>
        <w:t>iSDP</w:t>
      </w:r>
      <w:proofErr w:type="spellEnd"/>
      <w:r>
        <w:t>) model.</w:t>
      </w:r>
    </w:p>
    <w:p w14:paraId="336EA671" w14:textId="0B03B26E" w:rsidR="004C153F" w:rsidRDefault="004C153F" w:rsidP="009B11E0">
      <w:pPr>
        <w:pStyle w:val="ListNumber"/>
        <w:numPr>
          <w:ilvl w:val="0"/>
          <w:numId w:val="11"/>
        </w:numPr>
        <w:ind w:left="340" w:hanging="340"/>
      </w:pPr>
      <w:r>
        <w:lastRenderedPageBreak/>
        <w:t>For customers in the area previously serviced by W</w:t>
      </w:r>
      <w:r w:rsidR="009D3FE0">
        <w:t>W</w:t>
      </w:r>
      <w:r>
        <w:t xml:space="preserve">, most of our potable water is supplied by Melbourne Water and from water stored in Southern Rural Water’s assets, with </w:t>
      </w:r>
      <w:r w:rsidR="00863536">
        <w:t xml:space="preserve">some supplied </w:t>
      </w:r>
      <w:r w:rsidR="008D2E25">
        <w:t>from local</w:t>
      </w:r>
      <w:r>
        <w:t xml:space="preserve"> sources that we manage.</w:t>
      </w:r>
    </w:p>
    <w:p w14:paraId="2387EDCB" w14:textId="1BBDEBFF" w:rsidR="00F87A15" w:rsidRDefault="00562049" w:rsidP="00EA7C7B">
      <w:r>
        <w:t>To forecast our bulk water costs in the western region, w</w:t>
      </w:r>
      <w:r w:rsidR="004C153F">
        <w:t xml:space="preserve">e first forecast our bulk water potable demands using a similar </w:t>
      </w:r>
      <w:proofErr w:type="spellStart"/>
      <w:r w:rsidR="004C153F">
        <w:t>iSDP</w:t>
      </w:r>
      <w:proofErr w:type="spellEnd"/>
      <w:r w:rsidR="004C153F">
        <w:t xml:space="preserve"> end-use forecasting model. </w:t>
      </w:r>
      <w:r w:rsidR="00F87A15">
        <w:t xml:space="preserve">We then use </w:t>
      </w:r>
      <w:r>
        <w:t xml:space="preserve">that </w:t>
      </w:r>
      <w:r w:rsidR="002A6E9B">
        <w:t xml:space="preserve">demand forecast in </w:t>
      </w:r>
      <w:r w:rsidR="00F87A15">
        <w:t xml:space="preserve">a hydrological simulation model of our water supply and treatment network, built in </w:t>
      </w:r>
      <w:proofErr w:type="spellStart"/>
      <w:r w:rsidR="00F87A15">
        <w:t>eWater</w:t>
      </w:r>
      <w:proofErr w:type="spellEnd"/>
      <w:r w:rsidR="00F87A15">
        <w:t xml:space="preserve"> Source. The model disaggregates the total water demand and effectively forecasts how much water we need from each source to meet demand. </w:t>
      </w:r>
    </w:p>
    <w:p w14:paraId="158DA4A8" w14:textId="1473342E" w:rsidR="00B1533F" w:rsidRPr="00B1533F" w:rsidRDefault="00B1533F" w:rsidP="005B69CD">
      <w:pPr>
        <w:pStyle w:val="Heading3"/>
      </w:pPr>
      <w:r>
        <w:t xml:space="preserve">The Water Mass Balance Model – </w:t>
      </w:r>
      <w:r w:rsidR="0025016C">
        <w:t>w</w:t>
      </w:r>
      <w:r>
        <w:t>estern</w:t>
      </w:r>
      <w:r w:rsidR="0025016C">
        <w:t xml:space="preserve"> region</w:t>
      </w:r>
      <w:r>
        <w:t xml:space="preserve"> only</w:t>
      </w:r>
    </w:p>
    <w:p w14:paraId="3701B512" w14:textId="2E67DF2D" w:rsidR="00334B2A" w:rsidRDefault="00B1533F" w:rsidP="00334B2A">
      <w:r>
        <w:t>W</w:t>
      </w:r>
      <w:r w:rsidR="00334B2A">
        <w:t>e use an integrated water mass balance model</w:t>
      </w:r>
      <w:r w:rsidR="005A3A5E">
        <w:t>,</w:t>
      </w:r>
      <w:r w:rsidR="00334B2A">
        <w:t xml:space="preserve"> developed </w:t>
      </w:r>
      <w:r w:rsidR="00302ED7">
        <w:t xml:space="preserve">using </w:t>
      </w:r>
      <w:r w:rsidR="008E0164">
        <w:t xml:space="preserve">the </w:t>
      </w:r>
      <w:proofErr w:type="spellStart"/>
      <w:r w:rsidR="008E0164">
        <w:t>eWater</w:t>
      </w:r>
      <w:proofErr w:type="spellEnd"/>
      <w:r w:rsidR="008E0164">
        <w:t xml:space="preserve"> </w:t>
      </w:r>
      <w:r w:rsidR="00302ED7">
        <w:t>Source modelling platform</w:t>
      </w:r>
      <w:r w:rsidR="005A3A5E">
        <w:t>,</w:t>
      </w:r>
      <w:r>
        <w:t xml:space="preserve"> to disaggregate the bulk potable water demands for the western region to its sources.</w:t>
      </w:r>
    </w:p>
    <w:p w14:paraId="578C4283" w14:textId="2DFC18FF" w:rsidR="00334B2A" w:rsidRDefault="00334B2A" w:rsidP="00334B2A">
      <w:r>
        <w:t>The</w:t>
      </w:r>
      <w:r w:rsidR="00B1533F">
        <w:t xml:space="preserve"> </w:t>
      </w:r>
      <w:r w:rsidR="005A3A5E">
        <w:t>w</w:t>
      </w:r>
      <w:r w:rsidR="001C70BC">
        <w:t xml:space="preserve">ater mass balance model is underpinned by the </w:t>
      </w:r>
      <w:proofErr w:type="spellStart"/>
      <w:r w:rsidR="001C70BC">
        <w:t>iSDP</w:t>
      </w:r>
      <w:proofErr w:type="spellEnd"/>
      <w:r w:rsidR="001C70BC">
        <w:t xml:space="preserve"> demand outputs </w:t>
      </w:r>
      <w:r w:rsidR="005A3A5E">
        <w:t>and</w:t>
      </w:r>
      <w:r w:rsidR="003C176F">
        <w:t xml:space="preserve"> a range of other climatic </w:t>
      </w:r>
      <w:r w:rsidR="00751147">
        <w:t>inputs</w:t>
      </w:r>
      <w:r w:rsidR="00600859">
        <w:t xml:space="preserve">. </w:t>
      </w:r>
      <w:r w:rsidR="00442FA2">
        <w:t>The</w:t>
      </w:r>
      <w:r w:rsidR="00EF49C7">
        <w:t xml:space="preserve"> </w:t>
      </w:r>
      <w:r w:rsidR="00442FA2">
        <w:t xml:space="preserve">model </w:t>
      </w:r>
      <w:r w:rsidR="00EF49C7">
        <w:t xml:space="preserve">can be used to assess </w:t>
      </w:r>
      <w:r>
        <w:t>catchment yields, drinking water treatment and transfer volumes, sewage generation</w:t>
      </w:r>
      <w:r w:rsidR="005A3A5E">
        <w:t>,</w:t>
      </w:r>
      <w:r>
        <w:t xml:space="preserve"> sewage treatment</w:t>
      </w:r>
      <w:r w:rsidR="00DD7302">
        <w:t>,</w:t>
      </w:r>
      <w:r>
        <w:t xml:space="preserve"> </w:t>
      </w:r>
      <w:r w:rsidR="00DD7302">
        <w:t xml:space="preserve">and </w:t>
      </w:r>
      <w:r>
        <w:t xml:space="preserve">recycled water generation and supply </w:t>
      </w:r>
      <w:r w:rsidR="00F67C1D">
        <w:t xml:space="preserve">under </w:t>
      </w:r>
      <w:r>
        <w:t>different climate scenarios.</w:t>
      </w:r>
    </w:p>
    <w:p w14:paraId="68BEA1E1" w14:textId="2AADBAA8" w:rsidR="00F57ABC" w:rsidRDefault="00334B2A" w:rsidP="00404661">
      <w:r>
        <w:t xml:space="preserve">Modelled outputs from the water mass balance model are used to break down total water demand </w:t>
      </w:r>
      <w:r w:rsidR="00751147">
        <w:t>forecast</w:t>
      </w:r>
      <w:r w:rsidR="005A3A5E">
        <w:t>s</w:t>
      </w:r>
      <w:r w:rsidR="00751147">
        <w:t xml:space="preserve"> </w:t>
      </w:r>
      <w:r>
        <w:t>in the western region by source</w:t>
      </w:r>
      <w:r w:rsidR="005A3A5E">
        <w:t>,</w:t>
      </w:r>
      <w:r>
        <w:t xml:space="preserve"> as shown </w:t>
      </w:r>
      <w:r w:rsidR="005A3A5E">
        <w:t xml:space="preserve">in </w:t>
      </w:r>
      <w:r w:rsidR="003B09EE">
        <w:fldChar w:fldCharType="begin"/>
      </w:r>
      <w:r w:rsidR="003B09EE">
        <w:instrText xml:space="preserve"> REF _Ref146358145 \h </w:instrText>
      </w:r>
      <w:r w:rsidR="00D66495">
        <w:instrText xml:space="preserve"> \* MERGEFORMAT </w:instrText>
      </w:r>
      <w:r w:rsidR="003B09EE">
        <w:fldChar w:fldCharType="separate"/>
      </w:r>
      <w:r w:rsidR="003B42C6" w:rsidRPr="0026015C">
        <w:rPr>
          <w:b/>
        </w:rPr>
        <w:t xml:space="preserve">Figure </w:t>
      </w:r>
      <w:r w:rsidR="003B42C6" w:rsidRPr="003B42C6">
        <w:rPr>
          <w:b/>
          <w:bCs/>
          <w:noProof/>
        </w:rPr>
        <w:t>23</w:t>
      </w:r>
      <w:r w:rsidR="003B09EE">
        <w:fldChar w:fldCharType="end"/>
      </w:r>
      <w:r w:rsidR="00D66495">
        <w:t>.</w:t>
      </w:r>
      <w:r w:rsidR="00A20217">
        <w:br/>
      </w:r>
    </w:p>
    <w:p w14:paraId="0FF5574B" w14:textId="4B659D40" w:rsidR="00EA7C7B" w:rsidRDefault="00BB55F5" w:rsidP="00EA7C7B">
      <w:pPr>
        <w:pStyle w:val="Caption"/>
      </w:pPr>
      <w:bookmarkStart w:id="254" w:name="_Ref146358145"/>
      <w:r>
        <w:rPr>
          <w:b/>
          <w:noProof/>
        </w:rPr>
        <w:drawing>
          <wp:inline distT="0" distB="0" distL="0" distR="0" wp14:anchorId="236A3F71" wp14:editId="33ABFB50">
            <wp:extent cx="6120765" cy="3060700"/>
            <wp:effectExtent l="0" t="0" r="0" b="6350"/>
            <wp:docPr id="111" name="Picture 111" descr="Area chart with 3 data sets. The x-axis shows years from 2024 to 2033. Y-axis is titled &quot;Total potable supply demand (ML)&quot; and shows values from 0 to 40000. Dataset &quot;Western - Total SRW supply requirement&quot; starts at 20000 and trends upward to 29500. Dataset &quot;Western - Total local supply requirement&quot; starts at 15000 and trends upward to 25000. Dataset &quot;Western Total MW supply requirement - actual&quot; starts at 14500 and trends upward to 24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rea chart with 3 data sets. The x-axis shows years from 2024 to 2033. Y-axis is titled &quot;Total potable supply demand (ML)&quot; and shows values from 0 to 40000. Dataset &quot;Western - Total SRW supply requirement&quot; starts at 20000 and trends upward to 29500. Dataset &quot;Western - Total local supply requirement&quot; starts at 15000 and trends upward to 25000. Dataset &quot;Western Total MW supply requirement - actual&quot; starts at 14500 and trends upward to 24500.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EA7C7B" w:rsidRPr="0026015C">
        <w:rPr>
          <w:b/>
        </w:rPr>
        <w:t xml:space="preserve">Figure </w:t>
      </w:r>
      <w:r w:rsidR="00EA7C7B" w:rsidRPr="003F58BD">
        <w:rPr>
          <w:b/>
        </w:rPr>
        <w:fldChar w:fldCharType="begin"/>
      </w:r>
      <w:r w:rsidR="00EA7C7B" w:rsidRPr="00641F84">
        <w:rPr>
          <w:b/>
        </w:rPr>
        <w:instrText>SEQ Figure \* ARABIC</w:instrText>
      </w:r>
      <w:r w:rsidR="00EA7C7B" w:rsidRPr="003F58BD">
        <w:rPr>
          <w:b/>
        </w:rPr>
        <w:fldChar w:fldCharType="separate"/>
      </w:r>
      <w:r w:rsidR="003B42C6">
        <w:rPr>
          <w:b/>
          <w:noProof/>
        </w:rPr>
        <w:t>23</w:t>
      </w:r>
      <w:r w:rsidR="00EA7C7B" w:rsidRPr="003F58BD">
        <w:rPr>
          <w:b/>
        </w:rPr>
        <w:fldChar w:fldCharType="end"/>
      </w:r>
      <w:bookmarkEnd w:id="254"/>
      <w:r w:rsidR="00EA7C7B">
        <w:t xml:space="preserve"> Breakdown total </w:t>
      </w:r>
      <w:r w:rsidR="00606C08">
        <w:t>supply requirements</w:t>
      </w:r>
      <w:r w:rsidR="00EA7C7B">
        <w:t xml:space="preserve"> in the western region </w:t>
      </w:r>
    </w:p>
    <w:p w14:paraId="3C4AC87D" w14:textId="76FB1167" w:rsidR="0097599A" w:rsidRDefault="0097599A" w:rsidP="00404661">
      <w:r w:rsidRPr="0097599A">
        <w:t xml:space="preserve">Combining this with modelled outputs from the </w:t>
      </w:r>
      <w:proofErr w:type="spellStart"/>
      <w:r w:rsidRPr="0097599A">
        <w:t>iSDP</w:t>
      </w:r>
      <w:proofErr w:type="spellEnd"/>
      <w:r w:rsidRPr="0097599A">
        <w:t xml:space="preserve"> model for the central region, we </w:t>
      </w:r>
      <w:r w:rsidR="00207CD2">
        <w:t xml:space="preserve">can </w:t>
      </w:r>
      <w:r w:rsidRPr="0097599A">
        <w:t xml:space="preserve">establish bulk water </w:t>
      </w:r>
      <w:r w:rsidR="00207CD2">
        <w:t xml:space="preserve">demand and supply </w:t>
      </w:r>
      <w:r w:rsidRPr="0097599A">
        <w:t>forecast by source and by use across the region.</w:t>
      </w:r>
    </w:p>
    <w:p w14:paraId="00E875D9" w14:textId="0B4838E6" w:rsidR="00AA1E40" w:rsidRDefault="00AA1E40" w:rsidP="00AA1E40"/>
    <w:p w14:paraId="7BD79588" w14:textId="440756CD" w:rsidR="00E74C94" w:rsidRDefault="006914D1" w:rsidP="00D66037">
      <w:pPr>
        <w:pStyle w:val="Caption"/>
      </w:pPr>
      <w:bookmarkStart w:id="255" w:name="_Toc145498160"/>
      <w:r>
        <w:rPr>
          <w:b/>
          <w:noProof/>
        </w:rPr>
        <w:lastRenderedPageBreak/>
        <w:drawing>
          <wp:inline distT="0" distB="0" distL="0" distR="0" wp14:anchorId="267F1BC0" wp14:editId="115A4C86">
            <wp:extent cx="6120765" cy="3060700"/>
            <wp:effectExtent l="0" t="0" r="0" b="6350"/>
            <wp:docPr id="112" name="Picture 112" descr="Area chart with 3 data sets. The x-axis shows years from 2024 to 2033. Y-axis is titled &quot;Total potable supply (ML)&quot; and shows values from 0 to 180000. Dataset &quot;GWW – Total SRW supply requirement&quot; starts at 135000 and trends upward to 150000. Dataset &quot;GWW – Total local supply requirement&quot; starts at 130000 and trends upward to 150000.Dataset &quot;GWW – Total MW supply requirement&quot; starts at 130000 and trends upward to 1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rea chart with 3 data sets. The x-axis shows years from 2024 to 2033. Y-axis is titled &quot;Total potable supply (ML)&quot; and shows values from 0 to 180000. Dataset &quot;GWW – Total SRW supply requirement&quot; starts at 135000 and trends upward to 150000. Dataset &quot;GWW – Total local supply requirement&quot; starts at 130000 and trends upward to 150000.Dataset &quot;GWW – Total MW supply requirement&quot; starts at 130000 and trends upward to 150000.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AA1E40" w:rsidRPr="0026015C">
        <w:rPr>
          <w:b/>
        </w:rPr>
        <w:t xml:space="preserve">Figure </w:t>
      </w:r>
      <w:r w:rsidR="00AA1E40" w:rsidRPr="003F58BD">
        <w:rPr>
          <w:b/>
        </w:rPr>
        <w:fldChar w:fldCharType="begin"/>
      </w:r>
      <w:r w:rsidR="00AA1E40" w:rsidRPr="00F21C77">
        <w:rPr>
          <w:b/>
        </w:rPr>
        <w:instrText>SEQ Figure \* ARABIC</w:instrText>
      </w:r>
      <w:r w:rsidR="00AA1E40" w:rsidRPr="003F58BD">
        <w:rPr>
          <w:b/>
        </w:rPr>
        <w:fldChar w:fldCharType="separate"/>
      </w:r>
      <w:r w:rsidR="003B42C6">
        <w:rPr>
          <w:b/>
          <w:noProof/>
        </w:rPr>
        <w:t>24</w:t>
      </w:r>
      <w:r w:rsidR="00AA1E40" w:rsidRPr="003F58BD">
        <w:rPr>
          <w:b/>
        </w:rPr>
        <w:fldChar w:fldCharType="end"/>
      </w:r>
      <w:r w:rsidR="00E74C94">
        <w:t xml:space="preserve"> </w:t>
      </w:r>
      <w:r w:rsidR="00F9096D">
        <w:t xml:space="preserve">Total water </w:t>
      </w:r>
      <w:r w:rsidR="007C4BCF">
        <w:t xml:space="preserve">supply requirements </w:t>
      </w:r>
      <w:r w:rsidR="00E74C94">
        <w:t>for</w:t>
      </w:r>
      <w:r w:rsidR="00F9096D">
        <w:t xml:space="preserve"> GWW</w:t>
      </w:r>
      <w:bookmarkEnd w:id="255"/>
      <w:r w:rsidR="00F9096D">
        <w:t xml:space="preserve"> </w:t>
      </w:r>
    </w:p>
    <w:p w14:paraId="09DAA6A4" w14:textId="77777777" w:rsidR="00A20217" w:rsidRPr="00A20217" w:rsidRDefault="00A20217" w:rsidP="00A20217"/>
    <w:p w14:paraId="5AFCC685" w14:textId="10537EF9" w:rsidR="00D66037" w:rsidRPr="00E74C94" w:rsidRDefault="00D66037" w:rsidP="00E74C94"/>
    <w:p w14:paraId="1B51602A" w14:textId="7C051A4F" w:rsidR="002D7921" w:rsidRPr="00E74C94" w:rsidRDefault="005B207F" w:rsidP="002D7921">
      <w:pPr>
        <w:pStyle w:val="Caption"/>
      </w:pPr>
      <w:r>
        <w:rPr>
          <w:b/>
          <w:noProof/>
        </w:rPr>
        <w:drawing>
          <wp:inline distT="0" distB="0" distL="0" distR="0" wp14:anchorId="3BEB94D5" wp14:editId="7109A170">
            <wp:extent cx="6120765" cy="3103245"/>
            <wp:effectExtent l="0" t="0" r="0" b="1905"/>
            <wp:docPr id="113" name="Picture 113" descr="Area chart with 3 data sets. The x-axis shows years from 2024 to 2033. Y-axis is titled &quot;Total potable demand (ML)&quot; and shows values from 0 to 180000. Dataset &quot;GWW – Non-revenue water&quot; starts at 138000 and trends upward to 158000. Dataset &quot;GWW – non-residential potable water&quot; starts at 120000 and trends upward to 130000.Dataset &quot;GWW – Residential potable water&quot; starts at 80000 and trends upward to 9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rea chart with 3 data sets. The x-axis shows years from 2024 to 2033. Y-axis is titled &quot;Total potable demand (ML)&quot; and shows values from 0 to 180000. Dataset &quot;GWW – Non-revenue water&quot; starts at 138000 and trends upward to 158000. Dataset &quot;GWW – non-residential potable water&quot; starts at 120000 and trends upward to 130000.Dataset &quot;GWW – Residential potable water&quot; starts at 80000 and trends upward to 90000.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103245"/>
                    </a:xfrm>
                    <a:prstGeom prst="rect">
                      <a:avLst/>
                    </a:prstGeom>
                    <a:noFill/>
                  </pic:spPr>
                </pic:pic>
              </a:graphicData>
            </a:graphic>
          </wp:inline>
        </w:drawing>
      </w:r>
      <w:r w:rsidR="002D7921" w:rsidRPr="0026015C">
        <w:rPr>
          <w:b/>
        </w:rPr>
        <w:t xml:space="preserve">Figure </w:t>
      </w:r>
      <w:r w:rsidR="002D7921" w:rsidRPr="003F58BD">
        <w:rPr>
          <w:b/>
        </w:rPr>
        <w:fldChar w:fldCharType="begin"/>
      </w:r>
      <w:r w:rsidR="002D7921" w:rsidRPr="00F21C77">
        <w:rPr>
          <w:b/>
        </w:rPr>
        <w:instrText>SEQ Figure \* ARABIC</w:instrText>
      </w:r>
      <w:r w:rsidR="002D7921" w:rsidRPr="003F58BD">
        <w:rPr>
          <w:b/>
        </w:rPr>
        <w:fldChar w:fldCharType="separate"/>
      </w:r>
      <w:r w:rsidR="003B42C6">
        <w:rPr>
          <w:b/>
          <w:noProof/>
        </w:rPr>
        <w:t>25</w:t>
      </w:r>
      <w:r w:rsidR="002D7921" w:rsidRPr="003F58BD">
        <w:rPr>
          <w:b/>
        </w:rPr>
        <w:fldChar w:fldCharType="end"/>
      </w:r>
      <w:r w:rsidR="002D7921">
        <w:t xml:space="preserve"> </w:t>
      </w:r>
      <w:r w:rsidR="002D7921" w:rsidRPr="002D7921">
        <w:t xml:space="preserve">Total water demand by use for </w:t>
      </w:r>
      <w:proofErr w:type="gramStart"/>
      <w:r w:rsidR="002D7921" w:rsidRPr="002D7921">
        <w:t>GWW</w:t>
      </w:r>
      <w:proofErr w:type="gramEnd"/>
    </w:p>
    <w:p w14:paraId="2818512F" w14:textId="3BBB7643" w:rsidR="00AA1E40" w:rsidRDefault="00611253" w:rsidP="00C6645D">
      <w:pPr>
        <w:pStyle w:val="Heading2"/>
      </w:pPr>
      <w:bookmarkStart w:id="256" w:name="_Toc146004886"/>
      <w:bookmarkStart w:id="257" w:name="_Toc146004774"/>
      <w:bookmarkStart w:id="258" w:name="_Toc146746720"/>
      <w:r>
        <w:t xml:space="preserve">Bulk </w:t>
      </w:r>
      <w:r w:rsidR="0056581C">
        <w:t xml:space="preserve">wastewater </w:t>
      </w:r>
      <w:proofErr w:type="gramStart"/>
      <w:r w:rsidR="0056581C">
        <w:t>forecast</w:t>
      </w:r>
      <w:bookmarkEnd w:id="256"/>
      <w:bookmarkEnd w:id="257"/>
      <w:bookmarkEnd w:id="258"/>
      <w:proofErr w:type="gramEnd"/>
    </w:p>
    <w:p w14:paraId="4870F409" w14:textId="22630874" w:rsidR="005716A7" w:rsidRDefault="005716A7" w:rsidP="003A50DF">
      <w:r>
        <w:t>Melbourne Water charges us for wastewater volume and certain treatable loads delivered to their Western Treatment Plant (WTP). This section describes how we forecast th</w:t>
      </w:r>
      <w:r w:rsidR="005A3A5E">
        <w:t>e</w:t>
      </w:r>
      <w:r>
        <w:t xml:space="preserve"> volume delivered to WTP.</w:t>
      </w:r>
    </w:p>
    <w:p w14:paraId="3FB5068E" w14:textId="25345834" w:rsidR="004E7876" w:rsidRDefault="004E7876" w:rsidP="003A50DF">
      <w:r w:rsidRPr="000D057C">
        <w:t xml:space="preserve">Total wastewater delivered to WTP is forecast to increase from </w:t>
      </w:r>
      <w:r w:rsidR="00113622">
        <w:t>96.3</w:t>
      </w:r>
      <w:r w:rsidR="007E6E07" w:rsidRPr="000D057C">
        <w:t xml:space="preserve"> GL</w:t>
      </w:r>
      <w:r w:rsidRPr="000D057C">
        <w:t xml:space="preserve"> in 2022-23 to </w:t>
      </w:r>
      <w:r w:rsidR="007E6E07" w:rsidRPr="000D057C">
        <w:t>99.5 GL</w:t>
      </w:r>
      <w:r w:rsidRPr="000D057C">
        <w:t xml:space="preserve"> by 2027-28</w:t>
      </w:r>
      <w:r w:rsidRPr="007A4E82">
        <w:t xml:space="preserve">, an increase of </w:t>
      </w:r>
      <w:r w:rsidR="007A4E82" w:rsidRPr="007A4E82">
        <w:t>3.3</w:t>
      </w:r>
      <w:r w:rsidR="000F453F">
        <w:t>%</w:t>
      </w:r>
      <w:r w:rsidRPr="007A4E82">
        <w:t xml:space="preserve"> over </w:t>
      </w:r>
      <w:r w:rsidR="000F453F">
        <w:t>five</w:t>
      </w:r>
      <w:r w:rsidRPr="007A4E82">
        <w:t xml:space="preserve"> years. This is in line with the increase </w:t>
      </w:r>
      <w:r w:rsidR="005A3A5E">
        <w:t>in</w:t>
      </w:r>
      <w:r w:rsidRPr="007A4E82">
        <w:t xml:space="preserve"> water demand </w:t>
      </w:r>
      <w:r w:rsidR="007A4E82" w:rsidRPr="007A4E82">
        <w:t>across mostly central and increasing reliance on WTP from the western region.</w:t>
      </w:r>
    </w:p>
    <w:p w14:paraId="3B6A9420" w14:textId="2B475323" w:rsidR="0095528B" w:rsidRDefault="005716A7" w:rsidP="0095528B">
      <w:r>
        <w:lastRenderedPageBreak/>
        <w:t>Overall, w</w:t>
      </w:r>
      <w:r w:rsidR="003A50DF">
        <w:t xml:space="preserve">astewater collected by </w:t>
      </w:r>
      <w:r>
        <w:t>us</w:t>
      </w:r>
      <w:r w:rsidR="003A50DF">
        <w:t xml:space="preserve"> is delivered to a range of treatment plants including our own eight treatment plants and </w:t>
      </w:r>
      <w:r w:rsidR="000E520D">
        <w:t>M</w:t>
      </w:r>
      <w:r w:rsidR="005A3A5E">
        <w:t xml:space="preserve">elbourne </w:t>
      </w:r>
      <w:r w:rsidR="000E520D">
        <w:t>W</w:t>
      </w:r>
      <w:r w:rsidR="005A3A5E">
        <w:t>ater</w:t>
      </w:r>
      <w:r w:rsidR="000E520D">
        <w:t>’s</w:t>
      </w:r>
      <w:r w:rsidR="003A50DF">
        <w:t xml:space="preserve"> </w:t>
      </w:r>
      <w:r w:rsidR="000E520D">
        <w:t>WTP.</w:t>
      </w:r>
      <w:r w:rsidR="003A50DF">
        <w:t xml:space="preserve"> Most of our wastewater in the area previously serviced by </w:t>
      </w:r>
      <w:r w:rsidR="004B301A">
        <w:t>CWW</w:t>
      </w:r>
      <w:r w:rsidR="003A50DF">
        <w:t xml:space="preserve"> is treated at WTP and at our Altona Treatment Plant. </w:t>
      </w:r>
      <w:r w:rsidR="0095528B">
        <w:t>Most of our wastewater in the area previously serviced by W</w:t>
      </w:r>
      <w:r w:rsidR="004B301A">
        <w:t>W</w:t>
      </w:r>
      <w:r w:rsidR="0095528B">
        <w:t xml:space="preserve"> is treated locally at seven treatment plants, with a small proportion sent to WTP to meet growing demand. </w:t>
      </w:r>
    </w:p>
    <w:p w14:paraId="2EB875F6" w14:textId="1CB3D90B" w:rsidR="003A50DF" w:rsidRDefault="004F7038" w:rsidP="004F7038">
      <w:proofErr w:type="gramStart"/>
      <w:r>
        <w:t>Similar to</w:t>
      </w:r>
      <w:proofErr w:type="gramEnd"/>
      <w:r>
        <w:t xml:space="preserve"> our bulk water demand and supply forecasts, we forecast the total wastewater delivered to WTP from central and western regions separately. </w:t>
      </w:r>
    </w:p>
    <w:p w14:paraId="75923DAC" w14:textId="77777777" w:rsidR="003A50DF" w:rsidRPr="00D010A4" w:rsidRDefault="003A50DF" w:rsidP="005B69CD">
      <w:pPr>
        <w:pStyle w:val="Heading3"/>
      </w:pPr>
      <w:r w:rsidRPr="00D010A4">
        <w:t>Central region</w:t>
      </w:r>
    </w:p>
    <w:p w14:paraId="0654F17D" w14:textId="312972FC" w:rsidR="003A50DF" w:rsidRDefault="003A50DF" w:rsidP="003A50DF">
      <w:r>
        <w:t>Overall wastewater</w:t>
      </w:r>
      <w:r w:rsidR="00120C4B">
        <w:t xml:space="preserve"> volume received by WTP and A</w:t>
      </w:r>
      <w:r w:rsidR="004B301A">
        <w:t xml:space="preserve">ltona </w:t>
      </w:r>
      <w:r w:rsidR="00120C4B">
        <w:t>T</w:t>
      </w:r>
      <w:r w:rsidR="004B301A">
        <w:t xml:space="preserve">reatment </w:t>
      </w:r>
      <w:r w:rsidR="00120C4B">
        <w:t>P</w:t>
      </w:r>
      <w:r w:rsidR="004B301A">
        <w:t>lant</w:t>
      </w:r>
      <w:r>
        <w:t xml:space="preserve"> is derived from forecasting </w:t>
      </w:r>
      <w:r w:rsidR="00120C4B">
        <w:t xml:space="preserve">five </w:t>
      </w:r>
      <w:r>
        <w:t>key input</w:t>
      </w:r>
      <w:r w:rsidR="00857469">
        <w:t>s</w:t>
      </w:r>
      <w:r>
        <w:t>:</w:t>
      </w:r>
    </w:p>
    <w:p w14:paraId="03C10196" w14:textId="5676F9D1" w:rsidR="003A50DF" w:rsidRPr="003B09EE" w:rsidRDefault="003A50DF">
      <w:pPr>
        <w:pStyle w:val="ListNumber"/>
        <w:numPr>
          <w:ilvl w:val="0"/>
          <w:numId w:val="145"/>
        </w:numPr>
      </w:pPr>
      <w:r w:rsidRPr="003B09EE">
        <w:t>Residential wastewater (commonly referred to as domestic sewage)</w:t>
      </w:r>
    </w:p>
    <w:p w14:paraId="1E667B4F" w14:textId="2D5AB90B" w:rsidR="003A50DF" w:rsidRPr="003B09EE" w:rsidRDefault="003A50DF">
      <w:pPr>
        <w:pStyle w:val="ListNumber"/>
        <w:numPr>
          <w:ilvl w:val="0"/>
          <w:numId w:val="145"/>
        </w:numPr>
      </w:pPr>
      <w:r w:rsidRPr="003B09EE">
        <w:t xml:space="preserve">Trade waste from trade waste customers </w:t>
      </w:r>
    </w:p>
    <w:p w14:paraId="5C9558CB" w14:textId="64AD011F" w:rsidR="003A50DF" w:rsidRPr="003B09EE" w:rsidRDefault="003A50DF">
      <w:pPr>
        <w:pStyle w:val="ListNumber"/>
        <w:numPr>
          <w:ilvl w:val="0"/>
          <w:numId w:val="145"/>
        </w:numPr>
      </w:pPr>
      <w:r w:rsidRPr="003B09EE">
        <w:t xml:space="preserve">Non-residential wastewater from non-residential customers </w:t>
      </w:r>
    </w:p>
    <w:p w14:paraId="687C4E71" w14:textId="5C10FE44" w:rsidR="003A50DF" w:rsidRPr="003B09EE" w:rsidRDefault="003A50DF">
      <w:pPr>
        <w:pStyle w:val="ListNumber"/>
        <w:numPr>
          <w:ilvl w:val="0"/>
          <w:numId w:val="145"/>
        </w:numPr>
      </w:pPr>
      <w:r w:rsidRPr="003B09EE">
        <w:t>Rain dependent inflow (the volume of wastewater in the sewer that can be attributed to rainfall)</w:t>
      </w:r>
    </w:p>
    <w:p w14:paraId="7AE2B789" w14:textId="77777777" w:rsidR="00DA5345" w:rsidRDefault="003A50DF">
      <w:pPr>
        <w:pStyle w:val="ListNumber"/>
        <w:numPr>
          <w:ilvl w:val="0"/>
          <w:numId w:val="145"/>
        </w:numPr>
      </w:pPr>
      <w:r w:rsidRPr="003B09EE">
        <w:t>Groundwater infiltration (the volume of wastewater that enters the sewer through ingress)</w:t>
      </w:r>
      <w:r w:rsidR="00D66495">
        <w:t>.</w:t>
      </w:r>
    </w:p>
    <w:p w14:paraId="71E2F612" w14:textId="260D616C" w:rsidR="000D0897" w:rsidRDefault="003A50DF">
      <w:pPr>
        <w:pStyle w:val="ListNumber"/>
        <w:numPr>
          <w:ilvl w:val="0"/>
          <w:numId w:val="145"/>
        </w:numPr>
      </w:pPr>
      <w:r>
        <w:t xml:space="preserve">Each of these inputs </w:t>
      </w:r>
      <w:r w:rsidR="004F6BB0">
        <w:t>can</w:t>
      </w:r>
      <w:r>
        <w:t xml:space="preserve"> vary independently of each other over time. Consistent with our approach in 2018 to forecast volumetric wastewater forecasts to WTP, historical contributions from each of the five inputs have been estimated. Modelled outputs for volumes to WTP are shown below.</w:t>
      </w:r>
    </w:p>
    <w:p w14:paraId="28F36FFD" w14:textId="41AB1E3D" w:rsidR="00E36545" w:rsidRDefault="00BD2FC8" w:rsidP="00E36545">
      <w:pPr>
        <w:pStyle w:val="Caption"/>
      </w:pPr>
      <w:bookmarkStart w:id="259" w:name="_Toc145498161"/>
      <w:r>
        <w:rPr>
          <w:b/>
          <w:noProof/>
        </w:rPr>
        <w:lastRenderedPageBreak/>
        <w:drawing>
          <wp:inline distT="0" distB="0" distL="0" distR="0" wp14:anchorId="30021F1D" wp14:editId="4CB1C2AE">
            <wp:extent cx="6120765" cy="5444490"/>
            <wp:effectExtent l="0" t="0" r="0" b="3810"/>
            <wp:docPr id="114" name="Picture 114" descr="Line graph with 10 data sets (4 actual 5 forecast). X-axis shows years from 2016 to 2033 in 1 year increments. Y-axis is titled &quot;Bulk wastewater volumes to WTP (ML)&quot; and shows values from 0 to 120000 in increments of 20000. Dataset &quot;Actual trade waste volume - WTP&quot; starts at 0 in 2016 and trends to 0 in 2023. Dataset &quot;Forecast trade waste volume - WTP&quot; starts at 0 in 2023 and trends to 0 in 2033. Dataset &quot;Actual rain dependent inflow - WTP&quot; starts at 5000 in 2016 and trends to 5000 in 2023. Dataset &quot;Forecast rain dependent inflow - WTP&quot; starts at 5000 in 2023 and trends to 6000 in 2033. Dataset &quot;Actual non-residential sewerage volume - WTP&quot; starts at 21000 in 2016 and trends down then back up to 22000 in 2023. Dataset &quot;Forecast non-residential sewerage volume - WTP&quot; starts at 22000 in 2023 and trends to 21000 in 2033. Dataset &quot;Actual residential sewerage volume - WTP&quot; starts at 48000 in 2016 and trends to 54000 in 2023. Dataset &quot;Forecast residential sewerage volume - WTP&quot; starts at 54000 in 2023 and trends to 62000 in 2033. Dataset &quot;Actual total wastewater volume - WTP&quot; starts at 94000 in 2016 and trends to 95000 in 2023. Dataset &quot;Projected total wastewater volume - WTP&quot; starts at 95000 in 2023 and trends to 101000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ine graph with 10 data sets (4 actual 5 forecast). X-axis shows years from 2016 to 2033 in 1 year increments. Y-axis is titled &quot;Bulk wastewater volumes to WTP (ML)&quot; and shows values from 0 to 120000 in increments of 20000. Dataset &quot;Actual trade waste volume - WTP&quot; starts at 0 in 2016 and trends to 0 in 2023. Dataset &quot;Forecast trade waste volume - WTP&quot; starts at 0 in 2023 and trends to 0 in 2033. Dataset &quot;Actual rain dependent inflow - WTP&quot; starts at 5000 in 2016 and trends to 5000 in 2023. Dataset &quot;Forecast rain dependent inflow - WTP&quot; starts at 5000 in 2023 and trends to 6000 in 2033. Dataset &quot;Actual non-residential sewerage volume - WTP&quot; starts at 21000 in 2016 and trends down then back up to 22000 in 2023. Dataset &quot;Forecast non-residential sewerage volume - WTP&quot; starts at 22000 in 2023 and trends to 21000 in 2033. Dataset &quot;Actual residential sewerage volume - WTP&quot; starts at 48000 in 2016 and trends to 54000 in 2023. Dataset &quot;Forecast residential sewerage volume - WTP&quot; starts at 54000 in 2023 and trends to 62000 in 2033. Dataset &quot;Actual total wastewater volume - WTP&quot; starts at 94000 in 2016 and trends to 95000 in 2023. Dataset &quot;Projected total wastewater volume - WTP&quot; starts at 95000 in 2023 and trends to 101000 in 2033.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5444490"/>
                    </a:xfrm>
                    <a:prstGeom prst="rect">
                      <a:avLst/>
                    </a:prstGeom>
                    <a:noFill/>
                  </pic:spPr>
                </pic:pic>
              </a:graphicData>
            </a:graphic>
          </wp:inline>
        </w:drawing>
      </w:r>
      <w:r w:rsidR="00E36545" w:rsidRPr="0026015C">
        <w:rPr>
          <w:b/>
        </w:rPr>
        <w:t xml:space="preserve">Figure </w:t>
      </w:r>
      <w:r w:rsidR="00E36545" w:rsidRPr="003F58BD">
        <w:rPr>
          <w:b/>
        </w:rPr>
        <w:fldChar w:fldCharType="begin"/>
      </w:r>
      <w:r w:rsidR="00E36545" w:rsidRPr="00F21C77">
        <w:rPr>
          <w:b/>
        </w:rPr>
        <w:instrText>SEQ Figure \* ARABIC</w:instrText>
      </w:r>
      <w:r w:rsidR="00E36545" w:rsidRPr="003F58BD">
        <w:rPr>
          <w:b/>
        </w:rPr>
        <w:fldChar w:fldCharType="separate"/>
      </w:r>
      <w:r w:rsidR="003B42C6">
        <w:rPr>
          <w:b/>
          <w:noProof/>
        </w:rPr>
        <w:t>26</w:t>
      </w:r>
      <w:r w:rsidR="00E36545" w:rsidRPr="003F58BD">
        <w:rPr>
          <w:b/>
        </w:rPr>
        <w:fldChar w:fldCharType="end"/>
      </w:r>
      <w:r w:rsidR="00E36545">
        <w:t xml:space="preserve"> Forecast bulk wastewater volumes by component to Western Treatment Plant (WTP) – Central </w:t>
      </w:r>
      <w:proofErr w:type="gramStart"/>
      <w:r w:rsidR="00E36545">
        <w:t>region</w:t>
      </w:r>
      <w:bookmarkEnd w:id="259"/>
      <w:proofErr w:type="gramEnd"/>
    </w:p>
    <w:p w14:paraId="11FAA672" w14:textId="459B49AD" w:rsidR="00AB7E3E" w:rsidRPr="00084127" w:rsidRDefault="00AB7E3E" w:rsidP="005B69CD">
      <w:pPr>
        <w:pStyle w:val="Heading3"/>
      </w:pPr>
      <w:r w:rsidRPr="00084127">
        <w:t>Western region</w:t>
      </w:r>
    </w:p>
    <w:p w14:paraId="226C2655" w14:textId="12DF096D" w:rsidR="000D193B" w:rsidRDefault="000D193B" w:rsidP="000D193B">
      <w:r>
        <w:t>Our wastewater volume forecasts for the area previously serviced by W</w:t>
      </w:r>
      <w:r w:rsidR="004F6BB0">
        <w:t>W</w:t>
      </w:r>
      <w:r>
        <w:t xml:space="preserve"> are a direct output of the mass balance model </w:t>
      </w:r>
      <w:r w:rsidR="00A65D8F">
        <w:t>discussed</w:t>
      </w:r>
      <w:r>
        <w:t xml:space="preserve"> in the bulk potable water demand section. The volume forecasts are the balancing volumes sent through an intercept sewer in Derrimut.</w:t>
      </w:r>
    </w:p>
    <w:p w14:paraId="0C57E460" w14:textId="218DB164" w:rsidR="00A27C7B" w:rsidRDefault="000D193B" w:rsidP="000D193B">
      <w:r>
        <w:t>Forecast load volumes sent to WTP are forecast using benchmarked loads (g/person/day) and a population forecast for the area that can discharge to WTP (via our network in the central region).</w:t>
      </w:r>
    </w:p>
    <w:p w14:paraId="18E0E4DC" w14:textId="2F515802" w:rsidR="007E0949" w:rsidRDefault="0071080C" w:rsidP="0042736B">
      <w:pPr>
        <w:pStyle w:val="Caption"/>
      </w:pPr>
      <w:bookmarkStart w:id="260" w:name="_Toc145498162"/>
      <w:r>
        <w:rPr>
          <w:b/>
          <w:noProof/>
        </w:rPr>
        <w:lastRenderedPageBreak/>
        <w:drawing>
          <wp:inline distT="0" distB="0" distL="0" distR="0" wp14:anchorId="25FC5528" wp14:editId="5A7A63B5">
            <wp:extent cx="6120765" cy="3420110"/>
            <wp:effectExtent l="0" t="0" r="0" b="8890"/>
            <wp:docPr id="115" name="Picture 115" descr="Line graph with 3 data sets. X-axis shows years from 2023 to 2033. Y-axis is titled &quot;Bulk wastewater volumes to WTP (ML)&quot; and shows values 0 to 120000 in increments of 20000. Data set &quot;Total wastewater volume – GWW&quot; stats at 95000 and after trending down, trends back up to 105000. Data set &quot;Total wastewater volume – GWW&quot; stats at 95000 and after trending down, trends back up to 105000.  Data set &quot;Total wastewater volume – Central region&quot; stats at 95000 and after trending down, trends back up to 101000. Data set &quot;Total wastewater volume – Western region&quot; stats at 0 and trends up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Line graph with 3 data sets. X-axis shows years from 2023 to 2033. Y-axis is titled &quot;Bulk wastewater volumes to WTP (ML)&quot; and shows values 0 to 120000 in increments of 20000. Data set &quot;Total wastewater volume – GWW&quot; stats at 95000 and after trending down, trends back up to 105000. Data set &quot;Total wastewater volume – GWW&quot; stats at 95000 and after trending down, trends back up to 105000.  Data set &quot;Total wastewater volume – Central region&quot; stats at 95000 and after trending down, trends back up to 101000. Data set &quot;Total wastewater volume – Western region&quot; stats at 0 and trends up to 50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D010A4" w:rsidRPr="0026015C">
        <w:rPr>
          <w:b/>
        </w:rPr>
        <w:t xml:space="preserve">Figure </w:t>
      </w:r>
      <w:r w:rsidR="00D010A4" w:rsidRPr="003F58BD">
        <w:rPr>
          <w:b/>
        </w:rPr>
        <w:fldChar w:fldCharType="begin"/>
      </w:r>
      <w:r w:rsidR="00D010A4" w:rsidRPr="00F21C77">
        <w:rPr>
          <w:b/>
        </w:rPr>
        <w:instrText>SEQ Figure \* ARABIC</w:instrText>
      </w:r>
      <w:r w:rsidR="00D010A4" w:rsidRPr="003F58BD">
        <w:rPr>
          <w:b/>
        </w:rPr>
        <w:fldChar w:fldCharType="separate"/>
      </w:r>
      <w:r w:rsidR="003B42C6">
        <w:rPr>
          <w:b/>
          <w:noProof/>
        </w:rPr>
        <w:t>27</w:t>
      </w:r>
      <w:r w:rsidR="00D010A4" w:rsidRPr="003F58BD">
        <w:rPr>
          <w:b/>
        </w:rPr>
        <w:fldChar w:fldCharType="end"/>
      </w:r>
      <w:r w:rsidR="00D010A4">
        <w:t xml:space="preserve"> Forecast bulk wastewater volumes by region to Western Treatment Plant (WTP)</w:t>
      </w:r>
      <w:bookmarkEnd w:id="260"/>
    </w:p>
    <w:p w14:paraId="1AE378AE" w14:textId="49139EAC" w:rsidR="005B411D" w:rsidRDefault="005B411D" w:rsidP="00C6645D">
      <w:pPr>
        <w:pStyle w:val="Heading2"/>
      </w:pPr>
      <w:bookmarkStart w:id="261" w:name="_Toc146004887"/>
      <w:bookmarkStart w:id="262" w:name="_Toc146004775"/>
      <w:bookmarkStart w:id="263" w:name="_Toc146746721"/>
      <w:r w:rsidRPr="005B411D">
        <w:t xml:space="preserve">Retail </w:t>
      </w:r>
      <w:r w:rsidR="00150BAC">
        <w:t>sales</w:t>
      </w:r>
      <w:r w:rsidRPr="005B411D">
        <w:t xml:space="preserve"> forecasts</w:t>
      </w:r>
      <w:bookmarkEnd w:id="261"/>
      <w:bookmarkEnd w:id="262"/>
      <w:bookmarkEnd w:id="263"/>
    </w:p>
    <w:p w14:paraId="1A5387F0" w14:textId="3A1EE5C3" w:rsidR="008126C2" w:rsidRDefault="008126C2" w:rsidP="008126C2">
      <w:r>
        <w:t xml:space="preserve">This section describes </w:t>
      </w:r>
      <w:r w:rsidR="00F930AB">
        <w:t xml:space="preserve">the </w:t>
      </w:r>
      <w:r>
        <w:t xml:space="preserve">forecasts used </w:t>
      </w:r>
      <w:r w:rsidR="00F930AB">
        <w:t xml:space="preserve">to determine the volume of sales across our different </w:t>
      </w:r>
      <w:r>
        <w:t>retail products</w:t>
      </w:r>
      <w:r w:rsidR="00F930AB">
        <w:t xml:space="preserve">. </w:t>
      </w:r>
      <w:r w:rsidR="00BC2FEE">
        <w:t>This</w:t>
      </w:r>
      <w:r>
        <w:t xml:space="preserve"> influences the </w:t>
      </w:r>
      <w:r w:rsidR="00BC2FEE">
        <w:t>prices our customers will pay.</w:t>
      </w:r>
    </w:p>
    <w:p w14:paraId="0A7BA614" w14:textId="5D68FDDA" w:rsidR="000D24D4" w:rsidRDefault="0048524E" w:rsidP="005B69CD">
      <w:pPr>
        <w:pStyle w:val="Heading3"/>
      </w:pPr>
      <w:r>
        <w:t>S</w:t>
      </w:r>
      <w:r w:rsidR="000D24D4" w:rsidRPr="0071079C">
        <w:t xml:space="preserve">ervice connection forecast </w:t>
      </w:r>
    </w:p>
    <w:p w14:paraId="036C094E" w14:textId="5E0A5A68" w:rsidR="00850279" w:rsidRPr="00850279" w:rsidRDefault="0048524E" w:rsidP="0071079C">
      <w:r>
        <w:t xml:space="preserve">As there </w:t>
      </w:r>
      <w:r w:rsidR="00A65D8F">
        <w:t>are</w:t>
      </w:r>
      <w:r w:rsidR="00850279" w:rsidRPr="00232825">
        <w:t xml:space="preserve"> separate </w:t>
      </w:r>
      <w:r w:rsidR="00850279">
        <w:t>service charges</w:t>
      </w:r>
      <w:r w:rsidR="00850279" w:rsidRPr="00232825">
        <w:t xml:space="preserve"> for the central and western regions</w:t>
      </w:r>
      <w:r w:rsidR="00A65D8F">
        <w:t>,</w:t>
      </w:r>
      <w:r w:rsidR="00F14080">
        <w:t xml:space="preserve"> we forecast service charges for central and western separately.</w:t>
      </w:r>
    </w:p>
    <w:p w14:paraId="7CE75400" w14:textId="7D26DC8E" w:rsidR="000D1BBC" w:rsidRDefault="000D057C" w:rsidP="000D1BBC">
      <w:r w:rsidRPr="00F130E1">
        <w:t>Residential water service connection</w:t>
      </w:r>
      <w:r w:rsidR="00F130E1" w:rsidRPr="00F130E1">
        <w:t xml:space="preserve"> charges</w:t>
      </w:r>
      <w:r w:rsidRPr="00F130E1">
        <w:t xml:space="preserve"> </w:t>
      </w:r>
      <w:r w:rsidR="007A6363">
        <w:t>are</w:t>
      </w:r>
      <w:r w:rsidRPr="00F130E1">
        <w:t xml:space="preserve"> forecast to increase from </w:t>
      </w:r>
      <w:r w:rsidR="00F130E1" w:rsidRPr="00F130E1">
        <w:t>554,147 charges</w:t>
      </w:r>
      <w:r>
        <w:t xml:space="preserve"> in 2022-23 to </w:t>
      </w:r>
      <w:r w:rsidR="00F130E1" w:rsidRPr="00F130E1">
        <w:t>643,100</w:t>
      </w:r>
      <w:r>
        <w:t xml:space="preserve"> by 2027-28</w:t>
      </w:r>
      <w:r w:rsidR="00F130E1" w:rsidRPr="00F130E1">
        <w:t xml:space="preserve">. This is </w:t>
      </w:r>
      <w:r>
        <w:t xml:space="preserve">an increase of </w:t>
      </w:r>
      <w:r w:rsidR="00F130E1" w:rsidRPr="00F130E1">
        <w:t>16.1</w:t>
      </w:r>
      <w:r w:rsidR="000F453F">
        <w:t>%</w:t>
      </w:r>
      <w:r>
        <w:t xml:space="preserve"> over </w:t>
      </w:r>
      <w:r w:rsidR="000F453F">
        <w:t>five</w:t>
      </w:r>
      <w:r>
        <w:t xml:space="preserve"> years or </w:t>
      </w:r>
      <w:r w:rsidR="00F130E1" w:rsidRPr="00F130E1">
        <w:t>3.2</w:t>
      </w:r>
      <w:r w:rsidR="000F453F">
        <w:t>%</w:t>
      </w:r>
      <w:r>
        <w:t xml:space="preserve"> per annum </w:t>
      </w:r>
      <w:r w:rsidR="00F130E1" w:rsidRPr="00F130E1">
        <w:t xml:space="preserve">on average. </w:t>
      </w:r>
      <w:r w:rsidR="00C31B6A">
        <w:t>S</w:t>
      </w:r>
      <w:r w:rsidR="000D1BBC">
        <w:t xml:space="preserve">ervice connections across both central and western are </w:t>
      </w:r>
      <w:r w:rsidR="00C31B6A">
        <w:t xml:space="preserve">driven by the </w:t>
      </w:r>
      <w:r w:rsidR="000D1BBC">
        <w:t xml:space="preserve">serviced dwelling forecast. </w:t>
      </w:r>
      <w:r w:rsidR="00C31B6A">
        <w:t>We assume t</w:t>
      </w:r>
      <w:r w:rsidR="000D1BBC">
        <w:t xml:space="preserve">hat dwellings are titled, </w:t>
      </w:r>
      <w:proofErr w:type="gramStart"/>
      <w:r w:rsidR="000D1BBC">
        <w:t>occupied</w:t>
      </w:r>
      <w:proofErr w:type="gramEnd"/>
      <w:r w:rsidR="000D1BBC">
        <w:t xml:space="preserve"> and connected </w:t>
      </w:r>
      <w:r w:rsidR="00440BF5">
        <w:t xml:space="preserve">in the year that they are forecast, </w:t>
      </w:r>
      <w:r w:rsidR="000D1BBC">
        <w:t>and therefore would be levied a service connection in that year.</w:t>
      </w:r>
    </w:p>
    <w:p w14:paraId="122C22D1" w14:textId="105A00CF" w:rsidR="000D1BBC" w:rsidRDefault="00C15211" w:rsidP="000D1BBC">
      <w:r>
        <w:t>C</w:t>
      </w:r>
      <w:r w:rsidR="000D1BBC">
        <w:t xml:space="preserve">onnections </w:t>
      </w:r>
      <w:r>
        <w:t>are</w:t>
      </w:r>
      <w:r w:rsidR="000D1BBC">
        <w:t xml:space="preserve"> forecast </w:t>
      </w:r>
      <w:r>
        <w:t>using</w:t>
      </w:r>
      <w:r w:rsidR="000D1BBC">
        <w:t xml:space="preserve"> the current volume of service charges based on billing data </w:t>
      </w:r>
      <w:r w:rsidR="006B2DD1">
        <w:t>rather than ESC customer numbers</w:t>
      </w:r>
      <w:r w:rsidR="00AE0C74">
        <w:t>. Service</w:t>
      </w:r>
      <w:r w:rsidR="000D1BBC">
        <w:t xml:space="preserve"> charges from 2023-24 onwards </w:t>
      </w:r>
      <w:r w:rsidR="00AE0C74">
        <w:t xml:space="preserve">are increased </w:t>
      </w:r>
      <w:r w:rsidR="000D1BBC">
        <w:t>based on the growth for the region.</w:t>
      </w:r>
    </w:p>
    <w:p w14:paraId="424066E5" w14:textId="3C7145EF" w:rsidR="000D1BBC" w:rsidRDefault="000D1BBC" w:rsidP="000D1BBC">
      <w:r>
        <w:t xml:space="preserve">Non-residential service connections are escalated based on the non-residential serviced dwelling forecast noted above. </w:t>
      </w:r>
    </w:p>
    <w:p w14:paraId="3BB83728" w14:textId="509A2683" w:rsidR="000D1BBC" w:rsidRDefault="00440BF5" w:rsidP="000D1BBC">
      <w:r>
        <w:t>P</w:t>
      </w:r>
      <w:r w:rsidR="000D1BBC">
        <w:t>otable and recycled water service connection</w:t>
      </w:r>
      <w:r>
        <w:t xml:space="preserve"> fees</w:t>
      </w:r>
      <w:r w:rsidR="000D1BBC">
        <w:t xml:space="preserve"> in the western region vary depending on meter size. We have assumed </w:t>
      </w:r>
      <w:r w:rsidR="00F51A20">
        <w:t xml:space="preserve">close to zero </w:t>
      </w:r>
      <w:r w:rsidR="000D1BBC">
        <w:t xml:space="preserve">growth </w:t>
      </w:r>
      <w:r w:rsidR="00C15211">
        <w:t>for</w:t>
      </w:r>
      <w:r w:rsidR="000D1BBC">
        <w:t xml:space="preserve"> meters larger than 50mm (inclusive). </w:t>
      </w:r>
      <w:r w:rsidR="00E07315">
        <w:t>G</w:t>
      </w:r>
      <w:r w:rsidR="000D1BBC">
        <w:t xml:space="preserve">rowth in service connections </w:t>
      </w:r>
      <w:r w:rsidR="00E07315">
        <w:t xml:space="preserve">has </w:t>
      </w:r>
      <w:r w:rsidR="000D1BBC">
        <w:t xml:space="preserve">predominantly </w:t>
      </w:r>
      <w:r w:rsidR="00E07315">
        <w:t>occurred in</w:t>
      </w:r>
      <w:r w:rsidR="000D1BBC">
        <w:t xml:space="preserve"> 20mm to 40mm sized meter connections.</w:t>
      </w:r>
    </w:p>
    <w:p w14:paraId="4611C292" w14:textId="2F644E35" w:rsidR="008126C2" w:rsidRPr="00234FB2" w:rsidRDefault="000D1BBC" w:rsidP="008126C2">
      <w:r>
        <w:t>Customers in the central region are levied a private fire service connection charge. We have escalated this based on the overall total serviced dwelling growth rate for the central region.</w:t>
      </w:r>
    </w:p>
    <w:p w14:paraId="2F852A7E" w14:textId="0613CE40" w:rsidR="00B91F36" w:rsidRDefault="001020F5" w:rsidP="0042736B">
      <w:r>
        <w:lastRenderedPageBreak/>
        <w:t>From 1</w:t>
      </w:r>
      <w:r w:rsidR="00E13671">
        <w:t xml:space="preserve"> </w:t>
      </w:r>
      <w:r>
        <w:t>July 2024</w:t>
      </w:r>
      <w:r w:rsidR="008126C2">
        <w:t xml:space="preserve"> we </w:t>
      </w:r>
      <w:r>
        <w:t>will</w:t>
      </w:r>
      <w:r w:rsidR="008126C2">
        <w:t xml:space="preserve"> no longer charge vacant titled lots </w:t>
      </w:r>
      <w:r w:rsidR="00D0747B">
        <w:t xml:space="preserve">with services available but unconnected </w:t>
      </w:r>
      <w:r w:rsidR="008126C2">
        <w:t xml:space="preserve">in the western region. </w:t>
      </w:r>
      <w:r w:rsidR="00B050B6">
        <w:t xml:space="preserve">This aligns with billing practices in the central region and </w:t>
      </w:r>
      <w:r w:rsidR="008126C2">
        <w:t>is reflected in our service connection forecasts.</w:t>
      </w:r>
    </w:p>
    <w:p w14:paraId="78041159" w14:textId="266EBA86" w:rsidR="00E123BA" w:rsidRDefault="00B04F5C" w:rsidP="005B69CD">
      <w:pPr>
        <w:pStyle w:val="Heading3"/>
      </w:pPr>
      <w:r>
        <w:t>Potable</w:t>
      </w:r>
      <w:r w:rsidR="00E123BA" w:rsidRPr="00E123BA">
        <w:t xml:space="preserve"> water </w:t>
      </w:r>
      <w:r>
        <w:t>sales</w:t>
      </w:r>
      <w:r w:rsidR="00E123BA" w:rsidRPr="00E123BA">
        <w:t xml:space="preserve"> forecast</w:t>
      </w:r>
    </w:p>
    <w:p w14:paraId="359C78BA" w14:textId="11562535" w:rsidR="00B742D8" w:rsidRDefault="00F130E1" w:rsidP="00C45D65">
      <w:r>
        <w:t xml:space="preserve">Potable water sales are derived directly from our bulk residential water use discussed </w:t>
      </w:r>
      <w:r w:rsidRPr="00D010A4">
        <w:t xml:space="preserve">earlier. </w:t>
      </w:r>
      <w:r w:rsidR="0020662E" w:rsidRPr="00D010A4">
        <w:t>T</w:t>
      </w:r>
      <w:r w:rsidRPr="00D010A4">
        <w:t>otal residential water use is forecast to increase from</w:t>
      </w:r>
      <w:r>
        <w:t xml:space="preserve"> </w:t>
      </w:r>
      <w:r w:rsidR="00AE6ED1">
        <w:t>75,778</w:t>
      </w:r>
      <w:r>
        <w:t xml:space="preserve"> ML in 2022-23 to 85,</w:t>
      </w:r>
      <w:r w:rsidR="00380AEF">
        <w:t>193</w:t>
      </w:r>
      <w:r>
        <w:t xml:space="preserve"> ML by 2027-28, an increase of </w:t>
      </w:r>
      <w:r w:rsidR="00AE6ED1">
        <w:t>12.4</w:t>
      </w:r>
      <w:r w:rsidR="000F453F">
        <w:t>%</w:t>
      </w:r>
      <w:r>
        <w:t xml:space="preserve"> over the </w:t>
      </w:r>
      <w:r w:rsidR="000F453F">
        <w:t>five</w:t>
      </w:r>
      <w:r>
        <w:t xml:space="preserve"> years or 2.</w:t>
      </w:r>
      <w:r w:rsidR="00AE6ED1">
        <w:t>25</w:t>
      </w:r>
      <w:r w:rsidR="000F453F">
        <w:t>%</w:t>
      </w:r>
      <w:r>
        <w:t xml:space="preserve"> per annum as shown in </w:t>
      </w:r>
      <w:r w:rsidR="00F067BA">
        <w:fldChar w:fldCharType="begin"/>
      </w:r>
      <w:r w:rsidR="00F067BA">
        <w:instrText xml:space="preserve"> REF _Ref146357834 \h </w:instrText>
      </w:r>
      <w:r w:rsidR="00F067BA">
        <w:fldChar w:fldCharType="separate"/>
      </w:r>
      <w:r w:rsidR="003B42C6" w:rsidRPr="008B4B3A">
        <w:rPr>
          <w:b/>
        </w:rPr>
        <w:t xml:space="preserve">Figure </w:t>
      </w:r>
      <w:r w:rsidR="003B42C6">
        <w:rPr>
          <w:b/>
          <w:noProof/>
        </w:rPr>
        <w:t>18</w:t>
      </w:r>
      <w:r w:rsidR="00F067BA">
        <w:fldChar w:fldCharType="end"/>
      </w:r>
      <w:r w:rsidR="00F067BA">
        <w:t>.</w:t>
      </w:r>
    </w:p>
    <w:p w14:paraId="1F815AC9" w14:textId="54B29D66" w:rsidR="00B706E5" w:rsidRDefault="00B04F5C" w:rsidP="00EF384B">
      <w:r>
        <w:t xml:space="preserve">To forecast potable water sales revenue, </w:t>
      </w:r>
      <w:r w:rsidR="003D240E">
        <w:t xml:space="preserve">we remove any potable water used in lieu of recycled water volume sales, and then </w:t>
      </w:r>
      <w:r>
        <w:t xml:space="preserve">we </w:t>
      </w:r>
      <w:r w:rsidR="00EE3CA0">
        <w:t xml:space="preserve">determine </w:t>
      </w:r>
      <w:r w:rsidR="00B706E5">
        <w:t xml:space="preserve">the volume of water sold at different water usage fee steps. </w:t>
      </w:r>
      <w:r w:rsidR="006F133A">
        <w:t>W</w:t>
      </w:r>
      <w:r w:rsidR="00B706E5">
        <w:t xml:space="preserve">e are proposing to remove the </w:t>
      </w:r>
      <w:r w:rsidR="006F133A">
        <w:t xml:space="preserve">third step in the western region, so that both regions will have the same number of </w:t>
      </w:r>
      <w:r w:rsidR="00D92117">
        <w:t xml:space="preserve">water usage fee </w:t>
      </w:r>
      <w:r w:rsidR="006F133A">
        <w:t>step</w:t>
      </w:r>
      <w:r w:rsidR="00D92117">
        <w:t>s.</w:t>
      </w:r>
    </w:p>
    <w:p w14:paraId="0CD3FF14" w14:textId="4DB0BBF2" w:rsidR="00677931" w:rsidRDefault="00677931" w:rsidP="00EF384B">
      <w:r>
        <w:t>In the central region, the removal of the sewage disposal fee</w:t>
      </w:r>
      <w:r w:rsidR="00085D77">
        <w:t xml:space="preserve"> requires the introduction of a water</w:t>
      </w:r>
      <w:r w:rsidR="00270CC6">
        <w:t>-</w:t>
      </w:r>
      <w:r w:rsidR="00085D77">
        <w:t xml:space="preserve">only usage fee, which also has two steps. </w:t>
      </w:r>
    </w:p>
    <w:p w14:paraId="65189C92" w14:textId="35B214D7" w:rsidR="00EF384B" w:rsidRPr="00EF384B" w:rsidRDefault="00D92117" w:rsidP="00EF384B">
      <w:r>
        <w:t>W</w:t>
      </w:r>
      <w:r w:rsidR="00EF384B">
        <w:t xml:space="preserve">ater usage </w:t>
      </w:r>
      <w:r>
        <w:t>fees will be different</w:t>
      </w:r>
      <w:r w:rsidR="00EF384B" w:rsidRPr="00232825">
        <w:t xml:space="preserve"> for the central and western regions</w:t>
      </w:r>
      <w:r>
        <w:t xml:space="preserve"> this regulatory period</w:t>
      </w:r>
      <w:r w:rsidR="00B03C5E">
        <w:t xml:space="preserve">, so </w:t>
      </w:r>
      <w:r w:rsidR="00F14080">
        <w:t xml:space="preserve">we </w:t>
      </w:r>
      <w:r w:rsidR="00B03C5E">
        <w:t xml:space="preserve">need forecast volumes </w:t>
      </w:r>
      <w:r w:rsidR="00F14080">
        <w:t xml:space="preserve">for </w:t>
      </w:r>
      <w:r w:rsidR="00B03C5E">
        <w:t xml:space="preserve">both </w:t>
      </w:r>
      <w:r w:rsidR="00F14080">
        <w:t xml:space="preserve">central and western </w:t>
      </w:r>
      <w:r w:rsidR="00B03C5E">
        <w:t>regions</w:t>
      </w:r>
      <w:r w:rsidR="00F14080">
        <w:t>.</w:t>
      </w:r>
    </w:p>
    <w:p w14:paraId="20EF161F" w14:textId="2F82E508" w:rsidR="00841989" w:rsidRDefault="00BE1BF8" w:rsidP="00F82936">
      <w:pPr>
        <w:pStyle w:val="Heading4"/>
      </w:pPr>
      <w:r>
        <w:t xml:space="preserve">Allocating </w:t>
      </w:r>
      <w:r w:rsidR="008F09E2">
        <w:t xml:space="preserve">water </w:t>
      </w:r>
      <w:r>
        <w:t xml:space="preserve">demand to usage </w:t>
      </w:r>
      <w:r w:rsidR="00DF1864">
        <w:t>steps</w:t>
      </w:r>
      <w:r>
        <w:t xml:space="preserve"> - central</w:t>
      </w:r>
    </w:p>
    <w:p w14:paraId="4554546E" w14:textId="4B99416B" w:rsidR="00841989" w:rsidRDefault="00841989" w:rsidP="00841989">
      <w:r>
        <w:t xml:space="preserve">We apply a five-year average historical trend of the split between </w:t>
      </w:r>
      <w:r w:rsidR="00DF1864">
        <w:t>step</w:t>
      </w:r>
      <w:r>
        <w:t xml:space="preserve"> 1 and 2 to the total bulk water residential potable water demand for central. We assume these splits between </w:t>
      </w:r>
      <w:proofErr w:type="gramStart"/>
      <w:r w:rsidR="00DF1864">
        <w:t>step</w:t>
      </w:r>
      <w:proofErr w:type="gramEnd"/>
      <w:r w:rsidR="00DF1864">
        <w:t xml:space="preserve"> </w:t>
      </w:r>
      <w:r>
        <w:t xml:space="preserve">1 and 2 will stay relatively stable over the 2024-28 period given its stability over the past decade. We do not anticipate significant changes to customer behaviour </w:t>
      </w:r>
      <w:r w:rsidR="00DD1C95">
        <w:t xml:space="preserve">that would </w:t>
      </w:r>
      <w:r>
        <w:t xml:space="preserve">deviate </w:t>
      </w:r>
      <w:r w:rsidR="00DD1C95">
        <w:t xml:space="preserve">from </w:t>
      </w:r>
      <w:r>
        <w:t>the historical trend.</w:t>
      </w:r>
    </w:p>
    <w:p w14:paraId="32C45B83" w14:textId="4F63FD17" w:rsidR="00F16D4D" w:rsidRPr="00F16D4D" w:rsidRDefault="00993AA6" w:rsidP="00F82936">
      <w:pPr>
        <w:pStyle w:val="Heading4"/>
      </w:pPr>
      <w:r>
        <w:t>Forecasting water use only charges</w:t>
      </w:r>
      <w:r w:rsidR="004E2E2F">
        <w:t xml:space="preserve"> - </w:t>
      </w:r>
      <w:proofErr w:type="gramStart"/>
      <w:r w:rsidR="004E2E2F">
        <w:t>central</w:t>
      </w:r>
      <w:proofErr w:type="gramEnd"/>
    </w:p>
    <w:p w14:paraId="7D9DF120" w14:textId="41E4747C" w:rsidR="00F16D4D" w:rsidRDefault="00F16D4D" w:rsidP="00F16D4D">
      <w:r>
        <w:t>We apply a five-year average historical split between the volume of potable water used by customers with only a water connection and those with both a water and sewerage connection</w:t>
      </w:r>
      <w:r w:rsidR="00B84DC2">
        <w:t xml:space="preserve"> to the total potable demand</w:t>
      </w:r>
      <w:r w:rsidR="00990CBC">
        <w:t xml:space="preserve">s pro-rated to the 2 </w:t>
      </w:r>
      <w:r w:rsidR="00B84DC2">
        <w:t>steps</w:t>
      </w:r>
      <w:r>
        <w:t>. Most of our customers (99%+) have both a water and sewerage connection. Similarly, we do not anticipate significant changes</w:t>
      </w:r>
      <w:r w:rsidR="00270CC6">
        <w:t>,</w:t>
      </w:r>
      <w:r>
        <w:t xml:space="preserve"> given all new serviced dwellings </w:t>
      </w:r>
      <w:r w:rsidR="00874AC5">
        <w:t>are forecasted to include a</w:t>
      </w:r>
      <w:r>
        <w:t xml:space="preserve"> sewerage connection. </w:t>
      </w:r>
    </w:p>
    <w:p w14:paraId="1B0E88B9" w14:textId="637409A0" w:rsidR="001C436F" w:rsidRDefault="00F16D4D" w:rsidP="00F16D4D">
      <w:r>
        <w:t xml:space="preserve">The residential potable demands by </w:t>
      </w:r>
      <w:r w:rsidR="00DF1864">
        <w:t xml:space="preserve">step </w:t>
      </w:r>
      <w:r>
        <w:t xml:space="preserve">and connection for </w:t>
      </w:r>
      <w:r w:rsidR="00B75CCE">
        <w:t>western</w:t>
      </w:r>
      <w:r>
        <w:t xml:space="preserve"> are below.</w:t>
      </w:r>
    </w:p>
    <w:p w14:paraId="5EC78848" w14:textId="26354570" w:rsidR="008647B9" w:rsidRDefault="008647B9" w:rsidP="008647B9"/>
    <w:p w14:paraId="4015E576" w14:textId="59661121" w:rsidR="00B54564" w:rsidRDefault="00B54564" w:rsidP="008647B9"/>
    <w:p w14:paraId="0B5BD1D1" w14:textId="46EEFBD4" w:rsidR="00382893" w:rsidRDefault="00D66318" w:rsidP="00382893">
      <w:pPr>
        <w:pStyle w:val="Caption"/>
      </w:pPr>
      <w:bookmarkStart w:id="264" w:name="_Toc145498163"/>
      <w:r>
        <w:rPr>
          <w:b/>
          <w:noProof/>
        </w:rPr>
        <w:lastRenderedPageBreak/>
        <w:drawing>
          <wp:inline distT="0" distB="0" distL="0" distR="0" wp14:anchorId="5B411E3E" wp14:editId="08BAC4EC">
            <wp:extent cx="6193790" cy="4859020"/>
            <wp:effectExtent l="0" t="0" r="0" b="0"/>
            <wp:docPr id="116" name="Picture 116" descr="Bar graph showing the totals for Central – Residential Potable water usage – Tier 2 – water connection only, Central – Residential Potable water usage – Tier 1 – water connection only and Central – Residential Potable water usage – Tier 2 – water and sewer connection available. Y-axis is titled &quot;Retail residential potable water demand central (ML)&quot; and shows values from 0 to 80000 in increments of 10000. Values shown for years 2019 to 2023 (years before 2024 are actual, after are forecast). 2019 61000, 2020 62000, 2021 62000, 2022 61000, 2023 31000, 2024 63000, 2025 65000, 2026 65000, 2027 66000, 2028 68000, 2029 69000, 2030 69000, 2031 71000, 2032 72000, 2033 76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Bar graph showing the totals for Central – Residential Potable water usage – Tier 2 – water connection only, Central – Residential Potable water usage – Tier 1 – water connection only and Central – Residential Potable water usage – Tier 2 – water and sewer connection available. Y-axis is titled &quot;Retail residential potable water demand central (ML)&quot; and shows values from 0 to 80000 in increments of 10000. Values shown for years 2019 to 2023 (years before 2024 are actual, after are forecast). 2019 61000, 2020 62000, 2021 62000, 2022 61000, 2023 31000, 2024 63000, 2025 65000, 2026 65000, 2027 66000, 2028 68000, 2029 69000, 2030 69000, 2031 71000, 2032 72000, 2033 76000.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4859020"/>
                    </a:xfrm>
                    <a:prstGeom prst="rect">
                      <a:avLst/>
                    </a:prstGeom>
                    <a:noFill/>
                  </pic:spPr>
                </pic:pic>
              </a:graphicData>
            </a:graphic>
          </wp:inline>
        </w:drawing>
      </w:r>
      <w:r w:rsidR="00382893" w:rsidRPr="00F87E91">
        <w:rPr>
          <w:b/>
        </w:rPr>
        <w:t xml:space="preserve">Figure </w:t>
      </w:r>
      <w:r w:rsidR="00382893" w:rsidRPr="003F58BD">
        <w:rPr>
          <w:b/>
        </w:rPr>
        <w:fldChar w:fldCharType="begin"/>
      </w:r>
      <w:r w:rsidR="00382893" w:rsidRPr="00B83709">
        <w:rPr>
          <w:b/>
        </w:rPr>
        <w:instrText>SEQ Figure \* ARABIC</w:instrText>
      </w:r>
      <w:r w:rsidR="00382893" w:rsidRPr="003F58BD">
        <w:rPr>
          <w:b/>
        </w:rPr>
        <w:fldChar w:fldCharType="separate"/>
      </w:r>
      <w:r w:rsidR="003B42C6">
        <w:rPr>
          <w:b/>
          <w:noProof/>
        </w:rPr>
        <w:t>28</w:t>
      </w:r>
      <w:r w:rsidR="00382893" w:rsidRPr="003F58BD">
        <w:rPr>
          <w:b/>
        </w:rPr>
        <w:fldChar w:fldCharType="end"/>
      </w:r>
      <w:r w:rsidR="00382893">
        <w:t xml:space="preserve"> Central region residential potable water demand by step and connection</w:t>
      </w:r>
      <w:bookmarkEnd w:id="264"/>
      <w:r w:rsidR="00382893">
        <w:t xml:space="preserve"> </w:t>
      </w:r>
    </w:p>
    <w:p w14:paraId="0403DC2A" w14:textId="30013CFC" w:rsidR="00D1353A" w:rsidRPr="00D1353A" w:rsidRDefault="004D2432" w:rsidP="00F82936">
      <w:pPr>
        <w:pStyle w:val="Heading4"/>
      </w:pPr>
      <w:r>
        <w:t>Allocating demand to usage steps</w:t>
      </w:r>
      <w:r w:rsidR="00D1353A" w:rsidRPr="00D1353A">
        <w:t xml:space="preserve"> – western</w:t>
      </w:r>
    </w:p>
    <w:p w14:paraId="2321F2AE" w14:textId="1D0BE2B7" w:rsidR="00D1353A" w:rsidRDefault="004D2432" w:rsidP="00D1353A">
      <w:r>
        <w:t>We used a five-year historical average trend to estimate the volumes of step one and step two water sales. Usage in</w:t>
      </w:r>
      <w:r w:rsidR="00F0034D">
        <w:t xml:space="preserve"> in </w:t>
      </w:r>
      <w:r w:rsidR="00B75CCE">
        <w:t>the previous</w:t>
      </w:r>
      <w:r w:rsidR="00F0034D">
        <w:t xml:space="preserve"> </w:t>
      </w:r>
      <w:r>
        <w:t>step three</w:t>
      </w:r>
      <w:r w:rsidR="00F0034D">
        <w:t xml:space="preserve"> will now be in step two. </w:t>
      </w:r>
    </w:p>
    <w:p w14:paraId="6543E16A" w14:textId="60239A01" w:rsidR="00690607" w:rsidRDefault="00F0034D" w:rsidP="00D1353A">
      <w:r>
        <w:t>A</w:t>
      </w:r>
      <w:r w:rsidR="00D1353A">
        <w:t xml:space="preserve"> recent shift of customers in the western region to quarterly billing will reduce the volume of water charged at a higher </w:t>
      </w:r>
      <w:r w:rsidR="00DF1864">
        <w:t>step</w:t>
      </w:r>
      <w:r w:rsidR="004C557B">
        <w:t>, as step volumes were calculated each bill cycle</w:t>
      </w:r>
      <w:r w:rsidR="00D1353A">
        <w:t xml:space="preserve">. Using historical trends based on triannual billing will overstate the actual volume of water in </w:t>
      </w:r>
      <w:r w:rsidR="00B75CCE">
        <w:t xml:space="preserve">the </w:t>
      </w:r>
      <w:r w:rsidR="00D1353A">
        <w:t xml:space="preserve">larger </w:t>
      </w:r>
      <w:r w:rsidR="00DF1864">
        <w:t>step</w:t>
      </w:r>
      <w:r w:rsidR="00D1353A">
        <w:t xml:space="preserve">. However, due to data </w:t>
      </w:r>
      <w:r w:rsidR="001D1C87">
        <w:t>unavailability</w:t>
      </w:r>
      <w:r w:rsidR="00D1353A">
        <w:t xml:space="preserve">, we are unable to </w:t>
      </w:r>
      <w:r w:rsidR="001D1C87">
        <w:t>establish a historical trend based on quarterly billing</w:t>
      </w:r>
      <w:r w:rsidR="00D1353A">
        <w:t xml:space="preserve">. </w:t>
      </w:r>
    </w:p>
    <w:p w14:paraId="6867B242" w14:textId="675EBE4D" w:rsidR="00D1353A" w:rsidRDefault="00D1353A" w:rsidP="00D1353A">
      <w:r>
        <w:t xml:space="preserve">We anticipate over time western’s </w:t>
      </w:r>
      <w:r w:rsidR="00DF1864">
        <w:t>step</w:t>
      </w:r>
      <w:r>
        <w:t xml:space="preserve"> splits will converge to central</w:t>
      </w:r>
      <w:r w:rsidR="00990FF9">
        <w:t>’s</w:t>
      </w:r>
      <w:r>
        <w:t xml:space="preserve"> </w:t>
      </w:r>
      <w:r w:rsidR="00DF1864">
        <w:t>step</w:t>
      </w:r>
      <w:r>
        <w:t xml:space="preserve"> split</w:t>
      </w:r>
      <w:r w:rsidR="00990FF9">
        <w:t>s</w:t>
      </w:r>
      <w:r>
        <w:t xml:space="preserve"> </w:t>
      </w:r>
      <w:r w:rsidR="00990FF9">
        <w:t>with</w:t>
      </w:r>
      <w:r>
        <w:t xml:space="preserve"> urbanisation and the shift to quarterly billing</w:t>
      </w:r>
      <w:r w:rsidR="00990FF9">
        <w:t>. H</w:t>
      </w:r>
      <w:r>
        <w:t xml:space="preserve">owever, due to uncertainty, we continue to apply the observed historical average as it is the best information available. </w:t>
      </w:r>
    </w:p>
    <w:p w14:paraId="5BFC96BD" w14:textId="43CC04C0" w:rsidR="00BF056E" w:rsidRDefault="00D1353A" w:rsidP="00D1353A">
      <w:r>
        <w:t xml:space="preserve">The residential potable demands by </w:t>
      </w:r>
      <w:r w:rsidR="00DF1864">
        <w:t>step</w:t>
      </w:r>
      <w:r>
        <w:t xml:space="preserve"> for western are shown below.</w:t>
      </w:r>
    </w:p>
    <w:p w14:paraId="6234C9F4" w14:textId="76D578E2" w:rsidR="003136FE" w:rsidRDefault="003136FE" w:rsidP="00D1353A"/>
    <w:p w14:paraId="433F983E" w14:textId="095A5472" w:rsidR="00401B24" w:rsidRDefault="00827461" w:rsidP="00401B24">
      <w:pPr>
        <w:pStyle w:val="Caption"/>
      </w:pPr>
      <w:bookmarkStart w:id="265" w:name="_Toc145498164"/>
      <w:r>
        <w:rPr>
          <w:b/>
          <w:noProof/>
        </w:rPr>
        <w:lastRenderedPageBreak/>
        <w:drawing>
          <wp:inline distT="0" distB="0" distL="0" distR="0" wp14:anchorId="67153D19" wp14:editId="2A4360C4">
            <wp:extent cx="6120765" cy="3846830"/>
            <wp:effectExtent l="0" t="0" r="0" b="1270"/>
            <wp:docPr id="117" name="Picture 117" descr="Bar graph showing the totals for Western – Residential Potable water usage – Tier 1, Western – Residential Potable water usage – Tier 2 and Western – Residential Potable water usage – Tier 3. Y-axis is titled &quot;Retail residential potable water demand western (ML)&quot; and shows values from 0 to 25000 in increments of 5000. Values shown for years 2019 to 2023. 2019 12000, 2020 12000, 2021 12500, 2022 13000, 2023 14000, 2024 14500, 2025 15000, 2026 15500, 2027 16000, 2028 17000, 2029 17500, 2030 18000, 2031 19000, 2032 19500, 2033 2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Bar graph showing the totals for Western – Residential Potable water usage – Tier 1, Western – Residential Potable water usage – Tier 2 and Western – Residential Potable water usage – Tier 3. Y-axis is titled &quot;Retail residential potable water demand western (ML)&quot; and shows values from 0 to 25000 in increments of 5000. Values shown for years 2019 to 2023. 2019 12000, 2020 12000, 2021 12500, 2022 13000, 2023 14000, 2024 14500, 2025 15000, 2026 15500, 2027 16000, 2028 17000, 2029 17500, 2030 18000, 2031 19000, 2032 19500, 2033 21000.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3846830"/>
                    </a:xfrm>
                    <a:prstGeom prst="rect">
                      <a:avLst/>
                    </a:prstGeom>
                    <a:noFill/>
                  </pic:spPr>
                </pic:pic>
              </a:graphicData>
            </a:graphic>
          </wp:inline>
        </w:drawing>
      </w:r>
      <w:r w:rsidR="00401B24" w:rsidRPr="00E27F64">
        <w:rPr>
          <w:b/>
        </w:rPr>
        <w:t xml:space="preserve">Figure </w:t>
      </w:r>
      <w:r w:rsidR="00401B24" w:rsidRPr="003F58BD">
        <w:rPr>
          <w:b/>
        </w:rPr>
        <w:fldChar w:fldCharType="begin"/>
      </w:r>
      <w:r w:rsidR="00401B24" w:rsidRPr="00B83709">
        <w:rPr>
          <w:b/>
        </w:rPr>
        <w:instrText>SEQ Figure \* ARABIC</w:instrText>
      </w:r>
      <w:r w:rsidR="00401B24" w:rsidRPr="003F58BD">
        <w:rPr>
          <w:b/>
        </w:rPr>
        <w:fldChar w:fldCharType="separate"/>
      </w:r>
      <w:r w:rsidR="003B42C6">
        <w:rPr>
          <w:b/>
          <w:noProof/>
        </w:rPr>
        <w:t>29</w:t>
      </w:r>
      <w:r w:rsidR="00401B24" w:rsidRPr="003F58BD">
        <w:rPr>
          <w:b/>
        </w:rPr>
        <w:fldChar w:fldCharType="end"/>
      </w:r>
      <w:r w:rsidR="00401B24">
        <w:t xml:space="preserve"> Western residential potable water demand by step</w:t>
      </w:r>
      <w:bookmarkEnd w:id="265"/>
    </w:p>
    <w:p w14:paraId="739F3F53" w14:textId="5CD78BC4" w:rsidR="007464A2" w:rsidRPr="007464A2" w:rsidRDefault="003C4655" w:rsidP="00F82936">
      <w:pPr>
        <w:pStyle w:val="Heading4"/>
      </w:pPr>
      <w:r>
        <w:t>N</w:t>
      </w:r>
      <w:r w:rsidR="007464A2" w:rsidRPr="007464A2">
        <w:t xml:space="preserve">on-residential potable </w:t>
      </w:r>
      <w:r>
        <w:t>water sales</w:t>
      </w:r>
    </w:p>
    <w:p w14:paraId="77D273CA" w14:textId="7356BBAA" w:rsidR="00EC1293" w:rsidRDefault="007464A2" w:rsidP="002E2922">
      <w:r>
        <w:t xml:space="preserve">Retail non-residential potable water consumption forecasts are directly tied to the outputs modelled in the </w:t>
      </w:r>
      <w:proofErr w:type="spellStart"/>
      <w:r>
        <w:t>iSDP</w:t>
      </w:r>
      <w:proofErr w:type="spellEnd"/>
      <w:r>
        <w:t xml:space="preserve"> and water mass balance models</w:t>
      </w:r>
      <w:r w:rsidR="00397D9C">
        <w:t xml:space="preserve"> given there are no </w:t>
      </w:r>
      <w:r w:rsidR="00DF1864">
        <w:t>steps</w:t>
      </w:r>
      <w:r w:rsidR="00397D9C">
        <w:t>.</w:t>
      </w:r>
    </w:p>
    <w:p w14:paraId="66C14FE0" w14:textId="2CBFCE99" w:rsidR="00A00F5A" w:rsidRPr="00A00F5A" w:rsidRDefault="00BE6258" w:rsidP="00A20217">
      <w:pPr>
        <w:pStyle w:val="Caption"/>
      </w:pPr>
      <w:r>
        <w:rPr>
          <w:noProof/>
        </w:rPr>
        <w:drawing>
          <wp:inline distT="0" distB="0" distL="0" distR="0" wp14:anchorId="6CB7416D" wp14:editId="6DFE3413">
            <wp:extent cx="6120765" cy="3712845"/>
            <wp:effectExtent l="0" t="0" r="0" b="1905"/>
            <wp:docPr id="118" name="Picture 118" descr="Bar graph comparing two datasets (Central -  Non-residential Potable usage and Western – Non-residential Potable usage) over time from 2019 to 2033. Y-axis is titled &quot;Retail non-residential potable demand (ML)&quot; and shows values from 0 to 45000 in increments of 5000. Values are (Central shown first then Western): 2019 42400-2400, 2020 39100-2100, 2021 33700-2000, 2022 33300-2200, 2023 34800-2400, 2024 36300-3000, 2025 37100-3200, 2026 382 38600-3300, 2027 38800-3700, 2028 38800-3700, 2029 39000-3900, 2030 39300-4100, 2031 39500-4400, 2032 39700-4700, 2033 40000-4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ar graph comparing two datasets (Central -  Non-residential Potable usage and Western – Non-residential Potable usage) over time from 2019 to 2033. Y-axis is titled &quot;Retail non-residential potable demand (ML)&quot; and shows values from 0 to 45000 in increments of 5000. Values are (Central shown first then Western): 2019 42400-2400, 2020 39100-2100, 2021 33700-2000, 2022 33300-2200, 2023 34800-2400, 2024 36300-3000, 2025 37100-3200, 2026 382 38600-3300, 2027 38800-3700, 2028 38800-3700, 2029 39000-3900, 2030 39300-4100, 2031 39500-4400, 2032 39700-4700, 2033 40000-4900.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3712845"/>
                    </a:xfrm>
                    <a:prstGeom prst="rect">
                      <a:avLst/>
                    </a:prstGeom>
                    <a:noFill/>
                  </pic:spPr>
                </pic:pic>
              </a:graphicData>
            </a:graphic>
          </wp:inline>
        </w:drawing>
      </w:r>
      <w:r w:rsidR="002E2922" w:rsidDel="002E2922">
        <w:t xml:space="preserve"> </w:t>
      </w:r>
      <w:bookmarkStart w:id="266" w:name="_Toc145498165"/>
      <w:r w:rsidR="00401B24" w:rsidRPr="00E27F64">
        <w:rPr>
          <w:b/>
        </w:rPr>
        <w:t xml:space="preserve">Figure </w:t>
      </w:r>
      <w:r w:rsidR="00401B24" w:rsidRPr="003F58BD">
        <w:rPr>
          <w:b/>
        </w:rPr>
        <w:fldChar w:fldCharType="begin"/>
      </w:r>
      <w:r w:rsidR="00401B24" w:rsidRPr="00B83709">
        <w:rPr>
          <w:b/>
        </w:rPr>
        <w:instrText>SEQ Figure \* ARABIC</w:instrText>
      </w:r>
      <w:r w:rsidR="00401B24" w:rsidRPr="003F58BD">
        <w:rPr>
          <w:b/>
        </w:rPr>
        <w:fldChar w:fldCharType="separate"/>
      </w:r>
      <w:r w:rsidR="003B42C6">
        <w:rPr>
          <w:b/>
          <w:noProof/>
        </w:rPr>
        <w:t>30</w:t>
      </w:r>
      <w:r w:rsidR="00401B24" w:rsidRPr="003F58BD">
        <w:rPr>
          <w:b/>
        </w:rPr>
        <w:fldChar w:fldCharType="end"/>
      </w:r>
      <w:r w:rsidR="00401B24">
        <w:t xml:space="preserve"> Retail non-residential potable consumption forecasts</w:t>
      </w:r>
      <w:bookmarkEnd w:id="266"/>
      <w:r w:rsidR="00401B24">
        <w:t xml:space="preserve"> </w:t>
      </w:r>
    </w:p>
    <w:p w14:paraId="59C9CE87" w14:textId="77777777" w:rsidR="00EC1293" w:rsidRPr="00EC1293" w:rsidRDefault="00EC1293" w:rsidP="00EC1293"/>
    <w:p w14:paraId="364D5AD2" w14:textId="5842B471" w:rsidR="00E20596" w:rsidRDefault="001C42CF" w:rsidP="005B69CD">
      <w:pPr>
        <w:pStyle w:val="Heading3"/>
      </w:pPr>
      <w:r>
        <w:lastRenderedPageBreak/>
        <w:t>S</w:t>
      </w:r>
      <w:r w:rsidR="00DE52DB" w:rsidRPr="00DE52DB">
        <w:t xml:space="preserve">ewage disposal </w:t>
      </w:r>
      <w:r w:rsidR="00893E76">
        <w:t xml:space="preserve">sales </w:t>
      </w:r>
      <w:r w:rsidR="00DE52DB" w:rsidRPr="00DE52DB">
        <w:t>forecast</w:t>
      </w:r>
    </w:p>
    <w:p w14:paraId="68ACFF5C" w14:textId="378F5D07" w:rsidR="00AC5E2B" w:rsidRPr="00AC5E2B" w:rsidRDefault="00893E76" w:rsidP="00532742">
      <w:pPr>
        <w:pStyle w:val="Heading4"/>
      </w:pPr>
      <w:r>
        <w:t>R</w:t>
      </w:r>
      <w:r w:rsidR="00AC5E2B" w:rsidRPr="007464A2">
        <w:t xml:space="preserve">esidential </w:t>
      </w:r>
      <w:r w:rsidR="00776D83">
        <w:t xml:space="preserve">sewage disposal </w:t>
      </w:r>
      <w:r>
        <w:t xml:space="preserve">sales </w:t>
      </w:r>
      <w:r w:rsidR="00776D83">
        <w:t>forecast</w:t>
      </w:r>
    </w:p>
    <w:p w14:paraId="360A08E0" w14:textId="581244F5" w:rsidR="00AC5E2B" w:rsidRDefault="00D6281B" w:rsidP="00532742">
      <w:pPr>
        <w:keepNext/>
        <w:keepLines/>
      </w:pPr>
      <w:r>
        <w:t xml:space="preserve">Our tariff reform </w:t>
      </w:r>
      <w:r w:rsidR="0090490E">
        <w:t xml:space="preserve">proposal removes the sewage disposal charge in the central region. </w:t>
      </w:r>
    </w:p>
    <w:p w14:paraId="60724D2B" w14:textId="21CC4035" w:rsidR="00AC5E2B" w:rsidRDefault="00AC5E2B" w:rsidP="00AC5E2B">
      <w:r>
        <w:t>As we no longer bill for residential sewage disposal volumes</w:t>
      </w:r>
      <w:r w:rsidR="0090490E">
        <w:t xml:space="preserve">, we have not included a </w:t>
      </w:r>
      <w:r w:rsidR="00BC65B6">
        <w:t>forecast here</w:t>
      </w:r>
      <w:r>
        <w:t xml:space="preserve">. </w:t>
      </w:r>
      <w:r w:rsidR="00BC65B6">
        <w:t>W</w:t>
      </w:r>
      <w:r>
        <w:t>e still forecast residential sewage disposal volumes as they are a key input into our bulk wastewater volumes sent to Melbourne Water’s Western Treatment Plant</w:t>
      </w:r>
      <w:r w:rsidR="003B1778">
        <w:t>.</w:t>
      </w:r>
    </w:p>
    <w:p w14:paraId="5B4D5FFD" w14:textId="7CA6D805" w:rsidR="00AC5E2B" w:rsidRPr="00AC5E2B" w:rsidRDefault="00893E76" w:rsidP="00E13671">
      <w:pPr>
        <w:pStyle w:val="Heading4"/>
      </w:pPr>
      <w:r>
        <w:t>N</w:t>
      </w:r>
      <w:r w:rsidR="00AC5E2B" w:rsidRPr="007464A2">
        <w:t xml:space="preserve">on-residential </w:t>
      </w:r>
      <w:r w:rsidR="00776D83">
        <w:t xml:space="preserve">sewage disposal </w:t>
      </w:r>
      <w:r>
        <w:t xml:space="preserve">sales </w:t>
      </w:r>
      <w:r w:rsidR="00776D83">
        <w:t>forecast</w:t>
      </w:r>
    </w:p>
    <w:p w14:paraId="608A70A6" w14:textId="5958D991" w:rsidR="00B84869" w:rsidRDefault="00B84869" w:rsidP="00B84869">
      <w:r>
        <w:t xml:space="preserve">For billing </w:t>
      </w:r>
      <w:r w:rsidR="00085DE7">
        <w:t xml:space="preserve">non-residential </w:t>
      </w:r>
      <w:r>
        <w:t>sewage disposal, we estimate the volume of sewage discharged to the sewers for customers in the area previously serviced by C</w:t>
      </w:r>
      <w:r w:rsidR="00CC1BF5">
        <w:t>WW</w:t>
      </w:r>
      <w:r>
        <w:t>. This is because it is not cost effective to directly measure (meter) customers’ sewage disposal. We use an established formula to estimate the volume of sewage disposed from a non-residential property, and these are set in detail in C</w:t>
      </w:r>
      <w:r w:rsidR="00CC1BF5">
        <w:t>WW</w:t>
      </w:r>
      <w:r>
        <w:t xml:space="preserve">’s 2018 </w:t>
      </w:r>
      <w:r w:rsidR="00CC1BF5">
        <w:t>p</w:t>
      </w:r>
      <w:r>
        <w:t xml:space="preserve">rice </w:t>
      </w:r>
      <w:r w:rsidR="008C68D4">
        <w:t>d</w:t>
      </w:r>
      <w:r>
        <w:t>etermination.</w:t>
      </w:r>
    </w:p>
    <w:p w14:paraId="3A106F17" w14:textId="4AAB83E8" w:rsidR="00B84869" w:rsidRDefault="00B84869" w:rsidP="00B84869">
      <w:r>
        <w:t xml:space="preserve">We have taken a top-down approach, applying a </w:t>
      </w:r>
      <w:r w:rsidR="00085DE7">
        <w:t xml:space="preserve">non-residential </w:t>
      </w:r>
      <w:r>
        <w:t xml:space="preserve">sewage disposal factor based on historical billed </w:t>
      </w:r>
      <w:r w:rsidR="00085DE7">
        <w:t xml:space="preserve">non-residential </w:t>
      </w:r>
      <w:r>
        <w:t xml:space="preserve">volume of sewage disposed relative to the billed </w:t>
      </w:r>
      <w:r w:rsidR="00085DE7">
        <w:t xml:space="preserve">non-residential </w:t>
      </w:r>
      <w:r>
        <w:t>volume of water (including recycled water).</w:t>
      </w:r>
    </w:p>
    <w:p w14:paraId="45E43EA4" w14:textId="3345902B" w:rsidR="00C63D04" w:rsidRDefault="00C63D04" w:rsidP="00B84869">
      <w:r>
        <w:t xml:space="preserve">Specifically, </w:t>
      </w:r>
      <w:r w:rsidR="00B84869">
        <w:t xml:space="preserve">we apply a discharge factor of </w:t>
      </w:r>
      <w:r w:rsidR="0082073E">
        <w:t>45.9</w:t>
      </w:r>
      <w:r w:rsidR="00B84869">
        <w:t xml:space="preserve">% to total </w:t>
      </w:r>
      <w:r>
        <w:t>non-</w:t>
      </w:r>
      <w:r w:rsidR="00B84869">
        <w:t xml:space="preserve">residential water demand to estimate sewage disposal volumes for 2024-28. </w:t>
      </w:r>
    </w:p>
    <w:p w14:paraId="47FD1A8E" w14:textId="71B3E9A5" w:rsidR="009222CF" w:rsidRDefault="00B84869" w:rsidP="006A40CE">
      <w:r>
        <w:t xml:space="preserve">Although the pandemic led to a slowdown of production and limited trading activity in 2020-21 and subsequently a drop in sewage volumes, the discharge factor </w:t>
      </w:r>
      <w:r w:rsidR="009370EE">
        <w:t xml:space="preserve">has </w:t>
      </w:r>
      <w:r>
        <w:t>return</w:t>
      </w:r>
      <w:r w:rsidR="009370EE">
        <w:t>ed</w:t>
      </w:r>
      <w:r>
        <w:t xml:space="preserve"> to pre-pandemic levels of about 44-45%. Given this, we propose to use a five-year averaging window</w:t>
      </w:r>
      <w:r w:rsidR="0040526D">
        <w:t xml:space="preserve"> rather than three</w:t>
      </w:r>
      <w:r w:rsidR="009370EE">
        <w:t>-year</w:t>
      </w:r>
      <w:r w:rsidR="0040526D">
        <w:t>.</w:t>
      </w:r>
      <w:r w:rsidR="006A40CE">
        <w:t xml:space="preserve"> </w:t>
      </w:r>
      <w:r w:rsidR="006F6655">
        <w:t xml:space="preserve">The change in </w:t>
      </w:r>
      <w:r w:rsidR="00241AAC">
        <w:t xml:space="preserve">sewage disposal volumes from 2014 to current as well as the forward forecast is shown </w:t>
      </w:r>
      <w:r w:rsidR="006E1B14">
        <w:t xml:space="preserve">in </w:t>
      </w:r>
      <w:r w:rsidR="009960BD">
        <w:fldChar w:fldCharType="begin"/>
      </w:r>
      <w:r w:rsidR="009960BD">
        <w:instrText xml:space="preserve"> REF _Ref146548630 \h </w:instrText>
      </w:r>
      <w:r w:rsidR="009960BD">
        <w:fldChar w:fldCharType="separate"/>
      </w:r>
      <w:r w:rsidR="003B42C6" w:rsidRPr="00E27F64">
        <w:rPr>
          <w:b/>
        </w:rPr>
        <w:t>Figure</w:t>
      </w:r>
      <w:r w:rsidR="003B42C6" w:rsidRPr="003F58BD">
        <w:rPr>
          <w:b/>
        </w:rPr>
        <w:t xml:space="preserve"> </w:t>
      </w:r>
      <w:r w:rsidR="003B42C6">
        <w:rPr>
          <w:b/>
          <w:noProof/>
        </w:rPr>
        <w:t>31</w:t>
      </w:r>
      <w:r w:rsidR="009960BD">
        <w:fldChar w:fldCharType="end"/>
      </w:r>
      <w:r w:rsidR="009960BD">
        <w:t>.</w:t>
      </w:r>
      <w:r w:rsidR="00BF7EF5" w:rsidRPr="00BF7EF5">
        <w:rPr>
          <w:noProof/>
        </w:rPr>
        <w:t xml:space="preserve"> </w:t>
      </w:r>
    </w:p>
    <w:p w14:paraId="6DFEF4A4" w14:textId="7D10656E" w:rsidR="002A7792" w:rsidRDefault="00766C72" w:rsidP="002A7792">
      <w:pPr>
        <w:pStyle w:val="Caption"/>
      </w:pPr>
      <w:bookmarkStart w:id="267" w:name="_Ref146548630"/>
      <w:bookmarkStart w:id="268" w:name="_Toc145498166"/>
      <w:r>
        <w:rPr>
          <w:b/>
          <w:noProof/>
        </w:rPr>
        <w:drawing>
          <wp:inline distT="0" distB="0" distL="0" distR="0" wp14:anchorId="156AD3DF" wp14:editId="61513A41">
            <wp:extent cx="6120765" cy="3529965"/>
            <wp:effectExtent l="0" t="0" r="0" b="0"/>
            <wp:docPr id="119" name="Picture 119" descr="Line graph with 4 data sets (2 actual 2 forecast). X-axis shows years from 2014 to 2033 (before 2024 are actual, after are forecast). Left y-axis is titled &quot;Non-residential sewage disposal volume (ML)&quot; and shows values from 0 to 25000. The right y-axis is titled &quot;Sewage disposal factor (%)&quot; and shows values from 30.0% to 55.0%.  &#10;&#10;  &#10;&#10;Dataset &quot;Central – Actual Sewage disposal volume&quot; starts at 16000 and trends upward to 20000 in 2019, before dropping to 14500 in 2021, then trending upwards to 17000 in 2023 where it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ine graph with 4 data sets (2 actual 2 forecast). X-axis shows years from 2014 to 2033 (before 2024 are actual, after are forecast). Left y-axis is titled &quot;Non-residential sewage disposal volume (ML)&quot; and shows values from 0 to 25000. The right y-axis is titled &quot;Sewage disposal factor (%)&quot; and shows values from 30.0% to 55.0%.  &#10;&#10;  &#10;&#10;Dataset &quot;Central – Actual Sewage disposal volume&quot; starts at 16000 and trends upward to 20000 in 2019, before dropping to 14500 in 2021, then trending upwards to 17000 in 2023 where it end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3529965"/>
                    </a:xfrm>
                    <a:prstGeom prst="rect">
                      <a:avLst/>
                    </a:prstGeom>
                    <a:noFill/>
                  </pic:spPr>
                </pic:pic>
              </a:graphicData>
            </a:graphic>
          </wp:inline>
        </w:drawing>
      </w:r>
      <w:r w:rsidR="002A7792" w:rsidRPr="00E27F64">
        <w:rPr>
          <w:b/>
        </w:rPr>
        <w:t>Figure</w:t>
      </w:r>
      <w:r w:rsidR="002A7792" w:rsidRPr="003F58BD">
        <w:rPr>
          <w:b/>
        </w:rPr>
        <w:t xml:space="preserve"> </w:t>
      </w:r>
      <w:r w:rsidR="002A7792" w:rsidRPr="003F58BD">
        <w:rPr>
          <w:b/>
        </w:rPr>
        <w:fldChar w:fldCharType="begin"/>
      </w:r>
      <w:r w:rsidR="002A7792" w:rsidRPr="00B83709">
        <w:rPr>
          <w:b/>
        </w:rPr>
        <w:instrText>SEQ Figure \* ARABIC</w:instrText>
      </w:r>
      <w:r w:rsidR="002A7792" w:rsidRPr="003F58BD">
        <w:rPr>
          <w:b/>
        </w:rPr>
        <w:fldChar w:fldCharType="separate"/>
      </w:r>
      <w:r w:rsidR="003B42C6">
        <w:rPr>
          <w:b/>
          <w:noProof/>
        </w:rPr>
        <w:t>31</w:t>
      </w:r>
      <w:r w:rsidR="002A7792" w:rsidRPr="003F58BD">
        <w:rPr>
          <w:b/>
        </w:rPr>
        <w:fldChar w:fldCharType="end"/>
      </w:r>
      <w:bookmarkEnd w:id="267"/>
      <w:r w:rsidR="002A7792">
        <w:t xml:space="preserve"> </w:t>
      </w:r>
      <w:r w:rsidR="002A7792" w:rsidRPr="00A2475B">
        <w:t>Non-residential sewage disposal volumes</w:t>
      </w:r>
      <w:r w:rsidR="002A7792">
        <w:t xml:space="preserve"> – central region</w:t>
      </w:r>
      <w:bookmarkEnd w:id="268"/>
    </w:p>
    <w:p w14:paraId="47CDD07C" w14:textId="77777777" w:rsidR="00EC1293" w:rsidRPr="00EC1293" w:rsidRDefault="00EC1293" w:rsidP="00EC1293"/>
    <w:p w14:paraId="574C4B00" w14:textId="3D4BBA1E" w:rsidR="001626B9" w:rsidRDefault="00354EFD" w:rsidP="005B69CD">
      <w:pPr>
        <w:pStyle w:val="Heading3"/>
      </w:pPr>
      <w:r>
        <w:lastRenderedPageBreak/>
        <w:t>R</w:t>
      </w:r>
      <w:r w:rsidR="00546CF9" w:rsidRPr="00546CF9">
        <w:t xml:space="preserve">ecycled water </w:t>
      </w:r>
      <w:r>
        <w:t xml:space="preserve">sales </w:t>
      </w:r>
      <w:r w:rsidR="00546CF9" w:rsidRPr="00546CF9">
        <w:t>forecast</w:t>
      </w:r>
    </w:p>
    <w:p w14:paraId="1921A749" w14:textId="079AE43C" w:rsidR="00EA6D73" w:rsidRDefault="00EA6D73" w:rsidP="00EA6D73">
      <w:r>
        <w:t xml:space="preserve">We supply customers in growth areas with Class A recycled water supply (purple pipe) for use in toilet flushing, gardening, </w:t>
      </w:r>
      <w:proofErr w:type="gramStart"/>
      <w:r>
        <w:t>irrigation</w:t>
      </w:r>
      <w:proofErr w:type="gramEnd"/>
      <w:r>
        <w:t xml:space="preserve"> and other suitable end-uses</w:t>
      </w:r>
      <w:r w:rsidR="00776D83">
        <w:t xml:space="preserve"> where available.</w:t>
      </w:r>
      <w:r>
        <w:t xml:space="preserve"> </w:t>
      </w:r>
      <w:r w:rsidR="00063E09">
        <w:t>Some n</w:t>
      </w:r>
      <w:r>
        <w:t xml:space="preserve">ew properties also have the option of using recycled water in their laundry. </w:t>
      </w:r>
    </w:p>
    <w:p w14:paraId="41991100" w14:textId="7C181DFC" w:rsidR="0084356A" w:rsidRDefault="00ED5B66" w:rsidP="00EA6D73">
      <w:r w:rsidRPr="00232825">
        <w:t>As GWW, we continue to have separate charges for the central and western regions.</w:t>
      </w:r>
      <w:r w:rsidR="0084356A">
        <w:rPr>
          <w:rStyle w:val="EndnoteReference"/>
        </w:rPr>
        <w:endnoteReference w:id="20"/>
      </w:r>
    </w:p>
    <w:p w14:paraId="3055EB98" w14:textId="2D8DD683" w:rsidR="00006DA7" w:rsidRDefault="00C72C33" w:rsidP="00EA6D73">
      <w:r>
        <w:t>Residential r</w:t>
      </w:r>
      <w:r w:rsidR="00006DA7">
        <w:t xml:space="preserve">ecycled water sales are forecast to steadily increase over the regulatory period, reaching </w:t>
      </w:r>
      <w:r w:rsidR="00226184" w:rsidRPr="00226184">
        <w:t>580</w:t>
      </w:r>
      <w:r w:rsidR="00006DA7" w:rsidRPr="00226184">
        <w:t xml:space="preserve"> ML</w:t>
      </w:r>
      <w:r w:rsidR="00006DA7">
        <w:t xml:space="preserve"> per year </w:t>
      </w:r>
      <w:r w:rsidR="00D667B1">
        <w:t xml:space="preserve">in the western region and </w:t>
      </w:r>
      <w:r w:rsidR="00E630BB">
        <w:t xml:space="preserve">700 ML per year in the </w:t>
      </w:r>
      <w:r>
        <w:t xml:space="preserve">central region by 2028. </w:t>
      </w:r>
      <w:r w:rsidR="000F6C26">
        <w:t>Non-</w:t>
      </w:r>
      <w:r w:rsidR="00776D83">
        <w:t xml:space="preserve">residential </w:t>
      </w:r>
      <w:r w:rsidR="000F6C26">
        <w:t xml:space="preserve">recycled water sales will reach </w:t>
      </w:r>
      <w:r w:rsidR="002A615E">
        <w:t xml:space="preserve">550 ML per year, also in 2028. </w:t>
      </w:r>
    </w:p>
    <w:p w14:paraId="432EB413" w14:textId="7F7F7EFD" w:rsidR="003D240E" w:rsidRPr="005D3191" w:rsidRDefault="003D240E" w:rsidP="00EA6D73">
      <w:r>
        <w:t xml:space="preserve">Note our recycled water sales forecasts include potable water that is sent through the recycled water network in lieu of recycled water. These customers receive potable water through their purple pipe and recycled water </w:t>
      </w:r>
      <w:r w:rsidR="00F244CF">
        <w:t>meter but</w:t>
      </w:r>
      <w:r>
        <w:t xml:space="preserve"> are charge</w:t>
      </w:r>
      <w:r w:rsidR="00F244CF">
        <w:t>d</w:t>
      </w:r>
      <w:r>
        <w:t xml:space="preserve"> the recycled water usage</w:t>
      </w:r>
      <w:r w:rsidR="00F244CF">
        <w:t xml:space="preserve"> price</w:t>
      </w:r>
      <w:r>
        <w:t>. This volume is deducted from our potable water sales forecasts</w:t>
      </w:r>
      <w:r w:rsidR="00F244CF">
        <w:t xml:space="preserve"> up to 2029-30. We are anticipating and communicating to customers in those areas with potable water in lieu of recycled water that they will begin receiving recycled water in 2030-31. </w:t>
      </w:r>
    </w:p>
    <w:p w14:paraId="0ED96A60" w14:textId="4D4F0E4B" w:rsidR="00776D83" w:rsidRPr="00776D83" w:rsidRDefault="00006DA7" w:rsidP="005D3191">
      <w:pPr>
        <w:pStyle w:val="Heading4"/>
      </w:pPr>
      <w:r>
        <w:t>R</w:t>
      </w:r>
      <w:r w:rsidR="00776D83" w:rsidRPr="007464A2">
        <w:t xml:space="preserve">esidential </w:t>
      </w:r>
      <w:r w:rsidR="00776D83">
        <w:t>recycled water</w:t>
      </w:r>
      <w:r w:rsidR="00776D83" w:rsidRPr="007464A2">
        <w:t xml:space="preserve"> </w:t>
      </w:r>
      <w:r>
        <w:t>sales</w:t>
      </w:r>
    </w:p>
    <w:p w14:paraId="5C488927" w14:textId="5E962E46" w:rsidR="00776D83" w:rsidRDefault="00776D83" w:rsidP="00776D83">
      <w:r>
        <w:t xml:space="preserve">We forecast retailed recycled water demand using </w:t>
      </w:r>
      <w:r w:rsidR="00F146B4">
        <w:t xml:space="preserve">the </w:t>
      </w:r>
      <w:r>
        <w:t xml:space="preserve">recycled water service connection growth forecast and apply a historic average unit rate of consumption </w:t>
      </w:r>
      <w:r w:rsidR="00F146B4">
        <w:t>for</w:t>
      </w:r>
      <w:r>
        <w:t xml:space="preserve"> residential and </w:t>
      </w:r>
      <w:r w:rsidR="00F146B4">
        <w:t xml:space="preserve">typical </w:t>
      </w:r>
      <w:r>
        <w:t>non-residential customers.</w:t>
      </w:r>
    </w:p>
    <w:p w14:paraId="3371AC36" w14:textId="32A89756" w:rsidR="00EA6D73" w:rsidRDefault="003142A3" w:rsidP="00EA6D73">
      <w:r>
        <w:t xml:space="preserve">The forecast </w:t>
      </w:r>
      <w:r w:rsidR="00EA6D73">
        <w:t xml:space="preserve">number of connections is directly </w:t>
      </w:r>
      <w:r>
        <w:t xml:space="preserve">calculated </w:t>
      </w:r>
      <w:r w:rsidR="00EA6D73">
        <w:t xml:space="preserve">from the serviced dwelling growth forecast discussed earlier. </w:t>
      </w:r>
      <w:r w:rsidR="00F146B4">
        <w:t xml:space="preserve">We </w:t>
      </w:r>
      <w:r w:rsidR="006A0D0A">
        <w:t>calculate</w:t>
      </w:r>
      <w:r w:rsidR="00F146B4">
        <w:t xml:space="preserve"> the a</w:t>
      </w:r>
      <w:r w:rsidR="00EA6D73">
        <w:t xml:space="preserve">verage recycled water unit rate consumption for each </w:t>
      </w:r>
      <w:r w:rsidR="00F146B4">
        <w:t>customer cohort</w:t>
      </w:r>
      <w:r w:rsidR="00EA6D73">
        <w:t xml:space="preserve"> using historic billing data.</w:t>
      </w:r>
    </w:p>
    <w:p w14:paraId="722FA0A8" w14:textId="7E9619D0" w:rsidR="00006DA7" w:rsidRDefault="00006DA7" w:rsidP="005D3191">
      <w:pPr>
        <w:pStyle w:val="Heading4"/>
      </w:pPr>
      <w:r>
        <w:t>Non-residential recycled water sales</w:t>
      </w:r>
    </w:p>
    <w:p w14:paraId="2AE8733A" w14:textId="187F1787" w:rsidR="00EA6D73" w:rsidRDefault="00EA6D73" w:rsidP="00EA6D73">
      <w:r>
        <w:t xml:space="preserve">For typical non-residential customers, care is taken to exclude any contracted, large outliers and open space volumes before calculating the unit rate consumption to avoid double counting. Large customers are modelled independently and </w:t>
      </w:r>
      <w:r w:rsidR="006003E5">
        <w:t>then added in.</w:t>
      </w:r>
    </w:p>
    <w:p w14:paraId="6CF6D449" w14:textId="7DD39393" w:rsidR="00546CF9" w:rsidRDefault="00EA6D73" w:rsidP="00EA6D73">
      <w:r>
        <w:t xml:space="preserve">Open space recycled water demands are modelled similarly to residential and non-residential demands. We multiply the historic unit rate consumption per open space connection by the </w:t>
      </w:r>
      <w:r w:rsidR="006003E5">
        <w:t xml:space="preserve">forecast </w:t>
      </w:r>
      <w:r>
        <w:t>number of open spaces in the regions serviced by, or planned to be serviced by, recycled water. The forecast number of open spaces each year is back-calculated from the total planned number of open spaces given by Property Service Plans, with year-on-year growth proportional to dwelling growth.</w:t>
      </w:r>
    </w:p>
    <w:p w14:paraId="3C2C76E3" w14:textId="34443BBA" w:rsidR="00691F4E" w:rsidRDefault="00074489" w:rsidP="005D3191">
      <w:pPr>
        <w:pStyle w:val="Heading4"/>
      </w:pPr>
      <w:r>
        <w:t xml:space="preserve">Proposed </w:t>
      </w:r>
      <w:r w:rsidR="00EB5147">
        <w:t>change</w:t>
      </w:r>
      <w:r>
        <w:t xml:space="preserve">: </w:t>
      </w:r>
      <w:r w:rsidR="00691F4E" w:rsidRPr="00691F4E">
        <w:t>Non-residential recycled water customers no longer on contracts</w:t>
      </w:r>
      <w:r w:rsidR="00DF232B">
        <w:t xml:space="preserve"> - central</w:t>
      </w:r>
    </w:p>
    <w:p w14:paraId="445246A8" w14:textId="53295FA1" w:rsidR="00C23160" w:rsidRPr="00C23160" w:rsidRDefault="00083CE3" w:rsidP="00C23160">
      <w:r>
        <w:t xml:space="preserve">We are phasing out </w:t>
      </w:r>
      <w:r w:rsidR="00C23160" w:rsidRPr="00C23160">
        <w:t>‘take or pay’ contract</w:t>
      </w:r>
      <w:r>
        <w:t>s</w:t>
      </w:r>
      <w:r w:rsidR="00C23160" w:rsidRPr="00C23160">
        <w:t xml:space="preserve"> </w:t>
      </w:r>
      <w:r>
        <w:t xml:space="preserve">for </w:t>
      </w:r>
      <w:proofErr w:type="gramStart"/>
      <w:r>
        <w:t>large recycled</w:t>
      </w:r>
      <w:proofErr w:type="gramEnd"/>
      <w:r>
        <w:t xml:space="preserve"> water users</w:t>
      </w:r>
      <w:r w:rsidR="00C23160" w:rsidRPr="00C23160">
        <w:t xml:space="preserve"> in the central region</w:t>
      </w:r>
      <w:r w:rsidR="00D8134F">
        <w:t xml:space="preserve">, with most customers </w:t>
      </w:r>
      <w:r w:rsidR="002064AB">
        <w:t>already moving to standard recycled water charges</w:t>
      </w:r>
      <w:r w:rsidR="00AE25A1">
        <w:t xml:space="preserve">. </w:t>
      </w:r>
    </w:p>
    <w:p w14:paraId="236D67FC" w14:textId="151E1CE1" w:rsidR="00C23160" w:rsidRDefault="00C23160" w:rsidP="00C23160">
      <w:r w:rsidRPr="00C23160">
        <w:t xml:space="preserve">Unlike the previous price submission, we have included recycled water ‘take or pay’ customers in our recycled water volume forecasts. </w:t>
      </w:r>
    </w:p>
    <w:p w14:paraId="365F2470" w14:textId="17E26D92" w:rsidR="002D55E0" w:rsidRPr="00C23160" w:rsidRDefault="00D84BCC" w:rsidP="00C23160">
      <w:r>
        <w:lastRenderedPageBreak/>
        <w:t>For</w:t>
      </w:r>
      <w:r w:rsidR="002D55E0">
        <w:t xml:space="preserve"> this price submission, we have included these contract customer volumes from 2024-25 onwards.</w:t>
      </w:r>
      <w:r w:rsidR="003D240E">
        <w:t xml:space="preserve"> Contract revenue associated with these customers are now recovered through standard recycled water charges.</w:t>
      </w:r>
    </w:p>
    <w:p w14:paraId="703CD837" w14:textId="416B7953" w:rsidR="00C16413" w:rsidRDefault="00C23160" w:rsidP="00C16413">
      <w:r w:rsidRPr="00C23160">
        <w:t>Customers who receive recycled water from A</w:t>
      </w:r>
      <w:r w:rsidR="00612BF3">
        <w:t xml:space="preserve">ltona </w:t>
      </w:r>
      <w:r w:rsidRPr="00C23160">
        <w:t>T</w:t>
      </w:r>
      <w:r w:rsidR="00612BF3">
        <w:t xml:space="preserve">reatment </w:t>
      </w:r>
      <w:r w:rsidRPr="00C23160">
        <w:t>P</w:t>
      </w:r>
      <w:r w:rsidR="00612BF3">
        <w:t>lant</w:t>
      </w:r>
      <w:r w:rsidRPr="00C23160">
        <w:t xml:space="preserve"> in the central region remain under contract and are not included in </w:t>
      </w:r>
      <w:r w:rsidR="009A28C0">
        <w:t xml:space="preserve">the standard </w:t>
      </w:r>
      <w:r w:rsidRPr="00C23160">
        <w:t xml:space="preserve">forecast. Those customers form </w:t>
      </w:r>
      <w:proofErr w:type="gramStart"/>
      <w:r w:rsidRPr="00C23160">
        <w:t>the majority of</w:t>
      </w:r>
      <w:proofErr w:type="gramEnd"/>
      <w:r w:rsidRPr="00C23160">
        <w:t xml:space="preserve"> the recycled water contract revenue discussed in the non-tariff revenue section of this report.</w:t>
      </w:r>
    </w:p>
    <w:p w14:paraId="08B9554E" w14:textId="06FB7F33" w:rsidR="00C8508B" w:rsidRDefault="00C8508B" w:rsidP="00C23160"/>
    <w:p w14:paraId="6A16699B" w14:textId="6DCFC701" w:rsidR="00DA09CF" w:rsidRDefault="00A701FD" w:rsidP="00482ACF">
      <w:pPr>
        <w:pStyle w:val="Caption"/>
      </w:pPr>
      <w:bookmarkStart w:id="269" w:name="_Ref143523601"/>
      <w:bookmarkStart w:id="270" w:name="_Toc145498167"/>
      <w:r>
        <w:rPr>
          <w:b/>
          <w:noProof/>
        </w:rPr>
        <w:lastRenderedPageBreak/>
        <w:drawing>
          <wp:inline distT="0" distB="0" distL="0" distR="0" wp14:anchorId="66D6D1BE" wp14:editId="2AE001F4">
            <wp:extent cx="6206490" cy="4608830"/>
            <wp:effectExtent l="0" t="0" r="3810" b="1270"/>
            <wp:docPr id="120" name="Picture 120" descr="Line graph with 6 data sets (3 actual 3 forecast). X-axis shows years 2014 to 2033. Y-axis is titled &quot;Recycled water usage (Class A) (kL)&quot; and shows values from 0 to 2000 in increments of 200.  Dataset &quot;Central – Actual Residential Recycled water usage – Total (potable and recycled water)&quot; starts at 90 in 2014 and trends upward to 889 in 2023 where it ends. Dataset &quot;Central – Forecast Residential Recycled water usage – Total (potable and recycled water)&quot; starts at 889 in 2024 and trends upward to 1800 in 2033. Dataset &quot;Central – Actual Non-residential Recycled water usage&quot; starts at 36 in 2014 and trends slightly upward to 61 in 2023 where it ends. Dataset &quot;Central – Actual Non-residential Recycled water usage&quot; starts at 61 in 2024 and trends sharply upward to 424 in 2025. Dataset &quot;Central – Actual Non-residential Recycled water usage (incl. contract customers)&quot; starts at 154 in 2014 and trends upward to 312 in 2023 where it ends. Dataset &quot;Central – Actual Non-residential Recycled water usage (incl. contract customers)&quot; starts at 312 in 2024 and trends upward to 727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ine graph with 6 data sets (3 actual 3 forecast). X-axis shows years 2014 to 2033. Y-axis is titled &quot;Recycled water usage (Class A) (kL)&quot; and shows values from 0 to 2000 in increments of 200.  Dataset &quot;Central – Actual Residential Recycled water usage – Total (potable and recycled water)&quot; starts at 90 in 2014 and trends upward to 889 in 2023 where it ends. Dataset &quot;Central – Forecast Residential Recycled water usage – Total (potable and recycled water)&quot; starts at 889 in 2024 and trends upward to 1800 in 2033. Dataset &quot;Central – Actual Non-residential Recycled water usage&quot; starts at 36 in 2014 and trends slightly upward to 61 in 2023 where it ends. Dataset &quot;Central – Actual Non-residential Recycled water usage&quot; starts at 61 in 2024 and trends sharply upward to 424 in 2025. Dataset &quot;Central – Actual Non-residential Recycled water usage (incl. contract customers)&quot; starts at 154 in 2014 and trends upward to 312 in 2023 where it ends. Dataset &quot;Central – Actual Non-residential Recycled water usage (incl. contract customers)&quot; starts at 312 in 2024 and trends upward to 727 in 2033.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6490" cy="4608830"/>
                    </a:xfrm>
                    <a:prstGeom prst="rect">
                      <a:avLst/>
                    </a:prstGeom>
                    <a:noFill/>
                  </pic:spPr>
                </pic:pic>
              </a:graphicData>
            </a:graphic>
          </wp:inline>
        </w:drawing>
      </w:r>
      <w:r w:rsidR="007648D3" w:rsidRPr="00E27F64">
        <w:rPr>
          <w:b/>
        </w:rPr>
        <w:t xml:space="preserve">Figure </w:t>
      </w:r>
      <w:r w:rsidR="007648D3" w:rsidRPr="003F58BD">
        <w:rPr>
          <w:b/>
        </w:rPr>
        <w:fldChar w:fldCharType="begin"/>
      </w:r>
      <w:r w:rsidR="007648D3" w:rsidRPr="003F58BD">
        <w:rPr>
          <w:b/>
        </w:rPr>
        <w:instrText>SEQ Figure \* ARABIC</w:instrText>
      </w:r>
      <w:r w:rsidR="007648D3" w:rsidRPr="003F58BD">
        <w:rPr>
          <w:b/>
        </w:rPr>
        <w:fldChar w:fldCharType="separate"/>
      </w:r>
      <w:r w:rsidR="003B42C6">
        <w:rPr>
          <w:b/>
          <w:noProof/>
        </w:rPr>
        <w:t>32</w:t>
      </w:r>
      <w:r w:rsidR="007648D3" w:rsidRPr="003F58BD">
        <w:rPr>
          <w:b/>
        </w:rPr>
        <w:fldChar w:fldCharType="end"/>
      </w:r>
      <w:bookmarkEnd w:id="269"/>
      <w:r w:rsidR="007648D3">
        <w:t xml:space="preserve"> Residential and non-residential retail recycled water consumption forecast - </w:t>
      </w:r>
      <w:proofErr w:type="gramStart"/>
      <w:r w:rsidR="007648D3">
        <w:t>central</w:t>
      </w:r>
      <w:bookmarkEnd w:id="270"/>
      <w:proofErr w:type="gramEnd"/>
    </w:p>
    <w:p w14:paraId="6C003201" w14:textId="2AFD0BDD" w:rsidR="007648D3" w:rsidRDefault="00482ACF" w:rsidP="007648D3">
      <w:pPr>
        <w:pStyle w:val="Caption"/>
      </w:pPr>
      <w:bookmarkStart w:id="271" w:name="_Ref143523596"/>
      <w:bookmarkStart w:id="272" w:name="_Toc145498168"/>
      <w:r>
        <w:rPr>
          <w:b/>
          <w:noProof/>
        </w:rPr>
        <w:drawing>
          <wp:inline distT="0" distB="0" distL="0" distR="0" wp14:anchorId="07368578" wp14:editId="09084ED6">
            <wp:extent cx="6120765" cy="3213100"/>
            <wp:effectExtent l="0" t="0" r="0" b="6350"/>
            <wp:docPr id="121" name="Picture 121" descr="Line graph with 2 data sets (1 actual, 1 forecast). X-axis shows years 2018 to 2033. Years up to 2023 are actual, years after area forecast. Y-axis is titled Recycled water use (class A) (ML) and shows values from 0 to 1000 in increments of 200. &#10;&#10;Dataset “Western- Actual Recycled water usage – Only recycled water” begins at 300 in 2018, trending upwards to a peak of nearly 700 in 2021, dips to 600 in 2022, and then increases to 760 in 2023 where it ends.  &#10;&#10;Dataset: “Western – Forecast Recycles water usage” Begins at 760 in 2023 and trends upwards to 950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ine graph with 2 data sets (1 actual, 1 forecast). X-axis shows years 2018 to 2033. Years up to 2023 are actual, years after area forecast. Y-axis is titled Recycled water use (class A) (ML) and shows values from 0 to 1000 in increments of 200. &#10;&#10;Dataset “Western- Actual Recycled water usage – Only recycled water” begins at 300 in 2018, trending upwards to a peak of nearly 700 in 2021, dips to 600 in 2022, and then increases to 760 in 2023 where it ends.  &#10;&#10;Dataset: “Western – Forecast Recycles water usage” Begins at 760 in 2023 and trends upwards to 950 in 2033.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3213100"/>
                    </a:xfrm>
                    <a:prstGeom prst="rect">
                      <a:avLst/>
                    </a:prstGeom>
                    <a:noFill/>
                  </pic:spPr>
                </pic:pic>
              </a:graphicData>
            </a:graphic>
          </wp:inline>
        </w:drawing>
      </w:r>
      <w:r w:rsidR="007648D3" w:rsidRPr="00E27F64">
        <w:rPr>
          <w:b/>
        </w:rPr>
        <w:t xml:space="preserve">Figure </w:t>
      </w:r>
      <w:r w:rsidR="007648D3" w:rsidRPr="003F58BD">
        <w:rPr>
          <w:b/>
        </w:rPr>
        <w:fldChar w:fldCharType="begin"/>
      </w:r>
      <w:r w:rsidR="007648D3" w:rsidRPr="003F58BD">
        <w:rPr>
          <w:b/>
        </w:rPr>
        <w:instrText>SEQ Figure \* ARABIC</w:instrText>
      </w:r>
      <w:r w:rsidR="007648D3" w:rsidRPr="003F58BD">
        <w:rPr>
          <w:b/>
        </w:rPr>
        <w:fldChar w:fldCharType="separate"/>
      </w:r>
      <w:r w:rsidR="003B42C6">
        <w:rPr>
          <w:b/>
          <w:noProof/>
        </w:rPr>
        <w:t>33</w:t>
      </w:r>
      <w:r w:rsidR="007648D3" w:rsidRPr="003F58BD">
        <w:rPr>
          <w:b/>
        </w:rPr>
        <w:fldChar w:fldCharType="end"/>
      </w:r>
      <w:bookmarkEnd w:id="271"/>
      <w:r w:rsidR="007648D3" w:rsidRPr="003F58BD">
        <w:rPr>
          <w:bCs/>
        </w:rPr>
        <w:t xml:space="preserve"> </w:t>
      </w:r>
      <w:r w:rsidR="007648D3">
        <w:t xml:space="preserve">Residential and non-residential retail recycled water consumption forecast - </w:t>
      </w:r>
      <w:proofErr w:type="gramStart"/>
      <w:r w:rsidR="007648D3">
        <w:t>western</w:t>
      </w:r>
      <w:bookmarkEnd w:id="272"/>
      <w:proofErr w:type="gramEnd"/>
    </w:p>
    <w:p w14:paraId="0CD04945" w14:textId="2609BE7C" w:rsidR="007648D3" w:rsidRPr="005A7F04" w:rsidRDefault="007648D3" w:rsidP="005A7F04">
      <w:pPr>
        <w:sectPr w:rsidR="007648D3" w:rsidRPr="005A7F04" w:rsidSect="008C1A38">
          <w:pgSz w:w="11906" w:h="16838" w:code="9"/>
          <w:pgMar w:top="1134" w:right="1134" w:bottom="1134" w:left="1134" w:header="709" w:footer="652" w:gutter="0"/>
          <w:cols w:space="708"/>
          <w:docGrid w:linePitch="360"/>
        </w:sectPr>
      </w:pPr>
    </w:p>
    <w:p w14:paraId="7629B838" w14:textId="178075D2" w:rsidR="001971AA" w:rsidRDefault="00C062B6" w:rsidP="005B69CD">
      <w:pPr>
        <w:pStyle w:val="Heading3"/>
      </w:pPr>
      <w:r>
        <w:lastRenderedPageBreak/>
        <w:t>T</w:t>
      </w:r>
      <w:r w:rsidR="00AA287C" w:rsidRPr="00AA287C">
        <w:t xml:space="preserve">rade waste </w:t>
      </w:r>
      <w:r>
        <w:t>sales</w:t>
      </w:r>
    </w:p>
    <w:p w14:paraId="0CF5087E" w14:textId="4A63540D" w:rsidR="00AA287C" w:rsidRDefault="00232825" w:rsidP="00AA287C">
      <w:r w:rsidRPr="00232825">
        <w:t xml:space="preserve">Trade waste charges make up </w:t>
      </w:r>
      <w:r w:rsidR="008269A8">
        <w:t>less than 5</w:t>
      </w:r>
      <w:r w:rsidR="000F453F">
        <w:t>%</w:t>
      </w:r>
      <w:r w:rsidRPr="00232825">
        <w:t xml:space="preserve"> of our revenue per annum. As GWW, we continue to have separate charges for the central and western regions.</w:t>
      </w:r>
    </w:p>
    <w:p w14:paraId="3091EF3B" w14:textId="77777777" w:rsidR="00F2627B" w:rsidRPr="00063FD6" w:rsidRDefault="00F2627B" w:rsidP="00E13671">
      <w:pPr>
        <w:pStyle w:val="Heading4"/>
      </w:pPr>
      <w:r w:rsidRPr="00063FD6">
        <w:t>Application and agreements</w:t>
      </w:r>
    </w:p>
    <w:p w14:paraId="62B06F6A" w14:textId="7C135A9E" w:rsidR="00657323" w:rsidRPr="003F20CF" w:rsidRDefault="00FD739E">
      <w:pPr>
        <w:pStyle w:val="ListBullet"/>
        <w:numPr>
          <w:ilvl w:val="0"/>
          <w:numId w:val="27"/>
        </w:numPr>
        <w:rPr>
          <w:rStyle w:val="SubtleEmphasis"/>
          <w:bCs/>
          <w:i w:val="0"/>
          <w:color w:val="auto"/>
          <w:spacing w:val="-6"/>
          <w:sz w:val="23"/>
          <w:szCs w:val="24"/>
        </w:rPr>
      </w:pPr>
      <w:r w:rsidRPr="003F20CF">
        <w:rPr>
          <w:rStyle w:val="SubtleEmphasis"/>
          <w:i w:val="0"/>
          <w:iCs w:val="0"/>
          <w:color w:val="auto"/>
        </w:rPr>
        <w:t xml:space="preserve">Across central and western, we have forecast application (once-off) and agreement (annual) charges by their respective risk ranks using a line of best fit. Where there was no trend evident, we took an appropriate trailing average window for the forecast period. </w:t>
      </w:r>
    </w:p>
    <w:p w14:paraId="6FE39150" w14:textId="12EC4BC4" w:rsidR="00F71FE2" w:rsidRPr="00F71FE2" w:rsidRDefault="00FD739E">
      <w:pPr>
        <w:pStyle w:val="ListBullet"/>
        <w:numPr>
          <w:ilvl w:val="0"/>
          <w:numId w:val="27"/>
        </w:numPr>
        <w:rPr>
          <w:rStyle w:val="SubtleEmphasis"/>
          <w:i w:val="0"/>
          <w:iCs w:val="0"/>
          <w:color w:val="auto"/>
        </w:rPr>
      </w:pPr>
      <w:r w:rsidRPr="003F20CF">
        <w:rPr>
          <w:rStyle w:val="SubtleEmphasis"/>
          <w:i w:val="0"/>
          <w:iCs w:val="0"/>
          <w:color w:val="auto"/>
        </w:rPr>
        <w:t>We also charge a service fee for each bed serviced by a macerator unit in the central region. These beds are usually situated in hospitals or aged care facilities. We have records of all historical and existing registered beds served by a macerator unit in its billing database. An extract of registered bed records from the system is tabulated and extended based on existing information around customer contracts to establish a forecast.</w:t>
      </w:r>
    </w:p>
    <w:p w14:paraId="32B14BD4" w14:textId="5AAACAE0" w:rsidR="00F2627B" w:rsidRDefault="00FD739E" w:rsidP="00E13671">
      <w:pPr>
        <w:pStyle w:val="Heading4"/>
      </w:pPr>
      <w:r w:rsidRPr="00EA7A32">
        <w:t xml:space="preserve">Trade waste </w:t>
      </w:r>
      <w:r w:rsidR="00EA7A32" w:rsidRPr="00EA7A32">
        <w:t xml:space="preserve">volume and </w:t>
      </w:r>
      <w:proofErr w:type="gramStart"/>
      <w:r w:rsidR="00EA7A32" w:rsidRPr="00EA7A32">
        <w:t>loads</w:t>
      </w:r>
      <w:proofErr w:type="gramEnd"/>
      <w:r w:rsidR="00EA7A32" w:rsidRPr="00EA7A32">
        <w:t xml:space="preserve"> </w:t>
      </w:r>
    </w:p>
    <w:p w14:paraId="22429BCB" w14:textId="77777777" w:rsidR="00735304" w:rsidRDefault="00E110EB" w:rsidP="00E110EB">
      <w:r w:rsidRPr="00E110EB">
        <w:t xml:space="preserve">Trade waste volumes and loads for </w:t>
      </w:r>
      <w:r w:rsidR="00C96C82">
        <w:t xml:space="preserve">the </w:t>
      </w:r>
      <w:r w:rsidRPr="00E110EB">
        <w:t xml:space="preserve">central </w:t>
      </w:r>
      <w:r w:rsidR="00233F07">
        <w:t xml:space="preserve">region </w:t>
      </w:r>
      <w:r w:rsidRPr="00E110EB">
        <w:t>form part of our bulk wastewater forecast. Therefore, we undertake a more rigorous forecasting approach in the central region relative to the western region.</w:t>
      </w:r>
      <w:r w:rsidR="00735304">
        <w:t xml:space="preserve"> </w:t>
      </w:r>
    </w:p>
    <w:p w14:paraId="196C396B" w14:textId="1C3116C1" w:rsidR="00E110EB" w:rsidRPr="00E110EB" w:rsidRDefault="00E110EB" w:rsidP="00E110EB">
      <w:r w:rsidRPr="00E110EB">
        <w:t>For trade waste volumes and loads in the central region:</w:t>
      </w:r>
    </w:p>
    <w:p w14:paraId="67E37325" w14:textId="6D2B22C5" w:rsidR="00E110EB" w:rsidRPr="00E110EB" w:rsidRDefault="00E110EB">
      <w:pPr>
        <w:pStyle w:val="ListBullet"/>
        <w:numPr>
          <w:ilvl w:val="0"/>
          <w:numId w:val="28"/>
        </w:numPr>
      </w:pPr>
      <w:r w:rsidRPr="00E110EB">
        <w:t>The forecast methodology applies the same approach used in our 2018 price submission</w:t>
      </w:r>
      <w:r w:rsidR="00233F07">
        <w:t>, which</w:t>
      </w:r>
      <w:r w:rsidRPr="00E110EB">
        <w:t xml:space="preserve"> was developed under a </w:t>
      </w:r>
      <w:proofErr w:type="spellStart"/>
      <w:r w:rsidRPr="00E110EB">
        <w:t>join</w:t>
      </w:r>
      <w:r w:rsidR="00CE2061">
        <w:t>s</w:t>
      </w:r>
      <w:r w:rsidRPr="00E110EB">
        <w:t>t</w:t>
      </w:r>
      <w:proofErr w:type="spellEnd"/>
      <w:r w:rsidRPr="00E110EB">
        <w:t xml:space="preserve"> forecasting program with the other metropolitan businesses. </w:t>
      </w:r>
    </w:p>
    <w:p w14:paraId="1BC531E7" w14:textId="4EAE32DB" w:rsidR="00E110EB" w:rsidRPr="00E110EB" w:rsidRDefault="00E110EB">
      <w:pPr>
        <w:pStyle w:val="ListBullet"/>
        <w:numPr>
          <w:ilvl w:val="0"/>
          <w:numId w:val="28"/>
        </w:numPr>
      </w:pPr>
      <w:r w:rsidRPr="00E110EB">
        <w:t>The approach requires forecasting individually two key cohorts:</w:t>
      </w:r>
    </w:p>
    <w:p w14:paraId="77182E20" w14:textId="0BE1E97B" w:rsidR="00E110EB" w:rsidRPr="00E110EB" w:rsidRDefault="00E110EB">
      <w:pPr>
        <w:pStyle w:val="ListBullet2"/>
        <w:numPr>
          <w:ilvl w:val="1"/>
          <w:numId w:val="28"/>
        </w:numPr>
      </w:pPr>
      <w:r w:rsidRPr="00E110EB">
        <w:t xml:space="preserve">the largest trade waste contributors (top 17) </w:t>
      </w:r>
    </w:p>
    <w:p w14:paraId="75AE7F34" w14:textId="0CCBADF8" w:rsidR="00E110EB" w:rsidRPr="00E110EB" w:rsidRDefault="00E110EB">
      <w:pPr>
        <w:pStyle w:val="ListBullet2"/>
        <w:numPr>
          <w:ilvl w:val="1"/>
          <w:numId w:val="28"/>
        </w:numPr>
      </w:pPr>
      <w:r w:rsidRPr="00E110EB">
        <w:t>the remaining customers be forecasted together as ‘segments.’</w:t>
      </w:r>
      <w:r w:rsidR="0084356A">
        <w:rPr>
          <w:rStyle w:val="EndnoteReference"/>
        </w:rPr>
        <w:endnoteReference w:id="21"/>
      </w:r>
      <w:r w:rsidR="0084356A" w:rsidRPr="00E110EB">
        <w:t xml:space="preserve"> </w:t>
      </w:r>
    </w:p>
    <w:p w14:paraId="102D8985" w14:textId="35750E3D" w:rsidR="000F5F8B" w:rsidRDefault="00E110EB">
      <w:pPr>
        <w:pStyle w:val="ListBullet"/>
        <w:numPr>
          <w:ilvl w:val="0"/>
          <w:numId w:val="28"/>
        </w:numPr>
      </w:pPr>
      <w:r w:rsidRPr="00E110EB">
        <w:t xml:space="preserve">Historical loads and volumes </w:t>
      </w:r>
      <w:r w:rsidR="000F5F8B">
        <w:t xml:space="preserve">are segmented by discharge treatment plant (WTP or ATP) and used to forecast </w:t>
      </w:r>
      <w:r w:rsidR="00F540D5">
        <w:t xml:space="preserve">volumes and loads for each customer segment </w:t>
      </w:r>
      <w:r w:rsidR="00F4232C">
        <w:t xml:space="preserve">and discharge treatment plant. We do this by: </w:t>
      </w:r>
    </w:p>
    <w:p w14:paraId="76534D83" w14:textId="60CDE140" w:rsidR="00E110EB" w:rsidRPr="00E110EB" w:rsidRDefault="00E110EB">
      <w:pPr>
        <w:pStyle w:val="ListBullet2"/>
        <w:numPr>
          <w:ilvl w:val="1"/>
          <w:numId w:val="28"/>
        </w:numPr>
      </w:pPr>
      <w:r w:rsidRPr="00E110EB">
        <w:t>establishing a line of best fit to the trade waste volume historical data (by segment and treatment plant) and using this to establish a forecast trade waste volume (when a trend was evident in historical data)</w:t>
      </w:r>
    </w:p>
    <w:p w14:paraId="74D190E6" w14:textId="554738CE" w:rsidR="00E110EB" w:rsidRPr="00E110EB" w:rsidRDefault="00E110EB">
      <w:pPr>
        <w:pStyle w:val="ListBullet2"/>
        <w:numPr>
          <w:ilvl w:val="1"/>
          <w:numId w:val="28"/>
        </w:numPr>
      </w:pPr>
      <w:r w:rsidRPr="00E110EB">
        <w:t xml:space="preserve">calculating a five-year average of historical load quality concentration to set a benchmark for forecast load quality into the next two regulatory </w:t>
      </w:r>
      <w:proofErr w:type="gramStart"/>
      <w:r w:rsidRPr="00E110EB">
        <w:t>periods</w:t>
      </w:r>
      <w:proofErr w:type="gramEnd"/>
    </w:p>
    <w:p w14:paraId="32C700A4" w14:textId="77777777" w:rsidR="00F61270" w:rsidRDefault="00E110EB">
      <w:pPr>
        <w:pStyle w:val="ListBullet2"/>
        <w:numPr>
          <w:ilvl w:val="1"/>
          <w:numId w:val="28"/>
        </w:numPr>
      </w:pPr>
      <w:r w:rsidRPr="00E110EB">
        <w:t>escalating trade waste load qualities based on the forecast trade waste volume multiplied by the five-year average historical concentrations of contaminants to establish forecast trade waste load quantities.</w:t>
      </w:r>
    </w:p>
    <w:p w14:paraId="4CB48423" w14:textId="4DE30150" w:rsidR="00F61270" w:rsidRPr="00E110EB" w:rsidRDefault="00F61270">
      <w:pPr>
        <w:pStyle w:val="ListBullet"/>
        <w:numPr>
          <w:ilvl w:val="0"/>
          <w:numId w:val="28"/>
        </w:numPr>
      </w:pPr>
      <w:r>
        <w:t>Top 17 customers have their contributions individually forecasted and included in the final forecast</w:t>
      </w:r>
      <w:r w:rsidR="00C44D68">
        <w:t>.</w:t>
      </w:r>
    </w:p>
    <w:p w14:paraId="43858796" w14:textId="65D83BA3" w:rsidR="00D207D0" w:rsidRDefault="00E110EB" w:rsidP="00E110EB">
      <w:r w:rsidRPr="00E110EB">
        <w:t>For trade waste volumes and loads in the western region:</w:t>
      </w:r>
    </w:p>
    <w:p w14:paraId="4D667FD3" w14:textId="41E71306" w:rsidR="00F54C40" w:rsidRDefault="00F54C40">
      <w:pPr>
        <w:pStyle w:val="ListBullet"/>
        <w:numPr>
          <w:ilvl w:val="0"/>
          <w:numId w:val="29"/>
        </w:numPr>
      </w:pPr>
      <w:r>
        <w:t xml:space="preserve">Following the approach adopted in our 2020 price submission, historical </w:t>
      </w:r>
      <w:proofErr w:type="gramStart"/>
      <w:r>
        <w:t>loads</w:t>
      </w:r>
      <w:proofErr w:type="gramEnd"/>
      <w:r>
        <w:t xml:space="preserve"> and volumes (sourced from the billing system) are escalated by the forecast growth in sewerage volumes as determined by the </w:t>
      </w:r>
      <w:r w:rsidR="00C44D68">
        <w:t>m</w:t>
      </w:r>
      <w:r>
        <w:t>ass balance model.</w:t>
      </w:r>
    </w:p>
    <w:p w14:paraId="438B4A0F" w14:textId="27B85F81" w:rsidR="00AB21CC" w:rsidRDefault="00AB21CC" w:rsidP="005B69CD">
      <w:pPr>
        <w:pStyle w:val="Heading3"/>
      </w:pPr>
      <w:r>
        <w:lastRenderedPageBreak/>
        <w:t xml:space="preserve">Other </w:t>
      </w:r>
      <w:r w:rsidR="00B764C3">
        <w:t xml:space="preserve">miscellaneous </w:t>
      </w:r>
      <w:r w:rsidRPr="007E6AD3">
        <w:rPr>
          <w:rStyle w:val="eop"/>
        </w:rPr>
        <w:t>retail</w:t>
      </w:r>
      <w:r>
        <w:t xml:space="preserve"> products </w:t>
      </w:r>
      <w:r w:rsidR="00B764C3">
        <w:t>and services</w:t>
      </w:r>
    </w:p>
    <w:p w14:paraId="5540FFEB" w14:textId="77777777" w:rsidR="001C4B41" w:rsidRDefault="00377032" w:rsidP="00377032">
      <w:r w:rsidRPr="00377032">
        <w:t xml:space="preserve">Forecasts for our other retail products </w:t>
      </w:r>
      <w:r w:rsidR="00BC18A2">
        <w:t>vary</w:t>
      </w:r>
      <w:r w:rsidR="001C4B41">
        <w:t xml:space="preserve"> given the nature of each charge.</w:t>
      </w:r>
      <w:r w:rsidR="00BC18A2">
        <w:t xml:space="preserve"> </w:t>
      </w:r>
    </w:p>
    <w:p w14:paraId="123D01AC" w14:textId="67F3B796" w:rsidR="00BC18A2" w:rsidRDefault="00BC18A2" w:rsidP="00377032">
      <w:r>
        <w:t xml:space="preserve">For most of our top </w:t>
      </w:r>
      <w:r w:rsidR="001C4B41">
        <w:t>miscellaneous</w:t>
      </w:r>
      <w:r>
        <w:t xml:space="preserve"> retail products and services, we have used an average of the past </w:t>
      </w:r>
      <w:r w:rsidR="00092C51">
        <w:t>three</w:t>
      </w:r>
      <w:r>
        <w:t xml:space="preserve"> – </w:t>
      </w:r>
      <w:r w:rsidR="00092C51">
        <w:t>five</w:t>
      </w:r>
      <w:r>
        <w:t xml:space="preserve"> years as the forecast demand for these services. </w:t>
      </w:r>
      <w:r w:rsidR="001C4B41">
        <w:t xml:space="preserve">This is to account for </w:t>
      </w:r>
      <w:r w:rsidR="006109F5">
        <w:t xml:space="preserve">the volatility of these services, </w:t>
      </w:r>
      <w:proofErr w:type="gramStart"/>
      <w:r w:rsidR="006109F5">
        <w:t>in particular with</w:t>
      </w:r>
      <w:proofErr w:type="gramEnd"/>
      <w:r w:rsidR="006109F5">
        <w:t xml:space="preserve"> the impact of the pandemic on building and development. </w:t>
      </w:r>
    </w:p>
    <w:p w14:paraId="49D67729" w14:textId="042AC6DA" w:rsidR="00866795" w:rsidRDefault="006109F5" w:rsidP="00377032">
      <w:r>
        <w:t xml:space="preserve">For other fees directly tied to growth, we have applied either our overall growth rate or applied </w:t>
      </w:r>
      <w:r w:rsidR="00100CA3">
        <w:t xml:space="preserve">the </w:t>
      </w:r>
      <w:r>
        <w:t>region-specific growth rate.</w:t>
      </w:r>
    </w:p>
    <w:p w14:paraId="7A896812" w14:textId="6492383A" w:rsidR="00870F44" w:rsidRPr="00870F44" w:rsidRDefault="00614637" w:rsidP="00870F44">
      <w:pPr>
        <w:pStyle w:val="BoxedBullet"/>
        <w:numPr>
          <w:ilvl w:val="0"/>
          <w:numId w:val="0"/>
        </w:numPr>
        <w:ind w:left="510" w:hanging="340"/>
        <w:rPr>
          <w:b/>
          <w:bCs/>
        </w:rPr>
      </w:pPr>
      <w:r>
        <w:rPr>
          <w:b/>
          <w:bCs/>
        </w:rPr>
        <w:t>S</w:t>
      </w:r>
      <w:r w:rsidR="00870F44" w:rsidRPr="00870F44">
        <w:rPr>
          <w:b/>
          <w:bCs/>
        </w:rPr>
        <w:t>upporting documents</w:t>
      </w:r>
      <w:r>
        <w:rPr>
          <w:b/>
          <w:bCs/>
        </w:rPr>
        <w:t xml:space="preserve"> for setting our prices</w:t>
      </w:r>
      <w:r w:rsidR="00870F44" w:rsidRPr="00870F44">
        <w:rPr>
          <w:b/>
          <w:bCs/>
        </w:rPr>
        <w:t>:</w:t>
      </w:r>
    </w:p>
    <w:p w14:paraId="1C35459E" w14:textId="340CD7EF" w:rsidR="00870F44" w:rsidRDefault="003C2123" w:rsidP="00870F44">
      <w:pPr>
        <w:pStyle w:val="BoxedBullet"/>
      </w:pPr>
      <w:r>
        <w:t xml:space="preserve">PS24 </w:t>
      </w:r>
      <w:r w:rsidR="00870F44">
        <w:t xml:space="preserve">Demand </w:t>
      </w:r>
      <w:r>
        <w:t xml:space="preserve">forecasting </w:t>
      </w:r>
      <w:r w:rsidR="00870F44">
        <w:t xml:space="preserve">technical </w:t>
      </w:r>
      <w:proofErr w:type="gramStart"/>
      <w:r w:rsidR="00870F44">
        <w:t>paper</w:t>
      </w:r>
      <w:proofErr w:type="gramEnd"/>
      <w:r w:rsidR="00870F44">
        <w:t xml:space="preserve"> </w:t>
      </w:r>
    </w:p>
    <w:p w14:paraId="7AA2A76A" w14:textId="5C6F7B14" w:rsidR="003C2123" w:rsidRDefault="003C2123" w:rsidP="00870F44">
      <w:pPr>
        <w:pStyle w:val="BoxedBullet"/>
      </w:pPr>
      <w:r>
        <w:t>Demand forecasting model</w:t>
      </w:r>
    </w:p>
    <w:p w14:paraId="07BEA938" w14:textId="77777777" w:rsidR="0038581F" w:rsidRDefault="0038581F" w:rsidP="00377032"/>
    <w:p w14:paraId="744267EA" w14:textId="5B4EBE08" w:rsidR="0038581F" w:rsidRDefault="0038581F">
      <w:pPr>
        <w:spacing w:before="0" w:after="160" w:line="259" w:lineRule="auto"/>
      </w:pPr>
    </w:p>
    <w:p w14:paraId="45CA0121" w14:textId="77777777" w:rsidR="0038581F" w:rsidRPr="008A41A1" w:rsidRDefault="0038581F" w:rsidP="008A41A1">
      <w:pPr>
        <w:pStyle w:val="Heading1"/>
      </w:pPr>
      <w:bookmarkStart w:id="273" w:name="_Toc146004888"/>
      <w:bookmarkStart w:id="274" w:name="_Toc146004776"/>
      <w:bookmarkStart w:id="275" w:name="_Toc146746722"/>
      <w:r w:rsidRPr="008A41A1">
        <w:lastRenderedPageBreak/>
        <w:t>Performance through integration and growth</w:t>
      </w:r>
      <w:bookmarkEnd w:id="273"/>
      <w:bookmarkEnd w:id="274"/>
      <w:bookmarkEnd w:id="275"/>
      <w:r w:rsidRPr="008A41A1">
        <w:t xml:space="preserve"> </w:t>
      </w:r>
    </w:p>
    <w:p w14:paraId="4070D1F5" w14:textId="77777777" w:rsidR="0038581F" w:rsidRDefault="0038581F" w:rsidP="0038581F">
      <w:r>
        <w:t xml:space="preserve">This section provides information supporting our </w:t>
      </w:r>
      <w:r w:rsidRPr="007C2BEC">
        <w:t>PREMO self-</w:t>
      </w:r>
      <w:r>
        <w:t>assessment.</w:t>
      </w:r>
    </w:p>
    <w:p w14:paraId="43337DB1" w14:textId="2F834DE1" w:rsidR="0038581F" w:rsidRDefault="00DC2F11" w:rsidP="0038581F">
      <w:pPr>
        <w:pStyle w:val="BoxedQuoteHeading"/>
      </w:pPr>
      <w:r>
        <w:t>Summary</w:t>
      </w:r>
    </w:p>
    <w:p w14:paraId="430B5928" w14:textId="77777777" w:rsidR="00CA360B" w:rsidRDefault="00CA360B" w:rsidP="00CA360B">
      <w:pPr>
        <w:pStyle w:val="BoxedBullet"/>
      </w:pPr>
      <w:r>
        <w:t xml:space="preserve">We are reporting performance on commitments made as CWW and WW which were set based on different price submissions. </w:t>
      </w:r>
    </w:p>
    <w:p w14:paraId="25681EE9" w14:textId="77777777" w:rsidR="00CA360B" w:rsidRDefault="00CA360B" w:rsidP="00CA360B">
      <w:pPr>
        <w:pStyle w:val="BoxedBullet"/>
      </w:pPr>
      <w:r>
        <w:t>We mostly met our CWW and WW customer outcomes and have explained any shortcomings transparently to customers over 2018-23 in the ESC’s outcomes report.</w:t>
      </w:r>
    </w:p>
    <w:p w14:paraId="2676A025" w14:textId="77777777" w:rsidR="00CA360B" w:rsidRDefault="00CA360B" w:rsidP="00CA360B">
      <w:pPr>
        <w:pStyle w:val="BoxedBullet"/>
      </w:pPr>
      <w:r>
        <w:t>We have seen improvements in the perception survey findings and were consistently on par with other retailers and the Victorian average.</w:t>
      </w:r>
    </w:p>
    <w:p w14:paraId="2FEA7A91" w14:textId="7A805B87" w:rsidR="00CA360B" w:rsidRDefault="00CA360B" w:rsidP="00CA360B">
      <w:pPr>
        <w:pStyle w:val="BoxedBullet"/>
      </w:pPr>
      <w:r>
        <w:t xml:space="preserve">We delivered most of our top 10 major projects in central and some in western, with the remaining deferred due to integration and a population shifts during the </w:t>
      </w:r>
      <w:r w:rsidR="00720913">
        <w:t xml:space="preserve">COVID-19 </w:t>
      </w:r>
      <w:r>
        <w:t>pandemic.</w:t>
      </w:r>
    </w:p>
    <w:p w14:paraId="516CDF52" w14:textId="77777777" w:rsidR="00CA360B" w:rsidRDefault="00CA360B" w:rsidP="00CA360B">
      <w:pPr>
        <w:pStyle w:val="BoxedBullet"/>
      </w:pPr>
      <w:r>
        <w:t>Our operating and capital costs were above determination benchmarks but have remained stable per connection and are comparable to similar businesses.</w:t>
      </w:r>
    </w:p>
    <w:p w14:paraId="1D285208" w14:textId="70582F3F" w:rsidR="0038581F" w:rsidRPr="007C2BEC" w:rsidRDefault="00CA360B" w:rsidP="00CA360B">
      <w:pPr>
        <w:pStyle w:val="BoxedBullet"/>
      </w:pPr>
      <w:r>
        <w:t>Our PREMO self-assessed rating for Performance is ‘Standard.’</w:t>
      </w:r>
    </w:p>
    <w:p w14:paraId="5AF95DAC" w14:textId="77777777" w:rsidR="009E4CB7" w:rsidRPr="009E4CB7" w:rsidRDefault="009E4CB7" w:rsidP="009E4CB7">
      <w:r w:rsidRPr="009E4CB7">
        <w:t xml:space="preserve">We completed a comprehensive review of our performance against the ESC’s guidance, relating to: </w:t>
      </w:r>
    </w:p>
    <w:p w14:paraId="2B8B6E32" w14:textId="77777777" w:rsidR="009E4CB7" w:rsidRPr="009E4CB7" w:rsidRDefault="009E4CB7">
      <w:pPr>
        <w:pStyle w:val="ListBullet"/>
        <w:numPr>
          <w:ilvl w:val="0"/>
          <w:numId w:val="29"/>
        </w:numPr>
      </w:pPr>
      <w:r w:rsidRPr="009E4CB7">
        <w:t xml:space="preserve">our customer outcomes </w:t>
      </w:r>
    </w:p>
    <w:p w14:paraId="1F0F3E6C" w14:textId="77777777" w:rsidR="009E4CB7" w:rsidRPr="009E4CB7" w:rsidRDefault="009E4CB7">
      <w:pPr>
        <w:pStyle w:val="ListBullet"/>
        <w:numPr>
          <w:ilvl w:val="0"/>
          <w:numId w:val="29"/>
        </w:numPr>
      </w:pPr>
      <w:r w:rsidRPr="009E4CB7">
        <w:t xml:space="preserve">ESC’s customer perception survey </w:t>
      </w:r>
    </w:p>
    <w:p w14:paraId="26DA68F0" w14:textId="77777777" w:rsidR="009E4CB7" w:rsidRPr="009E4CB7" w:rsidRDefault="009E4CB7">
      <w:pPr>
        <w:pStyle w:val="ListBullet"/>
        <w:numPr>
          <w:ilvl w:val="0"/>
          <w:numId w:val="29"/>
        </w:numPr>
      </w:pPr>
      <w:r w:rsidRPr="009E4CB7">
        <w:t xml:space="preserve">our major project delivery </w:t>
      </w:r>
    </w:p>
    <w:p w14:paraId="23F87F67" w14:textId="77777777" w:rsidR="009E4CB7" w:rsidRPr="009E4CB7" w:rsidRDefault="009E4CB7">
      <w:pPr>
        <w:pStyle w:val="ListBullet"/>
        <w:numPr>
          <w:ilvl w:val="0"/>
          <w:numId w:val="29"/>
        </w:numPr>
      </w:pPr>
      <w:r w:rsidRPr="009E4CB7">
        <w:t xml:space="preserve">our expenditure performance against determination benchmarks. </w:t>
      </w:r>
    </w:p>
    <w:p w14:paraId="0F3C5F73" w14:textId="77777777" w:rsidR="009E4CB7" w:rsidRPr="009E4CB7" w:rsidRDefault="009E4CB7" w:rsidP="009E4CB7">
      <w:r w:rsidRPr="009E4CB7">
        <w:t xml:space="preserve">This included reviews of our internal surveys of customers and external reports from Water Services Association of Australia (WSAA) to demonstrate our performance against our peers. </w:t>
      </w:r>
    </w:p>
    <w:p w14:paraId="1A2667C4" w14:textId="77777777" w:rsidR="009E4CB7" w:rsidRPr="00BE2454" w:rsidRDefault="009E4CB7" w:rsidP="00C6645D">
      <w:pPr>
        <w:pStyle w:val="Heading2"/>
      </w:pPr>
      <w:bookmarkStart w:id="276" w:name="_Toc146004889"/>
      <w:bookmarkStart w:id="277" w:name="_Toc146004777"/>
      <w:bookmarkStart w:id="278" w:name="_Toc146746723"/>
      <w:r w:rsidRPr="00BE2454">
        <w:t>Customer outcomes</w:t>
      </w:r>
      <w:bookmarkEnd w:id="276"/>
      <w:bookmarkEnd w:id="277"/>
      <w:bookmarkEnd w:id="278"/>
      <w:r w:rsidRPr="00BE2454">
        <w:t> </w:t>
      </w:r>
    </w:p>
    <w:p w14:paraId="4E678B64" w14:textId="77777777" w:rsidR="009E4CB7" w:rsidRPr="009E4CB7" w:rsidRDefault="009E4CB7" w:rsidP="009E4CB7">
      <w:r w:rsidRPr="009E4CB7">
        <w:t xml:space="preserve">We self-assessed the delivery of our customer outcomes as amber (on track) for the area previously serviced by CWW and green (met) for the area previously serviced by WW. </w:t>
      </w:r>
    </w:p>
    <w:p w14:paraId="755B5637" w14:textId="16365276" w:rsidR="009E4CB7" w:rsidRPr="009E4CB7" w:rsidRDefault="009E4CB7" w:rsidP="009E4CB7">
      <w:r w:rsidRPr="009E4CB7">
        <w:t>We broadly met most of our measures for the six outcomes that CWW set across the regulatory period</w:t>
      </w:r>
      <w:r w:rsidR="0033201E">
        <w:t>.</w:t>
      </w:r>
      <w:r w:rsidRPr="009E4CB7">
        <w:t xml:space="preserve"> </w:t>
      </w:r>
      <w:r w:rsidR="0033201E">
        <w:t>H</w:t>
      </w:r>
      <w:r w:rsidRPr="009E4CB7">
        <w:t>owever, we felt we could have done better in some areas. We met most of our measures for the five outcomes that WW set across the regulatory period.</w:t>
      </w:r>
    </w:p>
    <w:p w14:paraId="4C07627B" w14:textId="0F0284BC" w:rsidR="0084356A" w:rsidRPr="009E4CB7" w:rsidRDefault="009E4CB7" w:rsidP="009E4CB7">
      <w:r w:rsidRPr="009E4CB7">
        <w:t>Since 2018-19, we have reported to the ESC annually and reported to our customers twice a year on our website</w:t>
      </w:r>
      <w:r w:rsidR="00757A00">
        <w:t>.</w:t>
      </w:r>
      <w:r w:rsidR="0084356A" w:rsidRPr="004258BE">
        <w:rPr>
          <w:vertAlign w:val="superscript"/>
        </w:rPr>
        <w:endnoteReference w:id="22"/>
      </w:r>
      <w:r w:rsidRPr="009E4CB7">
        <w:t xml:space="preserve"> Our customer report is a simplified and designed version of the report we submit to the ESC. In its recent outcomes report, the ESC recognised our high bar for self-assessment of our performance </w:t>
      </w:r>
      <w:proofErr w:type="gramStart"/>
      <w:r w:rsidRPr="009E4CB7">
        <w:t>and also</w:t>
      </w:r>
      <w:proofErr w:type="gramEnd"/>
      <w:r w:rsidRPr="009E4CB7">
        <w:t xml:space="preserve"> noted our report is easy to read and included thorough commentary for each measure.</w:t>
      </w:r>
      <w:r w:rsidR="0084356A" w:rsidRPr="004258BE">
        <w:rPr>
          <w:vertAlign w:val="superscript"/>
        </w:rPr>
        <w:endnoteReference w:id="23"/>
      </w:r>
    </w:p>
    <w:p w14:paraId="5259F51B" w14:textId="77777777" w:rsidR="0038581F" w:rsidRPr="004F55F4" w:rsidRDefault="0038581F" w:rsidP="005B69CD">
      <w:pPr>
        <w:pStyle w:val="Heading3"/>
      </w:pPr>
      <w:r w:rsidRPr="004F55F4">
        <w:lastRenderedPageBreak/>
        <w:t>City West Water customer outcomes</w:t>
      </w:r>
    </w:p>
    <w:p w14:paraId="601CE047" w14:textId="64CBF2CD" w:rsidR="0038581F" w:rsidRDefault="0038581F" w:rsidP="0038581F">
      <w:r>
        <w:fldChar w:fldCharType="begin"/>
      </w:r>
      <w:r>
        <w:instrText xml:space="preserve"> REF _Ref145333875 \h </w:instrText>
      </w:r>
      <w:r>
        <w:fldChar w:fldCharType="separate"/>
      </w:r>
      <w:r w:rsidR="003B42C6" w:rsidRPr="00F42C1A">
        <w:rPr>
          <w:b/>
        </w:rPr>
        <w:t xml:space="preserve">Table </w:t>
      </w:r>
      <w:r w:rsidR="003B42C6">
        <w:rPr>
          <w:b/>
          <w:noProof/>
        </w:rPr>
        <w:t>56</w:t>
      </w:r>
      <w:r>
        <w:fldChar w:fldCharType="end"/>
      </w:r>
      <w:r>
        <w:t xml:space="preserve"> presents the six customer outcomes that represented what mattered most to customers previously serviced by CWW for 2018-24. A set of 41 measures has been used to assess our performance in delivering our outcomes.</w:t>
      </w:r>
    </w:p>
    <w:p w14:paraId="4ED4EAF8" w14:textId="6A03E5D6" w:rsidR="0038581F" w:rsidRPr="00A524F0" w:rsidRDefault="0038581F" w:rsidP="0038581F">
      <w:pPr>
        <w:pStyle w:val="Caption"/>
      </w:pPr>
      <w:bookmarkStart w:id="279" w:name="_Ref145333875"/>
      <w:r w:rsidRPr="00F42C1A">
        <w:rPr>
          <w:b/>
        </w:rPr>
        <w:t xml:space="preserve">Table </w:t>
      </w:r>
      <w:r w:rsidRPr="00F42C1A">
        <w:rPr>
          <w:b/>
        </w:rPr>
        <w:fldChar w:fldCharType="begin"/>
      </w:r>
      <w:r w:rsidRPr="00F42C1A">
        <w:rPr>
          <w:b/>
        </w:rPr>
        <w:instrText>SEQ Table \* ARABIC</w:instrText>
      </w:r>
      <w:r w:rsidRPr="00F42C1A">
        <w:rPr>
          <w:b/>
        </w:rPr>
        <w:fldChar w:fldCharType="separate"/>
      </w:r>
      <w:r w:rsidR="003B42C6">
        <w:rPr>
          <w:b/>
          <w:noProof/>
        </w:rPr>
        <w:t>56</w:t>
      </w:r>
      <w:r w:rsidRPr="00F42C1A">
        <w:rPr>
          <w:b/>
        </w:rPr>
        <w:fldChar w:fldCharType="end"/>
      </w:r>
      <w:bookmarkEnd w:id="279"/>
      <w:r>
        <w:t xml:space="preserve"> City West Water customer outcomes performance </w:t>
      </w:r>
    </w:p>
    <w:tbl>
      <w:tblPr>
        <w:tblW w:w="5000" w:type="pct"/>
        <w:tblLook w:val="04A0" w:firstRow="1" w:lastRow="0" w:firstColumn="1" w:lastColumn="0" w:noHBand="0" w:noVBand="1"/>
      </w:tblPr>
      <w:tblGrid>
        <w:gridCol w:w="2084"/>
        <w:gridCol w:w="1259"/>
        <w:gridCol w:w="1259"/>
        <w:gridCol w:w="1259"/>
        <w:gridCol w:w="1259"/>
        <w:gridCol w:w="1259"/>
        <w:gridCol w:w="1259"/>
      </w:tblGrid>
      <w:tr w:rsidR="00203883" w:rsidRPr="00F542BC" w14:paraId="53FF3CF0" w14:textId="77777777" w:rsidTr="00F42C1A">
        <w:trPr>
          <w:trHeight w:val="567"/>
          <w:tblHeader/>
        </w:trPr>
        <w:tc>
          <w:tcPr>
            <w:tcW w:w="1081" w:type="pct"/>
            <w:tcBorders>
              <w:bottom w:val="single" w:sz="8" w:space="0" w:color="1A206C" w:themeColor="text2"/>
            </w:tcBorders>
            <w:shd w:val="clear" w:color="auto" w:fill="1A206C" w:themeFill="text2"/>
            <w:vAlign w:val="center"/>
            <w:hideMark/>
          </w:tcPr>
          <w:p w14:paraId="41FAF689" w14:textId="77777777" w:rsidR="00203883" w:rsidRPr="00415870" w:rsidRDefault="00203883" w:rsidP="006464D3">
            <w:pPr>
              <w:jc w:val="center"/>
              <w:rPr>
                <w:b/>
                <w:color w:val="1A206C" w:themeColor="text2"/>
                <w:sz w:val="18"/>
                <w:szCs w:val="18"/>
              </w:rPr>
            </w:pPr>
          </w:p>
        </w:tc>
        <w:tc>
          <w:tcPr>
            <w:tcW w:w="653" w:type="pct"/>
            <w:tcBorders>
              <w:bottom w:val="single" w:sz="8" w:space="0" w:color="1A206C" w:themeColor="text2"/>
            </w:tcBorders>
            <w:shd w:val="clear" w:color="auto" w:fill="1A206C" w:themeFill="text2"/>
            <w:vAlign w:val="center"/>
            <w:hideMark/>
          </w:tcPr>
          <w:p w14:paraId="0A0E9873" w14:textId="77777777" w:rsidR="00203883" w:rsidRPr="006464D3" w:rsidRDefault="00203883" w:rsidP="00D62FA2">
            <w:pPr>
              <w:jc w:val="right"/>
              <w:rPr>
                <w:b/>
                <w:sz w:val="18"/>
                <w:szCs w:val="18"/>
              </w:rPr>
            </w:pPr>
            <w:r w:rsidRPr="006464D3">
              <w:rPr>
                <w:b/>
                <w:sz w:val="18"/>
                <w:szCs w:val="18"/>
              </w:rPr>
              <w:t>2018-19</w:t>
            </w:r>
          </w:p>
        </w:tc>
        <w:tc>
          <w:tcPr>
            <w:tcW w:w="653" w:type="pct"/>
            <w:tcBorders>
              <w:bottom w:val="single" w:sz="8" w:space="0" w:color="1A206C" w:themeColor="text2"/>
            </w:tcBorders>
            <w:shd w:val="clear" w:color="auto" w:fill="1A206C" w:themeFill="text2"/>
            <w:vAlign w:val="center"/>
            <w:hideMark/>
          </w:tcPr>
          <w:p w14:paraId="6CFB3CFB" w14:textId="2ECF38E5" w:rsidR="00203883" w:rsidRPr="006464D3" w:rsidRDefault="00203883" w:rsidP="00D62FA2">
            <w:pPr>
              <w:jc w:val="right"/>
              <w:rPr>
                <w:b/>
                <w:sz w:val="18"/>
                <w:szCs w:val="18"/>
              </w:rPr>
            </w:pPr>
            <w:r w:rsidRPr="006464D3">
              <w:rPr>
                <w:b/>
                <w:bCs/>
                <w:sz w:val="18"/>
                <w:szCs w:val="18"/>
              </w:rPr>
              <w:t>2019-20</w:t>
            </w:r>
          </w:p>
        </w:tc>
        <w:tc>
          <w:tcPr>
            <w:tcW w:w="653" w:type="pct"/>
            <w:tcBorders>
              <w:bottom w:val="single" w:sz="8" w:space="0" w:color="1A206C" w:themeColor="text2"/>
            </w:tcBorders>
            <w:shd w:val="clear" w:color="auto" w:fill="1A206C" w:themeFill="text2"/>
            <w:vAlign w:val="center"/>
            <w:hideMark/>
          </w:tcPr>
          <w:p w14:paraId="7D5F54C7" w14:textId="3EA26648" w:rsidR="00203883" w:rsidRPr="006464D3" w:rsidRDefault="00203883" w:rsidP="00D62FA2">
            <w:pPr>
              <w:jc w:val="right"/>
              <w:rPr>
                <w:b/>
                <w:sz w:val="18"/>
                <w:szCs w:val="18"/>
              </w:rPr>
            </w:pPr>
            <w:r w:rsidRPr="006464D3">
              <w:rPr>
                <w:b/>
                <w:bCs/>
                <w:sz w:val="18"/>
                <w:szCs w:val="18"/>
              </w:rPr>
              <w:t>2020-21</w:t>
            </w:r>
          </w:p>
        </w:tc>
        <w:tc>
          <w:tcPr>
            <w:tcW w:w="653" w:type="pct"/>
            <w:tcBorders>
              <w:bottom w:val="single" w:sz="8" w:space="0" w:color="1A206C" w:themeColor="text2"/>
            </w:tcBorders>
            <w:shd w:val="clear" w:color="auto" w:fill="1A206C" w:themeFill="text2"/>
            <w:vAlign w:val="center"/>
            <w:hideMark/>
          </w:tcPr>
          <w:p w14:paraId="4D445033" w14:textId="34D17DD4" w:rsidR="00203883" w:rsidRPr="006464D3" w:rsidRDefault="006464D3" w:rsidP="00D62FA2">
            <w:pPr>
              <w:jc w:val="right"/>
              <w:rPr>
                <w:b/>
                <w:sz w:val="18"/>
                <w:szCs w:val="18"/>
              </w:rPr>
            </w:pPr>
            <w:r>
              <w:rPr>
                <w:b/>
                <w:bCs/>
                <w:sz w:val="18"/>
                <w:szCs w:val="18"/>
              </w:rPr>
              <w:t>2</w:t>
            </w:r>
            <w:r w:rsidR="00203883" w:rsidRPr="006464D3">
              <w:rPr>
                <w:b/>
                <w:bCs/>
                <w:sz w:val="18"/>
                <w:szCs w:val="18"/>
              </w:rPr>
              <w:t>021-22</w:t>
            </w:r>
          </w:p>
        </w:tc>
        <w:tc>
          <w:tcPr>
            <w:tcW w:w="653" w:type="pct"/>
            <w:tcBorders>
              <w:bottom w:val="single" w:sz="8" w:space="0" w:color="1A206C" w:themeColor="text2"/>
            </w:tcBorders>
            <w:shd w:val="clear" w:color="auto" w:fill="1A206C" w:themeFill="text2"/>
            <w:vAlign w:val="center"/>
            <w:hideMark/>
          </w:tcPr>
          <w:p w14:paraId="50C5A2BF" w14:textId="53204A9B" w:rsidR="00203883" w:rsidRPr="006464D3" w:rsidRDefault="00203883" w:rsidP="00D62FA2">
            <w:pPr>
              <w:jc w:val="right"/>
              <w:rPr>
                <w:b/>
                <w:sz w:val="18"/>
                <w:szCs w:val="18"/>
              </w:rPr>
            </w:pPr>
            <w:r w:rsidRPr="006464D3">
              <w:rPr>
                <w:b/>
                <w:bCs/>
                <w:sz w:val="18"/>
                <w:szCs w:val="18"/>
              </w:rPr>
              <w:t>2022-23</w:t>
            </w:r>
          </w:p>
        </w:tc>
        <w:tc>
          <w:tcPr>
            <w:tcW w:w="653" w:type="pct"/>
            <w:tcBorders>
              <w:bottom w:val="single" w:sz="8" w:space="0" w:color="1A206C" w:themeColor="text2"/>
            </w:tcBorders>
            <w:shd w:val="clear" w:color="auto" w:fill="1A206C" w:themeFill="text2"/>
            <w:vAlign w:val="center"/>
            <w:hideMark/>
          </w:tcPr>
          <w:p w14:paraId="49015AA5" w14:textId="5AB2E858" w:rsidR="00203883" w:rsidRPr="006464D3" w:rsidRDefault="00203883" w:rsidP="006464D3">
            <w:pPr>
              <w:jc w:val="center"/>
              <w:rPr>
                <w:b/>
                <w:sz w:val="18"/>
                <w:szCs w:val="18"/>
              </w:rPr>
            </w:pPr>
            <w:r w:rsidRPr="006464D3">
              <w:rPr>
                <w:b/>
                <w:bCs/>
                <w:sz w:val="18"/>
                <w:szCs w:val="18"/>
              </w:rPr>
              <w:t>Overall</w:t>
            </w:r>
          </w:p>
        </w:tc>
      </w:tr>
      <w:tr w:rsidR="00203883" w:rsidRPr="00F542BC" w14:paraId="57148129"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01D1AA98" w14:textId="5481D938" w:rsidR="00203883" w:rsidRPr="00415870" w:rsidRDefault="00203883">
            <w:pPr>
              <w:rPr>
                <w:color w:val="1A206C" w:themeColor="text2"/>
                <w:sz w:val="18"/>
                <w:szCs w:val="18"/>
              </w:rPr>
            </w:pPr>
            <w:r w:rsidRPr="00415870">
              <w:rPr>
                <w:color w:val="1A206C" w:themeColor="text2"/>
                <w:sz w:val="18"/>
                <w:szCs w:val="18"/>
              </w:rPr>
              <w:t xml:space="preserve">Services to my home and business are safe, </w:t>
            </w:r>
            <w:proofErr w:type="gramStart"/>
            <w:r w:rsidRPr="00415870">
              <w:rPr>
                <w:color w:val="1A206C" w:themeColor="text2"/>
                <w:sz w:val="18"/>
                <w:szCs w:val="18"/>
              </w:rPr>
              <w:t>reliable</w:t>
            </w:r>
            <w:proofErr w:type="gramEnd"/>
            <w:r w:rsidRPr="00415870">
              <w:rPr>
                <w:color w:val="1A206C" w:themeColor="text2"/>
                <w:sz w:val="18"/>
                <w:szCs w:val="18"/>
              </w:rPr>
              <w:t xml:space="preserve"> and efficiently managed</w:t>
            </w:r>
          </w:p>
        </w:tc>
        <w:tc>
          <w:tcPr>
            <w:tcW w:w="653" w:type="pct"/>
            <w:tcBorders>
              <w:top w:val="single" w:sz="8" w:space="0" w:color="1A206C" w:themeColor="text2"/>
              <w:bottom w:val="single" w:sz="8" w:space="0" w:color="1A206C" w:themeColor="text2"/>
            </w:tcBorders>
            <w:shd w:val="clear" w:color="auto" w:fill="FFEBAB"/>
            <w:vAlign w:val="center"/>
            <w:hideMark/>
          </w:tcPr>
          <w:p w14:paraId="638A2FCE"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4758E095"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37AC9071"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722E107F"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6C3BC2FB"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4BB41849" w14:textId="77777777" w:rsidR="00203883" w:rsidRPr="00F42C1A" w:rsidRDefault="00203883" w:rsidP="006464D3">
            <w:pPr>
              <w:jc w:val="center"/>
              <w:rPr>
                <w:b/>
                <w:sz w:val="18"/>
                <w:szCs w:val="18"/>
              </w:rPr>
            </w:pPr>
            <w:r w:rsidRPr="00F42C1A">
              <w:rPr>
                <w:b/>
                <w:sz w:val="18"/>
                <w:szCs w:val="18"/>
              </w:rPr>
              <w:t>On track</w:t>
            </w:r>
          </w:p>
        </w:tc>
      </w:tr>
      <w:tr w:rsidR="00203883" w:rsidRPr="00F542BC" w14:paraId="701EE363"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48ABD72A" w14:textId="14771835" w:rsidR="00203883" w:rsidRPr="00415870" w:rsidRDefault="00203883">
            <w:pPr>
              <w:rPr>
                <w:color w:val="1A206C" w:themeColor="text2"/>
                <w:sz w:val="18"/>
                <w:szCs w:val="18"/>
              </w:rPr>
            </w:pPr>
            <w:r w:rsidRPr="00415870">
              <w:rPr>
                <w:color w:val="1A206C" w:themeColor="text2"/>
                <w:sz w:val="18"/>
                <w:szCs w:val="18"/>
              </w:rPr>
              <w:t xml:space="preserve">Customer service is </w:t>
            </w:r>
            <w:proofErr w:type="gramStart"/>
            <w:r w:rsidRPr="00415870">
              <w:rPr>
                <w:color w:val="1A206C" w:themeColor="text2"/>
                <w:sz w:val="18"/>
                <w:szCs w:val="18"/>
              </w:rPr>
              <w:t>accessible</w:t>
            </w:r>
            <w:proofErr w:type="gramEnd"/>
            <w:r w:rsidRPr="00415870">
              <w:rPr>
                <w:color w:val="1A206C" w:themeColor="text2"/>
                <w:sz w:val="18"/>
                <w:szCs w:val="18"/>
              </w:rPr>
              <w:t xml:space="preserve"> and my enquiries are resolved promptly</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036A34DD"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C7AA428"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27F849E8"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B3805AC"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tcPr>
          <w:p w14:paraId="2F3E80C3" w14:textId="1D54C729" w:rsidR="00203883" w:rsidRPr="00C80766" w:rsidRDefault="009D1295"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0BDE7443" w14:textId="77777777" w:rsidR="00203883" w:rsidRPr="00F42C1A" w:rsidRDefault="00203883" w:rsidP="006464D3">
            <w:pPr>
              <w:jc w:val="center"/>
              <w:rPr>
                <w:b/>
                <w:sz w:val="18"/>
                <w:szCs w:val="18"/>
              </w:rPr>
            </w:pPr>
            <w:r w:rsidRPr="00F42C1A">
              <w:rPr>
                <w:b/>
                <w:sz w:val="18"/>
                <w:szCs w:val="18"/>
              </w:rPr>
              <w:t>Met</w:t>
            </w:r>
          </w:p>
        </w:tc>
      </w:tr>
      <w:tr w:rsidR="00203883" w:rsidRPr="00F542BC" w14:paraId="13C1FDAF"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6C063DE1" w14:textId="37E85B15" w:rsidR="00203883" w:rsidRPr="00415870" w:rsidRDefault="00203883">
            <w:pPr>
              <w:rPr>
                <w:color w:val="1A206C" w:themeColor="text2"/>
                <w:sz w:val="18"/>
                <w:szCs w:val="18"/>
              </w:rPr>
            </w:pPr>
            <w:r w:rsidRPr="00415870">
              <w:rPr>
                <w:color w:val="1A206C" w:themeColor="text2"/>
                <w:sz w:val="18"/>
                <w:szCs w:val="18"/>
              </w:rPr>
              <w:t>Billing and payment options are efficient and convenient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4680D6C0"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7BB60E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4A80B5D6"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9BDBF" w:themeFill="accent6" w:themeFillTint="66"/>
            <w:vAlign w:val="center"/>
          </w:tcPr>
          <w:p w14:paraId="46CCB69F" w14:textId="77777777" w:rsidR="00203883" w:rsidRPr="00C80766" w:rsidRDefault="00203883" w:rsidP="006464D3">
            <w:pPr>
              <w:jc w:val="center"/>
              <w:rPr>
                <w:sz w:val="18"/>
                <w:szCs w:val="18"/>
              </w:rPr>
            </w:pPr>
            <w:r w:rsidRPr="00C80766">
              <w:rPr>
                <w:sz w:val="18"/>
                <w:szCs w:val="18"/>
              </w:rPr>
              <w:t>Not yet met</w:t>
            </w:r>
          </w:p>
        </w:tc>
        <w:tc>
          <w:tcPr>
            <w:tcW w:w="653" w:type="pct"/>
            <w:tcBorders>
              <w:top w:val="single" w:sz="8" w:space="0" w:color="1A206C" w:themeColor="text2"/>
              <w:bottom w:val="single" w:sz="8" w:space="0" w:color="1A206C" w:themeColor="text2"/>
            </w:tcBorders>
            <w:shd w:val="clear" w:color="auto" w:fill="F9BDBF" w:themeFill="accent6" w:themeFillTint="66"/>
            <w:vAlign w:val="center"/>
          </w:tcPr>
          <w:p w14:paraId="3686D079" w14:textId="77777777" w:rsidR="00203883" w:rsidRPr="00C80766" w:rsidRDefault="00203883" w:rsidP="006464D3">
            <w:pPr>
              <w:jc w:val="center"/>
              <w:rPr>
                <w:sz w:val="18"/>
                <w:szCs w:val="18"/>
              </w:rPr>
            </w:pPr>
            <w:r w:rsidRPr="00C80766">
              <w:rPr>
                <w:sz w:val="18"/>
                <w:szCs w:val="18"/>
              </w:rPr>
              <w:t>Not yet met</w:t>
            </w:r>
          </w:p>
        </w:tc>
        <w:tc>
          <w:tcPr>
            <w:tcW w:w="653" w:type="pct"/>
            <w:tcBorders>
              <w:top w:val="single" w:sz="8" w:space="0" w:color="1A206C" w:themeColor="text2"/>
              <w:bottom w:val="single" w:sz="8" w:space="0" w:color="1A206C" w:themeColor="text2"/>
            </w:tcBorders>
            <w:shd w:val="clear" w:color="auto" w:fill="FFEBAB"/>
            <w:vAlign w:val="center"/>
          </w:tcPr>
          <w:p w14:paraId="6CF87C35" w14:textId="7A33C17A" w:rsidR="00203883" w:rsidRPr="00F42C1A" w:rsidRDefault="009D1295" w:rsidP="006464D3">
            <w:pPr>
              <w:jc w:val="center"/>
              <w:rPr>
                <w:b/>
                <w:sz w:val="18"/>
                <w:szCs w:val="18"/>
              </w:rPr>
            </w:pPr>
            <w:r w:rsidRPr="00F42C1A">
              <w:rPr>
                <w:b/>
                <w:sz w:val="18"/>
                <w:szCs w:val="18"/>
              </w:rPr>
              <w:t>On track</w:t>
            </w:r>
          </w:p>
        </w:tc>
      </w:tr>
      <w:tr w:rsidR="00203883" w:rsidRPr="00F542BC" w14:paraId="30CEADFD"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142DE2F1" w14:textId="67FB0673" w:rsidR="00203883" w:rsidRPr="00415870" w:rsidRDefault="00203883">
            <w:pPr>
              <w:rPr>
                <w:color w:val="1A206C" w:themeColor="text2"/>
                <w:sz w:val="18"/>
                <w:szCs w:val="18"/>
              </w:rPr>
            </w:pPr>
            <w:r w:rsidRPr="00415870">
              <w:rPr>
                <w:color w:val="1A206C" w:themeColor="text2"/>
                <w:sz w:val="18"/>
                <w:szCs w:val="18"/>
              </w:rPr>
              <w:t>Customers in hardship are supported</w:t>
            </w:r>
          </w:p>
        </w:tc>
        <w:tc>
          <w:tcPr>
            <w:tcW w:w="653" w:type="pct"/>
            <w:tcBorders>
              <w:top w:val="single" w:sz="8" w:space="0" w:color="1A206C" w:themeColor="text2"/>
              <w:bottom w:val="single" w:sz="8" w:space="0" w:color="1A206C" w:themeColor="text2"/>
            </w:tcBorders>
            <w:shd w:val="clear" w:color="auto" w:fill="D7EAB4" w:themeFill="accent4" w:themeFillTint="66"/>
            <w:vAlign w:val="center"/>
            <w:hideMark/>
          </w:tcPr>
          <w:p w14:paraId="3F67EC27"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10DB5B47"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4A4974BB"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F0FFDC6"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tcPr>
          <w:p w14:paraId="23879EF3" w14:textId="33697084" w:rsidR="00203883" w:rsidRPr="00C80766" w:rsidRDefault="009D1295"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24E99A3C" w14:textId="77777777" w:rsidR="00203883" w:rsidRPr="00F42C1A" w:rsidRDefault="00203883" w:rsidP="006464D3">
            <w:pPr>
              <w:jc w:val="center"/>
              <w:rPr>
                <w:b/>
                <w:sz w:val="18"/>
                <w:szCs w:val="18"/>
              </w:rPr>
            </w:pPr>
            <w:r w:rsidRPr="00F42C1A">
              <w:rPr>
                <w:b/>
                <w:sz w:val="18"/>
                <w:szCs w:val="18"/>
              </w:rPr>
              <w:t>Met</w:t>
            </w:r>
          </w:p>
        </w:tc>
      </w:tr>
      <w:tr w:rsidR="00203883" w:rsidRPr="00F542BC" w14:paraId="4B3351DF" w14:textId="77777777" w:rsidTr="00D62FA2">
        <w:trPr>
          <w:trHeight w:val="680"/>
        </w:trPr>
        <w:tc>
          <w:tcPr>
            <w:tcW w:w="1081" w:type="pct"/>
            <w:tcBorders>
              <w:top w:val="single" w:sz="8" w:space="0" w:color="1A206C" w:themeColor="text2"/>
              <w:bottom w:val="single" w:sz="8" w:space="0" w:color="1A206C" w:themeColor="text2"/>
            </w:tcBorders>
            <w:vAlign w:val="center"/>
            <w:hideMark/>
          </w:tcPr>
          <w:p w14:paraId="03F5939D" w14:textId="2433511B" w:rsidR="00203883" w:rsidRPr="00415870" w:rsidRDefault="00203883">
            <w:pPr>
              <w:rPr>
                <w:color w:val="1A206C" w:themeColor="text2"/>
                <w:sz w:val="18"/>
                <w:szCs w:val="18"/>
              </w:rPr>
            </w:pPr>
            <w:r w:rsidRPr="00415870">
              <w:rPr>
                <w:color w:val="1A206C" w:themeColor="text2"/>
                <w:sz w:val="18"/>
                <w:szCs w:val="18"/>
              </w:rPr>
              <w:t>The whole of the water cycle is managed in an environmentally sustainable way</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F2C933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C17E8F6"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C5112AF"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D46C45F"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EE87A0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79D5E31" w14:textId="77777777" w:rsidR="00203883" w:rsidRPr="00F42C1A" w:rsidRDefault="00203883" w:rsidP="006464D3">
            <w:pPr>
              <w:jc w:val="center"/>
              <w:rPr>
                <w:b/>
                <w:sz w:val="18"/>
                <w:szCs w:val="18"/>
              </w:rPr>
            </w:pPr>
            <w:r w:rsidRPr="00F42C1A">
              <w:rPr>
                <w:b/>
                <w:sz w:val="18"/>
                <w:szCs w:val="18"/>
              </w:rPr>
              <w:t>Met</w:t>
            </w:r>
          </w:p>
        </w:tc>
      </w:tr>
      <w:tr w:rsidR="00203883" w:rsidRPr="00F542BC" w14:paraId="0B5A2436"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0AD8AA36" w14:textId="5FBB3ECA" w:rsidR="00203883" w:rsidRPr="00415870" w:rsidRDefault="00203883">
            <w:pPr>
              <w:rPr>
                <w:color w:val="1A206C" w:themeColor="text2"/>
                <w:sz w:val="18"/>
                <w:szCs w:val="18"/>
              </w:rPr>
            </w:pPr>
            <w:r w:rsidRPr="00415870">
              <w:rPr>
                <w:color w:val="1A206C" w:themeColor="text2"/>
                <w:sz w:val="18"/>
                <w:szCs w:val="18"/>
              </w:rPr>
              <w:t>We are a valued partner in servicing a growing Melbourne</w:t>
            </w:r>
          </w:p>
        </w:tc>
        <w:tc>
          <w:tcPr>
            <w:tcW w:w="653" w:type="pct"/>
            <w:tcBorders>
              <w:top w:val="single" w:sz="8" w:space="0" w:color="1A206C" w:themeColor="text2"/>
              <w:bottom w:val="single" w:sz="8" w:space="0" w:color="1A206C" w:themeColor="text2"/>
            </w:tcBorders>
            <w:shd w:val="clear" w:color="auto" w:fill="FFEBAB"/>
            <w:vAlign w:val="center"/>
            <w:hideMark/>
          </w:tcPr>
          <w:p w14:paraId="3506970F"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58DDF230"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55A1102D"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EF6680A"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E020B5E"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F7AF6C7" w14:textId="77777777" w:rsidR="00203883" w:rsidRPr="00F42C1A" w:rsidRDefault="00203883" w:rsidP="006464D3">
            <w:pPr>
              <w:jc w:val="center"/>
              <w:rPr>
                <w:b/>
                <w:sz w:val="18"/>
                <w:szCs w:val="18"/>
              </w:rPr>
            </w:pPr>
            <w:r w:rsidRPr="00F42C1A">
              <w:rPr>
                <w:b/>
                <w:sz w:val="18"/>
                <w:szCs w:val="18"/>
              </w:rPr>
              <w:t>Met</w:t>
            </w:r>
          </w:p>
        </w:tc>
      </w:tr>
      <w:tr w:rsidR="00203883" w:rsidRPr="00F542BC" w14:paraId="4C551552" w14:textId="77777777" w:rsidTr="006C53C9">
        <w:trPr>
          <w:trHeight w:val="567"/>
        </w:trPr>
        <w:tc>
          <w:tcPr>
            <w:tcW w:w="1081" w:type="pct"/>
            <w:tcBorders>
              <w:top w:val="single" w:sz="8" w:space="0" w:color="1A206C" w:themeColor="text2"/>
              <w:bottom w:val="single" w:sz="8" w:space="0" w:color="1A206C" w:themeColor="text2"/>
            </w:tcBorders>
            <w:vAlign w:val="center"/>
            <w:hideMark/>
          </w:tcPr>
          <w:p w14:paraId="1C2BDF05" w14:textId="2D64BE40" w:rsidR="00203883" w:rsidRPr="00415870" w:rsidRDefault="00203883">
            <w:pPr>
              <w:rPr>
                <w:b/>
                <w:color w:val="1A206C" w:themeColor="text2"/>
                <w:sz w:val="18"/>
                <w:szCs w:val="18"/>
              </w:rPr>
            </w:pPr>
            <w:r w:rsidRPr="00415870">
              <w:rPr>
                <w:b/>
                <w:color w:val="1A206C" w:themeColor="text2"/>
                <w:sz w:val="18"/>
                <w:szCs w:val="18"/>
              </w:rPr>
              <w:t>Overall</w:t>
            </w:r>
          </w:p>
        </w:tc>
        <w:tc>
          <w:tcPr>
            <w:tcW w:w="653" w:type="pct"/>
            <w:tcBorders>
              <w:top w:val="single" w:sz="8" w:space="0" w:color="1A206C" w:themeColor="text2"/>
              <w:bottom w:val="single" w:sz="8" w:space="0" w:color="1A206C" w:themeColor="text2"/>
            </w:tcBorders>
            <w:shd w:val="clear" w:color="auto" w:fill="D7EAB4" w:themeFill="accent4" w:themeFillTint="66"/>
            <w:vAlign w:val="center"/>
            <w:hideMark/>
          </w:tcPr>
          <w:p w14:paraId="5A178D85" w14:textId="77777777" w:rsidR="00203883" w:rsidRPr="00F42C1A" w:rsidRDefault="00203883" w:rsidP="006464D3">
            <w:pPr>
              <w:jc w:val="center"/>
              <w:rPr>
                <w:b/>
                <w:sz w:val="18"/>
                <w:szCs w:val="18"/>
              </w:rPr>
            </w:pPr>
            <w:r w:rsidRPr="00F42C1A">
              <w:rPr>
                <w:b/>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549D04D3"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26CF06DE"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6F4741EC"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1BB8DB52"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1DC29183" w14:textId="77777777" w:rsidR="00203883" w:rsidRPr="00F42C1A" w:rsidRDefault="00203883" w:rsidP="006464D3">
            <w:pPr>
              <w:jc w:val="center"/>
              <w:rPr>
                <w:b/>
                <w:sz w:val="18"/>
                <w:szCs w:val="18"/>
              </w:rPr>
            </w:pPr>
            <w:r w:rsidRPr="00F42C1A">
              <w:rPr>
                <w:b/>
                <w:sz w:val="18"/>
                <w:szCs w:val="18"/>
              </w:rPr>
              <w:t>On track</w:t>
            </w:r>
          </w:p>
        </w:tc>
      </w:tr>
    </w:tbl>
    <w:p w14:paraId="38D7B64C" w14:textId="77777777" w:rsidR="00203883" w:rsidRDefault="00203883" w:rsidP="00C9080B"/>
    <w:p w14:paraId="19929AC6" w14:textId="4023CF62" w:rsidR="00C9080B" w:rsidRPr="00C9080B" w:rsidRDefault="00C9080B" w:rsidP="00C9080B">
      <w:r w:rsidRPr="00C9080B">
        <w:t xml:space="preserve">As an ‘advanced’ rated price submission, we set ourselves stretch targets to achieve by the end of our regulatory period. Despite the challenges presented by the high growth, pandemic impacts, and integration, we largely met the customer outcomes proposed in CWW’s 2018 price submission. We fell short on measures that were directly impacted by the pandemic or integration that were unforeseeable and outside of our control at the time of our 2018 price submission. </w:t>
      </w:r>
    </w:p>
    <w:p w14:paraId="5C8AEBC8" w14:textId="77777777" w:rsidR="00C9080B" w:rsidRPr="00C9080B" w:rsidRDefault="00C9080B" w:rsidP="00C9080B">
      <w:r w:rsidRPr="00C9080B">
        <w:t xml:space="preserve">We met and/or exceeded in: </w:t>
      </w:r>
    </w:p>
    <w:p w14:paraId="788BEE58" w14:textId="77777777" w:rsidR="00C9080B" w:rsidRPr="00C9080B" w:rsidRDefault="00C9080B">
      <w:pPr>
        <w:pStyle w:val="ListBullet"/>
        <w:numPr>
          <w:ilvl w:val="0"/>
          <w:numId w:val="31"/>
        </w:numPr>
      </w:pPr>
      <w:proofErr w:type="gramStart"/>
      <w:r w:rsidRPr="00C9080B">
        <w:t>delivering safe and compliant potable water to our customers at all times</w:t>
      </w:r>
      <w:proofErr w:type="gramEnd"/>
      <w:r w:rsidRPr="00C9080B">
        <w:t xml:space="preserve"> with a high level of satisfaction on water quality and ensured no customers received extreme levels of water and sewer interruptions. (</w:t>
      </w:r>
      <w:proofErr w:type="gramStart"/>
      <w:r w:rsidRPr="00C9080B">
        <w:t>outcome</w:t>
      </w:r>
      <w:proofErr w:type="gramEnd"/>
      <w:r w:rsidRPr="00C9080B">
        <w:t xml:space="preserve"> 1)</w:t>
      </w:r>
    </w:p>
    <w:p w14:paraId="2B439AE5" w14:textId="77777777" w:rsidR="00C9080B" w:rsidRPr="00C9080B" w:rsidRDefault="00C9080B">
      <w:pPr>
        <w:pStyle w:val="ListBullet"/>
        <w:numPr>
          <w:ilvl w:val="0"/>
          <w:numId w:val="31"/>
        </w:numPr>
      </w:pPr>
      <w:r w:rsidRPr="00C9080B">
        <w:t xml:space="preserve">delivering reliable sewerage services and responding quickly to sewerage incidents (outcome 1) </w:t>
      </w:r>
    </w:p>
    <w:p w14:paraId="5B9A1B3B" w14:textId="77777777" w:rsidR="00C9080B" w:rsidRPr="00C9080B" w:rsidRDefault="00C9080B">
      <w:pPr>
        <w:pStyle w:val="ListBullet"/>
        <w:numPr>
          <w:ilvl w:val="0"/>
          <w:numId w:val="31"/>
        </w:numPr>
      </w:pPr>
      <w:r w:rsidRPr="00C9080B">
        <w:lastRenderedPageBreak/>
        <w:t xml:space="preserve">responding to calls quickly and resolving issues upon first contact with all correspondence responded to within 1 business day and over 95% of calls resolved upon first contact (outcome 2) </w:t>
      </w:r>
    </w:p>
    <w:p w14:paraId="421390AF" w14:textId="77777777" w:rsidR="00C9080B" w:rsidRPr="00C9080B" w:rsidRDefault="00C9080B">
      <w:pPr>
        <w:pStyle w:val="ListBullet"/>
        <w:numPr>
          <w:ilvl w:val="0"/>
          <w:numId w:val="31"/>
        </w:numPr>
      </w:pPr>
      <w:r w:rsidRPr="00C9080B">
        <w:t xml:space="preserve">supporting our customers through tailored hardship provisions (outcome 4) </w:t>
      </w:r>
    </w:p>
    <w:p w14:paraId="054E87E5" w14:textId="77777777" w:rsidR="00C9080B" w:rsidRPr="00C9080B" w:rsidRDefault="00C9080B">
      <w:pPr>
        <w:pStyle w:val="ListBullet"/>
        <w:numPr>
          <w:ilvl w:val="0"/>
          <w:numId w:val="31"/>
        </w:numPr>
      </w:pPr>
      <w:r w:rsidRPr="00C9080B">
        <w:t xml:space="preserve">managing our treatment and disposal of sewage in a safe and compliant manner with our emergency relief structures consistently compliant and no EPA discharge non-compliances (outcome 5) </w:t>
      </w:r>
    </w:p>
    <w:p w14:paraId="30C00960" w14:textId="77777777" w:rsidR="00C9080B" w:rsidRPr="00C9080B" w:rsidRDefault="00C9080B">
      <w:pPr>
        <w:pStyle w:val="ListBullet"/>
        <w:numPr>
          <w:ilvl w:val="0"/>
          <w:numId w:val="31"/>
        </w:numPr>
      </w:pPr>
      <w:r w:rsidRPr="00C9080B">
        <w:t xml:space="preserve">limiting the impacts on the environment by reducing emissions towards our net zero emissions targets (outcome 5) </w:t>
      </w:r>
    </w:p>
    <w:p w14:paraId="52346FA8" w14:textId="77777777" w:rsidR="00C9080B" w:rsidRPr="00C9080B" w:rsidRDefault="00C9080B">
      <w:pPr>
        <w:pStyle w:val="ListBullet"/>
        <w:numPr>
          <w:ilvl w:val="0"/>
          <w:numId w:val="31"/>
        </w:numPr>
      </w:pPr>
      <w:r w:rsidRPr="00C9080B">
        <w:t xml:space="preserve">securing future water resources and improving community amenity and wellbeing by funding 14 stormwater partnerships to the community (outcome 5) </w:t>
      </w:r>
    </w:p>
    <w:p w14:paraId="40AC5A52" w14:textId="77777777" w:rsidR="00C9080B" w:rsidRPr="00C9080B" w:rsidRDefault="00C9080B">
      <w:pPr>
        <w:pStyle w:val="ListBullet"/>
        <w:numPr>
          <w:ilvl w:val="0"/>
          <w:numId w:val="31"/>
        </w:numPr>
      </w:pPr>
      <w:r w:rsidRPr="00C9080B">
        <w:t xml:space="preserve">supporting a growing Melbourne by improving application turnaround times and information for developers (outcome 6). </w:t>
      </w:r>
    </w:p>
    <w:p w14:paraId="2F11D0E9" w14:textId="2434B929" w:rsidR="00C9080B" w:rsidRPr="00C9080B" w:rsidRDefault="00C9080B" w:rsidP="00C9080B">
      <w:r w:rsidRPr="00C9080B">
        <w:t xml:space="preserve">We fell short in: </w:t>
      </w:r>
    </w:p>
    <w:p w14:paraId="3777E950" w14:textId="4783F8E7" w:rsidR="00C9080B" w:rsidRPr="00C9080B" w:rsidRDefault="001F64AA">
      <w:pPr>
        <w:pStyle w:val="ListBullet"/>
        <w:numPr>
          <w:ilvl w:val="0"/>
          <w:numId w:val="32"/>
        </w:numPr>
      </w:pPr>
      <w:r>
        <w:t>R</w:t>
      </w:r>
      <w:r w:rsidR="00C9080B" w:rsidRPr="00C9080B">
        <w:t>esponding and rectifying as fast as we had set to water supply interruptions</w:t>
      </w:r>
      <w:r>
        <w:t xml:space="preserve"> </w:t>
      </w:r>
      <w:r w:rsidR="00C9080B" w:rsidRPr="00C9080B">
        <w:t>however</w:t>
      </w:r>
      <w:r>
        <w:t>,</w:t>
      </w:r>
      <w:r w:rsidR="00C9080B" w:rsidRPr="00C9080B">
        <w:t xml:space="preserve"> we still managed to rectify 95% of all planned interruptions within 5 hours over the period (outcome 1). By 2022-23, we saw an increase in the number of </w:t>
      </w:r>
      <w:proofErr w:type="gramStart"/>
      <w:r w:rsidR="00C9080B" w:rsidRPr="00C9080B">
        <w:t>complex</w:t>
      </w:r>
      <w:proofErr w:type="gramEnd"/>
      <w:r w:rsidR="00C9080B" w:rsidRPr="00C9080B">
        <w:t xml:space="preserve"> burst and leaks which took more than five hours to repair. We are currently reviewing our asset management plans to target areas at greatest risk of interruptions and investing in proactive and renewal programs so interruptions do not become more frequent.</w:t>
      </w:r>
    </w:p>
    <w:p w14:paraId="0E3E67E6" w14:textId="782B16AE" w:rsidR="00C9080B" w:rsidRPr="00C9080B" w:rsidRDefault="001F64AA">
      <w:pPr>
        <w:pStyle w:val="ListBullet"/>
        <w:numPr>
          <w:ilvl w:val="0"/>
          <w:numId w:val="32"/>
        </w:numPr>
      </w:pPr>
      <w:r>
        <w:t>E</w:t>
      </w:r>
      <w:r w:rsidR="00C9080B" w:rsidRPr="00C9080B">
        <w:t>nsuring customers were satisfied with our services when we responded to an enquiry or complaint (outcome 2). We saw a decline in customer satisfaction in 2022-23 driven about concerns about being able to pay for bills with a rise in complaints relating to financial pressures on households and small businesses. Staff retention also exacerbated poorer customer satisfaction to our responses due to slower response times. We are currently working on a new billing system that will give customers more control over their bill but also allow for staff to provide more direct customer support. We anticipate customer satisfaction to improve over time as we increase our capacity to better provide customer support.</w:t>
      </w:r>
    </w:p>
    <w:p w14:paraId="0B24A120" w14:textId="585DFF63" w:rsidR="00C9080B" w:rsidRPr="00C9080B" w:rsidRDefault="001F64AA">
      <w:pPr>
        <w:pStyle w:val="ListBullet"/>
        <w:numPr>
          <w:ilvl w:val="0"/>
          <w:numId w:val="32"/>
        </w:numPr>
      </w:pPr>
      <w:r>
        <w:t>E</w:t>
      </w:r>
      <w:r w:rsidR="00C9080B" w:rsidRPr="00C9080B">
        <w:t xml:space="preserve">nsuring our billing and payment options were simple, </w:t>
      </w:r>
      <w:proofErr w:type="gramStart"/>
      <w:r w:rsidR="00C9080B" w:rsidRPr="00C9080B">
        <w:t>efficient</w:t>
      </w:r>
      <w:proofErr w:type="gramEnd"/>
      <w:r w:rsidR="00C9080B" w:rsidRPr="00C9080B">
        <w:t xml:space="preserve"> and convenient including accurately measuring our customer’s meters (outcome 3). We saw the number of estimated meter reads increase dramatically in 2019-20 to 2021-22 driven by the pandemic and restrictions. Subsequently we observed a rise in payment and bill complaints after the pandemic driven by the corrections to bills as we were able to read meters accurately as well as the increase in complaints in 2022-23 due to financial pressures noted above. We also paused active promotion of our online accounts functionalities as we integrated and rescoped our billings replacement system. We anticipate that we will return to the low pre-pandemic levels of estimated meter reads for billing purposes. We also </w:t>
      </w:r>
      <w:r w:rsidRPr="00C9080B">
        <w:t>anticipate</w:t>
      </w:r>
      <w:r w:rsidR="00C9080B" w:rsidRPr="00C9080B">
        <w:t xml:space="preserve"> that as we roll out our new billing system, we will deliver better billing and payment experiences for our customers.</w:t>
      </w:r>
    </w:p>
    <w:p w14:paraId="1745EF71" w14:textId="0E163B3E" w:rsidR="00C9080B" w:rsidRPr="00C9080B" w:rsidRDefault="00C9080B">
      <w:pPr>
        <w:pStyle w:val="ListBullet"/>
        <w:numPr>
          <w:ilvl w:val="0"/>
          <w:numId w:val="32"/>
        </w:numPr>
      </w:pPr>
      <w:r w:rsidRPr="00C9080B">
        <w:t xml:space="preserve">Ensuring we limited water loss from our network (outcome 5). We observed an increase to water loss from our network by 2022-23, which was driven by ageing customer water meters within our water supply network. Replacement of these meters has been delayed and has contributed to a </w:t>
      </w:r>
      <w:proofErr w:type="gramStart"/>
      <w:r w:rsidRPr="00C9080B">
        <w:t>higher than expected</w:t>
      </w:r>
      <w:proofErr w:type="gramEnd"/>
      <w:r w:rsidRPr="00C9080B">
        <w:t xml:space="preserve"> water loss. We are ramping up our meter replacement program to target our oldest meters as a priority. We continue to develop and improve our asset management plans, plan and </w:t>
      </w:r>
      <w:r w:rsidRPr="00C9080B">
        <w:lastRenderedPageBreak/>
        <w:t>construct water main renewals, trial leak detection technology, and undertake targeted leak surveys. We are also working with Melbourne Water to ensure measurements at our bulk meter points are accurate. These actions will allow us to reduce the volume of water loss from our network over time.</w:t>
      </w:r>
    </w:p>
    <w:p w14:paraId="35E27DE5" w14:textId="77777777" w:rsidR="00C9080B" w:rsidRPr="00C9080B" w:rsidRDefault="00C9080B" w:rsidP="00C9080B">
      <w:r w:rsidRPr="00C9080B">
        <w:t>We self-assessed our overall performance on our outcomes for the entire regulatory period as amber.</w:t>
      </w:r>
    </w:p>
    <w:p w14:paraId="4D047FF3" w14:textId="77777777" w:rsidR="00D446B9" w:rsidRPr="00B6144A" w:rsidRDefault="0038581F" w:rsidP="005B69CD">
      <w:pPr>
        <w:pStyle w:val="Heading3"/>
      </w:pPr>
      <w:r w:rsidRPr="005C76AB">
        <w:t xml:space="preserve">Western </w:t>
      </w:r>
      <w:r w:rsidRPr="003B07FA">
        <w:t>Water</w:t>
      </w:r>
      <w:r w:rsidRPr="005C76AB">
        <w:t xml:space="preserve"> customer outcomes</w:t>
      </w:r>
      <w:bookmarkStart w:id="280" w:name="_Ref143523948"/>
    </w:p>
    <w:bookmarkStart w:id="281" w:name="_Ref146358567"/>
    <w:p w14:paraId="7430E54F" w14:textId="4B99E83D" w:rsidR="00B6144A" w:rsidRDefault="00DF72B2" w:rsidP="00B6144A">
      <w:r>
        <w:fldChar w:fldCharType="begin"/>
      </w:r>
      <w:r>
        <w:instrText xml:space="preserve"> REF _Ref146546970 \h </w:instrText>
      </w:r>
      <w:r>
        <w:fldChar w:fldCharType="separate"/>
      </w:r>
      <w:r w:rsidR="003B42C6" w:rsidRPr="00D62FA2">
        <w:rPr>
          <w:b/>
        </w:rPr>
        <w:t xml:space="preserve">Table </w:t>
      </w:r>
      <w:r w:rsidR="003B42C6">
        <w:rPr>
          <w:b/>
          <w:noProof/>
        </w:rPr>
        <w:t>57</w:t>
      </w:r>
      <w:r>
        <w:fldChar w:fldCharType="end"/>
      </w:r>
      <w:r w:rsidR="003379DD">
        <w:t xml:space="preserve"> </w:t>
      </w:r>
      <w:r w:rsidR="00B6144A" w:rsidRPr="00B6144A">
        <w:t>presents the five customer outcomes that represented what mattered most to customers previously serviced by WW for 2018-24</w:t>
      </w:r>
      <w:r w:rsidR="00052349">
        <w:t>.</w:t>
      </w:r>
      <w:r w:rsidR="0084356A" w:rsidRPr="00B6144A">
        <w:rPr>
          <w:vertAlign w:val="superscript"/>
        </w:rPr>
        <w:endnoteReference w:id="24"/>
      </w:r>
      <w:r w:rsidR="0084356A" w:rsidRPr="00B6144A">
        <w:t xml:space="preserve"> </w:t>
      </w:r>
      <w:r w:rsidR="00B6144A" w:rsidRPr="00B6144A">
        <w:t>Underpinning our customer outcomes were a set of 21 measures used to assess our performance.</w:t>
      </w:r>
    </w:p>
    <w:p w14:paraId="5A1FBBA0" w14:textId="28E0BF2D" w:rsidR="0038581F" w:rsidRDefault="0038581F" w:rsidP="00B6144A">
      <w:pPr>
        <w:pStyle w:val="Caption"/>
      </w:pPr>
      <w:bookmarkStart w:id="282" w:name="_Ref146546970"/>
      <w:r w:rsidRPr="00D62FA2">
        <w:rPr>
          <w:b/>
        </w:rPr>
        <w:t xml:space="preserve">Table </w:t>
      </w:r>
      <w:r w:rsidRPr="00D62FA2">
        <w:rPr>
          <w:b/>
        </w:rPr>
        <w:fldChar w:fldCharType="begin"/>
      </w:r>
      <w:r w:rsidRPr="00D62FA2">
        <w:rPr>
          <w:b/>
        </w:rPr>
        <w:instrText>SEQ Table \* ARABIC</w:instrText>
      </w:r>
      <w:r w:rsidRPr="00D62FA2">
        <w:rPr>
          <w:b/>
        </w:rPr>
        <w:fldChar w:fldCharType="separate"/>
      </w:r>
      <w:r w:rsidR="003B42C6">
        <w:rPr>
          <w:b/>
          <w:noProof/>
        </w:rPr>
        <w:t>57</w:t>
      </w:r>
      <w:r w:rsidRPr="00D62FA2">
        <w:rPr>
          <w:b/>
        </w:rPr>
        <w:fldChar w:fldCharType="end"/>
      </w:r>
      <w:bookmarkEnd w:id="280"/>
      <w:bookmarkEnd w:id="281"/>
      <w:bookmarkEnd w:id="282"/>
      <w:r>
        <w:t xml:space="preserve"> Western Water customer outcomes performance </w:t>
      </w:r>
    </w:p>
    <w:tbl>
      <w:tblPr>
        <w:tblStyle w:val="GWWDefaulttable"/>
        <w:tblW w:w="5000" w:type="pct"/>
        <w:tblLook w:val="04A0" w:firstRow="1" w:lastRow="0" w:firstColumn="1" w:lastColumn="0" w:noHBand="0" w:noVBand="1"/>
      </w:tblPr>
      <w:tblGrid>
        <w:gridCol w:w="2036"/>
        <w:gridCol w:w="1276"/>
        <w:gridCol w:w="1276"/>
        <w:gridCol w:w="1276"/>
        <w:gridCol w:w="1276"/>
        <w:gridCol w:w="1276"/>
        <w:gridCol w:w="1222"/>
      </w:tblGrid>
      <w:tr w:rsidR="00296B06" w:rsidRPr="003E5BE9" w14:paraId="0BDEBD6D" w14:textId="77777777" w:rsidTr="00D62FA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6" w:type="pct"/>
            <w:vAlign w:val="center"/>
          </w:tcPr>
          <w:p w14:paraId="1F644F6E" w14:textId="77777777" w:rsidR="00296B06" w:rsidRPr="00F42C1A" w:rsidRDefault="00296B06" w:rsidP="00D62FA2">
            <w:pPr>
              <w:jc w:val="right"/>
              <w:rPr>
                <w:b w:val="0"/>
                <w:szCs w:val="18"/>
              </w:rPr>
            </w:pPr>
          </w:p>
        </w:tc>
        <w:tc>
          <w:tcPr>
            <w:tcW w:w="662" w:type="pct"/>
            <w:vAlign w:val="center"/>
            <w:hideMark/>
          </w:tcPr>
          <w:p w14:paraId="6647FD7C" w14:textId="09E5D0A3"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2018-19</w:t>
            </w:r>
          </w:p>
        </w:tc>
        <w:tc>
          <w:tcPr>
            <w:tcW w:w="662" w:type="pct"/>
            <w:vAlign w:val="center"/>
            <w:hideMark/>
          </w:tcPr>
          <w:p w14:paraId="72D465AC" w14:textId="454EDBFE"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2019-20</w:t>
            </w:r>
          </w:p>
        </w:tc>
        <w:tc>
          <w:tcPr>
            <w:tcW w:w="662" w:type="pct"/>
            <w:vAlign w:val="center"/>
            <w:hideMark/>
          </w:tcPr>
          <w:p w14:paraId="594D5957" w14:textId="49BC0BF5"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2020-21</w:t>
            </w:r>
          </w:p>
        </w:tc>
        <w:tc>
          <w:tcPr>
            <w:tcW w:w="662" w:type="pct"/>
            <w:vAlign w:val="center"/>
            <w:hideMark/>
          </w:tcPr>
          <w:p w14:paraId="07694124" w14:textId="2C6BEBC2"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2021-22</w:t>
            </w:r>
          </w:p>
        </w:tc>
        <w:tc>
          <w:tcPr>
            <w:tcW w:w="662" w:type="pct"/>
            <w:vAlign w:val="center"/>
            <w:hideMark/>
          </w:tcPr>
          <w:p w14:paraId="6BF4B015" w14:textId="2C206368"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2022-23</w:t>
            </w:r>
          </w:p>
        </w:tc>
        <w:tc>
          <w:tcPr>
            <w:tcW w:w="634" w:type="pct"/>
            <w:vAlign w:val="center"/>
            <w:hideMark/>
          </w:tcPr>
          <w:p w14:paraId="251403B3" w14:textId="64D5BF0A" w:rsidR="00296B06" w:rsidRPr="00861CA1" w:rsidRDefault="00296B06" w:rsidP="00D62FA2">
            <w:pPr>
              <w:jc w:val="center"/>
              <w:cnfStyle w:val="100000000000" w:firstRow="1" w:lastRow="0" w:firstColumn="0" w:lastColumn="0" w:oddVBand="0" w:evenVBand="0" w:oddHBand="0" w:evenHBand="0" w:firstRowFirstColumn="0" w:firstRowLastColumn="0" w:lastRowFirstColumn="0" w:lastRowLastColumn="0"/>
              <w:rPr>
                <w:szCs w:val="18"/>
              </w:rPr>
            </w:pPr>
            <w:r w:rsidRPr="00F42C1A">
              <w:rPr>
                <w:szCs w:val="18"/>
              </w:rPr>
              <w:t>Overall</w:t>
            </w:r>
          </w:p>
        </w:tc>
      </w:tr>
      <w:tr w:rsidR="00296B06" w:rsidRPr="003E5BE9" w14:paraId="5C0CBD39"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7B15B870" w14:textId="77777777" w:rsidR="00296B06" w:rsidRPr="00F42C1A" w:rsidRDefault="00296B06">
            <w:pPr>
              <w:rPr>
                <w:b w:val="0"/>
                <w:szCs w:val="18"/>
              </w:rPr>
            </w:pPr>
            <w:r w:rsidRPr="00F42C1A">
              <w:rPr>
                <w:b w:val="0"/>
                <w:szCs w:val="18"/>
              </w:rPr>
              <w:t>Fair and affordable charges for all customers   </w:t>
            </w:r>
          </w:p>
        </w:tc>
        <w:tc>
          <w:tcPr>
            <w:tcW w:w="662" w:type="pct"/>
            <w:shd w:val="clear" w:color="auto" w:fill="D7EAB4" w:themeFill="accent4" w:themeFillTint="66"/>
            <w:vAlign w:val="center"/>
          </w:tcPr>
          <w:p w14:paraId="0B51A996"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56E38D92"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72BB0F13"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0D3E417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28624BEC"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34" w:type="pct"/>
            <w:shd w:val="clear" w:color="auto" w:fill="D7EAB4" w:themeFill="accent4" w:themeFillTint="66"/>
            <w:vAlign w:val="center"/>
          </w:tcPr>
          <w:p w14:paraId="5E076078"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3DD9251D"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6FC4278B" w14:textId="77777777" w:rsidR="00296B06" w:rsidRPr="00F42C1A" w:rsidRDefault="00296B06">
            <w:pPr>
              <w:rPr>
                <w:b w:val="0"/>
                <w:szCs w:val="18"/>
              </w:rPr>
            </w:pPr>
            <w:r w:rsidRPr="00F42C1A">
              <w:rPr>
                <w:b w:val="0"/>
                <w:szCs w:val="18"/>
              </w:rPr>
              <w:t>Reliable, safe services to existing and new customers   </w:t>
            </w:r>
          </w:p>
        </w:tc>
        <w:tc>
          <w:tcPr>
            <w:tcW w:w="662" w:type="pct"/>
            <w:shd w:val="clear" w:color="auto" w:fill="D7EAB4" w:themeFill="accent4" w:themeFillTint="66"/>
            <w:vAlign w:val="center"/>
          </w:tcPr>
          <w:p w14:paraId="532DF8A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25A913EF"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626E759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42A108ED"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36E0505A"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34" w:type="pct"/>
            <w:shd w:val="clear" w:color="auto" w:fill="D7EAB4" w:themeFill="accent4" w:themeFillTint="66"/>
            <w:vAlign w:val="center"/>
          </w:tcPr>
          <w:p w14:paraId="567767E2"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2704F580"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4E71A579" w14:textId="77777777" w:rsidR="00296B06" w:rsidRPr="00F42C1A" w:rsidRDefault="00296B06">
            <w:pPr>
              <w:rPr>
                <w:b w:val="0"/>
                <w:szCs w:val="18"/>
              </w:rPr>
            </w:pPr>
            <w:r w:rsidRPr="00F42C1A">
              <w:rPr>
                <w:b w:val="0"/>
                <w:szCs w:val="18"/>
              </w:rPr>
              <w:t>Innovative approaches to addressing customer needs   </w:t>
            </w:r>
          </w:p>
        </w:tc>
        <w:tc>
          <w:tcPr>
            <w:tcW w:w="662" w:type="pct"/>
            <w:shd w:val="clear" w:color="auto" w:fill="D7EAB4" w:themeFill="accent4" w:themeFillTint="66"/>
            <w:vAlign w:val="center"/>
          </w:tcPr>
          <w:p w14:paraId="78E5E7EC"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26FF483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2A81323B"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3970BE47"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35407027"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34" w:type="pct"/>
            <w:shd w:val="clear" w:color="auto" w:fill="D7EAB4" w:themeFill="accent4" w:themeFillTint="66"/>
            <w:vAlign w:val="center"/>
          </w:tcPr>
          <w:p w14:paraId="041B5127"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1715A8D6" w14:textId="77777777" w:rsidTr="006C53C9">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044AE90D" w14:textId="77777777" w:rsidR="00296B06" w:rsidRPr="00F42C1A" w:rsidRDefault="00296B06">
            <w:pPr>
              <w:rPr>
                <w:b w:val="0"/>
                <w:szCs w:val="18"/>
              </w:rPr>
            </w:pPr>
            <w:r w:rsidRPr="00F42C1A">
              <w:rPr>
                <w:b w:val="0"/>
                <w:szCs w:val="18"/>
              </w:rPr>
              <w:t>Care of the environment   </w:t>
            </w:r>
          </w:p>
        </w:tc>
        <w:tc>
          <w:tcPr>
            <w:tcW w:w="662" w:type="pct"/>
            <w:shd w:val="clear" w:color="auto" w:fill="FFEBAB"/>
            <w:vAlign w:val="center"/>
          </w:tcPr>
          <w:p w14:paraId="48DB3804"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1D00D64F"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442A5AE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27EE57B1"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9BDBF" w:themeFill="accent6" w:themeFillTint="66"/>
            <w:vAlign w:val="center"/>
            <w:hideMark/>
          </w:tcPr>
          <w:p w14:paraId="7DA6D9DE"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Not yet met</w:t>
            </w:r>
          </w:p>
        </w:tc>
        <w:tc>
          <w:tcPr>
            <w:tcW w:w="634" w:type="pct"/>
            <w:shd w:val="clear" w:color="auto" w:fill="F9BDBF" w:themeFill="accent6" w:themeFillTint="66"/>
            <w:vAlign w:val="center"/>
          </w:tcPr>
          <w:p w14:paraId="05011F2D" w14:textId="18E351BC" w:rsidR="00296B06" w:rsidRPr="00F42C1A" w:rsidRDefault="00865068"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Not yet met</w:t>
            </w:r>
          </w:p>
        </w:tc>
      </w:tr>
      <w:tr w:rsidR="00296B06" w:rsidRPr="003E5BE9" w14:paraId="738EE578" w14:textId="77777777" w:rsidTr="006C53C9">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34FAE904" w14:textId="77777777" w:rsidR="00296B06" w:rsidRPr="00F42C1A" w:rsidRDefault="00296B06">
            <w:pPr>
              <w:rPr>
                <w:b w:val="0"/>
                <w:szCs w:val="18"/>
              </w:rPr>
            </w:pPr>
            <w:r w:rsidRPr="00F42C1A">
              <w:rPr>
                <w:b w:val="0"/>
                <w:szCs w:val="18"/>
              </w:rPr>
              <w:t>Sustainable contribution to the community and regional liveability   </w:t>
            </w:r>
          </w:p>
        </w:tc>
        <w:tc>
          <w:tcPr>
            <w:tcW w:w="662" w:type="pct"/>
            <w:shd w:val="clear" w:color="auto" w:fill="D7EAB4" w:themeFill="accent4" w:themeFillTint="66"/>
            <w:vAlign w:val="center"/>
            <w:hideMark/>
          </w:tcPr>
          <w:p w14:paraId="18CA1F0A"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FFEBAB"/>
            <w:vAlign w:val="center"/>
            <w:hideMark/>
          </w:tcPr>
          <w:p w14:paraId="1D157B4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D7EAB4" w:themeFill="accent4" w:themeFillTint="66"/>
            <w:vAlign w:val="center"/>
          </w:tcPr>
          <w:p w14:paraId="5C2738EB"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D7EAB4" w:themeFill="accent4" w:themeFillTint="66"/>
            <w:vAlign w:val="center"/>
          </w:tcPr>
          <w:p w14:paraId="67BF7F5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FFEBAB"/>
            <w:vAlign w:val="center"/>
          </w:tcPr>
          <w:p w14:paraId="38840824" w14:textId="47BF1590" w:rsidR="00296B06" w:rsidRPr="003E5BE9" w:rsidRDefault="003C5CD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34" w:type="pct"/>
            <w:shd w:val="clear" w:color="auto" w:fill="FFEBAB"/>
            <w:vAlign w:val="center"/>
          </w:tcPr>
          <w:p w14:paraId="3C390C05" w14:textId="283CFDD2" w:rsidR="00296B06" w:rsidRPr="00F42C1A" w:rsidRDefault="003C5CD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On track</w:t>
            </w:r>
          </w:p>
        </w:tc>
      </w:tr>
      <w:tr w:rsidR="00296B06" w:rsidRPr="003E5BE9" w14:paraId="61689F0F" w14:textId="77777777" w:rsidTr="00D62FA2">
        <w:trPr>
          <w:trHeight w:val="567"/>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4C061BA3" w14:textId="77777777" w:rsidR="00296B06" w:rsidRPr="00861CA1" w:rsidRDefault="00296B06">
            <w:pPr>
              <w:rPr>
                <w:szCs w:val="18"/>
              </w:rPr>
            </w:pPr>
            <w:r w:rsidRPr="00861CA1">
              <w:rPr>
                <w:bCs/>
                <w:szCs w:val="18"/>
              </w:rPr>
              <w:t>Overall</w:t>
            </w:r>
            <w:r w:rsidRPr="00861CA1">
              <w:rPr>
                <w:szCs w:val="18"/>
              </w:rPr>
              <w:t> </w:t>
            </w:r>
          </w:p>
        </w:tc>
        <w:tc>
          <w:tcPr>
            <w:tcW w:w="662" w:type="pct"/>
            <w:shd w:val="clear" w:color="auto" w:fill="D7EAB4" w:themeFill="accent4" w:themeFillTint="66"/>
            <w:vAlign w:val="center"/>
          </w:tcPr>
          <w:p w14:paraId="215F1D8D"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58FD5BD3"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0AB890F0"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659CEE26"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50691307"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34" w:type="pct"/>
            <w:shd w:val="clear" w:color="auto" w:fill="D7EAB4" w:themeFill="accent4" w:themeFillTint="66"/>
            <w:vAlign w:val="center"/>
          </w:tcPr>
          <w:p w14:paraId="6A0BCA9B"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bl>
    <w:p w14:paraId="755148EA" w14:textId="77777777" w:rsidR="0038581F" w:rsidRPr="00D03714" w:rsidRDefault="0038581F" w:rsidP="00D03714"/>
    <w:p w14:paraId="4A6728A7" w14:textId="1D6B1CD0" w:rsidR="00D03714" w:rsidRPr="00D03714" w:rsidRDefault="00D03714" w:rsidP="00D03714">
      <w:r w:rsidRPr="00D03714">
        <w:t xml:space="preserve">Despite the challenges presented by the </w:t>
      </w:r>
      <w:r w:rsidR="00B66747">
        <w:t>COVID-19</w:t>
      </w:r>
      <w:r w:rsidRPr="00D03714">
        <w:t xml:space="preserve"> pandemic, our integration to form GWW and the high growth in our service area, we largely met the customer outcomes in WW’s 2018 and 2020 price submission.  </w:t>
      </w:r>
    </w:p>
    <w:p w14:paraId="728F5B04" w14:textId="028C90B1" w:rsidR="00D03714" w:rsidRPr="00D03714" w:rsidRDefault="00D03714" w:rsidP="00D03714">
      <w:r w:rsidRPr="00D03714">
        <w:t xml:space="preserve">As a ‘standard’ equivalent rated price submission, we set ourselves achievable targets to meet by the end of our regulatory period. We met most of our targets and fell short of measures that were directly impacted by the </w:t>
      </w:r>
      <w:r w:rsidR="00B66747">
        <w:t xml:space="preserve">COVID-19 </w:t>
      </w:r>
      <w:r w:rsidRPr="00D03714">
        <w:t xml:space="preserve">pandemic and our integration </w:t>
      </w:r>
      <w:r w:rsidRPr="00D03714">
        <w:lastRenderedPageBreak/>
        <w:t xml:space="preserve">that were unforeseeable and outside of our control at the time of our 2018 price submission. </w:t>
      </w:r>
    </w:p>
    <w:p w14:paraId="00A3AC2E" w14:textId="1EB73957" w:rsidR="00D03714" w:rsidRPr="00D03714" w:rsidRDefault="00D03714" w:rsidP="00D03714">
      <w:r w:rsidRPr="00D03714">
        <w:t xml:space="preserve">We met and/or exceeded in: </w:t>
      </w:r>
    </w:p>
    <w:p w14:paraId="221120C7" w14:textId="77777777" w:rsidR="00D03714" w:rsidRPr="00D03714" w:rsidRDefault="00D03714">
      <w:pPr>
        <w:pStyle w:val="ListBullet"/>
        <w:numPr>
          <w:ilvl w:val="0"/>
          <w:numId w:val="33"/>
        </w:numPr>
      </w:pPr>
      <w:r w:rsidRPr="00D03714">
        <w:t>reviewing our tariff structures and ensuring customers were consistently satisfied that our services are value for money (outcome 1)</w:t>
      </w:r>
    </w:p>
    <w:p w14:paraId="06233163" w14:textId="77777777" w:rsidR="00D03714" w:rsidRPr="00D03714" w:rsidRDefault="00D03714">
      <w:pPr>
        <w:pStyle w:val="ListBullet"/>
        <w:numPr>
          <w:ilvl w:val="0"/>
          <w:numId w:val="33"/>
        </w:numPr>
      </w:pPr>
      <w:r w:rsidRPr="00D03714">
        <w:t>supporting our customers through tailored hardship provisions to clear outstanding debt with over 40% of hardship participants clearing outstanding debt by 2022-23 (outcome 1)</w:t>
      </w:r>
    </w:p>
    <w:p w14:paraId="0F2A5FB3" w14:textId="77777777" w:rsidR="00D03714" w:rsidRPr="00D03714" w:rsidRDefault="00D03714">
      <w:pPr>
        <w:pStyle w:val="ListBullet"/>
        <w:numPr>
          <w:ilvl w:val="0"/>
          <w:numId w:val="33"/>
        </w:numPr>
      </w:pPr>
      <w:r w:rsidRPr="00D03714">
        <w:t>delivering safe and reliable water and sewerage services and responding quickly to incidents when they occurred (outcome 2)</w:t>
      </w:r>
    </w:p>
    <w:p w14:paraId="67A5FEC0" w14:textId="77777777" w:rsidR="00D03714" w:rsidRPr="00D03714" w:rsidRDefault="00D03714">
      <w:pPr>
        <w:pStyle w:val="ListBullet"/>
        <w:numPr>
          <w:ilvl w:val="0"/>
          <w:numId w:val="33"/>
        </w:numPr>
      </w:pPr>
      <w:r w:rsidRPr="00D03714">
        <w:t>delivering and promoting different approaches to communicate and interact with us even as we slowed down promotion due to the rescoping of the billing and collection system (outcome 3)</w:t>
      </w:r>
    </w:p>
    <w:p w14:paraId="662AEE17" w14:textId="77777777" w:rsidR="00D03714" w:rsidRPr="00D03714" w:rsidRDefault="00D03714">
      <w:pPr>
        <w:pStyle w:val="ListBullet"/>
        <w:numPr>
          <w:ilvl w:val="0"/>
          <w:numId w:val="33"/>
        </w:numPr>
      </w:pPr>
      <w:r w:rsidRPr="00D03714">
        <w:t>limiting the impacts on the environment by reducing emissions in line with our net zero targets (outcome 4).</w:t>
      </w:r>
    </w:p>
    <w:p w14:paraId="17FCE4E4" w14:textId="77777777" w:rsidR="00D03714" w:rsidRPr="00D03714" w:rsidRDefault="00D03714" w:rsidP="00D03714">
      <w:r w:rsidRPr="00D03714">
        <w:t xml:space="preserve">We fell short in: </w:t>
      </w:r>
    </w:p>
    <w:p w14:paraId="5BE5ADF5" w14:textId="05DEF436" w:rsidR="00D03714" w:rsidRPr="00D03714" w:rsidRDefault="009A51E0">
      <w:pPr>
        <w:pStyle w:val="ListBullet"/>
        <w:numPr>
          <w:ilvl w:val="0"/>
          <w:numId w:val="34"/>
        </w:numPr>
      </w:pPr>
      <w:r>
        <w:t>M</w:t>
      </w:r>
      <w:r w:rsidR="00D03714" w:rsidRPr="00D03714">
        <w:t>anaging our treatment and disposal of sewage in a safe and compliant manner with a high number of sewer spills occurring over the period driven partially by La Nina conditions (higher rainfall leading to greater likelihood of spills from overflows) (outcome 4). We anticipate that as we most likely will enter El Nino conditions, the risks to spills from our treatment plant will reduce. We are also undertaking significant investment across our treatment plants to further reduce the risk of sewerage spills to the environment.</w:t>
      </w:r>
    </w:p>
    <w:p w14:paraId="6BEF7654" w14:textId="1AEF9429" w:rsidR="00D03714" w:rsidRPr="00D03714" w:rsidRDefault="00D03714">
      <w:pPr>
        <w:pStyle w:val="ListBullet"/>
        <w:numPr>
          <w:ilvl w:val="0"/>
          <w:numId w:val="34"/>
        </w:numPr>
      </w:pPr>
      <w:r w:rsidRPr="00D03714">
        <w:t xml:space="preserve">Reaching out to our communities by providing educational presentations to promote water efficiency and resiliency (outcome 5). We did not provide as many educational presentations over the </w:t>
      </w:r>
      <w:r w:rsidR="00A94731">
        <w:t xml:space="preserve">COVID-19 </w:t>
      </w:r>
      <w:r w:rsidRPr="00D03714">
        <w:t xml:space="preserve">pandemic driven by our inability to attend schools in persons. With integration, we further extended our program to promote water efficiency across schools in the central region. Our reported figure in 2022-23 represents the number of schools in the western </w:t>
      </w:r>
      <w:proofErr w:type="gramStart"/>
      <w:r w:rsidRPr="00D03714">
        <w:t>region, and</w:t>
      </w:r>
      <w:proofErr w:type="gramEnd"/>
      <w:r w:rsidRPr="00D03714">
        <w:t xml:space="preserve"> does not include the number of schools in the central region that received educational presentations from us. We continue to provide educational presentations to promote water efficiency and resiliency across our service region as GWW.</w:t>
      </w:r>
    </w:p>
    <w:p w14:paraId="5C9B7504" w14:textId="6A98E965" w:rsidR="00D03714" w:rsidRPr="00D03714" w:rsidRDefault="009A51E0">
      <w:pPr>
        <w:pStyle w:val="ListBullet"/>
        <w:numPr>
          <w:ilvl w:val="0"/>
          <w:numId w:val="34"/>
        </w:numPr>
      </w:pPr>
      <w:r>
        <w:t>T</w:t>
      </w:r>
      <w:r w:rsidR="00D03714" w:rsidRPr="00D03714">
        <w:t xml:space="preserve">he volume of recycled water re-used in our networks due to La Nina weather conditions driving down reliance on recycled water (outcome 5). We anticipate that as we most likely will enter El Nino conditions, recycled water re-use will increase across our network. </w:t>
      </w:r>
    </w:p>
    <w:p w14:paraId="73F67B5C" w14:textId="77777777" w:rsidR="00D03714" w:rsidRPr="00D03714" w:rsidRDefault="00D03714" w:rsidP="00D03714">
      <w:r w:rsidRPr="00D03714">
        <w:t xml:space="preserve">We have self-assessed our overall performance on our outcomes for the entire regulatory period as ‘green’.  </w:t>
      </w:r>
    </w:p>
    <w:p w14:paraId="51E776FA" w14:textId="13CACB02" w:rsidR="0038581F" w:rsidRPr="000E1C8B" w:rsidRDefault="0038581F" w:rsidP="00C6645D">
      <w:pPr>
        <w:pStyle w:val="Heading2"/>
      </w:pPr>
      <w:bookmarkStart w:id="283" w:name="_Toc146004890"/>
      <w:bookmarkStart w:id="284" w:name="_Toc146004778"/>
      <w:bookmarkStart w:id="285" w:name="_Toc146746724"/>
      <w:r w:rsidRPr="005F2FC0">
        <w:t xml:space="preserve">Customer </w:t>
      </w:r>
      <w:r w:rsidRPr="00F000E5">
        <w:t>perception</w:t>
      </w:r>
      <w:bookmarkEnd w:id="283"/>
      <w:bookmarkEnd w:id="284"/>
      <w:bookmarkEnd w:id="285"/>
    </w:p>
    <w:p w14:paraId="37CC26B8" w14:textId="77777777" w:rsidR="005D070D" w:rsidRPr="005D070D" w:rsidRDefault="005D070D" w:rsidP="005D070D">
      <w:r w:rsidRPr="005D070D">
        <w:t>Customer perception of water businesses is tracked and surveyed by the ESC through its quarterly Water Customer Satisfaction Survey. The survey asks customers: </w:t>
      </w:r>
    </w:p>
    <w:p w14:paraId="2DF628C7" w14:textId="77777777" w:rsidR="005D070D" w:rsidRPr="005D070D" w:rsidRDefault="005D070D">
      <w:pPr>
        <w:pStyle w:val="ListBullet"/>
        <w:numPr>
          <w:ilvl w:val="0"/>
          <w:numId w:val="34"/>
        </w:numPr>
      </w:pPr>
      <w:r w:rsidRPr="005D070D">
        <w:t>How would you rate your water/wastewater provider on delivering value for money? </w:t>
      </w:r>
    </w:p>
    <w:p w14:paraId="57871C27" w14:textId="77777777" w:rsidR="005D070D" w:rsidRPr="005D070D" w:rsidRDefault="005D070D">
      <w:pPr>
        <w:pStyle w:val="ListBullet"/>
        <w:numPr>
          <w:ilvl w:val="0"/>
          <w:numId w:val="34"/>
        </w:numPr>
      </w:pPr>
      <w:r w:rsidRPr="005D070D">
        <w:t>How would you rate your trust for your water/wastewater provider? </w:t>
      </w:r>
    </w:p>
    <w:p w14:paraId="754FF768" w14:textId="77777777" w:rsidR="005D070D" w:rsidRPr="005D070D" w:rsidRDefault="005D070D">
      <w:pPr>
        <w:pStyle w:val="ListBullet"/>
        <w:numPr>
          <w:ilvl w:val="0"/>
          <w:numId w:val="34"/>
        </w:numPr>
      </w:pPr>
      <w:r w:rsidRPr="005D070D">
        <w:t>How would you rate your water/wastewater provider’s reputation in the community? </w:t>
      </w:r>
    </w:p>
    <w:p w14:paraId="17D3388F" w14:textId="3E6F875F" w:rsidR="005D070D" w:rsidRPr="005D070D" w:rsidRDefault="005D070D">
      <w:pPr>
        <w:pStyle w:val="ListBullet"/>
        <w:numPr>
          <w:ilvl w:val="0"/>
          <w:numId w:val="34"/>
        </w:numPr>
      </w:pPr>
      <w:r w:rsidRPr="005D070D">
        <w:lastRenderedPageBreak/>
        <w:t>How would you rate your satisfaction with your water/wastewater provider as a service provider overall? </w:t>
      </w:r>
    </w:p>
    <w:p w14:paraId="1D2D8F75" w14:textId="26B07D4A" w:rsidR="0084356A" w:rsidRPr="005D070D" w:rsidRDefault="005D070D" w:rsidP="005D070D">
      <w:r w:rsidRPr="005D070D">
        <w:t>Our 12-month rolling average, results as CWW, WW and subsequently GWW, are plotted against the state average and a half-standard deviation interval band below in addition to evidence from internal and external surveys.</w:t>
      </w:r>
      <w:r w:rsidR="0084356A" w:rsidRPr="006C38CD">
        <w:rPr>
          <w:vertAlign w:val="superscript"/>
        </w:rPr>
        <w:endnoteReference w:id="25"/>
      </w:r>
    </w:p>
    <w:p w14:paraId="2F5EF850" w14:textId="57C1327C" w:rsidR="0038581F" w:rsidRDefault="0038581F" w:rsidP="0038581F">
      <w:pPr>
        <w:pStyle w:val="Caption"/>
        <w:rPr>
          <w:rFonts w:ascii="Verdana" w:hAnsi="Verdana" w:cs="Segoe UI"/>
          <w:sz w:val="22"/>
          <w:szCs w:val="22"/>
        </w:rPr>
      </w:pPr>
      <w:r w:rsidRPr="00061C8F">
        <w:rPr>
          <w:b/>
        </w:rPr>
        <w:t xml:space="preserve">Table </w:t>
      </w:r>
      <w:r w:rsidRPr="00061C8F">
        <w:rPr>
          <w:b/>
        </w:rPr>
        <w:fldChar w:fldCharType="begin"/>
      </w:r>
      <w:r w:rsidRPr="00061C8F">
        <w:rPr>
          <w:b/>
        </w:rPr>
        <w:instrText>SEQ Table \* ARABIC</w:instrText>
      </w:r>
      <w:r w:rsidRPr="00061C8F">
        <w:rPr>
          <w:b/>
        </w:rPr>
        <w:fldChar w:fldCharType="separate"/>
      </w:r>
      <w:r w:rsidR="003B42C6">
        <w:rPr>
          <w:b/>
          <w:noProof/>
        </w:rPr>
        <w:t>58</w:t>
      </w:r>
      <w:r w:rsidRPr="00061C8F">
        <w:rPr>
          <w:b/>
        </w:rPr>
        <w:fldChar w:fldCharType="end"/>
      </w:r>
      <w:r>
        <w:t xml:space="preserve"> Summary of our customer</w:t>
      </w:r>
      <w:r>
        <w:rPr>
          <w:noProof/>
        </w:rPr>
        <w:t xml:space="preserve"> survey findings</w:t>
      </w:r>
    </w:p>
    <w:tbl>
      <w:tblPr>
        <w:tblStyle w:val="GWWDefaulttable"/>
        <w:tblW w:w="5000" w:type="pct"/>
        <w:tblLook w:val="04A0" w:firstRow="1" w:lastRow="0" w:firstColumn="1" w:lastColumn="0" w:noHBand="0" w:noVBand="1"/>
      </w:tblPr>
      <w:tblGrid>
        <w:gridCol w:w="2127"/>
        <w:gridCol w:w="2623"/>
        <w:gridCol w:w="2764"/>
        <w:gridCol w:w="2124"/>
      </w:tblGrid>
      <w:tr w:rsidR="00FF2D61" w:rsidRPr="00FF2D61" w14:paraId="1AFCEF73" w14:textId="77777777" w:rsidTr="00061C8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03" w:type="pct"/>
            <w:vAlign w:val="center"/>
          </w:tcPr>
          <w:p w14:paraId="4F91E22E" w14:textId="77777777" w:rsidR="00FF2D61" w:rsidRPr="00FF2D61" w:rsidRDefault="00FF2D61" w:rsidP="00FF2D61">
            <w:r w:rsidRPr="00FF2D61">
              <w:t>ESC customer perception survey</w:t>
            </w:r>
          </w:p>
        </w:tc>
        <w:tc>
          <w:tcPr>
            <w:tcW w:w="1361" w:type="pct"/>
            <w:vAlign w:val="center"/>
          </w:tcPr>
          <w:p w14:paraId="2CD4D4A7" w14:textId="54C163A7"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July 2017 – March 2018</w:t>
            </w:r>
          </w:p>
        </w:tc>
        <w:tc>
          <w:tcPr>
            <w:tcW w:w="1434" w:type="pct"/>
            <w:vAlign w:val="center"/>
          </w:tcPr>
          <w:p w14:paraId="13F2813C" w14:textId="757C5610"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August 2022 – May 2023</w:t>
            </w:r>
          </w:p>
        </w:tc>
        <w:tc>
          <w:tcPr>
            <w:tcW w:w="1102" w:type="pct"/>
            <w:vAlign w:val="center"/>
          </w:tcPr>
          <w:p w14:paraId="59548847" w14:textId="77777777"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On par with state average</w:t>
            </w:r>
          </w:p>
        </w:tc>
      </w:tr>
      <w:tr w:rsidR="00FF2D61" w:rsidRPr="00FF2D61" w14:paraId="548FC0E0"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747AD894" w14:textId="77777777" w:rsidR="00FF2D61" w:rsidRPr="00061C8F" w:rsidRDefault="00FF2D61" w:rsidP="00FF2D61">
            <w:pPr>
              <w:rPr>
                <w:b w:val="0"/>
              </w:rPr>
            </w:pPr>
            <w:r w:rsidRPr="00061C8F">
              <w:rPr>
                <w:b w:val="0"/>
              </w:rPr>
              <w:t>Overall satisfaction</w:t>
            </w:r>
          </w:p>
        </w:tc>
        <w:tc>
          <w:tcPr>
            <w:tcW w:w="1361" w:type="pct"/>
            <w:vAlign w:val="center"/>
          </w:tcPr>
          <w:p w14:paraId="27D3A2BF"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7D175253"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6.4</w:t>
            </w:r>
          </w:p>
        </w:tc>
        <w:tc>
          <w:tcPr>
            <w:tcW w:w="1102" w:type="pct"/>
            <w:vAlign w:val="center"/>
          </w:tcPr>
          <w:p w14:paraId="02BE2B4C"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371D8026"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29E7290C" w14:textId="77777777" w:rsidR="00FF2D61" w:rsidRPr="00061C8F" w:rsidRDefault="00FF2D61" w:rsidP="00FF2D61">
            <w:pPr>
              <w:rPr>
                <w:b w:val="0"/>
              </w:rPr>
            </w:pPr>
            <w:r w:rsidRPr="00061C8F">
              <w:rPr>
                <w:b w:val="0"/>
              </w:rPr>
              <w:t>Trust</w:t>
            </w:r>
          </w:p>
        </w:tc>
        <w:tc>
          <w:tcPr>
            <w:tcW w:w="1361" w:type="pct"/>
            <w:vAlign w:val="center"/>
          </w:tcPr>
          <w:p w14:paraId="241E6968"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3DBE8F87"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6.5</w:t>
            </w:r>
          </w:p>
        </w:tc>
        <w:tc>
          <w:tcPr>
            <w:tcW w:w="1102" w:type="pct"/>
            <w:vAlign w:val="center"/>
          </w:tcPr>
          <w:p w14:paraId="5294F23A"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1437F8FA"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01CA0CEC" w14:textId="77777777" w:rsidR="00FF2D61" w:rsidRPr="00061C8F" w:rsidRDefault="00FF2D61" w:rsidP="00FF2D61">
            <w:pPr>
              <w:rPr>
                <w:b w:val="0"/>
              </w:rPr>
            </w:pPr>
            <w:r w:rsidRPr="00061C8F">
              <w:rPr>
                <w:b w:val="0"/>
              </w:rPr>
              <w:t>Reputation</w:t>
            </w:r>
          </w:p>
        </w:tc>
        <w:tc>
          <w:tcPr>
            <w:tcW w:w="1361" w:type="pct"/>
            <w:vAlign w:val="center"/>
          </w:tcPr>
          <w:p w14:paraId="3F5E686A"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23D88A92"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6.3</w:t>
            </w:r>
          </w:p>
        </w:tc>
        <w:tc>
          <w:tcPr>
            <w:tcW w:w="1102" w:type="pct"/>
            <w:vAlign w:val="center"/>
          </w:tcPr>
          <w:p w14:paraId="4548C846"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7901FFBD"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4257569A" w14:textId="77777777" w:rsidR="00FF2D61" w:rsidRPr="00061C8F" w:rsidRDefault="00FF2D61" w:rsidP="00FF2D61">
            <w:pPr>
              <w:rPr>
                <w:b w:val="0"/>
              </w:rPr>
            </w:pPr>
            <w:r w:rsidRPr="00061C8F">
              <w:rPr>
                <w:b w:val="0"/>
              </w:rPr>
              <w:t>Value for money</w:t>
            </w:r>
          </w:p>
        </w:tc>
        <w:tc>
          <w:tcPr>
            <w:tcW w:w="1361" w:type="pct"/>
            <w:vAlign w:val="center"/>
          </w:tcPr>
          <w:p w14:paraId="2BA22C3C"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5.6</w:t>
            </w:r>
          </w:p>
        </w:tc>
        <w:tc>
          <w:tcPr>
            <w:tcW w:w="1434" w:type="pct"/>
            <w:vAlign w:val="center"/>
          </w:tcPr>
          <w:p w14:paraId="0787CEEB"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6.0</w:t>
            </w:r>
          </w:p>
        </w:tc>
        <w:tc>
          <w:tcPr>
            <w:tcW w:w="1102" w:type="pct"/>
            <w:vAlign w:val="center"/>
          </w:tcPr>
          <w:p w14:paraId="0019CE0A"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bl>
    <w:p w14:paraId="6548FA06" w14:textId="77777777" w:rsidR="003970BB" w:rsidRPr="00FA0C29" w:rsidRDefault="003970BB" w:rsidP="003970BB"/>
    <w:p w14:paraId="10D6D8B1" w14:textId="77777777" w:rsidR="00CF1AC6" w:rsidRPr="00CF1AC6" w:rsidRDefault="00CF1AC6" w:rsidP="005B69CD">
      <w:pPr>
        <w:pStyle w:val="Heading3"/>
      </w:pPr>
      <w:bookmarkStart w:id="286" w:name="_Toc145498126"/>
      <w:r w:rsidRPr="00CF1AC6">
        <w:t xml:space="preserve">Customers were increasingly satisfied with how we interacted with </w:t>
      </w:r>
      <w:proofErr w:type="gramStart"/>
      <w:r w:rsidRPr="00CF1AC6">
        <w:t>them</w:t>
      </w:r>
      <w:proofErr w:type="gramEnd"/>
      <w:r w:rsidRPr="00CF1AC6">
        <w:t> </w:t>
      </w:r>
    </w:p>
    <w:p w14:paraId="6B75416B" w14:textId="1FDC16FE" w:rsidR="00CF1AC6" w:rsidRPr="00CF1AC6" w:rsidRDefault="00CF1AC6" w:rsidP="00CF1AC6">
      <w:r w:rsidRPr="00CF1AC6">
        <w:t xml:space="preserve">We have consistently scored close to the state-wide average in the ESC’s perception survey on overall satisfaction, with our scores improving from approximately 6.1 to 6.4 out of 10 over the 2018-23 period.  </w:t>
      </w:r>
    </w:p>
    <w:p w14:paraId="42FF4E9D" w14:textId="528A8D67" w:rsidR="00663688" w:rsidRDefault="00CF1AC6" w:rsidP="003970BB">
      <w:r w:rsidRPr="00CF1AC6">
        <w:t>While there has been a recent decline, this is consistent with other water business across the state possibly driven by external factors. Further our performance indicators remain higher than they were at the beginning of the regulatory period.</w:t>
      </w:r>
      <w:bookmarkEnd w:id="286"/>
    </w:p>
    <w:p w14:paraId="7BC77674" w14:textId="1D5084B8" w:rsidR="00663688" w:rsidRDefault="00E12251" w:rsidP="00663688">
      <w:pPr>
        <w:pStyle w:val="Caption"/>
      </w:pPr>
      <w:r>
        <w:rPr>
          <w:b/>
          <w:noProof/>
        </w:rPr>
        <w:drawing>
          <wp:inline distT="0" distB="0" distL="0" distR="0" wp14:anchorId="710442B7" wp14:editId="0E78F642">
            <wp:extent cx="6120765" cy="2877820"/>
            <wp:effectExtent l="0" t="0" r="0" b="0"/>
            <wp:docPr id="74" name="Picture 74" descr="Line graph showing 5 datasets. Y axis title &quot;Average score out of 10&quot; with values 5.0 to 8.0 going up in 0.5 intervals. X-axis shows dates from Sep 18 to May 23. Key shows &quot;Half-standard deviation interval&quot;, &quot;CWW&quot;, “WW” “GWW “and “state average”. All data sets trend similarly from around 6 to 7 on the y-axis, high point is at Jun 21 before trending slightly down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ine graph showing 5 datasets. Y axis title &quot;Average score out of 10&quot; with values 5.0 to 8.0 going up in 0.5 intervals. X-axis shows dates from Sep 18 to May 23. Key shows &quot;Half-standard deviation interval&quot;, &quot;CWW&quot;, “WW” “GWW “and “state average”. All data sets trend similarly from around 6 to 7 on the y-axis, high point is at Jun 21 before trending slightly downwar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663688" w:rsidRPr="00390B72">
        <w:rPr>
          <w:b/>
        </w:rPr>
        <w:t xml:space="preserve">Figure </w:t>
      </w:r>
      <w:r w:rsidR="00663688" w:rsidRPr="001112CA">
        <w:rPr>
          <w:b/>
        </w:rPr>
        <w:fldChar w:fldCharType="begin"/>
      </w:r>
      <w:r w:rsidR="00663688" w:rsidRPr="00AD2005">
        <w:rPr>
          <w:b/>
        </w:rPr>
        <w:instrText>SEQ Figure \* ARABIC</w:instrText>
      </w:r>
      <w:r w:rsidR="00663688" w:rsidRPr="001112CA">
        <w:rPr>
          <w:b/>
        </w:rPr>
        <w:fldChar w:fldCharType="separate"/>
      </w:r>
      <w:r w:rsidR="003B42C6">
        <w:rPr>
          <w:b/>
          <w:noProof/>
        </w:rPr>
        <w:t>34</w:t>
      </w:r>
      <w:r w:rsidR="00663688" w:rsidRPr="001112CA">
        <w:rPr>
          <w:b/>
        </w:rPr>
        <w:fldChar w:fldCharType="end"/>
      </w:r>
      <w:r w:rsidR="00663688">
        <w:t xml:space="preserve"> ESC overall satisfaction perception survey</w:t>
      </w:r>
    </w:p>
    <w:p w14:paraId="1D030FDE" w14:textId="77777777" w:rsidR="00BF7EF5" w:rsidRPr="00BF7EF5" w:rsidRDefault="00BF7EF5" w:rsidP="00BF7EF5"/>
    <w:p w14:paraId="071AFCF5" w14:textId="0F387DEB" w:rsidR="00385AD0" w:rsidRPr="00385AD0" w:rsidRDefault="00385AD0" w:rsidP="00385AD0">
      <w:r w:rsidRPr="00385AD0">
        <w:lastRenderedPageBreak/>
        <w:t xml:space="preserve">Our internal surveys support the ESC’s perception survey findings with satisfaction for customers previously serviced by CWW and WW improving since 2018-19 up to 2021-22, with an observed decline in 2022-23. </w:t>
      </w:r>
    </w:p>
    <w:p w14:paraId="38BDB7E3" w14:textId="79D3383B" w:rsidR="00BF7EF5" w:rsidRDefault="00385AD0" w:rsidP="00341837">
      <w:r w:rsidRPr="00385AD0">
        <w:t xml:space="preserve">Most customers (about 86% of GWW residential customers interviewed in 2022-23) were satisfied overall with the service they received in the last 12 months, with satisfaction attributed to responses to enquiries, complaints, ease of information and staff courtesy. Dissatisfaction across all customer segments was mainly driven by price, reflective of the current cost of living pressures customers are experiencing. We observed a similar small decline in 2022-23 consistent with the ESC’s perception survey findings. </w:t>
      </w:r>
    </w:p>
    <w:p w14:paraId="1793F001" w14:textId="77777777" w:rsidR="00EB57BC" w:rsidRDefault="00467D61" w:rsidP="004B68E4">
      <w:pPr>
        <w:pStyle w:val="Caption"/>
        <w:rPr>
          <w:b/>
        </w:rPr>
      </w:pPr>
      <w:r>
        <w:rPr>
          <w:b/>
          <w:noProof/>
        </w:rPr>
        <w:drawing>
          <wp:inline distT="0" distB="0" distL="0" distR="0" wp14:anchorId="5C59ACA9" wp14:editId="106149BA">
            <wp:extent cx="3023870" cy="2877820"/>
            <wp:effectExtent l="0" t="0" r="5080" b="0"/>
            <wp:docPr id="77" name="Picture 77" descr="Bar graph titled &quot;Central customers (Score 7-10 on satisfaction), with 5 datasets from 2019 to 2023. Datasets show 2019 (n=527) 87%, 2020 (n=768) 93%, 2021 (n=637) 95%, 2022 (n=649) 93%, 2023 (n=706) 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r graph titled &quot;Central customers (Score 7-10 on satisfaction), with 5 datasets from 2019 to 2023. Datasets show 2019 (n=527) 87%, 2020 (n=768) 93%, 2021 (n=637) 95%, 2022 (n=649) 93%, 2023 (n=706) 8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p>
    <w:p w14:paraId="27EA19D1" w14:textId="7C605B1A" w:rsidR="00467D61" w:rsidRDefault="00467D61" w:rsidP="004B68E4">
      <w:pPr>
        <w:pStyle w:val="Caption"/>
        <w:rPr>
          <w:b/>
        </w:rPr>
      </w:pPr>
      <w:r>
        <w:rPr>
          <w:b/>
          <w:noProof/>
        </w:rPr>
        <w:drawing>
          <wp:inline distT="0" distB="0" distL="0" distR="0" wp14:anchorId="1DB0DA5B" wp14:editId="5601E9AA">
            <wp:extent cx="3023870" cy="2877820"/>
            <wp:effectExtent l="0" t="0" r="5080" b="0"/>
            <wp:docPr id="80" name="Picture 80" descr="Bar graph titled &quot;Western customers (Score 7-10 on satisfaction), with Data is: 2019 (n=527) 79%, 2020 (n=768) 91%, 2021 (n=637) 88%, 2022 (n=649) 93%, 2023 (n=706)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graph titled &quot;Western customers (Score 7-10 on satisfaction), with Data is: 2019 (n=527) 79%, 2020 (n=768) 91%, 2021 (n=637) 88%, 2022 (n=649) 93%, 2023 (n=706)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p>
    <w:p w14:paraId="7A8AA7CE" w14:textId="153F552A" w:rsidR="004B68E4" w:rsidRPr="004B68E4" w:rsidRDefault="00AD2494" w:rsidP="004B68E4">
      <w:pPr>
        <w:pStyle w:val="Caption"/>
      </w:pPr>
      <w:r w:rsidRPr="00390B72">
        <w:rPr>
          <w:b/>
        </w:rPr>
        <w:t xml:space="preserve">Figure </w:t>
      </w:r>
      <w:r w:rsidRPr="001112CA">
        <w:rPr>
          <w:b/>
        </w:rPr>
        <w:fldChar w:fldCharType="begin"/>
      </w:r>
      <w:r w:rsidRPr="0011657F">
        <w:rPr>
          <w:b/>
        </w:rPr>
        <w:instrText>SEQ Figure \* ARABIC</w:instrText>
      </w:r>
      <w:r w:rsidRPr="001112CA">
        <w:rPr>
          <w:b/>
        </w:rPr>
        <w:fldChar w:fldCharType="separate"/>
      </w:r>
      <w:r w:rsidR="003B42C6">
        <w:rPr>
          <w:b/>
          <w:noProof/>
        </w:rPr>
        <w:t>35</w:t>
      </w:r>
      <w:r w:rsidRPr="001112CA">
        <w:rPr>
          <w:b/>
        </w:rPr>
        <w:fldChar w:fldCharType="end"/>
      </w:r>
      <w:r w:rsidR="00A94731">
        <w:t xml:space="preserve"> </w:t>
      </w:r>
      <w:r w:rsidRPr="00AD2494">
        <w:t>Internal survey on overall satisfaction - central and western</w:t>
      </w:r>
    </w:p>
    <w:p w14:paraId="7E639E57" w14:textId="314EC84A" w:rsidR="00AD2494" w:rsidRDefault="00AD2494" w:rsidP="00AD2494">
      <w:r w:rsidRPr="00AD2494">
        <w:t>The early gains in the ESC’s perception survey are reconfirmed in WSAA’s biennial customer perception survey with our customers general satisfaction improving and on par with similar businesses across Australia.</w:t>
      </w:r>
    </w:p>
    <w:p w14:paraId="3ED77FFB" w14:textId="65F619AD" w:rsidR="005D3A6F" w:rsidRDefault="005D3A6F" w:rsidP="00AD2494"/>
    <w:p w14:paraId="4326685C" w14:textId="57614DBD" w:rsidR="00577D46" w:rsidRPr="00DC1A1D" w:rsidRDefault="0006604F" w:rsidP="00DC1A1D">
      <w:pPr>
        <w:pStyle w:val="Caption"/>
      </w:pPr>
      <w:r>
        <w:rPr>
          <w:b/>
          <w:noProof/>
        </w:rPr>
        <w:lastRenderedPageBreak/>
        <w:drawing>
          <wp:inline distT="0" distB="0" distL="0" distR="0" wp14:anchorId="17DADC39" wp14:editId="305915A7">
            <wp:extent cx="6120765" cy="2512060"/>
            <wp:effectExtent l="0" t="0" r="0" b="2540"/>
            <wp:docPr id="81" name="Picture 81"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2512060"/>
                    </a:xfrm>
                    <a:prstGeom prst="rect">
                      <a:avLst/>
                    </a:prstGeom>
                    <a:noFill/>
                  </pic:spPr>
                </pic:pic>
              </a:graphicData>
            </a:graphic>
          </wp:inline>
        </w:drawing>
      </w:r>
      <w:r w:rsidR="00AD2494" w:rsidRPr="00390B72">
        <w:rPr>
          <w:b/>
        </w:rPr>
        <w:t xml:space="preserve">Figure </w:t>
      </w:r>
      <w:r w:rsidR="00AD2494" w:rsidRPr="001112CA">
        <w:rPr>
          <w:b/>
        </w:rPr>
        <w:fldChar w:fldCharType="begin"/>
      </w:r>
      <w:r w:rsidR="00AD2494" w:rsidRPr="0011657F">
        <w:rPr>
          <w:b/>
        </w:rPr>
        <w:instrText>SEQ Figure \* ARABIC</w:instrText>
      </w:r>
      <w:r w:rsidR="00AD2494" w:rsidRPr="001112CA">
        <w:rPr>
          <w:b/>
        </w:rPr>
        <w:fldChar w:fldCharType="separate"/>
      </w:r>
      <w:r w:rsidR="003B42C6">
        <w:rPr>
          <w:b/>
          <w:noProof/>
        </w:rPr>
        <w:t>36</w:t>
      </w:r>
      <w:r w:rsidR="00AD2494" w:rsidRPr="001112CA">
        <w:rPr>
          <w:b/>
        </w:rPr>
        <w:fldChar w:fldCharType="end"/>
      </w:r>
      <w:r w:rsidR="00AD2494" w:rsidRPr="00AD2494">
        <w:t xml:space="preserve"> WSAA survey on overall satisfaction - central and western</w:t>
      </w:r>
    </w:p>
    <w:p w14:paraId="257F0D5C" w14:textId="77777777" w:rsidR="003970BB" w:rsidRDefault="003970BB" w:rsidP="005B69CD">
      <w:pPr>
        <w:pStyle w:val="Heading3"/>
      </w:pPr>
      <w:r w:rsidRPr="00C6645D">
        <w:t>Customers</w:t>
      </w:r>
      <w:r w:rsidRPr="00E94F0C">
        <w:t xml:space="preserve"> increasingly trusted us as a reliable service </w:t>
      </w:r>
      <w:proofErr w:type="gramStart"/>
      <w:r w:rsidRPr="00E94F0C">
        <w:t>provider</w:t>
      </w:r>
      <w:proofErr w:type="gramEnd"/>
      <w:r w:rsidRPr="000E1C8B">
        <w:t> </w:t>
      </w:r>
    </w:p>
    <w:p w14:paraId="400140F9" w14:textId="51755DD1" w:rsidR="00B4560B" w:rsidRDefault="00944B0B" w:rsidP="00DC1A1D">
      <w:r w:rsidRPr="00944B0B">
        <w:t>We have consistently scored close to the state-wide average in the ESC’s perception survey on how customers perceive us with our scores improving from approximately 6.1 to 6.4 out of 10 over the 2018-23 period.</w:t>
      </w:r>
    </w:p>
    <w:p w14:paraId="31646511" w14:textId="725040D3" w:rsidR="00237398" w:rsidRPr="00E9327E" w:rsidRDefault="00F67CEB" w:rsidP="00237398">
      <w:pPr>
        <w:pStyle w:val="Caption"/>
      </w:pPr>
      <w:bookmarkStart w:id="287" w:name="_Toc145498129"/>
      <w:r>
        <w:rPr>
          <w:b/>
          <w:noProof/>
        </w:rPr>
        <w:drawing>
          <wp:inline distT="0" distB="0" distL="0" distR="0" wp14:anchorId="70FCF68D" wp14:editId="6BC23462">
            <wp:extent cx="6120765" cy="2877820"/>
            <wp:effectExtent l="0" t="0" r="0" b="0"/>
            <wp:docPr id="82" name="Picture 82"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37</w:t>
      </w:r>
      <w:r w:rsidR="00237398" w:rsidRPr="001112CA">
        <w:rPr>
          <w:b/>
        </w:rPr>
        <w:fldChar w:fldCharType="end"/>
      </w:r>
      <w:r w:rsidR="00237398" w:rsidRPr="00E9327E">
        <w:t xml:space="preserve"> ESC trust perception survey</w:t>
      </w:r>
      <w:bookmarkEnd w:id="287"/>
    </w:p>
    <w:p w14:paraId="0FBB59E0" w14:textId="10E2D58B" w:rsidR="00A46F86" w:rsidRDefault="00850F8E" w:rsidP="00012134">
      <w:pPr>
        <w:pStyle w:val="Caption"/>
      </w:pPr>
      <w:bookmarkStart w:id="288" w:name="_Toc145498130"/>
      <w:r w:rsidRPr="00850F8E">
        <w:rPr>
          <w:iCs w:val="0"/>
          <w:color w:val="auto"/>
          <w:sz w:val="22"/>
          <w:szCs w:val="22"/>
        </w:rPr>
        <w:t xml:space="preserve">Although we do not test for trust in our internal surveys, the early gains in the ESC’s perception survey are reconfirmed in WSAA’s customer perception survey, scoring </w:t>
      </w:r>
      <w:proofErr w:type="gramStart"/>
      <w:r w:rsidRPr="00850F8E">
        <w:rPr>
          <w:iCs w:val="0"/>
          <w:color w:val="auto"/>
          <w:sz w:val="22"/>
          <w:szCs w:val="22"/>
        </w:rPr>
        <w:t>similar to</w:t>
      </w:r>
      <w:proofErr w:type="gramEnd"/>
      <w:r w:rsidRPr="00850F8E">
        <w:rPr>
          <w:iCs w:val="0"/>
          <w:color w:val="auto"/>
          <w:sz w:val="22"/>
          <w:szCs w:val="22"/>
        </w:rPr>
        <w:t xml:space="preserve"> other businesses across Australia. </w:t>
      </w:r>
    </w:p>
    <w:p w14:paraId="4DAC82F4" w14:textId="0198ABAC" w:rsidR="00186F66" w:rsidRPr="00A46F86" w:rsidRDefault="00186F66" w:rsidP="00A46F86"/>
    <w:p w14:paraId="76AFCE58" w14:textId="630FEC8A" w:rsidR="00237398" w:rsidRDefault="00DB1B7D" w:rsidP="00237398">
      <w:pPr>
        <w:pStyle w:val="Caption"/>
      </w:pPr>
      <w:r>
        <w:rPr>
          <w:b/>
          <w:noProof/>
        </w:rPr>
        <w:lastRenderedPageBreak/>
        <w:drawing>
          <wp:inline distT="0" distB="0" distL="0" distR="0" wp14:anchorId="54E65EE6" wp14:editId="5D65367A">
            <wp:extent cx="6120765" cy="2700655"/>
            <wp:effectExtent l="0" t="0" r="0" b="4445"/>
            <wp:docPr id="84" name="Picture 84"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2700655"/>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38</w:t>
      </w:r>
      <w:r w:rsidR="00237398" w:rsidRPr="001112CA">
        <w:rPr>
          <w:b/>
        </w:rPr>
        <w:fldChar w:fldCharType="end"/>
      </w:r>
      <w:r w:rsidR="00237398">
        <w:t xml:space="preserve"> WSAA survey on overall trust - central and western</w:t>
      </w:r>
      <w:bookmarkEnd w:id="288"/>
    </w:p>
    <w:p w14:paraId="7D87E0C4" w14:textId="61999155" w:rsidR="00126D21" w:rsidRPr="00126D21" w:rsidRDefault="00126D21" w:rsidP="005B69CD">
      <w:pPr>
        <w:pStyle w:val="Heading3"/>
      </w:pPr>
      <w:r w:rsidRPr="00126D21">
        <w:t>Customers</w:t>
      </w:r>
      <w:r w:rsidR="00B8469E">
        <w:t xml:space="preserve"> continue to view us </w:t>
      </w:r>
      <w:proofErr w:type="gramStart"/>
      <w:r w:rsidR="00B8469E">
        <w:t>positively</w:t>
      </w:r>
      <w:proofErr w:type="gramEnd"/>
    </w:p>
    <w:p w14:paraId="60C6B5E3" w14:textId="77777777" w:rsidR="00126D21" w:rsidRPr="00126D21" w:rsidRDefault="00126D21" w:rsidP="00126D21">
      <w:r w:rsidRPr="00126D21">
        <w:t>Our customer reputation improved over the period in line with state-wide averages with our scores improving from 6.1 to 6.3 out of 10 over the 2018-23 period.</w:t>
      </w:r>
    </w:p>
    <w:p w14:paraId="0F6A4D8D" w14:textId="423CBAE1" w:rsidR="00237398" w:rsidRDefault="00126D21" w:rsidP="00126D21">
      <w:r w:rsidRPr="00126D21">
        <w:t>While there has been a recent decline, this is consistent with other water business across the state and possibly driven by external factors. Despite the recent decline, our performance indicators are currently higher than they were at the beginning of the regulatory period.</w:t>
      </w:r>
    </w:p>
    <w:p w14:paraId="29153499" w14:textId="6C6FFE54" w:rsidR="006C5DD8" w:rsidRPr="00F91217" w:rsidRDefault="006C5DD8" w:rsidP="00126D21"/>
    <w:p w14:paraId="7C2DDF3A" w14:textId="34D96904" w:rsidR="00237398" w:rsidRDefault="002C2B03" w:rsidP="00237398">
      <w:pPr>
        <w:pStyle w:val="Caption"/>
      </w:pPr>
      <w:bookmarkStart w:id="289" w:name="_Toc145498131"/>
      <w:r>
        <w:rPr>
          <w:b/>
          <w:noProof/>
        </w:rPr>
        <w:drawing>
          <wp:inline distT="0" distB="0" distL="0" distR="0" wp14:anchorId="4CD30E13" wp14:editId="752686AE">
            <wp:extent cx="6120765" cy="2877820"/>
            <wp:effectExtent l="0" t="0" r="0" b="0"/>
            <wp:docPr id="89" name="Picture 89" descr="Line graph showing 4 data sets, half standard deviation interval, CWW, WW, GWW and state average.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ine graph showing 4 data sets, half standard deviation interval, CWW, WW, GWW and state average.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39</w:t>
      </w:r>
      <w:r w:rsidR="00237398" w:rsidRPr="001112CA">
        <w:rPr>
          <w:b/>
        </w:rPr>
        <w:fldChar w:fldCharType="end"/>
      </w:r>
      <w:r w:rsidR="00237398">
        <w:t xml:space="preserve"> ESC reputation perception survey</w:t>
      </w:r>
      <w:bookmarkEnd w:id="289"/>
    </w:p>
    <w:p w14:paraId="6A91FFD4" w14:textId="77777777" w:rsidR="000A4D25" w:rsidRPr="000A4D25" w:rsidRDefault="000A4D25" w:rsidP="000A4D25">
      <w:pPr>
        <w:pStyle w:val="Caption"/>
        <w:rPr>
          <w:iCs w:val="0"/>
          <w:color w:val="auto"/>
          <w:sz w:val="22"/>
          <w:szCs w:val="22"/>
        </w:rPr>
      </w:pPr>
      <w:bookmarkStart w:id="290" w:name="_Toc145498132"/>
      <w:r w:rsidRPr="000A4D25">
        <w:rPr>
          <w:iCs w:val="0"/>
          <w:color w:val="auto"/>
          <w:sz w:val="22"/>
          <w:szCs w:val="22"/>
        </w:rPr>
        <w:t xml:space="preserve">Our internal surveys support the ESC’s perception survey findings, with customers perceiving the business as a valuable member for the community. </w:t>
      </w:r>
    </w:p>
    <w:p w14:paraId="6ABA1A04" w14:textId="417A8FC8" w:rsidR="00CC7FB6" w:rsidRDefault="000A4D25" w:rsidP="00320155">
      <w:r w:rsidRPr="000A4D25">
        <w:t xml:space="preserve">Most customers (approximately 75% residential in 2022-23) considered GWW, as a valuable member of the community. We have observed a small decline on customers perception on GWW as a valuable member of the community, in line with ESC’s </w:t>
      </w:r>
      <w:r w:rsidRPr="000A4D25">
        <w:lastRenderedPageBreak/>
        <w:t>perception survey findings, however broadly, customer who perceive us negatively have not changed considerably.</w:t>
      </w:r>
      <w:bookmarkStart w:id="291" w:name="_Toc145498133"/>
      <w:bookmarkEnd w:id="290"/>
      <w:r w:rsidR="00320155" w:rsidDel="00320155">
        <w:t xml:space="preserve"> </w:t>
      </w:r>
    </w:p>
    <w:p w14:paraId="64F13854" w14:textId="0A53EF11" w:rsidR="002E4FD0" w:rsidRDefault="002E4FD0" w:rsidP="00320155"/>
    <w:p w14:paraId="4DD74DE2" w14:textId="6BCCC13A" w:rsidR="007C7381" w:rsidRDefault="00BD008F" w:rsidP="00320155">
      <w:pPr>
        <w:pStyle w:val="Caption"/>
        <w:rPr>
          <w:b/>
        </w:rPr>
      </w:pPr>
      <w:r>
        <w:rPr>
          <w:b/>
          <w:noProof/>
        </w:rPr>
        <w:drawing>
          <wp:inline distT="0" distB="0" distL="0" distR="0" wp14:anchorId="21C8C411" wp14:editId="06E51F2E">
            <wp:extent cx="3023870" cy="3060700"/>
            <wp:effectExtent l="0" t="0" r="5080" b="6350"/>
            <wp:docPr id="92" name="Picture 92" descr="Bar graph titled &quot;Central customers&quot;. Key shows: Disagree (1-2) (blue), Neutral (3) (turquoise), Agree (4-5) (pink). Data is: 2021 (n=561) Disagree 4% - Neutral 11% - Agree 85%, 2022 (n=525) Disagree 4% - Neutral 13% - Agree 83%, 2023 (n=570) Disagree 9% - Neutral 16% - Agree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ar graph titled &quot;Central customers&quot;. Key shows: Disagree (1-2) (blue), Neutral (3) (turquoise), Agree (4-5) (pink). Data is: 2021 (n=561) Disagree 4% - Neutral 11% - Agree 85%, 2022 (n=525) Disagree 4% - Neutral 13% - Agree 83%, 2023 (n=570) Disagree 9% - Neutral 16% - Agree 75%.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1035652B" w14:textId="160BD54A" w:rsidR="007C7381" w:rsidRPr="007C7381" w:rsidRDefault="007C7381" w:rsidP="007C7381">
      <w:r>
        <w:rPr>
          <w:noProof/>
        </w:rPr>
        <w:drawing>
          <wp:inline distT="0" distB="0" distL="0" distR="0" wp14:anchorId="135D2F8D" wp14:editId="0263842F">
            <wp:extent cx="3023870" cy="3060700"/>
            <wp:effectExtent l="0" t="0" r="5080" b="6350"/>
            <wp:docPr id="91" name="Picture 91" descr="Bar graph titled &quot;Western customers&quot;. Key shows: Disagree (1-2) (blue), Neutral (3) (turquoise), Agree (4-5) (pink). Data is: 2021 (n=1639) Disagree 8% - Neutral 15% - Agree 77%, 2022 (n=2409) Disagree 4% - Neutral 14% - Agree 82%, 2023 (n=570) Disagree 9% - Neutral 16% - Agree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ar graph titled &quot;Western customers&quot;. Key shows: Disagree (1-2) (blue), Neutral (3) (turquoise), Agree (4-5) (pink). Data is: 2021 (n=1639) Disagree 8% - Neutral 15% - Agree 77%, 2022 (n=2409) Disagree 4% - Neutral 14% - Agree 82%, 2023 (n=570) Disagree 9% - Neutral 16% - Agree 75%.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3DF2FA0E" w14:textId="731642D2" w:rsidR="00577D46" w:rsidRPr="00577D46" w:rsidRDefault="00DB3948" w:rsidP="003617F6">
      <w:pPr>
        <w:pStyle w:val="Caption"/>
      </w:pPr>
      <w:r w:rsidRPr="00390B72">
        <w:rPr>
          <w:b/>
        </w:rPr>
        <w:t xml:space="preserve">Figure </w:t>
      </w:r>
      <w:r w:rsidR="001F7221" w:rsidRPr="001112CA">
        <w:rPr>
          <w:b/>
        </w:rPr>
        <w:fldChar w:fldCharType="begin"/>
      </w:r>
      <w:r w:rsidR="001F7221" w:rsidRPr="0011657F">
        <w:rPr>
          <w:b/>
        </w:rPr>
        <w:instrText xml:space="preserve"> SEQ Figure \* ARABIC </w:instrText>
      </w:r>
      <w:r w:rsidR="001F7221" w:rsidRPr="001112CA">
        <w:rPr>
          <w:b/>
        </w:rPr>
        <w:fldChar w:fldCharType="separate"/>
      </w:r>
      <w:r w:rsidR="003B42C6">
        <w:rPr>
          <w:b/>
          <w:noProof/>
        </w:rPr>
        <w:t>40</w:t>
      </w:r>
      <w:r w:rsidR="001F7221" w:rsidRPr="001112CA">
        <w:rPr>
          <w:b/>
        </w:rPr>
        <w:fldChar w:fldCharType="end"/>
      </w:r>
      <w:r>
        <w:t xml:space="preserve"> </w:t>
      </w:r>
      <w:r w:rsidR="00CC7FB6" w:rsidRPr="00CC7FB6">
        <w:t>Internal survey on valuable member of the community - central and western</w:t>
      </w:r>
    </w:p>
    <w:p w14:paraId="1B09884F" w14:textId="08E4652E" w:rsidR="00F10E84" w:rsidRDefault="00CC7FB6" w:rsidP="00E8132B">
      <w:r w:rsidRPr="00CC7FB6">
        <w:t>The early gains in the ESC’s perception survey are reconfirmed in WSAA’s biennial customer perception survey with customers perception on our reputation improving and on par with similar businesses across Australia.</w:t>
      </w:r>
      <w:bookmarkEnd w:id="291"/>
      <w:r w:rsidR="00E8132B" w:rsidDel="00E8132B">
        <w:t xml:space="preserve"> </w:t>
      </w:r>
    </w:p>
    <w:p w14:paraId="5E5D0121" w14:textId="491F987F" w:rsidR="00E8132B" w:rsidRDefault="00E8132B" w:rsidP="00AA1B91"/>
    <w:p w14:paraId="3B46C3FD" w14:textId="309A0FB5" w:rsidR="00F10E84" w:rsidRPr="00AA1B91" w:rsidRDefault="000528F5" w:rsidP="00AA1B91">
      <w:pPr>
        <w:pStyle w:val="Caption"/>
        <w:rPr>
          <w:noProof/>
        </w:rPr>
      </w:pPr>
      <w:r>
        <w:rPr>
          <w:b/>
          <w:noProof/>
        </w:rPr>
        <w:lastRenderedPageBreak/>
        <w:drawing>
          <wp:inline distT="0" distB="0" distL="0" distR="0" wp14:anchorId="4FB8D386" wp14:editId="56ABE8D4">
            <wp:extent cx="6120765" cy="2700655"/>
            <wp:effectExtent l="0" t="0" r="0" b="4445"/>
            <wp:docPr id="93" name="Picture 93"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765" cy="2700655"/>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41</w:t>
      </w:r>
      <w:r w:rsidR="00237398" w:rsidRPr="001112CA">
        <w:rPr>
          <w:b/>
        </w:rPr>
        <w:fldChar w:fldCharType="end"/>
      </w:r>
      <w:r w:rsidR="00F10E84" w:rsidRPr="00AA1B91">
        <w:t xml:space="preserve"> WSAA survey on reputation - central and western</w:t>
      </w:r>
    </w:p>
    <w:p w14:paraId="4818CBB1" w14:textId="77777777" w:rsidR="00237398" w:rsidRPr="004638AD" w:rsidRDefault="00237398" w:rsidP="005B69CD">
      <w:pPr>
        <w:pStyle w:val="Heading3"/>
      </w:pPr>
      <w:r w:rsidRPr="004638AD">
        <w:t xml:space="preserve">Our customers considered us value for </w:t>
      </w:r>
      <w:proofErr w:type="gramStart"/>
      <w:r w:rsidRPr="004638AD">
        <w:t>money</w:t>
      </w:r>
      <w:proofErr w:type="gramEnd"/>
    </w:p>
    <w:p w14:paraId="03A2618B" w14:textId="1C5F5C81" w:rsidR="004638AD" w:rsidRPr="004638AD" w:rsidRDefault="004638AD" w:rsidP="004638AD">
      <w:r w:rsidRPr="004638AD">
        <w:t>High growth, pandemic impacts and integration activities drove higher spending than anticipated but customers considered us value for money over the period. This is in line with state-wide averages, with our scores improving from 5.6 to 6.0 out of 10 over the 2018-23 period.</w:t>
      </w:r>
      <w:r w:rsidR="00DB308C">
        <w:t xml:space="preserve"> </w:t>
      </w:r>
      <w:r w:rsidRPr="004638AD">
        <w:t>We have observed a decline in line with the state average, which we attribute to the current cost of living pressures our customers are experiencing.</w:t>
      </w:r>
    </w:p>
    <w:p w14:paraId="7038BD7D" w14:textId="122FA6A7" w:rsidR="001112CA" w:rsidRPr="00F91217" w:rsidRDefault="001112CA" w:rsidP="004638AD"/>
    <w:p w14:paraId="31943B9E" w14:textId="6FCA11AF" w:rsidR="004638AD" w:rsidRPr="004638AD" w:rsidRDefault="004E4B83" w:rsidP="004638AD">
      <w:pPr>
        <w:pStyle w:val="Caption"/>
      </w:pPr>
      <w:r>
        <w:rPr>
          <w:b/>
          <w:noProof/>
        </w:rPr>
        <w:drawing>
          <wp:inline distT="0" distB="0" distL="0" distR="0" wp14:anchorId="0FF68F09" wp14:editId="7CDEAB85">
            <wp:extent cx="6120765" cy="2877820"/>
            <wp:effectExtent l="0" t="0" r="0" b="0"/>
            <wp:docPr id="94" name="Picture 94"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4638AD" w:rsidRPr="00390B72">
        <w:rPr>
          <w:b/>
        </w:rPr>
        <w:t xml:space="preserve">Figure </w:t>
      </w:r>
      <w:r w:rsidR="004638AD" w:rsidRPr="001112CA">
        <w:rPr>
          <w:b/>
        </w:rPr>
        <w:fldChar w:fldCharType="begin"/>
      </w:r>
      <w:r w:rsidR="004638AD" w:rsidRPr="001112CA">
        <w:rPr>
          <w:b/>
        </w:rPr>
        <w:instrText>SEQ Figure \* ARABIC</w:instrText>
      </w:r>
      <w:r w:rsidR="004638AD" w:rsidRPr="001112CA">
        <w:rPr>
          <w:b/>
        </w:rPr>
        <w:fldChar w:fldCharType="separate"/>
      </w:r>
      <w:r w:rsidR="003B42C6">
        <w:rPr>
          <w:b/>
          <w:noProof/>
        </w:rPr>
        <w:t>42</w:t>
      </w:r>
      <w:r w:rsidR="004638AD" w:rsidRPr="001112CA">
        <w:rPr>
          <w:b/>
        </w:rPr>
        <w:fldChar w:fldCharType="end"/>
      </w:r>
      <w:r w:rsidR="004638AD" w:rsidRPr="004638AD">
        <w:t xml:space="preserve"> ESC value for money perception survey </w:t>
      </w:r>
    </w:p>
    <w:p w14:paraId="451CD66B" w14:textId="3BA04A4C" w:rsidR="004638AD" w:rsidRPr="004638AD" w:rsidRDefault="004638AD" w:rsidP="004638AD">
      <w:r w:rsidRPr="004638AD">
        <w:t xml:space="preserve">Our internal surveys support the ESC’s perception survey findings with customers considering our services are value for money.  </w:t>
      </w:r>
    </w:p>
    <w:p w14:paraId="7E5AA5F4" w14:textId="0F4F0D9F" w:rsidR="004638AD" w:rsidRPr="004638AD" w:rsidRDefault="004638AD" w:rsidP="004638AD">
      <w:proofErr w:type="gramStart"/>
      <w:r w:rsidRPr="004638AD">
        <w:t>The majority of</w:t>
      </w:r>
      <w:proofErr w:type="gramEnd"/>
      <w:r w:rsidRPr="004638AD">
        <w:t xml:space="preserve"> residential customers (approximately 62% of customers in 2022-23) considered GWW services, to be value for money. These findings are consistent with the ESC’s perception survey including the decline observed in 2022-23.</w:t>
      </w:r>
    </w:p>
    <w:p w14:paraId="6EC0FF4A" w14:textId="2A6E62BC" w:rsidR="004638AD" w:rsidRDefault="004638AD" w:rsidP="004638AD"/>
    <w:p w14:paraId="5C001E8E" w14:textId="77777777" w:rsidR="001012B8" w:rsidRDefault="001012B8" w:rsidP="00DB3948">
      <w:pPr>
        <w:pStyle w:val="Caption"/>
        <w:rPr>
          <w:b/>
        </w:rPr>
      </w:pPr>
      <w:r>
        <w:rPr>
          <w:b/>
          <w:noProof/>
        </w:rPr>
        <w:lastRenderedPageBreak/>
        <w:drawing>
          <wp:inline distT="0" distB="0" distL="0" distR="0" wp14:anchorId="468B76CE" wp14:editId="2DA65CAB">
            <wp:extent cx="3023870" cy="3060700"/>
            <wp:effectExtent l="0" t="0" r="5080" b="6350"/>
            <wp:docPr id="95" name="Picture 95" descr="This is a bar graph titled &quot;Central customers&quot;, with 3 datasets, &quot;Not at all satisfied (0-4)&quot;, Neutral (5-6) and Very Satisfied (7-10). Y axis values from 0% to 10% going up in 10% intervals. X axis shows dates, 2021, 2022 and 2023. Data shows: 2021 (n=590) Not at all satisfied 10% - Neutral 16% - Very Satisfied 74%, 2022 (n=604) Not at all satisfied 12% - Neutral 20% - Very Satisfied 67%, 2023 (n=662) Not at all satisfied 15% - Neutral 23% - Very Satisfie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is a bar graph titled &quot;Central customers&quot;, with 3 datasets, &quot;Not at all satisfied (0-4)&quot;, Neutral (5-6) and Very Satisfied (7-10). Y axis values from 0% to 10% going up in 10% intervals. X axis shows dates, 2021, 2022 and 2023. Data shows: 2021 (n=590) Not at all satisfied 10% - Neutral 16% - Very Satisfied 74%, 2022 (n=604) Not at all satisfied 12% - Neutral 20% - Very Satisfied 67%, 2023 (n=662) Not at all satisfied 15% - Neutral 23% - Very Satisfied 62%.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20217CED" w14:textId="531C233E" w:rsidR="001012B8" w:rsidRDefault="001012B8" w:rsidP="00DB3948">
      <w:pPr>
        <w:pStyle w:val="Caption"/>
        <w:rPr>
          <w:b/>
        </w:rPr>
      </w:pPr>
      <w:r>
        <w:rPr>
          <w:b/>
          <w:noProof/>
        </w:rPr>
        <w:drawing>
          <wp:inline distT="0" distB="0" distL="0" distR="0" wp14:anchorId="1379E92E" wp14:editId="5FB7AEEF">
            <wp:extent cx="3023870" cy="3060700"/>
            <wp:effectExtent l="0" t="0" r="5080" b="6350"/>
            <wp:docPr id="96" name="Picture 96" descr="This is a bar graph titled &quot;Western customers&quot;, with 3 datasets, &quot;Not at all satisfied (0-4)&quot;, Neutral (5-6) and Very Satisfied (7-10). Y axis values from 0% to 10% going up in 10% intervals. X axis shows dates, 2021, 2022 and 2023.Data is: 2021 (n=2755) Not at all satisfied 15% - Neutral 24% - Very Satisfied 62%, 2022 (n=604) Not at all satisfied 12% - Neutral 20% - Very Satisfied 67%, 2023 (n=662) Not at all satisfied 15% - Neutral 23% - Very Satisfie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is a bar graph titled &quot;Western customers&quot;, with 3 datasets, &quot;Not at all satisfied (0-4)&quot;, Neutral (5-6) and Very Satisfied (7-10). Y axis values from 0% to 10% going up in 10% intervals. X axis shows dates, 2021, 2022 and 2023.Data is: 2021 (n=2755) Not at all satisfied 15% - Neutral 24% - Very Satisfied 62%, 2022 (n=604) Not at all satisfied 12% - Neutral 20% - Very Satisfied 67%, 2023 (n=662) Not at all satisfied 15% - Neutral 23% - Very Satisfied 62%.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7D0EABC5" w14:textId="4386A980" w:rsidR="004638AD" w:rsidRPr="004638AD" w:rsidRDefault="00DB3948" w:rsidP="00DB3948">
      <w:pPr>
        <w:pStyle w:val="Caption"/>
      </w:pPr>
      <w:r w:rsidRPr="00390B72">
        <w:rPr>
          <w:b/>
        </w:rPr>
        <w:t xml:space="preserve">Figure </w:t>
      </w:r>
      <w:r w:rsidR="001F7221" w:rsidRPr="00390B72">
        <w:rPr>
          <w:b/>
        </w:rPr>
        <w:fldChar w:fldCharType="begin"/>
      </w:r>
      <w:r w:rsidR="001F7221" w:rsidRPr="00390B72">
        <w:rPr>
          <w:b/>
        </w:rPr>
        <w:instrText xml:space="preserve"> SEQ Figure \* ARABIC </w:instrText>
      </w:r>
      <w:r w:rsidR="001F7221" w:rsidRPr="00390B72">
        <w:rPr>
          <w:b/>
        </w:rPr>
        <w:fldChar w:fldCharType="separate"/>
      </w:r>
      <w:r w:rsidR="003B42C6">
        <w:rPr>
          <w:b/>
          <w:noProof/>
        </w:rPr>
        <w:t>43</w:t>
      </w:r>
      <w:r w:rsidR="001F7221" w:rsidRPr="00390B72">
        <w:rPr>
          <w:b/>
        </w:rPr>
        <w:fldChar w:fldCharType="end"/>
      </w:r>
      <w:r>
        <w:t xml:space="preserve"> </w:t>
      </w:r>
      <w:r w:rsidR="004638AD" w:rsidRPr="004638AD">
        <w:t>Internal survey on value for money - central and western</w:t>
      </w:r>
      <w:r w:rsidR="00887C3B">
        <w:t xml:space="preserve"> </w:t>
      </w:r>
    </w:p>
    <w:p w14:paraId="033EFEEE" w14:textId="7D20BEAC" w:rsidR="00346E36" w:rsidRDefault="004638AD" w:rsidP="004638AD">
      <w:r w:rsidRPr="004638AD">
        <w:t>The early gains in the ESC’s perception survey are reconfirmed in WSAA’s biennial customer perception survey with our customer’s views on value for money improving and on par with similar businesses across Australia.</w:t>
      </w:r>
    </w:p>
    <w:p w14:paraId="4A32B428" w14:textId="3616C848" w:rsidR="00346E36" w:rsidRDefault="00346E36" w:rsidP="004638AD"/>
    <w:p w14:paraId="73728736" w14:textId="160EA00D" w:rsidR="00036506" w:rsidRPr="000F36EF" w:rsidRDefault="00E13967" w:rsidP="000F36EF">
      <w:pPr>
        <w:pStyle w:val="Caption"/>
      </w:pPr>
      <w:r>
        <w:rPr>
          <w:b/>
          <w:noProof/>
        </w:rPr>
        <w:lastRenderedPageBreak/>
        <w:drawing>
          <wp:inline distT="0" distB="0" distL="0" distR="0" wp14:anchorId="270AB850" wp14:editId="7EBB7643">
            <wp:extent cx="5681980" cy="2700655"/>
            <wp:effectExtent l="0" t="0" r="0" b="4445"/>
            <wp:docPr id="97" name="Picture 97" descr="Line graph showing 3 data sets, standard deviation band, western water, city west water and national average.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ine graph showing 3 data sets, standard deviation band, western water, city west water and national average.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1980" cy="2700655"/>
                    </a:xfrm>
                    <a:prstGeom prst="rect">
                      <a:avLst/>
                    </a:prstGeom>
                    <a:noFill/>
                  </pic:spPr>
                </pic:pic>
              </a:graphicData>
            </a:graphic>
          </wp:inline>
        </w:drawing>
      </w:r>
      <w:r w:rsidR="004638AD" w:rsidRPr="00390B72">
        <w:rPr>
          <w:b/>
        </w:rPr>
        <w:t xml:space="preserve">Figure </w:t>
      </w:r>
      <w:r w:rsidR="004638AD" w:rsidRPr="00390B72">
        <w:rPr>
          <w:b/>
        </w:rPr>
        <w:fldChar w:fldCharType="begin"/>
      </w:r>
      <w:r w:rsidR="004638AD" w:rsidRPr="00390B72">
        <w:rPr>
          <w:b/>
        </w:rPr>
        <w:instrText>SEQ Figure \* ARABIC</w:instrText>
      </w:r>
      <w:r w:rsidR="004638AD" w:rsidRPr="00390B72">
        <w:rPr>
          <w:b/>
        </w:rPr>
        <w:fldChar w:fldCharType="separate"/>
      </w:r>
      <w:r w:rsidR="003B42C6">
        <w:rPr>
          <w:b/>
          <w:noProof/>
        </w:rPr>
        <w:t>44</w:t>
      </w:r>
      <w:r w:rsidR="004638AD" w:rsidRPr="00390B72">
        <w:rPr>
          <w:b/>
        </w:rPr>
        <w:fldChar w:fldCharType="end"/>
      </w:r>
      <w:r w:rsidR="004638AD" w:rsidRPr="004638AD">
        <w:t xml:space="preserve"> WSAA survey on value for money - central and western</w:t>
      </w:r>
    </w:p>
    <w:p w14:paraId="18454DD5" w14:textId="77777777" w:rsidR="00CA7A63" w:rsidRPr="000050D1" w:rsidRDefault="00CA7A63" w:rsidP="00F95B7A">
      <w:pPr>
        <w:pStyle w:val="Heading2"/>
      </w:pPr>
      <w:bookmarkStart w:id="292" w:name="_Ref145922063"/>
      <w:bookmarkStart w:id="293" w:name="_Toc146004891"/>
      <w:bookmarkStart w:id="294" w:name="_Toc146004779"/>
      <w:bookmarkStart w:id="295" w:name="_Toc146746725"/>
      <w:r w:rsidRPr="000050D1">
        <w:t>Expenditure performance</w:t>
      </w:r>
      <w:bookmarkEnd w:id="292"/>
      <w:bookmarkEnd w:id="293"/>
      <w:bookmarkEnd w:id="294"/>
      <w:bookmarkEnd w:id="295"/>
    </w:p>
    <w:p w14:paraId="35C7905D" w14:textId="0508637C" w:rsidR="00CA7A63" w:rsidRPr="000050D1" w:rsidRDefault="00CA7A63" w:rsidP="00F95B7A">
      <w:pPr>
        <w:pStyle w:val="Heading3"/>
      </w:pPr>
      <w:r w:rsidRPr="000050D1">
        <w:t>Controllable operating expenditure performance</w:t>
      </w:r>
    </w:p>
    <w:p w14:paraId="6D6E605E" w14:textId="290B54B2" w:rsidR="00CA7A63" w:rsidRPr="000050D1" w:rsidRDefault="00CA7A63" w:rsidP="000050D1">
      <w:r w:rsidRPr="000050D1">
        <w:t xml:space="preserve">GWW has exceeded its determination allowances across the 2018-19 to 2022-23 regulatory period by </w:t>
      </w:r>
      <w:r w:rsidRPr="00390B23">
        <w:t>$71.5</w:t>
      </w:r>
      <w:r w:rsidRPr="000050D1">
        <w:t xml:space="preserve"> million. This is equivalent to a </w:t>
      </w:r>
      <w:r w:rsidRPr="00390B23">
        <w:t>7.9%</w:t>
      </w:r>
      <w:r w:rsidRPr="000050D1">
        <w:t xml:space="preserve"> increase and is slightly higher than what was observed in the in the 2023 </w:t>
      </w:r>
      <w:r w:rsidR="0057266D">
        <w:t>price submission</w:t>
      </w:r>
      <w:r w:rsidRPr="000050D1">
        <w:t>s of 5.8% overspend</w:t>
      </w:r>
      <w:r w:rsidRPr="00D61704">
        <w:t>.</w:t>
      </w:r>
      <w:r w:rsidR="0084356A" w:rsidRPr="00431DC8">
        <w:rPr>
          <w:vertAlign w:val="superscript"/>
        </w:rPr>
        <w:endnoteReference w:id="26"/>
      </w:r>
      <w:r w:rsidR="0084356A" w:rsidRPr="000050D1">
        <w:t xml:space="preserve"> </w:t>
      </w:r>
      <w:r w:rsidR="00302AC1" w:rsidRPr="00390B23">
        <w:t>Section 4.2</w:t>
      </w:r>
      <w:r w:rsidRPr="00390B23">
        <w:t xml:space="preserve"> and Appendix </w:t>
      </w:r>
      <w:r w:rsidR="00B52CB9" w:rsidRPr="00390B23">
        <w:t>H</w:t>
      </w:r>
      <w:r w:rsidRPr="000050D1">
        <w:t xml:space="preserve"> provide a detailed analysis of our operating expenditure performance and planned efficiencies.</w:t>
      </w:r>
    </w:p>
    <w:p w14:paraId="6A8B19C1" w14:textId="4BD22E77" w:rsidR="00CA7A63" w:rsidRPr="000050D1" w:rsidRDefault="00CA7A63" w:rsidP="000050D1">
      <w:r w:rsidRPr="000050D1">
        <w:t>The 2018 CWW and 2020 WW determinations did not consider the costs associated with integration on 1 July 2021. These costs account for some of the increase in operating expenditure. Transformation programs, changes in obligations and external cost drivers make up the remainder.</w:t>
      </w:r>
      <w:r w:rsidR="00DB308C">
        <w:t xml:space="preserve"> </w:t>
      </w:r>
      <w:r w:rsidRPr="000050D1">
        <w:t xml:space="preserve">Controllable operating expenditure per connection has increased from </w:t>
      </w:r>
      <w:r w:rsidRPr="00390B23">
        <w:t>$326</w:t>
      </w:r>
      <w:r w:rsidRPr="000050D1">
        <w:t xml:space="preserve"> in 2018-19 to </w:t>
      </w:r>
      <w:r w:rsidRPr="00390B23">
        <w:t>$341</w:t>
      </w:r>
      <w:r w:rsidRPr="000050D1">
        <w:t xml:space="preserve"> in 2022-23.</w:t>
      </w:r>
    </w:p>
    <w:p w14:paraId="7567F699" w14:textId="1AAFD6CE" w:rsidR="00CA7A63" w:rsidRPr="000050D1" w:rsidRDefault="00CA7A63" w:rsidP="000050D1">
      <w:r w:rsidRPr="000050D1">
        <w:t xml:space="preserve">Changes to operating expenditure over the current regulatory period (2018-23) is grouped in to four broad programs of works: </w:t>
      </w:r>
    </w:p>
    <w:p w14:paraId="34725B03" w14:textId="1D791E04" w:rsidR="00CA7A63" w:rsidRPr="000050D1" w:rsidRDefault="00CA7A63" w:rsidP="008520AF">
      <w:pPr>
        <w:pStyle w:val="Heading4-nonumber"/>
      </w:pPr>
      <w:r w:rsidRPr="000050D1">
        <w:t>Costs associated with integrat</w:t>
      </w:r>
      <w:r w:rsidR="008520AF">
        <w:t>ion of</w:t>
      </w:r>
      <w:r w:rsidRPr="000050D1">
        <w:t xml:space="preserve"> CWW and WW</w:t>
      </w:r>
      <w:r w:rsidRPr="000050D1" w:rsidDel="00CD6300">
        <w:t xml:space="preserve"> </w:t>
      </w:r>
    </w:p>
    <w:p w14:paraId="221A4D19" w14:textId="42ADE257" w:rsidR="00CA7A63" w:rsidRPr="000050D1" w:rsidRDefault="00CA7A63" w:rsidP="000050D1">
      <w:r w:rsidRPr="000050D1">
        <w:t>These costs are mostly administrative, including, consolidation of back-end systems (such as payroll, HR, and finance), import data and retire the unused system. Workforce management savings, as the predecessor businesses both had executive management and a board, could be achieved almost immediately and through natural attrition.</w:t>
      </w:r>
    </w:p>
    <w:p w14:paraId="063AC68B" w14:textId="77777777" w:rsidR="00CA7A63" w:rsidRPr="000050D1" w:rsidRDefault="00CA7A63" w:rsidP="008520AF">
      <w:pPr>
        <w:pStyle w:val="Heading4-nonumber"/>
      </w:pPr>
      <w:r w:rsidRPr="000050D1">
        <w:t xml:space="preserve">Costs associated with adding value and transforming our operating expenditure </w:t>
      </w:r>
      <w:proofErr w:type="gramStart"/>
      <w:r w:rsidRPr="000050D1">
        <w:t>programs</w:t>
      </w:r>
      <w:proofErr w:type="gramEnd"/>
      <w:r w:rsidRPr="000050D1" w:rsidDel="00634AA9">
        <w:t xml:space="preserve"> </w:t>
      </w:r>
      <w:r w:rsidRPr="000050D1">
        <w:t> </w:t>
      </w:r>
    </w:p>
    <w:p w14:paraId="17DF6D5C" w14:textId="3F50B5F2" w:rsidR="00CA7A63" w:rsidRPr="000050D1" w:rsidRDefault="00CA7A63" w:rsidP="000050D1">
      <w:r w:rsidRPr="000050D1">
        <w:t xml:space="preserve">The integration required investment in systems and processes. The transformation program includes </w:t>
      </w:r>
      <w:r w:rsidR="002D2B51">
        <w:t>expenditure</w:t>
      </w:r>
      <w:r w:rsidRPr="000050D1">
        <w:t xml:space="preserve"> that GWW considered optimal (efficient) in the long run to upgrade its operations, respond to regulatory </w:t>
      </w:r>
      <w:proofErr w:type="gramStart"/>
      <w:r w:rsidRPr="000050D1">
        <w:t>requirements</w:t>
      </w:r>
      <w:proofErr w:type="gramEnd"/>
      <w:r w:rsidRPr="000050D1">
        <w:t xml:space="preserve"> and maintain or improve service levels. The key transformation programs included, safety uplift, transforming customer services, managing compliance, increased focus on asset management and streamlining corporate functions.  </w:t>
      </w:r>
    </w:p>
    <w:p w14:paraId="668670F3" w14:textId="77777777" w:rsidR="00CA7A63" w:rsidRPr="000050D1" w:rsidRDefault="00CA7A63" w:rsidP="00F95B7A">
      <w:pPr>
        <w:pStyle w:val="Heading4-nonumber"/>
      </w:pPr>
      <w:r w:rsidRPr="000050D1">
        <w:lastRenderedPageBreak/>
        <w:t>Changes in obligations </w:t>
      </w:r>
    </w:p>
    <w:p w14:paraId="4EA80A4B" w14:textId="28B4DBA9" w:rsidR="00CA7A63" w:rsidRPr="000050D1" w:rsidRDefault="00CA7A63" w:rsidP="000050D1">
      <w:r w:rsidRPr="000050D1">
        <w:t xml:space="preserve">Since 2018-19, GWW has experienced several changes in obligations including payroll tax increase by 0.5 %, superannuation </w:t>
      </w:r>
      <w:proofErr w:type="gramStart"/>
      <w:r w:rsidRPr="000050D1">
        <w:t>increase</w:t>
      </w:r>
      <w:proofErr w:type="gramEnd"/>
      <w:r w:rsidRPr="000050D1">
        <w:t xml:space="preserve"> to 11% by 2023-24, increases in Traditional Owner and First Nations </w:t>
      </w:r>
      <w:r w:rsidR="00634C61">
        <w:t xml:space="preserve">government </w:t>
      </w:r>
      <w:r w:rsidRPr="000050D1">
        <w:t xml:space="preserve">policy commitments, increase in requirements on GWW to respond to changes in </w:t>
      </w:r>
      <w:r w:rsidRPr="00DA16C5">
        <w:rPr>
          <w:i/>
        </w:rPr>
        <w:t>Security of Critical Infrastructure Act 2018</w:t>
      </w:r>
      <w:r w:rsidRPr="000050D1">
        <w:t xml:space="preserve"> and state and federal Government Cyber Security requirements. </w:t>
      </w:r>
    </w:p>
    <w:p w14:paraId="7E4E3CC9" w14:textId="66D05674" w:rsidR="00CA7A63" w:rsidRPr="000050D1" w:rsidRDefault="00CA7A63" w:rsidP="001021E2">
      <w:pPr>
        <w:pStyle w:val="Heading4-nonumber"/>
      </w:pPr>
      <w:r w:rsidRPr="000050D1">
        <w:t xml:space="preserve">External cost drivers </w:t>
      </w:r>
    </w:p>
    <w:p w14:paraId="1A7EED66" w14:textId="77777777" w:rsidR="00CA7A63" w:rsidRPr="000050D1" w:rsidRDefault="00CA7A63" w:rsidP="000050D1">
      <w:r w:rsidRPr="000050D1">
        <w:t>These are costs that GWW incurred to maintain the service levels, where costs had increased above allowances (adjusted for inflation), and the activities undertaken were efficient and prudent. This includes increases in energy, IT licence fees and operations and maintenance cost increases in unit rates and safety requirements.</w:t>
      </w:r>
    </w:p>
    <w:p w14:paraId="71A55074" w14:textId="0550607E" w:rsidR="00CA7A63" w:rsidRPr="00497394" w:rsidRDefault="00CA7A63" w:rsidP="00497394">
      <w:pPr>
        <w:pStyle w:val="Caption"/>
      </w:pPr>
      <w:r w:rsidRPr="00390B72">
        <w:rPr>
          <w:b/>
        </w:rPr>
        <w:t xml:space="preserve">Table </w:t>
      </w:r>
      <w:r w:rsidRPr="00390B72">
        <w:rPr>
          <w:b/>
        </w:rPr>
        <w:fldChar w:fldCharType="begin"/>
      </w:r>
      <w:r w:rsidRPr="00390B72">
        <w:rPr>
          <w:b/>
        </w:rPr>
        <w:instrText>SEQ Table \* ARABIC</w:instrText>
      </w:r>
      <w:r w:rsidRPr="00390B72">
        <w:rPr>
          <w:b/>
        </w:rPr>
        <w:fldChar w:fldCharType="separate"/>
      </w:r>
      <w:r w:rsidR="003B42C6">
        <w:rPr>
          <w:b/>
          <w:noProof/>
        </w:rPr>
        <w:t>59</w:t>
      </w:r>
      <w:r w:rsidRPr="00390B72">
        <w:rPr>
          <w:b/>
        </w:rPr>
        <w:fldChar w:fldCharType="end"/>
      </w:r>
      <w:r w:rsidRPr="00497394">
        <w:t xml:space="preserve"> Total controllable operating cost performance over 2018-23 ($million, 2023-24)</w:t>
      </w:r>
    </w:p>
    <w:tbl>
      <w:tblPr>
        <w:tblStyle w:val="GWWDefaulttable"/>
        <w:tblW w:w="5000" w:type="pct"/>
        <w:tblLook w:val="04A0" w:firstRow="1" w:lastRow="0" w:firstColumn="1" w:lastColumn="0" w:noHBand="0" w:noVBand="1"/>
      </w:tblPr>
      <w:tblGrid>
        <w:gridCol w:w="1435"/>
        <w:gridCol w:w="1366"/>
        <w:gridCol w:w="1367"/>
        <w:gridCol w:w="1367"/>
        <w:gridCol w:w="1367"/>
        <w:gridCol w:w="1367"/>
        <w:gridCol w:w="1369"/>
      </w:tblGrid>
      <w:tr w:rsidR="00CA7A63" w:rsidRPr="00497394" w14:paraId="0AD76ECD" w14:textId="77777777" w:rsidTr="008A69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4" w:type="pct"/>
          </w:tcPr>
          <w:p w14:paraId="5C2683F9" w14:textId="77777777" w:rsidR="00CA7A63" w:rsidRPr="00497394" w:rsidRDefault="00CA7A63" w:rsidP="00497394"/>
        </w:tc>
        <w:tc>
          <w:tcPr>
            <w:tcW w:w="709" w:type="pct"/>
            <w:vAlign w:val="center"/>
          </w:tcPr>
          <w:p w14:paraId="4CA1BF46"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2018-19</w:t>
            </w:r>
          </w:p>
        </w:tc>
        <w:tc>
          <w:tcPr>
            <w:tcW w:w="709" w:type="pct"/>
            <w:vAlign w:val="center"/>
          </w:tcPr>
          <w:p w14:paraId="7433B5C5"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2019-20</w:t>
            </w:r>
          </w:p>
        </w:tc>
        <w:tc>
          <w:tcPr>
            <w:tcW w:w="709" w:type="pct"/>
            <w:vAlign w:val="center"/>
          </w:tcPr>
          <w:p w14:paraId="7ED1427F"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2020-21</w:t>
            </w:r>
          </w:p>
        </w:tc>
        <w:tc>
          <w:tcPr>
            <w:tcW w:w="709" w:type="pct"/>
            <w:vAlign w:val="center"/>
          </w:tcPr>
          <w:p w14:paraId="3CF0ECC3"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2021-22</w:t>
            </w:r>
          </w:p>
        </w:tc>
        <w:tc>
          <w:tcPr>
            <w:tcW w:w="709" w:type="pct"/>
            <w:vAlign w:val="center"/>
          </w:tcPr>
          <w:p w14:paraId="01B7BA9A"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2022-23</w:t>
            </w:r>
          </w:p>
        </w:tc>
        <w:tc>
          <w:tcPr>
            <w:tcW w:w="710" w:type="pct"/>
            <w:vAlign w:val="center"/>
          </w:tcPr>
          <w:p w14:paraId="007E5D8C" w14:textId="71BD2556" w:rsidR="00CA7A63" w:rsidRPr="00497394" w:rsidRDefault="00CA7A63" w:rsidP="00AE45AA">
            <w:pPr>
              <w:jc w:val="right"/>
              <w:cnfStyle w:val="100000000000" w:firstRow="1" w:lastRow="0" w:firstColumn="0" w:lastColumn="0" w:oddVBand="0" w:evenVBand="0" w:oddHBand="0" w:evenHBand="0" w:firstRowFirstColumn="0" w:firstRowLastColumn="0" w:lastRowFirstColumn="0" w:lastRowLastColumn="0"/>
            </w:pPr>
            <w:r w:rsidRPr="00497394">
              <w:t>Total</w:t>
            </w:r>
          </w:p>
        </w:tc>
      </w:tr>
      <w:tr w:rsidR="00CA7A63" w:rsidRPr="00497394" w14:paraId="57321FEA"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05C255A8" w14:textId="77777777" w:rsidR="00CA7A63" w:rsidRPr="003F5807" w:rsidRDefault="00CA7A63" w:rsidP="00497394">
            <w:pPr>
              <w:rPr>
                <w:b w:val="0"/>
              </w:rPr>
            </w:pPr>
            <w:r w:rsidRPr="003F5807">
              <w:rPr>
                <w:b w:val="0"/>
              </w:rPr>
              <w:t xml:space="preserve">Determination </w:t>
            </w:r>
          </w:p>
        </w:tc>
        <w:tc>
          <w:tcPr>
            <w:tcW w:w="709" w:type="pct"/>
            <w:vAlign w:val="center"/>
          </w:tcPr>
          <w:p w14:paraId="0B5CD4AC"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177.5 </w:t>
            </w:r>
          </w:p>
        </w:tc>
        <w:tc>
          <w:tcPr>
            <w:tcW w:w="709" w:type="pct"/>
            <w:vAlign w:val="center"/>
          </w:tcPr>
          <w:p w14:paraId="035790D4"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176.5 </w:t>
            </w:r>
          </w:p>
        </w:tc>
        <w:tc>
          <w:tcPr>
            <w:tcW w:w="709" w:type="pct"/>
            <w:vAlign w:val="center"/>
          </w:tcPr>
          <w:p w14:paraId="515BBF7B"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180.3 </w:t>
            </w:r>
          </w:p>
        </w:tc>
        <w:tc>
          <w:tcPr>
            <w:tcW w:w="709" w:type="pct"/>
            <w:vAlign w:val="center"/>
          </w:tcPr>
          <w:p w14:paraId="47CDB2FF"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183.1 </w:t>
            </w:r>
          </w:p>
        </w:tc>
        <w:tc>
          <w:tcPr>
            <w:tcW w:w="709" w:type="pct"/>
            <w:vAlign w:val="center"/>
          </w:tcPr>
          <w:p w14:paraId="3958C079"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184.1 </w:t>
            </w:r>
          </w:p>
        </w:tc>
        <w:tc>
          <w:tcPr>
            <w:tcW w:w="710" w:type="pct"/>
            <w:vAlign w:val="center"/>
          </w:tcPr>
          <w:p w14:paraId="1CDCA1A6" w14:textId="77777777" w:rsidR="00CA7A63" w:rsidRPr="00E01BDB"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E01BDB">
              <w:rPr>
                <w:b/>
              </w:rPr>
              <w:t xml:space="preserve">901.5 </w:t>
            </w:r>
          </w:p>
        </w:tc>
      </w:tr>
      <w:tr w:rsidR="00CA7A63" w:rsidRPr="00FF3CC5" w14:paraId="3B181F76"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38FF4034" w14:textId="77777777" w:rsidR="00CA7A63" w:rsidRPr="003F5807" w:rsidRDefault="00CA7A63" w:rsidP="00497394">
            <w:pPr>
              <w:rPr>
                <w:b w:val="0"/>
              </w:rPr>
            </w:pPr>
            <w:r w:rsidRPr="003F5807">
              <w:rPr>
                <w:b w:val="0"/>
              </w:rPr>
              <w:t>Actual</w:t>
            </w:r>
          </w:p>
        </w:tc>
        <w:tc>
          <w:tcPr>
            <w:tcW w:w="709" w:type="pct"/>
            <w:vAlign w:val="center"/>
          </w:tcPr>
          <w:p w14:paraId="334EEFD2"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176.3 </w:t>
            </w:r>
          </w:p>
        </w:tc>
        <w:tc>
          <w:tcPr>
            <w:tcW w:w="709" w:type="pct"/>
            <w:vAlign w:val="center"/>
          </w:tcPr>
          <w:p w14:paraId="76531876"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185.3 </w:t>
            </w:r>
          </w:p>
        </w:tc>
        <w:tc>
          <w:tcPr>
            <w:tcW w:w="709" w:type="pct"/>
            <w:vAlign w:val="center"/>
          </w:tcPr>
          <w:p w14:paraId="6CDE6A84"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195.8 </w:t>
            </w:r>
          </w:p>
        </w:tc>
        <w:tc>
          <w:tcPr>
            <w:tcW w:w="709" w:type="pct"/>
            <w:vAlign w:val="center"/>
          </w:tcPr>
          <w:p w14:paraId="2BA92957"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205.8 </w:t>
            </w:r>
          </w:p>
        </w:tc>
        <w:tc>
          <w:tcPr>
            <w:tcW w:w="709" w:type="pct"/>
            <w:vAlign w:val="center"/>
          </w:tcPr>
          <w:p w14:paraId="13A3AAED" w14:textId="77777777" w:rsidR="00CA7A63" w:rsidRPr="00FF3CC5"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209.6</w:t>
            </w:r>
          </w:p>
        </w:tc>
        <w:tc>
          <w:tcPr>
            <w:tcW w:w="710" w:type="pct"/>
            <w:vAlign w:val="center"/>
          </w:tcPr>
          <w:p w14:paraId="08E1020B" w14:textId="77777777" w:rsidR="00CA7A63" w:rsidRPr="00FF3CC5"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FF3CC5">
              <w:rPr>
                <w:b/>
              </w:rPr>
              <w:t>973.0</w:t>
            </w:r>
          </w:p>
        </w:tc>
      </w:tr>
      <w:tr w:rsidR="00CA7A63" w:rsidRPr="00FF3CC5" w14:paraId="0EC09B20"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277BC5F0" w14:textId="77777777" w:rsidR="00CA7A63" w:rsidRPr="003F5807" w:rsidRDefault="00CA7A63" w:rsidP="00497394">
            <w:pPr>
              <w:rPr>
                <w:b w:val="0"/>
              </w:rPr>
            </w:pPr>
            <w:r w:rsidRPr="003F5807">
              <w:rPr>
                <w:b w:val="0"/>
              </w:rPr>
              <w:t>Variation ($)</w:t>
            </w:r>
          </w:p>
        </w:tc>
        <w:tc>
          <w:tcPr>
            <w:tcW w:w="709" w:type="pct"/>
            <w:vAlign w:val="center"/>
          </w:tcPr>
          <w:p w14:paraId="52655A62"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-1.1 </w:t>
            </w:r>
          </w:p>
        </w:tc>
        <w:tc>
          <w:tcPr>
            <w:tcW w:w="709" w:type="pct"/>
            <w:vAlign w:val="center"/>
          </w:tcPr>
          <w:p w14:paraId="15494569"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+8.8 </w:t>
            </w:r>
          </w:p>
        </w:tc>
        <w:tc>
          <w:tcPr>
            <w:tcW w:w="709" w:type="pct"/>
            <w:vAlign w:val="center"/>
          </w:tcPr>
          <w:p w14:paraId="36F87E86"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+15.6 </w:t>
            </w:r>
          </w:p>
        </w:tc>
        <w:tc>
          <w:tcPr>
            <w:tcW w:w="709" w:type="pct"/>
            <w:vAlign w:val="center"/>
          </w:tcPr>
          <w:p w14:paraId="761AA90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+22.7 </w:t>
            </w:r>
          </w:p>
        </w:tc>
        <w:tc>
          <w:tcPr>
            <w:tcW w:w="709" w:type="pct"/>
            <w:vAlign w:val="center"/>
          </w:tcPr>
          <w:p w14:paraId="77D457C6"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+25.5</w:t>
            </w:r>
          </w:p>
        </w:tc>
        <w:tc>
          <w:tcPr>
            <w:tcW w:w="710" w:type="pct"/>
            <w:vAlign w:val="center"/>
          </w:tcPr>
          <w:p w14:paraId="2838311B"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FF3CC5">
              <w:rPr>
                <w:b/>
              </w:rPr>
              <w:t>+71.5</w:t>
            </w:r>
          </w:p>
        </w:tc>
      </w:tr>
      <w:tr w:rsidR="00CA7A63" w:rsidRPr="00FF3CC5" w14:paraId="2CFD010B"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0E0BC497" w14:textId="77777777" w:rsidR="00CA7A63" w:rsidRPr="003F5807" w:rsidRDefault="00CA7A63" w:rsidP="00497394">
            <w:pPr>
              <w:rPr>
                <w:b w:val="0"/>
              </w:rPr>
            </w:pPr>
            <w:r w:rsidRPr="003F5807">
              <w:rPr>
                <w:b w:val="0"/>
              </w:rPr>
              <w:t>Variation (%)</w:t>
            </w:r>
          </w:p>
        </w:tc>
        <w:tc>
          <w:tcPr>
            <w:tcW w:w="709" w:type="pct"/>
            <w:vAlign w:val="center"/>
          </w:tcPr>
          <w:p w14:paraId="74817D8A"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-0.6%</w:t>
            </w:r>
          </w:p>
        </w:tc>
        <w:tc>
          <w:tcPr>
            <w:tcW w:w="709" w:type="pct"/>
            <w:vAlign w:val="center"/>
          </w:tcPr>
          <w:p w14:paraId="26BA092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5.0%</w:t>
            </w:r>
          </w:p>
        </w:tc>
        <w:tc>
          <w:tcPr>
            <w:tcW w:w="709" w:type="pct"/>
            <w:vAlign w:val="center"/>
          </w:tcPr>
          <w:p w14:paraId="49FEC882"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8.6%</w:t>
            </w:r>
          </w:p>
        </w:tc>
        <w:tc>
          <w:tcPr>
            <w:tcW w:w="709" w:type="pct"/>
            <w:vAlign w:val="center"/>
          </w:tcPr>
          <w:p w14:paraId="4E5EEFC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12.4%</w:t>
            </w:r>
          </w:p>
        </w:tc>
        <w:tc>
          <w:tcPr>
            <w:tcW w:w="709" w:type="pct"/>
            <w:vAlign w:val="center"/>
          </w:tcPr>
          <w:p w14:paraId="2B227DBD"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13.8%</w:t>
            </w:r>
          </w:p>
        </w:tc>
        <w:tc>
          <w:tcPr>
            <w:tcW w:w="710" w:type="pct"/>
            <w:vAlign w:val="center"/>
          </w:tcPr>
          <w:p w14:paraId="653E9592"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bookmarkStart w:id="296" w:name="_Ref145922079"/>
            <w:r w:rsidRPr="00FF3CC5">
              <w:rPr>
                <w:b/>
              </w:rPr>
              <w:t>7.9%</w:t>
            </w:r>
            <w:bookmarkEnd w:id="296"/>
          </w:p>
        </w:tc>
      </w:tr>
    </w:tbl>
    <w:p w14:paraId="572A0F5A" w14:textId="77777777" w:rsidR="00CA7A63" w:rsidRPr="00F010C9" w:rsidRDefault="00CA7A63" w:rsidP="00CA7A63"/>
    <w:p w14:paraId="70FE774D" w14:textId="41A13F37" w:rsidR="00CA7A63" w:rsidRPr="001021E2" w:rsidRDefault="00497394" w:rsidP="001021E2">
      <w:pPr>
        <w:pStyle w:val="Heading2"/>
      </w:pPr>
      <w:bookmarkStart w:id="297" w:name="_Ref145922080"/>
      <w:bookmarkStart w:id="298" w:name="_Toc146004892"/>
      <w:bookmarkStart w:id="299" w:name="_Toc146004780"/>
      <w:bookmarkStart w:id="300" w:name="_Toc146746726"/>
      <w:r w:rsidRPr="001021E2">
        <w:t>C</w:t>
      </w:r>
      <w:r w:rsidR="00CA7A63" w:rsidRPr="001021E2">
        <w:t xml:space="preserve">apital expenditure </w:t>
      </w:r>
      <w:proofErr w:type="gramStart"/>
      <w:r w:rsidR="00CA7A63" w:rsidRPr="001021E2">
        <w:t>performance</w:t>
      </w:r>
      <w:bookmarkEnd w:id="297"/>
      <w:bookmarkEnd w:id="298"/>
      <w:bookmarkEnd w:id="299"/>
      <w:bookmarkEnd w:id="300"/>
      <w:proofErr w:type="gramEnd"/>
    </w:p>
    <w:p w14:paraId="6D33B391" w14:textId="717F0E2C" w:rsidR="00CA7A63" w:rsidRPr="00497394" w:rsidRDefault="00CA7A63" w:rsidP="00497394">
      <w:r w:rsidRPr="00497394">
        <w:t xml:space="preserve">Our actual total capital expenditure across the 2018–23 regulatory period was </w:t>
      </w:r>
      <w:r w:rsidRPr="00F15E85">
        <w:t>24.9%</w:t>
      </w:r>
      <w:r w:rsidRPr="00497394">
        <w:t xml:space="preserve"> higher than anticipated in our determination benchmarks. </w:t>
      </w:r>
    </w:p>
    <w:p w14:paraId="6E59C714" w14:textId="77777777" w:rsidR="00CA7A63" w:rsidRPr="00497394" w:rsidRDefault="00CA7A63" w:rsidP="00497394">
      <w:r w:rsidRPr="00497394">
        <w:t xml:space="preserve">We attribute our capital expenditure variation to: </w:t>
      </w:r>
    </w:p>
    <w:p w14:paraId="10B70E10" w14:textId="0278EAD6" w:rsidR="00CA7A63" w:rsidRPr="00497394" w:rsidRDefault="00CA7A63">
      <w:pPr>
        <w:pStyle w:val="ListBullet"/>
        <w:numPr>
          <w:ilvl w:val="0"/>
          <w:numId w:val="35"/>
        </w:numPr>
      </w:pPr>
      <w:r w:rsidRPr="00497394">
        <w:t xml:space="preserve">Higher than forecast customer growth, particularly in the </w:t>
      </w:r>
      <w:r w:rsidR="738A9598">
        <w:t>w</w:t>
      </w:r>
      <w:r w:rsidRPr="00497394">
        <w:t>estern region</w:t>
      </w:r>
      <w:r w:rsidR="00BE54C9">
        <w:t xml:space="preserve">, leading to infrastructure being brought forward. </w:t>
      </w:r>
    </w:p>
    <w:p w14:paraId="05373677" w14:textId="5FC824B4" w:rsidR="00CA7A63" w:rsidRPr="00497394" w:rsidRDefault="00CA7A63">
      <w:pPr>
        <w:pStyle w:val="ListBullet"/>
        <w:numPr>
          <w:ilvl w:val="0"/>
          <w:numId w:val="35"/>
        </w:numPr>
      </w:pPr>
      <w:r w:rsidRPr="00497394">
        <w:t xml:space="preserve">The previous Western Water price submission underestimated the capital </w:t>
      </w:r>
      <w:r w:rsidR="00A73B16">
        <w:t xml:space="preserve">expenditure </w:t>
      </w:r>
      <w:r w:rsidRPr="00497394">
        <w:t xml:space="preserve">required to service </w:t>
      </w:r>
      <w:r w:rsidR="009C0DE9">
        <w:t xml:space="preserve">the </w:t>
      </w:r>
      <w:proofErr w:type="gramStart"/>
      <w:r w:rsidR="009C0DE9">
        <w:t>higher than expected</w:t>
      </w:r>
      <w:proofErr w:type="gramEnd"/>
      <w:r w:rsidR="009C0DE9">
        <w:t xml:space="preserve"> </w:t>
      </w:r>
      <w:r w:rsidRPr="00497394">
        <w:t xml:space="preserve">growth and meet compliance requirements. </w:t>
      </w:r>
    </w:p>
    <w:p w14:paraId="323131CC" w14:textId="77777777" w:rsidR="00CA7A63" w:rsidRPr="00497394" w:rsidRDefault="00CA7A63">
      <w:pPr>
        <w:pStyle w:val="ListBullet"/>
        <w:numPr>
          <w:ilvl w:val="0"/>
          <w:numId w:val="35"/>
        </w:numPr>
      </w:pPr>
      <w:r w:rsidRPr="00497394">
        <w:t xml:space="preserve">substantial increases to unit rates across all capital works driven by supply chain challenges and aging infrastructure. </w:t>
      </w:r>
    </w:p>
    <w:p w14:paraId="24502C4A" w14:textId="77777777" w:rsidR="00CA7A63" w:rsidRPr="00497394" w:rsidRDefault="00CA7A63">
      <w:pPr>
        <w:pStyle w:val="ListBullet"/>
        <w:numPr>
          <w:ilvl w:val="0"/>
          <w:numId w:val="35"/>
        </w:numPr>
      </w:pPr>
      <w:r w:rsidRPr="00497394">
        <w:t xml:space="preserve">aging infrastructure (parts of our network are over 100 years old in the inner CBD region) requiring significant increased renewals to maintain reliability to these highly urbanised and </w:t>
      </w:r>
      <w:proofErr w:type="gramStart"/>
      <w:r w:rsidRPr="00497394">
        <w:t>high risk</w:t>
      </w:r>
      <w:proofErr w:type="gramEnd"/>
      <w:r w:rsidRPr="00497394">
        <w:t xml:space="preserve"> areas. </w:t>
      </w:r>
    </w:p>
    <w:p w14:paraId="32BFC9CE" w14:textId="77777777" w:rsidR="00CA7A63" w:rsidRPr="00497394" w:rsidRDefault="00CA7A63">
      <w:pPr>
        <w:pStyle w:val="ListBullet"/>
        <w:numPr>
          <w:ilvl w:val="0"/>
          <w:numId w:val="35"/>
        </w:numPr>
      </w:pPr>
      <w:r w:rsidRPr="00497394">
        <w:t xml:space="preserve">high developer reimbursements driven by location and scale of developments. </w:t>
      </w:r>
    </w:p>
    <w:p w14:paraId="02ADC326" w14:textId="175EFDCB" w:rsidR="00CA7A63" w:rsidRPr="00497394" w:rsidRDefault="00CA7A63">
      <w:pPr>
        <w:pStyle w:val="ListBullet"/>
        <w:numPr>
          <w:ilvl w:val="0"/>
          <w:numId w:val="35"/>
        </w:numPr>
      </w:pPr>
      <w:r w:rsidRPr="00497394">
        <w:t>New systems needed to support integration, for example additional expenditure required for the billing and collections system to accommodate data from two businesses rather than one.</w:t>
      </w:r>
    </w:p>
    <w:p w14:paraId="54E814E8" w14:textId="57B516F1" w:rsidR="00B2724C" w:rsidRPr="00B2724C" w:rsidRDefault="00802EB6" w:rsidP="00E01BDB">
      <w:r>
        <w:lastRenderedPageBreak/>
        <w:t>A</w:t>
      </w:r>
      <w:r w:rsidR="00B2724C" w:rsidRPr="00B2724C">
        <w:t xml:space="preserve">t the time of our previous price submissions, the major projects </w:t>
      </w:r>
      <w:r w:rsidR="007A0770">
        <w:t>listed</w:t>
      </w:r>
      <w:r w:rsidR="00B2724C" w:rsidRPr="00B2724C">
        <w:t xml:space="preserve"> in section 8.</w:t>
      </w:r>
      <w:r w:rsidR="00115A20">
        <w:t>5</w:t>
      </w:r>
      <w:r w:rsidR="00B2724C" w:rsidRPr="00B2724C">
        <w:t xml:space="preserve"> represented approximately 25% of our total determination capital expenditure spend over the current regulatory period. Our overall </w:t>
      </w:r>
      <w:r w:rsidR="007A0770">
        <w:t>actual</w:t>
      </w:r>
      <w:r w:rsidR="00B2724C" w:rsidRPr="00B2724C">
        <w:t xml:space="preserve"> capital expenditure spend includes a </w:t>
      </w:r>
      <w:r w:rsidR="006B3465">
        <w:t>broad</w:t>
      </w:r>
      <w:r w:rsidR="00B2724C" w:rsidRPr="00B2724C">
        <w:t xml:space="preserve"> range of projects that were brought forward or had increased in scope </w:t>
      </w:r>
      <w:r w:rsidR="004263C4">
        <w:t xml:space="preserve">due to </w:t>
      </w:r>
      <w:r w:rsidR="00B2724C" w:rsidRPr="00B2724C">
        <w:t xml:space="preserve">the cost drivers discussed above. For example, we installed additional capacity at our Melton </w:t>
      </w:r>
      <w:r w:rsidR="003D5365">
        <w:t>Recycled Water</w:t>
      </w:r>
      <w:r w:rsidR="00B2724C" w:rsidRPr="00B2724C">
        <w:t xml:space="preserve"> plant and installed a large water main (Rockbank Road) to service the Melton region. These projects were </w:t>
      </w:r>
      <w:r>
        <w:t xml:space="preserve">required in </w:t>
      </w:r>
      <w:r w:rsidR="00B2724C" w:rsidRPr="00B2724C">
        <w:t xml:space="preserve">response to high growth combined with </w:t>
      </w:r>
      <w:r>
        <w:t xml:space="preserve">ageing </w:t>
      </w:r>
      <w:r w:rsidR="00B2724C" w:rsidRPr="00B2724C">
        <w:t>asset</w:t>
      </w:r>
      <w:r>
        <w:t xml:space="preserve">s, which resulted in </w:t>
      </w:r>
      <w:r w:rsidR="00B2724C" w:rsidRPr="00B2724C">
        <w:t xml:space="preserve">insufficient capacity. </w:t>
      </w:r>
    </w:p>
    <w:p w14:paraId="573ED474" w14:textId="3D5B1F48" w:rsidR="00CA7A63" w:rsidRPr="00E61300" w:rsidRDefault="00CA7A63" w:rsidP="00E61300">
      <w:pPr>
        <w:pStyle w:val="Caption"/>
      </w:pPr>
      <w:r w:rsidRPr="008A696F">
        <w:rPr>
          <w:b/>
        </w:rPr>
        <w:t xml:space="preserve">Table </w:t>
      </w:r>
      <w:r w:rsidRPr="008A696F">
        <w:rPr>
          <w:b/>
        </w:rPr>
        <w:fldChar w:fldCharType="begin"/>
      </w:r>
      <w:r w:rsidRPr="008A696F">
        <w:rPr>
          <w:b/>
        </w:rPr>
        <w:instrText>SEQ Table \* ARABIC</w:instrText>
      </w:r>
      <w:r w:rsidRPr="008A696F">
        <w:rPr>
          <w:b/>
        </w:rPr>
        <w:fldChar w:fldCharType="separate"/>
      </w:r>
      <w:r w:rsidR="003B42C6">
        <w:rPr>
          <w:b/>
          <w:noProof/>
        </w:rPr>
        <w:t>60</w:t>
      </w:r>
      <w:r w:rsidRPr="008A696F">
        <w:rPr>
          <w:b/>
        </w:rPr>
        <w:fldChar w:fldCharType="end"/>
      </w:r>
      <w:r w:rsidRPr="00E61300">
        <w:t xml:space="preserve"> Total capital cost performance for 2018-23 ($million, 2023-24)</w:t>
      </w:r>
    </w:p>
    <w:tbl>
      <w:tblPr>
        <w:tblStyle w:val="GWWDefaulttable"/>
        <w:tblW w:w="5000" w:type="pct"/>
        <w:tblLook w:val="04A0" w:firstRow="1" w:lastRow="0" w:firstColumn="1" w:lastColumn="0" w:noHBand="0" w:noVBand="1"/>
      </w:tblPr>
      <w:tblGrid>
        <w:gridCol w:w="1761"/>
        <w:gridCol w:w="1312"/>
        <w:gridCol w:w="1313"/>
        <w:gridCol w:w="1313"/>
        <w:gridCol w:w="1313"/>
        <w:gridCol w:w="1313"/>
        <w:gridCol w:w="1313"/>
      </w:tblGrid>
      <w:tr w:rsidR="00CA7A63" w:rsidRPr="00E61300" w14:paraId="59B68A4C" w14:textId="77777777" w:rsidTr="008A69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4" w:type="pct"/>
          </w:tcPr>
          <w:p w14:paraId="206949DF" w14:textId="77777777" w:rsidR="00CA7A63" w:rsidRPr="00E61300" w:rsidRDefault="00CA7A63" w:rsidP="00E61300"/>
        </w:tc>
        <w:tc>
          <w:tcPr>
            <w:tcW w:w="681" w:type="pct"/>
            <w:vAlign w:val="center"/>
          </w:tcPr>
          <w:p w14:paraId="0243C0CA"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2018-19</w:t>
            </w:r>
          </w:p>
        </w:tc>
        <w:tc>
          <w:tcPr>
            <w:tcW w:w="681" w:type="pct"/>
            <w:vAlign w:val="center"/>
          </w:tcPr>
          <w:p w14:paraId="7C47B183"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2019-20</w:t>
            </w:r>
          </w:p>
        </w:tc>
        <w:tc>
          <w:tcPr>
            <w:tcW w:w="681" w:type="pct"/>
            <w:vAlign w:val="center"/>
          </w:tcPr>
          <w:p w14:paraId="6571EE45"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2020-21</w:t>
            </w:r>
          </w:p>
        </w:tc>
        <w:tc>
          <w:tcPr>
            <w:tcW w:w="681" w:type="pct"/>
            <w:vAlign w:val="center"/>
          </w:tcPr>
          <w:p w14:paraId="5ECEAB66"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2021-22</w:t>
            </w:r>
          </w:p>
        </w:tc>
        <w:tc>
          <w:tcPr>
            <w:tcW w:w="681" w:type="pct"/>
            <w:vAlign w:val="center"/>
          </w:tcPr>
          <w:p w14:paraId="39925C32"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2022-23</w:t>
            </w:r>
          </w:p>
        </w:tc>
        <w:tc>
          <w:tcPr>
            <w:tcW w:w="681" w:type="pct"/>
            <w:vAlign w:val="center"/>
          </w:tcPr>
          <w:p w14:paraId="3EE7B278" w14:textId="590F3FEC" w:rsidR="00CA7A63" w:rsidRPr="00E61300" w:rsidRDefault="00CA7A63" w:rsidP="00AE45AA">
            <w:pPr>
              <w:jc w:val="right"/>
              <w:cnfStyle w:val="100000000000" w:firstRow="1" w:lastRow="0" w:firstColumn="0" w:lastColumn="0" w:oddVBand="0" w:evenVBand="0" w:oddHBand="0" w:evenHBand="0" w:firstRowFirstColumn="0" w:firstRowLastColumn="0" w:lastRowFirstColumn="0" w:lastRowLastColumn="0"/>
            </w:pPr>
            <w:r w:rsidRPr="00E61300">
              <w:t>Total</w:t>
            </w:r>
          </w:p>
        </w:tc>
      </w:tr>
      <w:tr w:rsidR="00CA7A63" w:rsidRPr="00E61300" w14:paraId="608BB9EB"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4AE4643E" w14:textId="77777777" w:rsidR="00CA7A63" w:rsidRPr="008A696F" w:rsidRDefault="00CA7A63" w:rsidP="00E61300">
            <w:pPr>
              <w:rPr>
                <w:b w:val="0"/>
              </w:rPr>
            </w:pPr>
            <w:r w:rsidRPr="008A696F">
              <w:rPr>
                <w:b w:val="0"/>
              </w:rPr>
              <w:t xml:space="preserve">Determination </w:t>
            </w:r>
          </w:p>
        </w:tc>
        <w:tc>
          <w:tcPr>
            <w:tcW w:w="681" w:type="pct"/>
            <w:vAlign w:val="center"/>
          </w:tcPr>
          <w:p w14:paraId="36E6882C"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227.6</w:t>
            </w:r>
          </w:p>
        </w:tc>
        <w:tc>
          <w:tcPr>
            <w:tcW w:w="681" w:type="pct"/>
            <w:vAlign w:val="center"/>
          </w:tcPr>
          <w:p w14:paraId="4502DE2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234.2</w:t>
            </w:r>
          </w:p>
        </w:tc>
        <w:tc>
          <w:tcPr>
            <w:tcW w:w="681" w:type="pct"/>
            <w:vAlign w:val="center"/>
          </w:tcPr>
          <w:p w14:paraId="1A11FDD3"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226.6</w:t>
            </w:r>
          </w:p>
        </w:tc>
        <w:tc>
          <w:tcPr>
            <w:tcW w:w="681" w:type="pct"/>
            <w:vAlign w:val="center"/>
          </w:tcPr>
          <w:p w14:paraId="3F435833"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217.6</w:t>
            </w:r>
          </w:p>
        </w:tc>
        <w:tc>
          <w:tcPr>
            <w:tcW w:w="681" w:type="pct"/>
            <w:vAlign w:val="center"/>
          </w:tcPr>
          <w:p w14:paraId="159B807C"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222.4</w:t>
            </w:r>
          </w:p>
        </w:tc>
        <w:tc>
          <w:tcPr>
            <w:tcW w:w="681" w:type="pct"/>
            <w:vAlign w:val="center"/>
          </w:tcPr>
          <w:p w14:paraId="099CD45D" w14:textId="77777777" w:rsidR="00CA7A63" w:rsidRPr="00B61B49"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B61B49">
              <w:rPr>
                <w:b/>
              </w:rPr>
              <w:t>1,128.4</w:t>
            </w:r>
          </w:p>
        </w:tc>
      </w:tr>
      <w:tr w:rsidR="00CA7A63" w:rsidRPr="00E61300" w14:paraId="0172870A"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6B6846CF" w14:textId="77777777" w:rsidR="00CA7A63" w:rsidRPr="008A696F" w:rsidRDefault="00CA7A63" w:rsidP="00E61300">
            <w:pPr>
              <w:rPr>
                <w:b w:val="0"/>
              </w:rPr>
            </w:pPr>
            <w:r w:rsidRPr="008A696F">
              <w:rPr>
                <w:b w:val="0"/>
              </w:rPr>
              <w:t>Actual</w:t>
            </w:r>
          </w:p>
        </w:tc>
        <w:tc>
          <w:tcPr>
            <w:tcW w:w="681" w:type="pct"/>
            <w:vAlign w:val="center"/>
          </w:tcPr>
          <w:p w14:paraId="1A715642"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230.1</w:t>
            </w:r>
          </w:p>
        </w:tc>
        <w:tc>
          <w:tcPr>
            <w:tcW w:w="681" w:type="pct"/>
            <w:vAlign w:val="center"/>
          </w:tcPr>
          <w:p w14:paraId="0906DA8D"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274.5</w:t>
            </w:r>
          </w:p>
        </w:tc>
        <w:tc>
          <w:tcPr>
            <w:tcW w:w="681" w:type="pct"/>
            <w:vAlign w:val="center"/>
          </w:tcPr>
          <w:p w14:paraId="66FB0C0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286.8</w:t>
            </w:r>
          </w:p>
        </w:tc>
        <w:tc>
          <w:tcPr>
            <w:tcW w:w="681" w:type="pct"/>
            <w:vAlign w:val="center"/>
          </w:tcPr>
          <w:p w14:paraId="4808E98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281.4</w:t>
            </w:r>
          </w:p>
        </w:tc>
        <w:tc>
          <w:tcPr>
            <w:tcW w:w="681" w:type="pct"/>
            <w:vAlign w:val="center"/>
          </w:tcPr>
          <w:p w14:paraId="18F354A8"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336.4</w:t>
            </w:r>
          </w:p>
        </w:tc>
        <w:tc>
          <w:tcPr>
            <w:tcW w:w="681" w:type="pct"/>
            <w:vAlign w:val="center"/>
          </w:tcPr>
          <w:p w14:paraId="4A03737E"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1,409.1</w:t>
            </w:r>
          </w:p>
        </w:tc>
      </w:tr>
      <w:tr w:rsidR="00CA7A63" w:rsidRPr="00E61300" w14:paraId="7183B86D"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21B32B14" w14:textId="77777777" w:rsidR="00CA7A63" w:rsidRPr="008A696F" w:rsidRDefault="00CA7A63" w:rsidP="00E61300">
            <w:pPr>
              <w:rPr>
                <w:b w:val="0"/>
              </w:rPr>
            </w:pPr>
            <w:r w:rsidRPr="008A696F">
              <w:rPr>
                <w:b w:val="0"/>
              </w:rPr>
              <w:t>Variation ($)</w:t>
            </w:r>
          </w:p>
        </w:tc>
        <w:tc>
          <w:tcPr>
            <w:tcW w:w="681" w:type="pct"/>
            <w:vAlign w:val="center"/>
          </w:tcPr>
          <w:p w14:paraId="71886AB1"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+2.5</w:t>
            </w:r>
          </w:p>
        </w:tc>
        <w:tc>
          <w:tcPr>
            <w:tcW w:w="681" w:type="pct"/>
            <w:vAlign w:val="center"/>
          </w:tcPr>
          <w:p w14:paraId="1971F822"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+40.3</w:t>
            </w:r>
          </w:p>
        </w:tc>
        <w:tc>
          <w:tcPr>
            <w:tcW w:w="681" w:type="pct"/>
            <w:vAlign w:val="center"/>
          </w:tcPr>
          <w:p w14:paraId="4448FAE8"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+60.2</w:t>
            </w:r>
          </w:p>
        </w:tc>
        <w:tc>
          <w:tcPr>
            <w:tcW w:w="681" w:type="pct"/>
            <w:vAlign w:val="center"/>
          </w:tcPr>
          <w:p w14:paraId="3ECE65D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+63.8</w:t>
            </w:r>
          </w:p>
        </w:tc>
        <w:tc>
          <w:tcPr>
            <w:tcW w:w="681" w:type="pct"/>
            <w:vAlign w:val="center"/>
          </w:tcPr>
          <w:p w14:paraId="0F2658A8"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+114.0</w:t>
            </w:r>
          </w:p>
        </w:tc>
        <w:tc>
          <w:tcPr>
            <w:tcW w:w="681" w:type="pct"/>
            <w:vAlign w:val="center"/>
          </w:tcPr>
          <w:p w14:paraId="4D23CD31"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+280.8</w:t>
            </w:r>
          </w:p>
        </w:tc>
      </w:tr>
      <w:tr w:rsidR="00CA7A63" w:rsidRPr="00E61300" w14:paraId="7B94A357"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65470F74" w14:textId="77777777" w:rsidR="00CA7A63" w:rsidRPr="008A696F" w:rsidRDefault="00CA7A63" w:rsidP="00E61300">
            <w:pPr>
              <w:rPr>
                <w:b w:val="0"/>
              </w:rPr>
            </w:pPr>
            <w:r w:rsidRPr="008A696F">
              <w:rPr>
                <w:b w:val="0"/>
              </w:rPr>
              <w:t>Variation (%)</w:t>
            </w:r>
          </w:p>
        </w:tc>
        <w:tc>
          <w:tcPr>
            <w:tcW w:w="681" w:type="pct"/>
            <w:vAlign w:val="center"/>
          </w:tcPr>
          <w:p w14:paraId="7228B7A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1.1%</w:t>
            </w:r>
          </w:p>
        </w:tc>
        <w:tc>
          <w:tcPr>
            <w:tcW w:w="681" w:type="pct"/>
            <w:vAlign w:val="center"/>
          </w:tcPr>
          <w:p w14:paraId="1F1B15D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17.2%</w:t>
            </w:r>
          </w:p>
        </w:tc>
        <w:tc>
          <w:tcPr>
            <w:tcW w:w="681" w:type="pct"/>
            <w:vAlign w:val="center"/>
          </w:tcPr>
          <w:p w14:paraId="6D223A6A"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26.5%</w:t>
            </w:r>
          </w:p>
        </w:tc>
        <w:tc>
          <w:tcPr>
            <w:tcW w:w="681" w:type="pct"/>
            <w:vAlign w:val="center"/>
          </w:tcPr>
          <w:p w14:paraId="5527D5C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29.3%</w:t>
            </w:r>
          </w:p>
        </w:tc>
        <w:tc>
          <w:tcPr>
            <w:tcW w:w="681" w:type="pct"/>
            <w:vAlign w:val="center"/>
          </w:tcPr>
          <w:p w14:paraId="74409159"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51.3%</w:t>
            </w:r>
          </w:p>
        </w:tc>
        <w:tc>
          <w:tcPr>
            <w:tcW w:w="681" w:type="pct"/>
            <w:vAlign w:val="center"/>
          </w:tcPr>
          <w:p w14:paraId="6C14F8AB"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24.9%</w:t>
            </w:r>
          </w:p>
        </w:tc>
      </w:tr>
    </w:tbl>
    <w:p w14:paraId="37835962" w14:textId="77777777" w:rsidR="003B0BF9" w:rsidRPr="001021E2" w:rsidRDefault="003B0BF9" w:rsidP="001021E2">
      <w:pPr>
        <w:pStyle w:val="Heading2"/>
      </w:pPr>
      <w:bookmarkStart w:id="301" w:name="_Toc146004893"/>
      <w:bookmarkStart w:id="302" w:name="_Toc146004781"/>
      <w:bookmarkStart w:id="303" w:name="_Ref146616811"/>
      <w:bookmarkStart w:id="304" w:name="_Toc146746727"/>
      <w:r w:rsidRPr="001021E2">
        <w:t>Major project delivery</w:t>
      </w:r>
      <w:bookmarkEnd w:id="301"/>
      <w:bookmarkEnd w:id="302"/>
      <w:bookmarkEnd w:id="303"/>
      <w:bookmarkEnd w:id="304"/>
    </w:p>
    <w:p w14:paraId="4508D633" w14:textId="77777777" w:rsidR="003B0BF9" w:rsidRPr="00CA7A63" w:rsidRDefault="003B0BF9" w:rsidP="003B0BF9">
      <w:r w:rsidRPr="00CA7A63">
        <w:t>For CWW and WW, and subsequently GWW, the impacts of material and labour shortages caused by the pandemic, disruption to the supply chain and the high volume of construction work in Victoria, resulted in capital delivery market challenges in the second half of the regulatory period.</w:t>
      </w:r>
    </w:p>
    <w:p w14:paraId="7F0E34F2" w14:textId="77777777" w:rsidR="003B0BF9" w:rsidRPr="00CA7A63" w:rsidRDefault="003B0BF9" w:rsidP="003B0BF9">
      <w:r w:rsidRPr="00CA7A63">
        <w:t xml:space="preserve">The pandemic shifted the scale and location of growth in Victoria – slowing down growth in key fronts. As a result, we deferred some projects until growth in these areas triggers the need for change. </w:t>
      </w:r>
    </w:p>
    <w:p w14:paraId="5F12209F" w14:textId="77777777" w:rsidR="003B0BF9" w:rsidRPr="00CA7A63" w:rsidRDefault="003B0BF9" w:rsidP="003B0BF9">
      <w:r w:rsidRPr="00CA7A63">
        <w:t xml:space="preserve">Our integration to form GWW changed the scope of works relating to internal systems and assets. Sharing assets and better manage our network allowed us to delay or defer some works. </w:t>
      </w:r>
    </w:p>
    <w:p w14:paraId="557A6594" w14:textId="77777777" w:rsidR="003B0BF9" w:rsidRPr="00CA7A63" w:rsidRDefault="003B0BF9" w:rsidP="003B0BF9">
      <w:r w:rsidRPr="00CA7A63">
        <w:t xml:space="preserve">Despite these challenges, we have completed some of our capital works with the remaining on track to be completed. </w:t>
      </w:r>
    </w:p>
    <w:p w14:paraId="5397B53B" w14:textId="25AA4FB0" w:rsidR="003B0BF9" w:rsidRPr="00CA7A63" w:rsidRDefault="003B0BF9" w:rsidP="003B0BF9">
      <w:pPr>
        <w:pStyle w:val="Caption"/>
      </w:pPr>
      <w:r w:rsidRPr="004D2299">
        <w:rPr>
          <w:b/>
        </w:rPr>
        <w:t xml:space="preserve">Table </w:t>
      </w:r>
      <w:r w:rsidRPr="004D2299">
        <w:rPr>
          <w:b/>
        </w:rPr>
        <w:fldChar w:fldCharType="begin"/>
      </w:r>
      <w:r w:rsidRPr="004D2299">
        <w:rPr>
          <w:b/>
        </w:rPr>
        <w:instrText>SEQ Table \* ARABIC</w:instrText>
      </w:r>
      <w:r w:rsidRPr="004D2299">
        <w:rPr>
          <w:b/>
        </w:rPr>
        <w:fldChar w:fldCharType="separate"/>
      </w:r>
      <w:r w:rsidR="003B42C6">
        <w:rPr>
          <w:b/>
          <w:noProof/>
        </w:rPr>
        <w:t>61</w:t>
      </w:r>
      <w:r w:rsidRPr="004D2299">
        <w:rPr>
          <w:b/>
        </w:rPr>
        <w:fldChar w:fldCharType="end"/>
      </w:r>
      <w:r w:rsidRPr="00CA7A63">
        <w:t xml:space="preserve"> Summary of WW and CWW major projects ($million, 2023–24)</w:t>
      </w:r>
    </w:p>
    <w:tbl>
      <w:tblPr>
        <w:tblStyle w:val="GWWDefaulttable"/>
        <w:tblW w:w="5000" w:type="pct"/>
        <w:tblLook w:val="04A0" w:firstRow="1" w:lastRow="0" w:firstColumn="1" w:lastColumn="0" w:noHBand="0" w:noVBand="1"/>
      </w:tblPr>
      <w:tblGrid>
        <w:gridCol w:w="4819"/>
        <w:gridCol w:w="4819"/>
      </w:tblGrid>
      <w:tr w:rsidR="003B0BF9" w:rsidRPr="00813E6D" w14:paraId="57B3D580" w14:textId="77777777" w:rsidTr="004D22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0" w:type="pct"/>
          </w:tcPr>
          <w:p w14:paraId="7E1089CC" w14:textId="77777777" w:rsidR="003B0BF9" w:rsidRPr="00813E6D" w:rsidRDefault="003B0BF9" w:rsidP="00A009BB">
            <w:r w:rsidRPr="00813E6D">
              <w:t>City West Water</w:t>
            </w:r>
          </w:p>
        </w:tc>
        <w:tc>
          <w:tcPr>
            <w:tcW w:w="2500" w:type="pct"/>
          </w:tcPr>
          <w:p w14:paraId="5B83507E" w14:textId="77777777" w:rsidR="003B0BF9" w:rsidRPr="00813E6D" w:rsidRDefault="003B0BF9" w:rsidP="00A009BB">
            <w:pPr>
              <w:cnfStyle w:val="100000000000" w:firstRow="1" w:lastRow="0" w:firstColumn="0" w:lastColumn="0" w:oddVBand="0" w:evenVBand="0" w:oddHBand="0" w:evenHBand="0" w:firstRowFirstColumn="0" w:firstRowLastColumn="0" w:lastRowFirstColumn="0" w:lastRowLastColumn="0"/>
            </w:pPr>
            <w:r w:rsidRPr="00813E6D">
              <w:t>Western Water</w:t>
            </w:r>
          </w:p>
        </w:tc>
      </w:tr>
      <w:tr w:rsidR="003B0BF9" w:rsidRPr="00813E6D" w14:paraId="6583386E"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291286A3" w14:textId="77777777" w:rsidR="003B0BF9" w:rsidRPr="00431DC8" w:rsidRDefault="003B0BF9" w:rsidP="00A009BB">
            <w:pPr>
              <w:rPr>
                <w:color w:val="auto"/>
              </w:rPr>
            </w:pPr>
            <w:r w:rsidRPr="00431DC8">
              <w:rPr>
                <w:color w:val="auto"/>
              </w:rPr>
              <w:t>7/10 projects completed</w:t>
            </w:r>
          </w:p>
        </w:tc>
        <w:tc>
          <w:tcPr>
            <w:tcW w:w="2500" w:type="pct"/>
          </w:tcPr>
          <w:p w14:paraId="46C3EDB6"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t>3/12 projects completed</w:t>
            </w:r>
          </w:p>
        </w:tc>
      </w:tr>
      <w:tr w:rsidR="003B0BF9" w:rsidRPr="00813E6D" w14:paraId="639B68C8"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7618C194" w14:textId="77777777" w:rsidR="003B0BF9" w:rsidRPr="00431DC8" w:rsidRDefault="003B0BF9" w:rsidP="00A009BB">
            <w:pPr>
              <w:rPr>
                <w:color w:val="auto"/>
              </w:rPr>
            </w:pPr>
            <w:r w:rsidRPr="00431DC8">
              <w:rPr>
                <w:color w:val="auto"/>
              </w:rPr>
              <w:t xml:space="preserve">2/10 projects </w:t>
            </w:r>
            <w:proofErr w:type="gramStart"/>
            <w:r w:rsidRPr="00431DC8">
              <w:rPr>
                <w:color w:val="auto"/>
              </w:rPr>
              <w:t>deferred</w:t>
            </w:r>
            <w:proofErr w:type="gramEnd"/>
          </w:p>
          <w:p w14:paraId="2EC74101" w14:textId="77777777" w:rsidR="003B0BF9" w:rsidRPr="00BA12C0" w:rsidRDefault="003B0BF9" w:rsidP="00A009BB">
            <w:pPr>
              <w:rPr>
                <w:b w:val="0"/>
                <w:bCs/>
                <w:color w:val="auto"/>
              </w:rPr>
            </w:pPr>
            <w:r w:rsidRPr="00BA12C0">
              <w:rPr>
                <w:b w:val="0"/>
                <w:bCs/>
                <w:color w:val="auto"/>
              </w:rPr>
              <w:t xml:space="preserve">The second half of the Ravenhall outlet sewer has been deferred due to slower than anticipated growth. The existing upstream network has </w:t>
            </w:r>
            <w:r w:rsidRPr="00BA12C0">
              <w:rPr>
                <w:b w:val="0"/>
                <w:bCs/>
                <w:color w:val="auto"/>
              </w:rPr>
              <w:lastRenderedPageBreak/>
              <w:t>sufficient capacity to cater for the current growth and will be constructed by 2029-30.</w:t>
            </w:r>
          </w:p>
          <w:p w14:paraId="2D158F1E" w14:textId="77777777" w:rsidR="003B0BF9" w:rsidRPr="00BA12C0" w:rsidRDefault="003B0BF9" w:rsidP="00A009BB">
            <w:pPr>
              <w:rPr>
                <w:b w:val="0"/>
                <w:bCs/>
                <w:color w:val="auto"/>
              </w:rPr>
            </w:pPr>
            <w:r w:rsidRPr="00BA12C0">
              <w:rPr>
                <w:b w:val="0"/>
                <w:bCs/>
                <w:color w:val="auto"/>
              </w:rPr>
              <w:t>Tarneit West outlet sewer has been deferred due to lower than previously forecasted demand and impact of wet weather events on inflows and infiltration was less than expected. The project is now deferred but expected to be constructed in 2030-31.</w:t>
            </w:r>
          </w:p>
        </w:tc>
        <w:tc>
          <w:tcPr>
            <w:tcW w:w="2500" w:type="pct"/>
          </w:tcPr>
          <w:p w14:paraId="2F203DE1"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lastRenderedPageBreak/>
              <w:t xml:space="preserve">2/12 projects deferred or </w:t>
            </w:r>
            <w:proofErr w:type="gramStart"/>
            <w:r w:rsidRPr="00431DC8">
              <w:rPr>
                <w:b/>
                <w:bCs/>
              </w:rPr>
              <w:t>cancelled</w:t>
            </w:r>
            <w:proofErr w:type="gramEnd"/>
          </w:p>
          <w:p w14:paraId="02F29B43"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 xml:space="preserve">Derrimut diversion sewer pump station and rising main has been deferred due to lower than previously forecasted demand and impact of wet </w:t>
            </w:r>
            <w:r w:rsidRPr="00813E6D">
              <w:lastRenderedPageBreak/>
              <w:t>weather events on inflows and infiltration was less than expected. Will be constructed in 2029-30</w:t>
            </w:r>
          </w:p>
          <w:p w14:paraId="303B077F"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Melton recycled water treatment plant conversion of its existing tanks to integrated fixed film tanks have been cancelled. The project was rescoped to rapidly meet demand from Melton by including a larger package of upgrades and to better align with the construction of the Western Irrigation network.</w:t>
            </w:r>
            <w:r>
              <w:t xml:space="preserve"> </w:t>
            </w:r>
            <w:r w:rsidRPr="00813E6D">
              <w:t>Two new tanks will be fitted with membrane reactors to be delivered in 2026-27 followed by an additional two tanks in 2028-29.</w:t>
            </w:r>
          </w:p>
        </w:tc>
      </w:tr>
      <w:tr w:rsidR="003B0BF9" w:rsidRPr="00813E6D" w14:paraId="4B28749A"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5C0FA2BC" w14:textId="77777777" w:rsidR="003B0BF9" w:rsidRPr="00431DC8" w:rsidRDefault="003B0BF9" w:rsidP="00A009BB">
            <w:pPr>
              <w:rPr>
                <w:color w:val="auto"/>
              </w:rPr>
            </w:pPr>
            <w:r w:rsidRPr="00431DC8">
              <w:rPr>
                <w:color w:val="auto"/>
              </w:rPr>
              <w:lastRenderedPageBreak/>
              <w:t xml:space="preserve">1/12 project ongoing or </w:t>
            </w:r>
            <w:proofErr w:type="gramStart"/>
            <w:r w:rsidRPr="00431DC8">
              <w:rPr>
                <w:color w:val="auto"/>
              </w:rPr>
              <w:t>delayed</w:t>
            </w:r>
            <w:proofErr w:type="gramEnd"/>
          </w:p>
          <w:p w14:paraId="5EE2FD95" w14:textId="77777777" w:rsidR="003B0BF9" w:rsidRPr="00BA12C0" w:rsidRDefault="003B0BF9" w:rsidP="00A009BB">
            <w:pPr>
              <w:rPr>
                <w:b w:val="0"/>
                <w:bCs/>
                <w:color w:val="auto"/>
              </w:rPr>
            </w:pPr>
            <w:r w:rsidRPr="00BA12C0">
              <w:rPr>
                <w:b w:val="0"/>
                <w:bCs/>
                <w:color w:val="auto"/>
              </w:rPr>
              <w:t>Original billings and collection system replacement has been delayed as the scope of the system replacement changed significantly with integration but is ongoing and expected to be completed in 2023-24.</w:t>
            </w:r>
          </w:p>
        </w:tc>
        <w:tc>
          <w:tcPr>
            <w:tcW w:w="2500" w:type="pct"/>
          </w:tcPr>
          <w:p w14:paraId="45271D90"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t xml:space="preserve">7/12 ongoing or </w:t>
            </w:r>
            <w:proofErr w:type="gramStart"/>
            <w:r w:rsidRPr="00431DC8">
              <w:rPr>
                <w:b/>
                <w:bCs/>
              </w:rPr>
              <w:t>delayed</w:t>
            </w:r>
            <w:proofErr w:type="gramEnd"/>
          </w:p>
          <w:p w14:paraId="08A5EE63"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Western Irrigation Network stage 1 is expected to be completed in 2023-24 on time.</w:t>
            </w:r>
          </w:p>
          <w:p w14:paraId="60B713F8"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Melton South sewer pump station and rising main sewer delayed due to a change in scope to improve accessibility for maintenance and expected to be completed 2023-24.</w:t>
            </w:r>
          </w:p>
          <w:p w14:paraId="6A860049"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proofErr w:type="spellStart"/>
            <w:r w:rsidRPr="00813E6D">
              <w:t>Beattys</w:t>
            </w:r>
            <w:proofErr w:type="spellEnd"/>
            <w:r w:rsidRPr="00813E6D">
              <w:t xml:space="preserve"> Road trunk water main has been delayed to better match the rate of development in this region and to better align with the construction of a major upgrade of </w:t>
            </w:r>
            <w:proofErr w:type="spellStart"/>
            <w:r w:rsidRPr="00813E6D">
              <w:t>Beattys</w:t>
            </w:r>
            <w:proofErr w:type="spellEnd"/>
            <w:r w:rsidRPr="00813E6D">
              <w:t xml:space="preserve"> Road. It is expected to be completed in 2023-24.</w:t>
            </w:r>
          </w:p>
          <w:p w14:paraId="31C5DFA4"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 xml:space="preserve">Sunbury outfall sewer duplication has been delayed due to additional engagement requirements with relevant authorities. </w:t>
            </w:r>
          </w:p>
          <w:p w14:paraId="0F21585E"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 xml:space="preserve">Gisborne recycled water plant – stage 1 bioreactor upgrade has been delayed </w:t>
            </w:r>
            <w:proofErr w:type="gramStart"/>
            <w:r w:rsidRPr="00813E6D">
              <w:t>to include</w:t>
            </w:r>
            <w:proofErr w:type="gramEnd"/>
            <w:r w:rsidRPr="00813E6D">
              <w:t xml:space="preserve"> a 2-year operations and maintenance period and an extended procurement period. We are on track for delivery in 2026-27.</w:t>
            </w:r>
          </w:p>
          <w:p w14:paraId="0D47D40F"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 xml:space="preserve">Bacchus Marsh to Melton recycled water plant interconnector has been delayed given the extended </w:t>
            </w:r>
            <w:proofErr w:type="gramStart"/>
            <w:r w:rsidRPr="00813E6D">
              <w:t>period of time</w:t>
            </w:r>
            <w:proofErr w:type="gramEnd"/>
            <w:r w:rsidRPr="00813E6D">
              <w:t xml:space="preserve"> to obtain environmental approvals. The interconnected is expected to be completed in 2023-24.</w:t>
            </w:r>
          </w:p>
          <w:p w14:paraId="179F08FC"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The Sewer Spill Prevention Strategy - Sewer Relining program is annual and ongoing - it is constantly reviewed and optimised to enable significant sewer rehabilitation within budget limits.</w:t>
            </w:r>
          </w:p>
        </w:tc>
      </w:tr>
      <w:tr w:rsidR="003B0BF9" w:rsidRPr="00813E6D" w14:paraId="2800011E" w14:textId="77777777" w:rsidTr="00AE45AA">
        <w:trPr>
          <w:trHeight w:val="57"/>
        </w:trPr>
        <w:tc>
          <w:tcPr>
            <w:cnfStyle w:val="001000000000" w:firstRow="0" w:lastRow="0" w:firstColumn="1" w:lastColumn="0" w:oddVBand="0" w:evenVBand="0" w:oddHBand="0" w:evenHBand="0" w:firstRowFirstColumn="0" w:firstRowLastColumn="0" w:lastRowFirstColumn="0" w:lastRowLastColumn="0"/>
            <w:tcW w:w="2500" w:type="pct"/>
            <w:shd w:val="clear" w:color="auto" w:fill="B3C5E6" w:themeFill="accent2"/>
          </w:tcPr>
          <w:p w14:paraId="6A0E159A" w14:textId="77777777" w:rsidR="003B0BF9" w:rsidRPr="00932338" w:rsidRDefault="003B0BF9" w:rsidP="00A009BB">
            <w:r w:rsidRPr="00F15E85">
              <w:rPr>
                <w:color w:val="auto"/>
              </w:rPr>
              <w:t>12.5% ($15.4m)</w:t>
            </w:r>
            <w:r w:rsidRPr="00932338">
              <w:rPr>
                <w:color w:val="auto"/>
              </w:rPr>
              <w:t xml:space="preserve"> over PS18 allocated budget </w:t>
            </w:r>
          </w:p>
        </w:tc>
        <w:tc>
          <w:tcPr>
            <w:tcW w:w="2500" w:type="pct"/>
            <w:shd w:val="clear" w:color="auto" w:fill="B3C5E6" w:themeFill="accent2"/>
          </w:tcPr>
          <w:p w14:paraId="395FB719" w14:textId="77777777" w:rsidR="003B0BF9" w:rsidRPr="00932338" w:rsidRDefault="003B0BF9" w:rsidP="00A009BB">
            <w:pPr>
              <w:cnfStyle w:val="000000000000" w:firstRow="0" w:lastRow="0" w:firstColumn="0" w:lastColumn="0" w:oddVBand="0" w:evenVBand="0" w:oddHBand="0" w:evenHBand="0" w:firstRowFirstColumn="0" w:firstRowLastColumn="0" w:lastRowFirstColumn="0" w:lastRowLastColumn="0"/>
              <w:rPr>
                <w:b/>
              </w:rPr>
            </w:pPr>
            <w:r w:rsidRPr="00F15E85">
              <w:rPr>
                <w:b/>
              </w:rPr>
              <w:t>13.5% ($20.9m)</w:t>
            </w:r>
            <w:r w:rsidRPr="00932338">
              <w:rPr>
                <w:b/>
              </w:rPr>
              <w:t xml:space="preserve"> below PS20 allocated budget</w:t>
            </w:r>
          </w:p>
        </w:tc>
        <w:bookmarkStart w:id="305" w:name="_Ref145922117"/>
      </w:tr>
      <w:bookmarkEnd w:id="305"/>
    </w:tbl>
    <w:p w14:paraId="2C50A4F0" w14:textId="77777777" w:rsidR="003B0BF9" w:rsidRPr="007609EC" w:rsidRDefault="003B0BF9" w:rsidP="007609EC"/>
    <w:p w14:paraId="319A9B9A" w14:textId="05BEFD5F" w:rsidR="00CA7A63" w:rsidRPr="007609EC" w:rsidRDefault="00411C17" w:rsidP="007609EC">
      <w:pPr>
        <w:pStyle w:val="BoxedQuote"/>
      </w:pPr>
      <w:r w:rsidRPr="002A632F">
        <w:rPr>
          <w:b/>
          <w:bCs/>
        </w:rPr>
        <w:t>Supporting document for Performance:</w:t>
      </w:r>
      <w:r>
        <w:t xml:space="preserve"> </w:t>
      </w:r>
    </w:p>
    <w:p w14:paraId="13503E36" w14:textId="77777777" w:rsidR="00CA7A63" w:rsidRPr="007609EC" w:rsidRDefault="00CA7A63" w:rsidP="007609EC">
      <w:pPr>
        <w:pStyle w:val="BoxedBullet"/>
      </w:pPr>
      <w:r w:rsidRPr="007609EC">
        <w:t>Detailed performance report</w:t>
      </w:r>
    </w:p>
    <w:p w14:paraId="28FBEFD8" w14:textId="0F3876E4" w:rsidR="00A009BB" w:rsidRDefault="00A009BB">
      <w:pPr>
        <w:spacing w:before="0" w:after="160" w:line="259" w:lineRule="auto"/>
      </w:pPr>
      <w:r>
        <w:lastRenderedPageBreak/>
        <w:br w:type="page"/>
      </w:r>
    </w:p>
    <w:p w14:paraId="1F59058E" w14:textId="77777777" w:rsidR="00163660" w:rsidRPr="008A41A1" w:rsidRDefault="00163660" w:rsidP="008A41A1">
      <w:pPr>
        <w:pStyle w:val="Heading1"/>
      </w:pPr>
      <w:bookmarkStart w:id="306" w:name="_Toc146004894"/>
      <w:bookmarkStart w:id="307" w:name="_Toc146004782"/>
      <w:bookmarkStart w:id="308" w:name="_Toc146746728"/>
      <w:r w:rsidRPr="008A41A1">
        <w:lastRenderedPageBreak/>
        <w:t>Management</w:t>
      </w:r>
      <w:bookmarkEnd w:id="306"/>
      <w:bookmarkEnd w:id="307"/>
      <w:bookmarkEnd w:id="308"/>
    </w:p>
    <w:p w14:paraId="3536C8C4" w14:textId="77777777" w:rsidR="00163660" w:rsidRDefault="00163660" w:rsidP="00163660">
      <w:r>
        <w:t xml:space="preserve">This section provides information supporting our Management </w:t>
      </w:r>
      <w:r w:rsidRPr="007C2BEC">
        <w:t>PREMO self-</w:t>
      </w:r>
      <w:r>
        <w:t>assessment.</w:t>
      </w:r>
    </w:p>
    <w:p w14:paraId="11C0D92E" w14:textId="5B4F7765" w:rsidR="00163660" w:rsidRDefault="00DC2F11" w:rsidP="00163660">
      <w:pPr>
        <w:pStyle w:val="BoxedQuoteHeading"/>
      </w:pPr>
      <w:r>
        <w:t>Summary</w:t>
      </w:r>
    </w:p>
    <w:p w14:paraId="0FDC60E9" w14:textId="77777777" w:rsidR="00D77057" w:rsidRDefault="00D77057" w:rsidP="00D77057">
      <w:pPr>
        <w:pStyle w:val="BoxedBullet"/>
      </w:pPr>
      <w:r>
        <w:t xml:space="preserve">Our board and executive were actively involved in the development of the price submission and customer engagement program.  </w:t>
      </w:r>
    </w:p>
    <w:p w14:paraId="147E9341" w14:textId="77777777" w:rsidR="00D77057" w:rsidRDefault="00D77057" w:rsidP="00D77057">
      <w:pPr>
        <w:pStyle w:val="BoxedBullet"/>
      </w:pPr>
      <w:r>
        <w:t xml:space="preserve">We implemented a board attestation process which provided the board with a strategic and technical overview of the price submission development to provide guidance. </w:t>
      </w:r>
    </w:p>
    <w:p w14:paraId="56E3D876" w14:textId="6A593848" w:rsidR="00D77057" w:rsidRDefault="00D77057" w:rsidP="00D77057">
      <w:pPr>
        <w:pStyle w:val="BoxedBullet"/>
      </w:pPr>
      <w:r>
        <w:t>We acknowledge there were limitation</w:t>
      </w:r>
      <w:r w:rsidR="00BF7AA1">
        <w:t>s</w:t>
      </w:r>
      <w:r>
        <w:t xml:space="preserve"> in GWW’s first price submission, including the quality of data and sought specialist external support to ensure all plans and management show prudent and efficiency expenditure. </w:t>
      </w:r>
    </w:p>
    <w:p w14:paraId="303F1FEF" w14:textId="47A1090B" w:rsidR="00163660" w:rsidRDefault="00D77057" w:rsidP="00123EB4">
      <w:pPr>
        <w:pStyle w:val="BoxedBullet"/>
      </w:pPr>
      <w:r>
        <w:t>Our PREMO self-assessed rating for Management i</w:t>
      </w:r>
      <w:r w:rsidR="00D17D45">
        <w:t>s</w:t>
      </w:r>
      <w:r>
        <w:t xml:space="preserve"> ‘Standard’</w:t>
      </w:r>
      <w:r w:rsidR="00D61704">
        <w:t>.</w:t>
      </w:r>
      <w:r>
        <w:t xml:space="preserve"> </w:t>
      </w:r>
    </w:p>
    <w:p w14:paraId="00B8EF04" w14:textId="353DF0EB" w:rsidR="00163660" w:rsidRPr="001021E2" w:rsidRDefault="00163660" w:rsidP="001021E2">
      <w:pPr>
        <w:pStyle w:val="Heading2"/>
      </w:pPr>
      <w:bookmarkStart w:id="309" w:name="_Toc146004895"/>
      <w:bookmarkStart w:id="310" w:name="_Toc146004783"/>
      <w:bookmarkStart w:id="311" w:name="_Toc146746729"/>
      <w:r w:rsidRPr="001021E2">
        <w:t xml:space="preserve">Executive and </w:t>
      </w:r>
      <w:r w:rsidR="00011312" w:rsidRPr="001021E2">
        <w:t>b</w:t>
      </w:r>
      <w:r w:rsidRPr="001021E2">
        <w:t xml:space="preserve">oard </w:t>
      </w:r>
      <w:r w:rsidR="00011312" w:rsidRPr="001021E2">
        <w:t>g</w:t>
      </w:r>
      <w:r w:rsidRPr="001021E2">
        <w:t>overnance</w:t>
      </w:r>
      <w:bookmarkEnd w:id="309"/>
      <w:bookmarkEnd w:id="310"/>
      <w:bookmarkEnd w:id="311"/>
    </w:p>
    <w:p w14:paraId="6AA67E6F" w14:textId="0FB36CAF" w:rsidR="005C70E7" w:rsidRPr="008623F3" w:rsidRDefault="005C70E7" w:rsidP="005C70E7">
      <w:pPr>
        <w:rPr>
          <w:bCs/>
        </w:rPr>
      </w:pPr>
      <w:r w:rsidRPr="005C70E7">
        <w:t xml:space="preserve">The price submission has been developed with the full </w:t>
      </w:r>
      <w:r w:rsidR="006E1B21">
        <w:t>e</w:t>
      </w:r>
      <w:r w:rsidRPr="005C70E7">
        <w:t>xecutive as the project steering committee, meeting</w:t>
      </w:r>
      <w:r w:rsidRPr="00057635">
        <w:t xml:space="preserve"> </w:t>
      </w:r>
      <w:r w:rsidRPr="008623F3">
        <w:rPr>
          <w:bCs/>
        </w:rPr>
        <w:t xml:space="preserve">monthly to review progress, discuss strategic direction and endorse key directions ahead of discussing with the GWW </w:t>
      </w:r>
      <w:r w:rsidR="002D4ADB">
        <w:rPr>
          <w:bCs/>
        </w:rPr>
        <w:t>b</w:t>
      </w:r>
      <w:r w:rsidRPr="008623F3">
        <w:rPr>
          <w:bCs/>
        </w:rPr>
        <w:t xml:space="preserve">oard over an 18-month period. </w:t>
      </w:r>
    </w:p>
    <w:p w14:paraId="104D458A" w14:textId="4ECCB4F4" w:rsidR="005C70E7" w:rsidRPr="00057635" w:rsidRDefault="005C70E7" w:rsidP="005C70E7">
      <w:r w:rsidRPr="005C70E7">
        <w:t xml:space="preserve">The </w:t>
      </w:r>
      <w:r w:rsidR="006A393C">
        <w:t>e</w:t>
      </w:r>
      <w:r w:rsidRPr="005C70E7">
        <w:t xml:space="preserve">xecutive and </w:t>
      </w:r>
      <w:r w:rsidR="00481BF4">
        <w:t>b</w:t>
      </w:r>
      <w:r w:rsidRPr="005C70E7">
        <w:t>oard were informed and involved in the price submission development through:</w:t>
      </w:r>
    </w:p>
    <w:p w14:paraId="7F71711B" w14:textId="77777777" w:rsidR="005C70E7" w:rsidRPr="00057635" w:rsidRDefault="005C70E7">
      <w:pPr>
        <w:pStyle w:val="ListBullet"/>
        <w:numPr>
          <w:ilvl w:val="0"/>
          <w:numId w:val="36"/>
        </w:numPr>
      </w:pPr>
      <w:r w:rsidRPr="005C70E7">
        <w:t xml:space="preserve">a standing </w:t>
      </w:r>
      <w:r w:rsidRPr="008623F3">
        <w:rPr>
          <w:bCs/>
        </w:rPr>
        <w:t>agenda item for price submission updates</w:t>
      </w:r>
    </w:p>
    <w:p w14:paraId="3E0D1EEE" w14:textId="2BC3C2BD" w:rsidR="005C70E7" w:rsidRPr="005C70E7" w:rsidRDefault="00175EEB">
      <w:pPr>
        <w:pStyle w:val="ListBullet"/>
        <w:numPr>
          <w:ilvl w:val="0"/>
          <w:numId w:val="36"/>
        </w:numPr>
      </w:pPr>
      <w:r>
        <w:t xml:space="preserve">dedicated </w:t>
      </w:r>
      <w:r w:rsidR="00481BF4">
        <w:t>b</w:t>
      </w:r>
      <w:r w:rsidR="005C70E7" w:rsidRPr="005C70E7">
        <w:t xml:space="preserve">oard strategic speaker sessions to speakers with relevance to the price - submission, including the Essential Services Commission, Environment Protection </w:t>
      </w:r>
      <w:r w:rsidR="00481BF4" w:rsidRPr="005C70E7">
        <w:t>A</w:t>
      </w:r>
      <w:r w:rsidR="00481BF4">
        <w:t>uthorit</w:t>
      </w:r>
      <w:r w:rsidR="00481BF4" w:rsidRPr="005C70E7">
        <w:t>y</w:t>
      </w:r>
      <w:r w:rsidR="005C70E7" w:rsidRPr="005C70E7">
        <w:t>, Deputy Secretary of Department of Environment, Energy and Climate Action, Energy and Water Ombudsman of Victoria</w:t>
      </w:r>
      <w:r w:rsidR="00882CC7">
        <w:t>,</w:t>
      </w:r>
      <w:r w:rsidR="00D912D7">
        <w:t xml:space="preserve"> </w:t>
      </w:r>
      <w:r w:rsidR="005C70E7" w:rsidRPr="005C70E7">
        <w:t xml:space="preserve">and Customer Advisory Group </w:t>
      </w:r>
      <w:proofErr w:type="gramStart"/>
      <w:r w:rsidR="005C70E7" w:rsidRPr="005C70E7">
        <w:t>representative</w:t>
      </w:r>
      <w:proofErr w:type="gramEnd"/>
      <w:r w:rsidR="005C70E7" w:rsidRPr="005C70E7">
        <w:t xml:space="preserve"> </w:t>
      </w:r>
    </w:p>
    <w:p w14:paraId="18686FB3" w14:textId="251C775A" w:rsidR="005C70E7" w:rsidRPr="00057635" w:rsidRDefault="005C70E7">
      <w:pPr>
        <w:pStyle w:val="ListBullet"/>
        <w:numPr>
          <w:ilvl w:val="0"/>
          <w:numId w:val="36"/>
        </w:numPr>
      </w:pPr>
      <w:r w:rsidRPr="005C70E7">
        <w:t xml:space="preserve">dedicating the 2022 </w:t>
      </w:r>
      <w:r w:rsidR="00882CC7">
        <w:t>b</w:t>
      </w:r>
      <w:r w:rsidRPr="005C70E7">
        <w:t>oard strategy day to price submission discussions</w:t>
      </w:r>
    </w:p>
    <w:p w14:paraId="7991D454" w14:textId="55FD08AD" w:rsidR="005C70E7" w:rsidRPr="00057635" w:rsidRDefault="005C70E7">
      <w:pPr>
        <w:pStyle w:val="ListBullet"/>
        <w:numPr>
          <w:ilvl w:val="0"/>
          <w:numId w:val="36"/>
        </w:numPr>
      </w:pPr>
      <w:r w:rsidRPr="005C70E7">
        <w:t xml:space="preserve">dedicating </w:t>
      </w:r>
      <w:r w:rsidR="00882CC7">
        <w:t>e</w:t>
      </w:r>
      <w:r w:rsidRPr="005C70E7">
        <w:t xml:space="preserve">xecutive strategy day to price </w:t>
      </w:r>
      <w:r w:rsidRPr="008623F3">
        <w:t xml:space="preserve">submission discussions </w:t>
      </w:r>
    </w:p>
    <w:p w14:paraId="6A8BA475" w14:textId="399D8A29" w:rsidR="005C70E7" w:rsidRPr="00057635" w:rsidRDefault="00882CC7">
      <w:pPr>
        <w:pStyle w:val="ListBullet"/>
        <w:numPr>
          <w:ilvl w:val="0"/>
          <w:numId w:val="36"/>
        </w:numPr>
      </w:pPr>
      <w:r>
        <w:t>m</w:t>
      </w:r>
      <w:r w:rsidR="005C70E7" w:rsidRPr="005C70E7">
        <w:t xml:space="preserve">onthly </w:t>
      </w:r>
      <w:r>
        <w:t>p</w:t>
      </w:r>
      <w:r w:rsidR="005C70E7" w:rsidRPr="005C70E7">
        <w:t xml:space="preserve">rice </w:t>
      </w:r>
      <w:r>
        <w:t>s</w:t>
      </w:r>
      <w:r w:rsidR="005C70E7" w:rsidRPr="005C70E7">
        <w:t xml:space="preserve">ubmission update meetings with the </w:t>
      </w:r>
      <w:r>
        <w:t>e</w:t>
      </w:r>
      <w:r w:rsidR="005C70E7" w:rsidRPr="005C70E7">
        <w:t>xecutive</w:t>
      </w:r>
    </w:p>
    <w:p w14:paraId="0A3105C8" w14:textId="52A8FE3E" w:rsidR="005C70E7" w:rsidRPr="005C70E7" w:rsidRDefault="005C70E7">
      <w:pPr>
        <w:pStyle w:val="ListBullet"/>
        <w:numPr>
          <w:ilvl w:val="0"/>
          <w:numId w:val="36"/>
        </w:numPr>
      </w:pPr>
      <w:r w:rsidRPr="005C70E7">
        <w:t xml:space="preserve">including longer agenda items where deeper discussions were needed, relating to risk management considerations for operational expenditure and capital program </w:t>
      </w:r>
      <w:proofErr w:type="gramStart"/>
      <w:r w:rsidRPr="005C70E7">
        <w:t>prioritisation</w:t>
      </w:r>
      <w:proofErr w:type="gramEnd"/>
      <w:r w:rsidRPr="005C70E7">
        <w:t xml:space="preserve"> </w:t>
      </w:r>
    </w:p>
    <w:p w14:paraId="15B78501" w14:textId="77777777" w:rsidR="005C70E7" w:rsidRPr="008623F3" w:rsidRDefault="005C70E7">
      <w:pPr>
        <w:pStyle w:val="ListBullet"/>
        <w:numPr>
          <w:ilvl w:val="0"/>
          <w:numId w:val="36"/>
        </w:numPr>
      </w:pPr>
      <w:r w:rsidRPr="005C70E7">
        <w:t xml:space="preserve">independent attestation consultants, who provided regular updates on submission progress, </w:t>
      </w:r>
      <w:proofErr w:type="gramStart"/>
      <w:r w:rsidRPr="005C70E7">
        <w:t>risks</w:t>
      </w:r>
      <w:proofErr w:type="gramEnd"/>
      <w:r w:rsidRPr="005C70E7">
        <w:t xml:space="preserve"> and </w:t>
      </w:r>
      <w:r w:rsidRPr="008623F3">
        <w:t>alignment with guidance.</w:t>
      </w:r>
    </w:p>
    <w:p w14:paraId="3C762572" w14:textId="6742B62E" w:rsidR="005C70E7" w:rsidRPr="008623F3" w:rsidRDefault="005C70E7" w:rsidP="005C70E7">
      <w:r w:rsidRPr="008623F3" w:rsidDel="001F24DD">
        <w:t>The</w:t>
      </w:r>
      <w:r w:rsidRPr="008623F3">
        <w:t xml:space="preserve"> </w:t>
      </w:r>
      <w:r w:rsidR="00882CC7">
        <w:t>b</w:t>
      </w:r>
      <w:r w:rsidRPr="008623F3">
        <w:t xml:space="preserve">oard and members from the executive observed and participated in our customer engagement program, with </w:t>
      </w:r>
      <w:r w:rsidR="00882CC7">
        <w:t>d</w:t>
      </w:r>
      <w:r w:rsidRPr="008623F3">
        <w:t xml:space="preserve">irectors attending the deliberative panel sessions and the Chair attending with the Managing Director to receive the panel’s recommendations. </w:t>
      </w:r>
    </w:p>
    <w:p w14:paraId="1B875517" w14:textId="77777777" w:rsidR="005C70E7" w:rsidRPr="001021E2" w:rsidRDefault="005C70E7" w:rsidP="001021E2">
      <w:pPr>
        <w:pStyle w:val="Heading2"/>
      </w:pPr>
      <w:bookmarkStart w:id="312" w:name="_Toc146004896"/>
      <w:bookmarkStart w:id="313" w:name="_Toc146004784"/>
      <w:bookmarkStart w:id="314" w:name="_Toc146746730"/>
      <w:r w:rsidRPr="001021E2">
        <w:t>Attestation assurance program</w:t>
      </w:r>
      <w:bookmarkEnd w:id="312"/>
      <w:bookmarkEnd w:id="313"/>
      <w:bookmarkEnd w:id="314"/>
      <w:r w:rsidRPr="001021E2">
        <w:t xml:space="preserve"> </w:t>
      </w:r>
    </w:p>
    <w:p w14:paraId="31D8228E" w14:textId="77777777" w:rsidR="005C70E7" w:rsidRPr="008623F3" w:rsidRDefault="005C70E7" w:rsidP="005C70E7">
      <w:pPr>
        <w:rPr>
          <w:bCs/>
        </w:rPr>
      </w:pPr>
      <w:r w:rsidRPr="005C70E7">
        <w:t xml:space="preserve">To support the delivery of the </w:t>
      </w:r>
      <w:r w:rsidRPr="008623F3">
        <w:rPr>
          <w:bCs/>
        </w:rPr>
        <w:t xml:space="preserve">2024 price submission an Attestation provider was engaged, acting as an external challenger to whether GWW has provided its best offer, and whether it has provided adequate justification for its proposals and strategies to </w:t>
      </w:r>
      <w:r w:rsidRPr="008623F3">
        <w:rPr>
          <w:bCs/>
        </w:rPr>
        <w:lastRenderedPageBreak/>
        <w:t xml:space="preserve">align with the ESC PREMO requirements. The Attestation process included five review stages: </w:t>
      </w:r>
    </w:p>
    <w:p w14:paraId="4BB27B33" w14:textId="77777777" w:rsidR="005C70E7" w:rsidRPr="00057635" w:rsidRDefault="005C70E7">
      <w:pPr>
        <w:pStyle w:val="ListBullet"/>
        <w:numPr>
          <w:ilvl w:val="0"/>
          <w:numId w:val="37"/>
        </w:numPr>
      </w:pPr>
      <w:r w:rsidRPr="0030561C">
        <w:rPr>
          <w:b/>
          <w:bCs/>
        </w:rPr>
        <w:t>PREMO stage 1</w:t>
      </w:r>
      <w:r w:rsidRPr="00057635">
        <w:t xml:space="preserve"> </w:t>
      </w:r>
      <w:r w:rsidRPr="0030561C">
        <w:t>review</w:t>
      </w:r>
      <w:r w:rsidRPr="00057635">
        <w:t xml:space="preserve"> </w:t>
      </w:r>
      <w:r w:rsidRPr="008623F3">
        <w:rPr>
          <w:bCs/>
        </w:rPr>
        <w:t xml:space="preserve">provided a detailed gap analysis of project plans, governance structures, ambition, and current progress across the key workstreams. This identified gaps where GWW needed to increase efforts or realign ambition with a PREMO self-assessment report provided to the board for discussion. </w:t>
      </w:r>
    </w:p>
    <w:p w14:paraId="192D36A9" w14:textId="77777777" w:rsidR="005C70E7" w:rsidRPr="008623F3" w:rsidRDefault="005C70E7">
      <w:pPr>
        <w:pStyle w:val="ListBullet"/>
        <w:numPr>
          <w:ilvl w:val="0"/>
          <w:numId w:val="37"/>
        </w:numPr>
      </w:pPr>
      <w:r w:rsidRPr="0030561C">
        <w:rPr>
          <w:b/>
          <w:bCs/>
        </w:rPr>
        <w:t>PREMO stage 2</w:t>
      </w:r>
      <w:r w:rsidRPr="00057635">
        <w:t xml:space="preserve"> </w:t>
      </w:r>
      <w:r w:rsidRPr="008623F3">
        <w:t xml:space="preserve">review provided a high-level review of progress made since stage 1 and an interim PREMO assessment to ensure GWW had implemented advice. A report was provided to the board for discussion. </w:t>
      </w:r>
    </w:p>
    <w:p w14:paraId="7696B0C8" w14:textId="73D5790A" w:rsidR="005C70E7" w:rsidRPr="00057635" w:rsidRDefault="005C70E7">
      <w:pPr>
        <w:pStyle w:val="ListBullet"/>
        <w:numPr>
          <w:ilvl w:val="0"/>
          <w:numId w:val="37"/>
        </w:numPr>
      </w:pPr>
      <w:r w:rsidRPr="0030561C">
        <w:rPr>
          <w:b/>
          <w:bCs/>
        </w:rPr>
        <w:t>Capita</w:t>
      </w:r>
      <w:r w:rsidRPr="00455AED">
        <w:rPr>
          <w:b/>
        </w:rPr>
        <w:t xml:space="preserve">l </w:t>
      </w:r>
      <w:r w:rsidRPr="0030561C">
        <w:rPr>
          <w:b/>
          <w:bCs/>
        </w:rPr>
        <w:t>program</w:t>
      </w:r>
      <w:r w:rsidRPr="00A84302">
        <w:rPr>
          <w:b/>
          <w:bCs/>
        </w:rPr>
        <w:t xml:space="preserve"> </w:t>
      </w:r>
      <w:r w:rsidRPr="0030561C">
        <w:rPr>
          <w:b/>
          <w:bCs/>
        </w:rPr>
        <w:t>review</w:t>
      </w:r>
      <w:r w:rsidR="00A84302">
        <w:rPr>
          <w:b/>
          <w:bCs/>
        </w:rPr>
        <w:t>:</w:t>
      </w:r>
      <w:r w:rsidR="00A84302" w:rsidRPr="00A84302">
        <w:t xml:space="preserve"> t</w:t>
      </w:r>
      <w:r w:rsidRPr="008623F3">
        <w:rPr>
          <w:bCs/>
        </w:rPr>
        <w:t>he price submission 2024 combined two capital programs from our legacy businesses. We sought additional assurance support to ensure our combined capital program met the ESC requirements and demonstrated prudent and efficient expenditure, within our next operating context. The stage included a review of:</w:t>
      </w:r>
    </w:p>
    <w:p w14:paraId="0E08DC20" w14:textId="13B4FDFC" w:rsidR="005C70E7" w:rsidRPr="00057635" w:rsidRDefault="0030561C">
      <w:pPr>
        <w:pStyle w:val="ListBullet2"/>
        <w:numPr>
          <w:ilvl w:val="1"/>
          <w:numId w:val="37"/>
        </w:numPr>
      </w:pPr>
      <w:r>
        <w:t>t</w:t>
      </w:r>
      <w:r w:rsidR="005C70E7" w:rsidRPr="005C70E7">
        <w:t>he capital program prioritisation process</w:t>
      </w:r>
    </w:p>
    <w:p w14:paraId="04F167A8" w14:textId="58437192" w:rsidR="005C70E7" w:rsidRPr="00057635" w:rsidRDefault="0030561C">
      <w:pPr>
        <w:pStyle w:val="ListBullet2"/>
        <w:numPr>
          <w:ilvl w:val="1"/>
          <w:numId w:val="37"/>
        </w:numPr>
      </w:pPr>
      <w:r>
        <w:t>c</w:t>
      </w:r>
      <w:r w:rsidR="005C70E7" w:rsidRPr="005C70E7">
        <w:t xml:space="preserve">apital </w:t>
      </w:r>
      <w:proofErr w:type="gramStart"/>
      <w:r w:rsidR="005C70E7" w:rsidRPr="005C70E7">
        <w:t>forecasts</w:t>
      </w:r>
      <w:proofErr w:type="gramEnd"/>
    </w:p>
    <w:p w14:paraId="3C225C11" w14:textId="5E7E22D1" w:rsidR="005C70E7" w:rsidRPr="00057635" w:rsidRDefault="0030561C">
      <w:pPr>
        <w:pStyle w:val="ListBullet2"/>
        <w:numPr>
          <w:ilvl w:val="1"/>
          <w:numId w:val="37"/>
        </w:numPr>
      </w:pPr>
      <w:r>
        <w:t>t</w:t>
      </w:r>
      <w:r w:rsidR="005C70E7" w:rsidRPr="005C70E7">
        <w:t>op 10 major project business cases and program justifications</w:t>
      </w:r>
      <w:r>
        <w:t>.</w:t>
      </w:r>
    </w:p>
    <w:p w14:paraId="0D32CF52" w14:textId="67B37622" w:rsidR="005C70E7" w:rsidRPr="00057635" w:rsidRDefault="005C70E7">
      <w:pPr>
        <w:pStyle w:val="ListBullet"/>
        <w:numPr>
          <w:ilvl w:val="0"/>
          <w:numId w:val="37"/>
        </w:numPr>
      </w:pPr>
      <w:r w:rsidRPr="0030561C">
        <w:rPr>
          <w:b/>
          <w:bCs/>
        </w:rPr>
        <w:t>Detailed review of</w:t>
      </w:r>
      <w:r w:rsidRPr="0030561C">
        <w:t xml:space="preserve"> </w:t>
      </w:r>
      <w:r w:rsidRPr="0030561C">
        <w:rPr>
          <w:b/>
          <w:bCs/>
        </w:rPr>
        <w:t>regulatory models</w:t>
      </w:r>
      <w:r w:rsidR="0030561C">
        <w:rPr>
          <w:b/>
          <w:bCs/>
        </w:rPr>
        <w:t xml:space="preserve">: </w:t>
      </w:r>
      <w:r w:rsidR="0030561C" w:rsidRPr="0030561C">
        <w:t>t</w:t>
      </w:r>
      <w:r w:rsidRPr="005C70E7">
        <w:t>he</w:t>
      </w:r>
      <w:r w:rsidRPr="00057635">
        <w:t xml:space="preserve"> review ensured the models produced output results as intended with no obvious material flaws and reviewed the logic and integrity to ensure that the calculations are arithmetically correct, and the results are reliable, accurate and consistent with the assumptions contained within the models. </w:t>
      </w:r>
    </w:p>
    <w:p w14:paraId="714839C7" w14:textId="77777777" w:rsidR="005C70E7" w:rsidRPr="00057635" w:rsidRDefault="005C70E7">
      <w:pPr>
        <w:pStyle w:val="ListBullet"/>
        <w:numPr>
          <w:ilvl w:val="0"/>
          <w:numId w:val="37"/>
        </w:numPr>
      </w:pPr>
      <w:r w:rsidRPr="0030561C">
        <w:rPr>
          <w:b/>
          <w:bCs/>
        </w:rPr>
        <w:t>PREMO stage 3</w:t>
      </w:r>
      <w:r w:rsidRPr="0030561C">
        <w:t xml:space="preserve"> </w:t>
      </w:r>
      <w:r w:rsidRPr="0030561C">
        <w:rPr>
          <w:b/>
          <w:bCs/>
        </w:rPr>
        <w:t>report</w:t>
      </w:r>
      <w:r w:rsidRPr="0030561C">
        <w:t xml:space="preserve"> reviewed</w:t>
      </w:r>
      <w:r w:rsidRPr="00057635">
        <w:t xml:space="preserve"> all final documentation and regulatory models to provide the board with the confidence to attest to the quality and accuracy of its 2024 price submission and a final PREMO assessment report was provided to the board for discussion. </w:t>
      </w:r>
    </w:p>
    <w:p w14:paraId="7ADD81F3" w14:textId="60233BC1" w:rsidR="005C70E7" w:rsidRPr="00A84302" w:rsidRDefault="005C70E7" w:rsidP="005C70E7">
      <w:r w:rsidRPr="005C70E7">
        <w:t xml:space="preserve">The </w:t>
      </w:r>
      <w:r w:rsidRPr="00A84302">
        <w:t xml:space="preserve">Attestation program was designed in combination with the </w:t>
      </w:r>
      <w:r w:rsidR="006A393C">
        <w:t>b</w:t>
      </w:r>
      <w:r w:rsidRPr="00A84302">
        <w:t xml:space="preserve">oard, </w:t>
      </w:r>
      <w:r w:rsidR="006A393C">
        <w:t>which</w:t>
      </w:r>
      <w:r w:rsidR="006A393C" w:rsidRPr="00A84302">
        <w:t xml:space="preserve"> </w:t>
      </w:r>
      <w:r w:rsidRPr="00A84302">
        <w:t xml:space="preserve">agreed to support its ability to provide attestation and apply an additional layer of assurance with regulator update reports and discussions. </w:t>
      </w:r>
    </w:p>
    <w:p w14:paraId="5E090D37" w14:textId="77777777" w:rsidR="00163660" w:rsidRPr="001021E2" w:rsidRDefault="00163660" w:rsidP="001021E2">
      <w:pPr>
        <w:pStyle w:val="Heading2"/>
      </w:pPr>
      <w:bookmarkStart w:id="315" w:name="_Toc146004897"/>
      <w:bookmarkStart w:id="316" w:name="_Toc146004785"/>
      <w:bookmarkStart w:id="317" w:name="_Toc146746731"/>
      <w:r w:rsidRPr="001021E2">
        <w:t>Management of expenditure</w:t>
      </w:r>
      <w:bookmarkEnd w:id="315"/>
      <w:bookmarkEnd w:id="316"/>
      <w:bookmarkEnd w:id="317"/>
    </w:p>
    <w:p w14:paraId="1C4CF191" w14:textId="77777777" w:rsidR="007F28FD" w:rsidRPr="007F28FD" w:rsidRDefault="007F28FD" w:rsidP="007F28FD">
      <w:r w:rsidRPr="007F28FD">
        <w:t xml:space="preserve">Our goal is to deliver trusted water services in support of public health and affordable bills for our customers. We do this by efficiently managing our assets over the short, </w:t>
      </w:r>
      <w:proofErr w:type="gramStart"/>
      <w:r w:rsidRPr="007F28FD">
        <w:t>medium</w:t>
      </w:r>
      <w:proofErr w:type="gramEnd"/>
      <w:r w:rsidRPr="007F28FD">
        <w:t xml:space="preserve"> and long term, meeting compliance obligations and customer expectations. This price submission seeks to recover prudent and efficient costs and acknowledges that current expenditure profiles are not sustainable over the long term.</w:t>
      </w:r>
    </w:p>
    <w:p w14:paraId="4EDC0172" w14:textId="77777777" w:rsidR="007F28FD" w:rsidRPr="007F28FD" w:rsidRDefault="007F28FD" w:rsidP="007F28FD">
      <w:r w:rsidRPr="007F28FD">
        <w:t>We will invest in programs that deliver long-term efficiencies that can be passed on to customers towards the end of this regulatory period (2026 onwards) and continue in the following periods.</w:t>
      </w:r>
    </w:p>
    <w:p w14:paraId="6B72D6F2" w14:textId="5B293173" w:rsidR="00CD7BCE" w:rsidRDefault="00496680" w:rsidP="007F28FD">
      <w:r w:rsidRPr="00496680">
        <w:t xml:space="preserve">We propose an operating expenditure efficiency target of 3% (average over the regulatory period: 2024-25 to 2027-28), which is sustainable given our expected average customer growth of 2.8% over the same period. Over the regulatory period, our operating costs will decline as we realise the efficiencies of the integration and the capital investments we make. More detail on proposed operating expenditure is outlined in Section </w:t>
      </w:r>
      <w:r w:rsidR="000D265C">
        <w:t>4.2</w:t>
      </w:r>
      <w:r w:rsidRPr="00496680">
        <w:t>.</w:t>
      </w:r>
    </w:p>
    <w:p w14:paraId="7D2C484F" w14:textId="02180341" w:rsidR="007F28FD" w:rsidRPr="007F28FD" w:rsidRDefault="007F28FD" w:rsidP="007F28FD">
      <w:r w:rsidRPr="007F28FD">
        <w:lastRenderedPageBreak/>
        <w:t xml:space="preserve">We have adopted a prudent and efficient capital plan for the forthcoming regulatory period. We have accepted risk on behalf of our customers and have reduced our proposed capital spend for the regulatory period (including 2023-24) to $1.7 billion. We have done this by removing uncertain projects and prioritising capital plans. </w:t>
      </w:r>
    </w:p>
    <w:p w14:paraId="26DEEC65" w14:textId="1E9605A2" w:rsidR="007F28FD" w:rsidRPr="007F28FD" w:rsidRDefault="007F28FD" w:rsidP="007F28FD">
      <w:r w:rsidRPr="007F28FD">
        <w:t xml:space="preserve">Our capital projects and programs are supported by business cases and have been through a thorough review process, including review of underlying inputs and assumptions. Our business cases and program justifications show that our investments are required to deliver on our customer outcomes and support the recommendations of our deliberative panel. </w:t>
      </w:r>
      <w:r w:rsidR="003F7883">
        <w:t>This is o</w:t>
      </w:r>
      <w:r w:rsidR="000930B2">
        <w:t>utlined in detail in</w:t>
      </w:r>
      <w:r w:rsidRPr="007F28FD">
        <w:t xml:space="preserve"> </w:t>
      </w:r>
      <w:r w:rsidR="00D61704">
        <w:t>S</w:t>
      </w:r>
      <w:r w:rsidR="00974AF6">
        <w:t xml:space="preserve">ection </w:t>
      </w:r>
      <w:r w:rsidR="000D265C">
        <w:t>4</w:t>
      </w:r>
      <w:r w:rsidR="00974AF6">
        <w:fldChar w:fldCharType="begin"/>
      </w:r>
      <w:r w:rsidR="00974AF6">
        <w:instrText xml:space="preserve"> REF _Ref145926832 \n \h </w:instrText>
      </w:r>
      <w:r w:rsidR="0069425C">
        <w:fldChar w:fldCharType="separate"/>
      </w:r>
      <w:r w:rsidR="00974AF6">
        <w:fldChar w:fldCharType="end"/>
      </w:r>
      <w:r w:rsidR="003F7883">
        <w:t>.</w:t>
      </w:r>
    </w:p>
    <w:p w14:paraId="0D704C08" w14:textId="308FBD05" w:rsidR="00163660" w:rsidRDefault="007F28FD" w:rsidP="00163660">
      <w:r w:rsidRPr="007F28FD">
        <w:t xml:space="preserve">We have also removed all projects for transfer assets that we are discussing with partner organisations. These conversations and collaboration across the water sector are supported by the recently signed Managing Director Accord. The Accord supports cross-sector collaboration to improve benefits to all customers by investing efficiently and planning to deliver projects that align to the Accord priorities </w:t>
      </w:r>
      <w:r w:rsidR="00974AF6">
        <w:t>shown in</w:t>
      </w:r>
      <w:r w:rsidR="00974AF6">
        <w:rPr>
          <w:b/>
        </w:rPr>
        <w:t xml:space="preserve"> </w:t>
      </w:r>
      <w:r w:rsidR="00036506">
        <w:rPr>
          <w:b/>
        </w:rPr>
        <w:fldChar w:fldCharType="begin"/>
      </w:r>
      <w:r w:rsidR="00036506">
        <w:rPr>
          <w:b/>
        </w:rPr>
        <w:instrText xml:space="preserve"> REF _Ref146629476 \h </w:instrText>
      </w:r>
      <w:r w:rsidR="00036506">
        <w:rPr>
          <w:b/>
        </w:rPr>
      </w:r>
      <w:r w:rsidR="00036506">
        <w:rPr>
          <w:b/>
        </w:rPr>
        <w:fldChar w:fldCharType="separate"/>
      </w:r>
      <w:r w:rsidR="003B42C6" w:rsidRPr="00046893">
        <w:rPr>
          <w:b/>
          <w:bCs/>
        </w:rPr>
        <w:t xml:space="preserve">Figure </w:t>
      </w:r>
      <w:r w:rsidR="003B42C6">
        <w:rPr>
          <w:b/>
          <w:bCs/>
          <w:noProof/>
        </w:rPr>
        <w:t>45</w:t>
      </w:r>
      <w:r w:rsidR="00036506">
        <w:rPr>
          <w:b/>
        </w:rPr>
        <w:fldChar w:fldCharType="end"/>
      </w:r>
      <w:r w:rsidR="00974AF6">
        <w:t>.</w:t>
      </w:r>
    </w:p>
    <w:p w14:paraId="235CD612" w14:textId="493C05A2" w:rsidR="003B4A70" w:rsidRDefault="003B4A70" w:rsidP="00036506">
      <w:pPr>
        <w:jc w:val="center"/>
      </w:pPr>
      <w:r>
        <w:rPr>
          <w:noProof/>
        </w:rPr>
        <w:drawing>
          <wp:inline distT="0" distB="0" distL="0" distR="0" wp14:anchorId="73ACC7A6" wp14:editId="53517BFA">
            <wp:extent cx="6289481" cy="3075852"/>
            <wp:effectExtent l="0" t="0" r="0" b="0"/>
            <wp:docPr id="70" name="Picture 70" descr="This image shows the Accord priorities in a pyramid-like shape. The highest priority of the metropolitan water corporations and Barwon Water as a sector priority shown at the top of the pyramid is water security. The middle section of the pyramid shows other top metro and Barwon Water sector priorities as Traditional Owners, bulk water entitlements, and water literacy and efficiency.  The final part shows statewide priority areas that are the focus of the metros and Barwon but led by VicWater and supported by the metros and Barwon.  These are integrated water management including planning, circular economy, climate change and sector resilience, affordability, emerging contami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mage shows the Accord priorities in a pyramid-like shape. The highest priority of the metropolitan water corporations and Barwon Water as a sector priority shown at the top of the pyramid is water security. The middle section of the pyramid shows other top metro and Barwon Water sector priorities as Traditional Owners, bulk water entitlements, and water literacy and efficiency.  The final part shows statewide priority areas that are the focus of the metros and Barwon but led by VicWater and supported by the metros and Barwon.  These are integrated water management including planning, circular economy, climate change and sector resilience, affordability, emerging contaminants."/>
                    <pic:cNvPicPr/>
                  </pic:nvPicPr>
                  <pic:blipFill rotWithShape="1">
                    <a:blip r:embed="rId88">
                      <a:extLst>
                        <a:ext uri="{28A0092B-C50C-407E-A947-70E740481C1C}">
                          <a14:useLocalDpi xmlns:a14="http://schemas.microsoft.com/office/drawing/2010/main" val="0"/>
                        </a:ext>
                      </a:extLst>
                    </a:blip>
                    <a:srcRect l="4825" t="16325" r="9576" b="9242"/>
                    <a:stretch/>
                  </pic:blipFill>
                  <pic:spPr bwMode="auto">
                    <a:xfrm>
                      <a:off x="0" y="0"/>
                      <a:ext cx="6307429" cy="3084630"/>
                    </a:xfrm>
                    <a:prstGeom prst="rect">
                      <a:avLst/>
                    </a:prstGeom>
                    <a:ln>
                      <a:noFill/>
                    </a:ln>
                    <a:extLst>
                      <a:ext uri="{53640926-AAD7-44D8-BBD7-CCE9431645EC}">
                        <a14:shadowObscured xmlns:a14="http://schemas.microsoft.com/office/drawing/2010/main"/>
                      </a:ext>
                    </a:extLst>
                  </pic:spPr>
                </pic:pic>
              </a:graphicData>
            </a:graphic>
          </wp:inline>
        </w:drawing>
      </w:r>
    </w:p>
    <w:p w14:paraId="2C331FC6" w14:textId="47CF504F" w:rsidR="00BD2BF2" w:rsidRDefault="00974AF6" w:rsidP="00BD2BF2">
      <w:pPr>
        <w:pStyle w:val="Caption"/>
      </w:pPr>
      <w:bookmarkStart w:id="318" w:name="_Ref146629476"/>
      <w:r w:rsidRPr="00046893">
        <w:rPr>
          <w:b/>
          <w:bCs/>
        </w:rPr>
        <w:t xml:space="preserve">Figure </w:t>
      </w:r>
      <w:r w:rsidRPr="00046893">
        <w:rPr>
          <w:b/>
          <w:bCs/>
        </w:rPr>
        <w:fldChar w:fldCharType="begin"/>
      </w:r>
      <w:r w:rsidRPr="00046893">
        <w:rPr>
          <w:b/>
          <w:bCs/>
        </w:rPr>
        <w:instrText>SEQ Figure \* ARABIC</w:instrText>
      </w:r>
      <w:r w:rsidRPr="00046893">
        <w:rPr>
          <w:b/>
          <w:bCs/>
        </w:rPr>
        <w:fldChar w:fldCharType="separate"/>
      </w:r>
      <w:r w:rsidR="003B42C6">
        <w:rPr>
          <w:b/>
          <w:bCs/>
          <w:noProof/>
        </w:rPr>
        <w:t>45</w:t>
      </w:r>
      <w:r w:rsidRPr="00046893">
        <w:rPr>
          <w:b/>
          <w:bCs/>
        </w:rPr>
        <w:fldChar w:fldCharType="end"/>
      </w:r>
      <w:bookmarkEnd w:id="318"/>
      <w:r>
        <w:t xml:space="preserve"> Accord priorities</w:t>
      </w:r>
    </w:p>
    <w:p w14:paraId="28218E26" w14:textId="77777777" w:rsidR="00163660" w:rsidRPr="001021E2" w:rsidRDefault="00163660" w:rsidP="001021E2">
      <w:pPr>
        <w:pStyle w:val="Heading2"/>
      </w:pPr>
      <w:bookmarkStart w:id="319" w:name="_Toc146004898"/>
      <w:bookmarkStart w:id="320" w:name="_Toc146004786"/>
      <w:bookmarkStart w:id="321" w:name="_Toc146746732"/>
      <w:r w:rsidRPr="001021E2">
        <w:t>Quality of data inputs</w:t>
      </w:r>
      <w:bookmarkEnd w:id="319"/>
      <w:bookmarkEnd w:id="320"/>
      <w:bookmarkEnd w:id="321"/>
    </w:p>
    <w:p w14:paraId="2A5706F9" w14:textId="345A868D" w:rsidR="00E323AC" w:rsidRPr="00AB72E6" w:rsidRDefault="00E323AC" w:rsidP="00AB72E6">
      <w:r w:rsidRPr="00AB72E6">
        <w:t xml:space="preserve">Demand and growth forecasts are well documented and </w:t>
      </w:r>
      <w:r w:rsidRPr="00115A20">
        <w:t xml:space="preserve">supported through </w:t>
      </w:r>
      <w:r w:rsidR="003D51A6">
        <w:t>s</w:t>
      </w:r>
      <w:r w:rsidR="00115A20" w:rsidRPr="00115A20">
        <w:t>ection</w:t>
      </w:r>
      <w:r w:rsidR="00C3731C">
        <w:t xml:space="preserve"> 7</w:t>
      </w:r>
      <w:r w:rsidR="00974AF6" w:rsidRPr="00115A20">
        <w:fldChar w:fldCharType="begin"/>
      </w:r>
      <w:r w:rsidR="00974AF6" w:rsidRPr="00115A20">
        <w:instrText xml:space="preserve"> REF _Ref145926920 \n \h </w:instrText>
      </w:r>
      <w:r w:rsidR="00115A20">
        <w:instrText xml:space="preserve"> \* MERGEFORMAT </w:instrText>
      </w:r>
      <w:r w:rsidR="0069425C">
        <w:fldChar w:fldCharType="separate"/>
      </w:r>
      <w:r w:rsidR="00974AF6" w:rsidRPr="00115A20">
        <w:fldChar w:fldCharType="end"/>
      </w:r>
      <w:r w:rsidR="00115A20" w:rsidRPr="00115A20">
        <w:t>.6</w:t>
      </w:r>
      <w:r w:rsidR="00C3731C">
        <w:t xml:space="preserve">. </w:t>
      </w:r>
      <w:r w:rsidRPr="00AB72E6">
        <w:t>These have been independently reviewed and improvements made accordingly.</w:t>
      </w:r>
    </w:p>
    <w:p w14:paraId="67B336A7" w14:textId="253EE2F8" w:rsidR="00E323AC" w:rsidRPr="00AB72E6" w:rsidRDefault="00E323AC" w:rsidP="00AB72E6">
      <w:r w:rsidRPr="00AB72E6">
        <w:t>The building block model and tariff models have been reviewed for quality assurance through a three</w:t>
      </w:r>
      <w:r w:rsidR="00273F24">
        <w:t>-</w:t>
      </w:r>
      <w:r w:rsidRPr="00AB72E6">
        <w:t xml:space="preserve">step review process. </w:t>
      </w:r>
    </w:p>
    <w:p w14:paraId="61448759" w14:textId="3DEF5537" w:rsidR="00E323AC" w:rsidRPr="00AB72E6" w:rsidRDefault="00E323AC" w:rsidP="00AB72E6">
      <w:r w:rsidRPr="00AB72E6">
        <w:t>Data on operating expenditure has used audited data from statutory and regulatory accounts, as well as GWW</w:t>
      </w:r>
      <w:r w:rsidR="00586302">
        <w:t>’</w:t>
      </w:r>
      <w:r w:rsidRPr="00AB72E6">
        <w:t xml:space="preserve">s finance system. </w:t>
      </w:r>
    </w:p>
    <w:p w14:paraId="2524FA98" w14:textId="32C7C4AE" w:rsidR="00E323AC" w:rsidRPr="00AB72E6" w:rsidRDefault="00E323AC" w:rsidP="00AB72E6">
      <w:r w:rsidRPr="00AB72E6">
        <w:t xml:space="preserve">Cost build ups for capital expenditure have used </w:t>
      </w:r>
      <w:r w:rsidR="00C73963">
        <w:t>P</w:t>
      </w:r>
      <w:r w:rsidRPr="00AB72E6">
        <w:t>50 estimates. For large business cases we have developed probabilistic cost estimates using Risk software. For determining network infrastructure requirements</w:t>
      </w:r>
      <w:r w:rsidR="00974AF6" w:rsidRPr="00AB72E6">
        <w:t>,</w:t>
      </w:r>
      <w:r w:rsidRPr="00AB72E6">
        <w:t xml:space="preserve"> we have used growth forecasts along with hydraulic and integrated hydrological models. For determining treatment plant infrastructure </w:t>
      </w:r>
      <w:r w:rsidR="00783738" w:rsidRPr="00AB72E6">
        <w:t>requirements,</w:t>
      </w:r>
      <w:r w:rsidRPr="00AB72E6">
        <w:t xml:space="preserve"> we have used growth forecasts and Master P</w:t>
      </w:r>
      <w:r w:rsidR="006C7D4B">
        <w:t>l</w:t>
      </w:r>
      <w:r w:rsidRPr="00AB72E6">
        <w:t xml:space="preserve">ans </w:t>
      </w:r>
      <w:r w:rsidRPr="00AB72E6">
        <w:lastRenderedPageBreak/>
        <w:t>developed by specialist consultancies that identify specific upgrades based on asset condition, EPA licence require</w:t>
      </w:r>
      <w:r w:rsidR="00A128A4">
        <w:t>ment</w:t>
      </w:r>
      <w:r w:rsidRPr="00AB72E6">
        <w:t xml:space="preserve">s and required treatment capacity.  </w:t>
      </w:r>
    </w:p>
    <w:p w14:paraId="16AE637A" w14:textId="77777777" w:rsidR="00E323AC" w:rsidRPr="00AB72E6" w:rsidRDefault="00E323AC" w:rsidP="00AB72E6">
      <w:r w:rsidRPr="00AB72E6">
        <w:t xml:space="preserve">Engagement data used in this submission is supported by detailed reports from each engagement stage, showing qualitative and quantitative results of the engagement. </w:t>
      </w:r>
    </w:p>
    <w:p w14:paraId="17235C29" w14:textId="3B2AF305" w:rsidR="00163660" w:rsidRPr="00AB72E6" w:rsidRDefault="00E323AC" w:rsidP="00AB72E6">
      <w:r w:rsidRPr="00AB72E6">
        <w:t>Performance against outcomes uses GWW data on service interruptions, as well as data sourced from ESC customer perception surveys.</w:t>
      </w:r>
    </w:p>
    <w:p w14:paraId="774EDAD2" w14:textId="18250A23" w:rsidR="00AB72E6" w:rsidRPr="00470ACB" w:rsidRDefault="00974AF6" w:rsidP="00F374F6">
      <w:pPr>
        <w:pStyle w:val="BoxedQuote"/>
        <w:rPr>
          <w:b/>
          <w:bCs/>
        </w:rPr>
      </w:pPr>
      <w:r>
        <w:rPr>
          <w:b/>
          <w:bCs/>
        </w:rPr>
        <w:t>Supporting</w:t>
      </w:r>
      <w:r w:rsidR="00470ACB">
        <w:rPr>
          <w:b/>
          <w:bCs/>
        </w:rPr>
        <w:t xml:space="preserve"> documents</w:t>
      </w:r>
      <w:r>
        <w:rPr>
          <w:b/>
          <w:bCs/>
        </w:rPr>
        <w:t xml:space="preserve"> for Management</w:t>
      </w:r>
      <w:r w:rsidR="00470ACB">
        <w:rPr>
          <w:b/>
          <w:bCs/>
        </w:rPr>
        <w:t>:</w:t>
      </w:r>
      <w:r w:rsidR="00AB72E6" w:rsidRPr="00470ACB">
        <w:rPr>
          <w:b/>
          <w:bCs/>
        </w:rPr>
        <w:t xml:space="preserve"> </w:t>
      </w:r>
    </w:p>
    <w:p w14:paraId="272D98BC" w14:textId="77777777" w:rsidR="00AB72E6" w:rsidRPr="00AB72E6" w:rsidRDefault="00AB72E6" w:rsidP="00F374F6">
      <w:pPr>
        <w:pStyle w:val="BoxedBullet"/>
      </w:pPr>
      <w:r w:rsidRPr="00AB72E6">
        <w:t xml:space="preserve">Board assurance and engagement program </w:t>
      </w:r>
    </w:p>
    <w:p w14:paraId="1B49343F" w14:textId="380CAA21" w:rsidR="00AB72E6" w:rsidRPr="00AB72E6" w:rsidRDefault="00AB72E6" w:rsidP="00F374F6">
      <w:pPr>
        <w:pStyle w:val="BoxedBullet"/>
      </w:pPr>
      <w:r w:rsidRPr="00AB72E6">
        <w:t>PR</w:t>
      </w:r>
      <w:r w:rsidR="00FD6286">
        <w:t>EM</w:t>
      </w:r>
      <w:r w:rsidRPr="00AB72E6">
        <w:t xml:space="preserve">O stage 3 </w:t>
      </w:r>
      <w:r w:rsidR="0057266D">
        <w:t>E</w:t>
      </w:r>
      <w:r w:rsidRPr="00AB72E6">
        <w:t xml:space="preserve">xecutive summary </w:t>
      </w:r>
    </w:p>
    <w:p w14:paraId="62662775" w14:textId="77777777" w:rsidR="00AB72E6" w:rsidRPr="00AB72E6" w:rsidRDefault="00AB72E6" w:rsidP="00F374F6">
      <w:pPr>
        <w:pStyle w:val="BoxedBullet"/>
      </w:pPr>
      <w:r w:rsidRPr="00AB72E6">
        <w:t xml:space="preserve">Board deep dive sessions - Operational and Capital forecasts papers </w:t>
      </w:r>
    </w:p>
    <w:p w14:paraId="2CDF4981" w14:textId="77777777" w:rsidR="0052244C" w:rsidRDefault="0052244C" w:rsidP="00377032"/>
    <w:p w14:paraId="00785A9E" w14:textId="77777777" w:rsidR="00015993" w:rsidRPr="008A41A1" w:rsidRDefault="00015993" w:rsidP="008A41A1">
      <w:pPr>
        <w:pStyle w:val="Heading1"/>
      </w:pPr>
      <w:bookmarkStart w:id="322" w:name="_Toc146004899"/>
      <w:bookmarkStart w:id="323" w:name="_Toc146004787"/>
      <w:bookmarkStart w:id="324" w:name="_Toc146746733"/>
      <w:r w:rsidRPr="008A41A1">
        <w:lastRenderedPageBreak/>
        <w:t>Risk</w:t>
      </w:r>
      <w:bookmarkEnd w:id="322"/>
      <w:bookmarkEnd w:id="323"/>
      <w:bookmarkEnd w:id="324"/>
    </w:p>
    <w:p w14:paraId="24390E9B" w14:textId="77777777" w:rsidR="00015993" w:rsidRDefault="00015993" w:rsidP="00015993">
      <w:r>
        <w:t xml:space="preserve">This section provides information supporting our Risk </w:t>
      </w:r>
      <w:r w:rsidRPr="007C2BEC">
        <w:t>PREMO self-</w:t>
      </w:r>
      <w:r>
        <w:t>assessment.</w:t>
      </w:r>
    </w:p>
    <w:p w14:paraId="3BF2146C" w14:textId="2BFB079D" w:rsidR="00015993" w:rsidRDefault="00DC2F11" w:rsidP="00015993">
      <w:pPr>
        <w:pStyle w:val="BoxedQuoteHeading"/>
      </w:pPr>
      <w:r>
        <w:t>Summary</w:t>
      </w:r>
    </w:p>
    <w:p w14:paraId="5106367B" w14:textId="336062CE" w:rsidR="007612F9" w:rsidRDefault="00562E00" w:rsidP="007612F9">
      <w:pPr>
        <w:pStyle w:val="BoxedBullet"/>
      </w:pPr>
      <w:r>
        <w:t>Our r</w:t>
      </w:r>
      <w:r w:rsidR="007612F9">
        <w:t xml:space="preserve">isk management policies and procedures </w:t>
      </w:r>
      <w:r>
        <w:t xml:space="preserve">are </w:t>
      </w:r>
      <w:r w:rsidR="007612F9">
        <w:t>consistent with the principles of ISO 31000</w:t>
      </w:r>
      <w:r>
        <w:t>.</w:t>
      </w:r>
    </w:p>
    <w:p w14:paraId="7664FA87" w14:textId="5E275AA3" w:rsidR="007612F9" w:rsidRDefault="007612F9" w:rsidP="007612F9">
      <w:pPr>
        <w:pStyle w:val="BoxedBullet"/>
      </w:pPr>
      <w:r>
        <w:t xml:space="preserve">The </w:t>
      </w:r>
      <w:r w:rsidR="006A393C">
        <w:t>b</w:t>
      </w:r>
      <w:r>
        <w:t>oard and executive</w:t>
      </w:r>
      <w:r w:rsidR="00C0570A">
        <w:t xml:space="preserve"> </w:t>
      </w:r>
      <w:r>
        <w:t xml:space="preserve">had extensive involvement in risk discussions. </w:t>
      </w:r>
    </w:p>
    <w:p w14:paraId="1AEBF1D3" w14:textId="634F84AB" w:rsidR="007612F9" w:rsidRDefault="00B170AC" w:rsidP="007612F9">
      <w:pPr>
        <w:pStyle w:val="BoxedBullet"/>
      </w:pPr>
      <w:r>
        <w:t>Our r</w:t>
      </w:r>
      <w:r w:rsidR="007612F9">
        <w:t xml:space="preserve">egulatory risk assessment </w:t>
      </w:r>
      <w:r>
        <w:t xml:space="preserve">has been </w:t>
      </w:r>
      <w:r w:rsidR="007612F9">
        <w:t>guided by GWW</w:t>
      </w:r>
      <w:r w:rsidR="00572FC3">
        <w:t>’s</w:t>
      </w:r>
      <w:r w:rsidR="007612F9">
        <w:t xml:space="preserve"> enterprise risk framework and corporate and strategic risk registers to ensure we balance risk between GWW and our customers fairly, with robust mitigation activities to maintain stable bills and meet service levels.</w:t>
      </w:r>
    </w:p>
    <w:p w14:paraId="68A8EAF7" w14:textId="56F7A23C" w:rsidR="007612F9" w:rsidRDefault="007612F9" w:rsidP="007612F9">
      <w:pPr>
        <w:pStyle w:val="BoxedBullet"/>
      </w:pPr>
      <w:r>
        <w:t xml:space="preserve">A refreshed GSL scheme better balances risk </w:t>
      </w:r>
      <w:r w:rsidR="0032653E">
        <w:t xml:space="preserve">and cost </w:t>
      </w:r>
      <w:r>
        <w:t>between customers and GWW.</w:t>
      </w:r>
    </w:p>
    <w:p w14:paraId="334AF23A" w14:textId="5C673F77" w:rsidR="00015993" w:rsidRDefault="007612F9" w:rsidP="00123EB4">
      <w:pPr>
        <w:pStyle w:val="BoxedBullet"/>
      </w:pPr>
      <w:r>
        <w:t>Our PREMO self-assessed rating for Risk is ‘Standard</w:t>
      </w:r>
      <w:r w:rsidR="001111AA">
        <w:t>’</w:t>
      </w:r>
      <w:r>
        <w:t>.</w:t>
      </w:r>
    </w:p>
    <w:p w14:paraId="11E2F36A" w14:textId="35B255EA" w:rsidR="003D7903" w:rsidRDefault="003D7903">
      <w:pPr>
        <w:spacing w:before="0" w:after="160" w:line="259" w:lineRule="auto"/>
      </w:pPr>
      <w:bookmarkStart w:id="325" w:name="_Ref145921353"/>
      <w:bookmarkStart w:id="326" w:name="_Toc146004900"/>
      <w:bookmarkStart w:id="327" w:name="_Toc146004788"/>
      <w:r>
        <w:br w:type="page"/>
      </w:r>
    </w:p>
    <w:p w14:paraId="5D3B7582" w14:textId="77777777" w:rsidR="00015993" w:rsidRPr="001021E2" w:rsidRDefault="00015993" w:rsidP="001021E2">
      <w:pPr>
        <w:pStyle w:val="Heading2"/>
      </w:pPr>
      <w:bookmarkStart w:id="328" w:name="_Toc146746734"/>
      <w:r w:rsidRPr="001021E2">
        <w:lastRenderedPageBreak/>
        <w:t>Risk management framework</w:t>
      </w:r>
      <w:bookmarkEnd w:id="325"/>
      <w:bookmarkEnd w:id="326"/>
      <w:bookmarkEnd w:id="327"/>
      <w:bookmarkEnd w:id="328"/>
    </w:p>
    <w:p w14:paraId="05568923" w14:textId="77777777" w:rsidR="0070769F" w:rsidRDefault="0070769F" w:rsidP="0070769F">
      <w:pPr>
        <w:spacing w:line="257" w:lineRule="auto"/>
      </w:pPr>
      <w:bookmarkStart w:id="329" w:name="_Ref143515184"/>
      <w:bookmarkStart w:id="330" w:name="_Toc145498140"/>
      <w:r w:rsidRPr="3C163B8B">
        <w:rPr>
          <w:rFonts w:ascii="Verdana" w:eastAsia="Verdana" w:hAnsi="Verdana" w:cs="Verdana"/>
        </w:rPr>
        <w:t>GWW</w:t>
      </w:r>
      <w:r w:rsidRPr="3C163B8B" w:rsidDel="00045B95">
        <w:rPr>
          <w:rFonts w:ascii="Verdana" w:eastAsia="Verdana" w:hAnsi="Verdana" w:cs="Verdana"/>
        </w:rPr>
        <w:t xml:space="preserve"> </w:t>
      </w:r>
      <w:r>
        <w:rPr>
          <w:rFonts w:ascii="Verdana" w:eastAsia="Verdana" w:hAnsi="Verdana" w:cs="Verdana"/>
        </w:rPr>
        <w:t>takes</w:t>
      </w:r>
      <w:r w:rsidRPr="3C163B8B">
        <w:rPr>
          <w:rFonts w:ascii="Verdana" w:eastAsia="Verdana" w:hAnsi="Verdana" w:cs="Verdana"/>
        </w:rPr>
        <w:t xml:space="preserve"> a comprehensive approach to risk management </w:t>
      </w:r>
      <w:r>
        <w:rPr>
          <w:rFonts w:ascii="Verdana" w:eastAsia="Verdana" w:hAnsi="Verdana" w:cs="Verdana"/>
        </w:rPr>
        <w:t>and has</w:t>
      </w:r>
      <w:r w:rsidRPr="3C163B8B">
        <w:rPr>
          <w:rFonts w:ascii="Verdana" w:eastAsia="Verdana" w:hAnsi="Verdana" w:cs="Verdana"/>
        </w:rPr>
        <w:t xml:space="preserve"> extensive governance processes to ensure risk is managed proactively and mitigated in line with our Risk Appetite Statement</w:t>
      </w:r>
      <w:r>
        <w:rPr>
          <w:rFonts w:ascii="Verdana" w:eastAsia="Verdana" w:hAnsi="Verdana" w:cs="Verdana"/>
        </w:rPr>
        <w:t>,</w:t>
      </w:r>
      <w:r w:rsidRPr="3C163B8B">
        <w:rPr>
          <w:rFonts w:ascii="Verdana" w:eastAsia="Verdana" w:hAnsi="Verdana" w:cs="Verdana"/>
        </w:rPr>
        <w:t xml:space="preserve"> </w:t>
      </w:r>
      <w:r>
        <w:rPr>
          <w:rFonts w:ascii="Verdana" w:eastAsia="Verdana" w:hAnsi="Verdana" w:cs="Verdana"/>
        </w:rPr>
        <w:t>which</w:t>
      </w:r>
      <w:r w:rsidRPr="3C163B8B">
        <w:rPr>
          <w:rFonts w:ascii="Verdana" w:eastAsia="Verdana" w:hAnsi="Verdana" w:cs="Verdana"/>
        </w:rPr>
        <w:t xml:space="preserve"> appropriately balance</w:t>
      </w:r>
      <w:r>
        <w:rPr>
          <w:rFonts w:ascii="Verdana" w:eastAsia="Verdana" w:hAnsi="Verdana" w:cs="Verdana"/>
        </w:rPr>
        <w:t>s</w:t>
      </w:r>
      <w:r w:rsidRPr="3C163B8B">
        <w:rPr>
          <w:rFonts w:ascii="Verdana" w:eastAsia="Verdana" w:hAnsi="Verdana" w:cs="Verdana"/>
        </w:rPr>
        <w:t xml:space="preserve"> risk between the business and </w:t>
      </w:r>
      <w:r>
        <w:rPr>
          <w:rFonts w:ascii="Verdana" w:eastAsia="Verdana" w:hAnsi="Verdana" w:cs="Verdana"/>
        </w:rPr>
        <w:t xml:space="preserve">our </w:t>
      </w:r>
      <w:r w:rsidRPr="3C163B8B">
        <w:rPr>
          <w:rFonts w:ascii="Verdana" w:eastAsia="Verdana" w:hAnsi="Verdana" w:cs="Verdana"/>
        </w:rPr>
        <w:t>customers.</w:t>
      </w:r>
    </w:p>
    <w:p w14:paraId="63D7AAC0" w14:textId="560F2362" w:rsidR="0070769F" w:rsidRDefault="0070769F" w:rsidP="0070769F">
      <w:pPr>
        <w:spacing w:line="257" w:lineRule="auto"/>
      </w:pPr>
      <w:r w:rsidRPr="3C163B8B">
        <w:rPr>
          <w:rFonts w:ascii="Verdana" w:eastAsia="Verdana" w:hAnsi="Verdana" w:cs="Verdana"/>
        </w:rPr>
        <w:t xml:space="preserve">The GWW </w:t>
      </w:r>
      <w:r w:rsidR="00CB3553">
        <w:rPr>
          <w:rFonts w:ascii="Verdana" w:eastAsia="Verdana" w:hAnsi="Verdana" w:cs="Verdana"/>
        </w:rPr>
        <w:t>e</w:t>
      </w:r>
      <w:r w:rsidRPr="3C163B8B">
        <w:rPr>
          <w:rFonts w:ascii="Verdana" w:eastAsia="Verdana" w:hAnsi="Verdana" w:cs="Verdana"/>
        </w:rPr>
        <w:t>nterprise risk management framework includes principles, roles</w:t>
      </w:r>
      <w:r>
        <w:rPr>
          <w:rFonts w:ascii="Verdana" w:eastAsia="Verdana" w:hAnsi="Verdana" w:cs="Verdana"/>
        </w:rPr>
        <w:t>,</w:t>
      </w:r>
      <w:r w:rsidRPr="3C163B8B">
        <w:rPr>
          <w:rFonts w:ascii="Verdana" w:eastAsia="Verdana" w:hAnsi="Verdana" w:cs="Verdana"/>
        </w:rPr>
        <w:t xml:space="preserve"> responsibilities, culture, </w:t>
      </w:r>
      <w:r w:rsidR="00813912" w:rsidRPr="3C163B8B">
        <w:rPr>
          <w:rFonts w:ascii="Verdana" w:eastAsia="Verdana" w:hAnsi="Verdana" w:cs="Verdana"/>
        </w:rPr>
        <w:t>processes,</w:t>
      </w:r>
      <w:r w:rsidRPr="3C163B8B">
        <w:rPr>
          <w:rFonts w:ascii="Verdana" w:eastAsia="Verdana" w:hAnsi="Verdana" w:cs="Verdana"/>
        </w:rPr>
        <w:t xml:space="preserve"> and activities which, when combined, create an environment for holistically and effectively managing risk across our business.</w:t>
      </w:r>
    </w:p>
    <w:bookmarkEnd w:id="329"/>
    <w:bookmarkEnd w:id="330"/>
    <w:p w14:paraId="1D8F8B63" w14:textId="77777777" w:rsidR="00261DA3" w:rsidRDefault="00261DA3" w:rsidP="00733A75">
      <w:pPr>
        <w:rPr>
          <w:noProof/>
        </w:rPr>
      </w:pPr>
    </w:p>
    <w:p w14:paraId="718312FA" w14:textId="4EA8FA15" w:rsidR="00733A75" w:rsidRDefault="00107D79" w:rsidP="00D00D4E">
      <w:r>
        <w:rPr>
          <w:noProof/>
        </w:rPr>
        <w:drawing>
          <wp:inline distT="0" distB="0" distL="0" distR="0" wp14:anchorId="2862F7B8" wp14:editId="67046F9E">
            <wp:extent cx="6449875" cy="5115464"/>
            <wp:effectExtent l="0" t="0" r="0" b="0"/>
            <wp:docPr id="19" name="Picture 19" descr="GWW's enterprise risk management framework wheel. A wheel made up of  8 different colours - one for each of our risk guidance points. The first is on the top, titled Risk Management Policy. Its descriptor says: Provides guidance regarding the management of risk to support achievement of Greater Western Water's corporate objectives and grow organisational resilience. The next risk which is clockwise on the wheel, is 2. Strategic Risk. Descriptor is A material event that will impact our ability to achieve our strategic ambitions. 3. Risk appetite. Descriptor is: GWW's appetite to risk and levels of tolerance within which GWW will manage the risk exposure. 4 - Risk Management process: identification, management, treatment and reporting of risk threats and opportunities, types of risks, roles and responsibilities. 5. Risk culture - Measure the way in which our people identify, understand and act on the risks. 6. Risk reporting - provides insight to support greater decision making by ELT, RMAC and Board; provides external reporting to regulators and stakeholders (ESC, EPA, DELWP, etc.). 7. Risk training - provides our people with the necessary tools to identify, assess, quantify, prioritise, mitigate, monitor and review risks in the system. 8. Continuous improvement, communication and evaluation - The risk management framework will be regularly reviews and communicated to ensure alignment to risk policy and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WW's enterprise risk management framework wheel. A wheel made up of  8 different colours - one for each of our risk guidance points. The first is on the top, titled Risk Management Policy. Its descriptor says: Provides guidance regarding the management of risk to support achievement of Greater Western Water's corporate objectives and grow organisational resilience. The next risk which is clockwise on the wheel, is 2. Strategic Risk. Descriptor is A material event that will impact our ability to achieve our strategic ambitions. 3. Risk appetite. Descriptor is: GWW's appetite to risk and levels of tolerance within which GWW will manage the risk exposure. 4 - Risk Management process: identification, management, treatment and reporting of risk threats and opportunities, types of risks, roles and responsibilities. 5. Risk culture - Measure the way in which our people identify, understand and act on the risks. 6. Risk reporting - provides insight to support greater decision making by ELT, RMAC and Board; provides external reporting to regulators and stakeholders (ESC, EPA, DELWP, etc.). 7. Risk training - provides our people with the necessary tools to identify, assess, quantify, prioritise, mitigate, monitor and review risks in the system. 8. Continuous improvement, communication and evaluation - The risk management framework will be regularly reviews and communicated to ensure alignment to risk policy and processes. "/>
                    <pic:cNvPicPr/>
                  </pic:nvPicPr>
                  <pic:blipFill>
                    <a:blip r:embed="rId89">
                      <a:extLst>
                        <a:ext uri="{28A0092B-C50C-407E-A947-70E740481C1C}">
                          <a14:useLocalDpi xmlns:a14="http://schemas.microsoft.com/office/drawing/2010/main" val="0"/>
                        </a:ext>
                      </a:extLst>
                    </a:blip>
                    <a:stretch>
                      <a:fillRect/>
                    </a:stretch>
                  </pic:blipFill>
                  <pic:spPr>
                    <a:xfrm>
                      <a:off x="0" y="0"/>
                      <a:ext cx="6456717" cy="5120891"/>
                    </a:xfrm>
                    <a:prstGeom prst="rect">
                      <a:avLst/>
                    </a:prstGeom>
                  </pic:spPr>
                </pic:pic>
              </a:graphicData>
            </a:graphic>
          </wp:inline>
        </w:drawing>
      </w:r>
    </w:p>
    <w:p w14:paraId="5AA8C226" w14:textId="52DEA868" w:rsidR="0070769F" w:rsidRDefault="0070769F" w:rsidP="0070769F">
      <w:pPr>
        <w:pStyle w:val="Caption"/>
      </w:pPr>
      <w:r w:rsidRPr="00056E74">
        <w:rPr>
          <w:b/>
          <w:bCs/>
        </w:rPr>
        <w:t xml:space="preserve">Figure </w:t>
      </w:r>
      <w:r w:rsidRPr="00056E74">
        <w:rPr>
          <w:b/>
          <w:bCs/>
        </w:rPr>
        <w:fldChar w:fldCharType="begin"/>
      </w:r>
      <w:r w:rsidRPr="00056E74">
        <w:rPr>
          <w:b/>
          <w:bCs/>
        </w:rPr>
        <w:instrText>SEQ Figure \* ARABIC</w:instrText>
      </w:r>
      <w:r w:rsidRPr="00056E74">
        <w:rPr>
          <w:b/>
          <w:bCs/>
        </w:rPr>
        <w:fldChar w:fldCharType="separate"/>
      </w:r>
      <w:r w:rsidR="003B42C6">
        <w:rPr>
          <w:b/>
          <w:bCs/>
          <w:noProof/>
        </w:rPr>
        <w:t>46</w:t>
      </w:r>
      <w:r w:rsidRPr="00056E74">
        <w:rPr>
          <w:b/>
          <w:bCs/>
        </w:rPr>
        <w:fldChar w:fldCharType="end"/>
      </w:r>
      <w:r>
        <w:t xml:space="preserve"> Enterprise risk management framework  </w:t>
      </w:r>
    </w:p>
    <w:p w14:paraId="39D2640A" w14:textId="77777777" w:rsidR="004927AA" w:rsidRPr="004927AA" w:rsidRDefault="004927AA" w:rsidP="004927AA">
      <w:r w:rsidRPr="004927AA">
        <w:t xml:space="preserve">Our risk management framework includes nine risk categories to ensure we are focused on addressing critical risk, legal obligations and possible impacts to our business and customers: </w:t>
      </w:r>
    </w:p>
    <w:p w14:paraId="5754A41B" w14:textId="77777777" w:rsidR="004927AA" w:rsidRPr="009A26A7" w:rsidRDefault="004927AA">
      <w:pPr>
        <w:pStyle w:val="ListNumber"/>
        <w:numPr>
          <w:ilvl w:val="0"/>
          <w:numId w:val="132"/>
        </w:numPr>
      </w:pPr>
      <w:r w:rsidRPr="009A26A7">
        <w:t>Compliance with Legal/Regulatory Obligations (Compliance): non-compliance with legislation, industry codes or regulations, or breach of duty of care.</w:t>
      </w:r>
    </w:p>
    <w:p w14:paraId="65287CCB" w14:textId="77777777" w:rsidR="004927AA" w:rsidRPr="009A26A7" w:rsidRDefault="004927AA">
      <w:pPr>
        <w:pStyle w:val="ListNumber"/>
        <w:numPr>
          <w:ilvl w:val="0"/>
          <w:numId w:val="132"/>
        </w:numPr>
      </w:pPr>
      <w:r w:rsidRPr="009A26A7">
        <w:t>Customer: impacts to customer services including customer service communication channels, billing/meter reading, increasing customer complaints, information statement applications or credit disruptions.</w:t>
      </w:r>
    </w:p>
    <w:p w14:paraId="5D48618B" w14:textId="77777777" w:rsidR="004927AA" w:rsidRPr="009A26A7" w:rsidRDefault="004927AA">
      <w:pPr>
        <w:pStyle w:val="ListNumber"/>
        <w:numPr>
          <w:ilvl w:val="0"/>
          <w:numId w:val="132"/>
        </w:numPr>
      </w:pPr>
      <w:r w:rsidRPr="009A26A7">
        <w:lastRenderedPageBreak/>
        <w:t xml:space="preserve">Environmental and Cultural Heritage (Environmental): contamination, </w:t>
      </w:r>
      <w:proofErr w:type="gramStart"/>
      <w:r w:rsidRPr="009A26A7">
        <w:t>disruption</w:t>
      </w:r>
      <w:proofErr w:type="gramEnd"/>
      <w:r w:rsidRPr="009A26A7">
        <w:t xml:space="preserve"> or destruction of the natural and cultural environment, including the preservation of local ecosystems and cultural heritage sites.</w:t>
      </w:r>
    </w:p>
    <w:p w14:paraId="3CD2FD9E" w14:textId="77777777" w:rsidR="004927AA" w:rsidRPr="009A26A7" w:rsidRDefault="004927AA">
      <w:pPr>
        <w:pStyle w:val="ListNumber"/>
        <w:numPr>
          <w:ilvl w:val="0"/>
          <w:numId w:val="132"/>
        </w:numPr>
      </w:pPr>
      <w:r w:rsidRPr="009A26A7">
        <w:t xml:space="preserve">Financial: unplanned increases in operational expenditure, capital expenditure or gifted assets or unplanned decreases in revenue. </w:t>
      </w:r>
    </w:p>
    <w:p w14:paraId="0558745D" w14:textId="77777777" w:rsidR="004927AA" w:rsidRPr="009A26A7" w:rsidRDefault="004927AA">
      <w:pPr>
        <w:pStyle w:val="ListNumber"/>
        <w:numPr>
          <w:ilvl w:val="0"/>
          <w:numId w:val="132"/>
        </w:numPr>
      </w:pPr>
      <w:r w:rsidRPr="009A26A7">
        <w:t xml:space="preserve">Health, Safety and </w:t>
      </w:r>
      <w:proofErr w:type="gramStart"/>
      <w:r w:rsidRPr="009A26A7">
        <w:t>Wellbeing:</w:t>
      </w:r>
      <w:proofErr w:type="gramEnd"/>
      <w:r w:rsidRPr="009A26A7">
        <w:t xml:space="preserve"> impacts on the physical and mental health, safety and wellbeing of employees and contractors.</w:t>
      </w:r>
    </w:p>
    <w:p w14:paraId="2D74BEB8" w14:textId="77777777" w:rsidR="004927AA" w:rsidRPr="009A26A7" w:rsidRDefault="004927AA">
      <w:pPr>
        <w:pStyle w:val="ListNumber"/>
        <w:numPr>
          <w:ilvl w:val="0"/>
          <w:numId w:val="132"/>
        </w:numPr>
      </w:pPr>
      <w:r w:rsidRPr="009A26A7">
        <w:t>Public Health: impacts on public health, including the provision of basic services such as clean water, sanitation, and health care.</w:t>
      </w:r>
    </w:p>
    <w:p w14:paraId="72C575C1" w14:textId="77777777" w:rsidR="004927AA" w:rsidRPr="009A26A7" w:rsidRDefault="004927AA">
      <w:pPr>
        <w:pStyle w:val="ListNumber"/>
        <w:numPr>
          <w:ilvl w:val="0"/>
          <w:numId w:val="132"/>
        </w:numPr>
      </w:pPr>
      <w:r w:rsidRPr="009A26A7">
        <w:t>People and Culture: impacts related to GWW employee engagement and capability, industrial action, loss of key talent and staff resignations.</w:t>
      </w:r>
    </w:p>
    <w:p w14:paraId="1C434FF2" w14:textId="77777777" w:rsidR="004927AA" w:rsidRPr="009A26A7" w:rsidRDefault="004927AA">
      <w:pPr>
        <w:pStyle w:val="ListNumber"/>
        <w:numPr>
          <w:ilvl w:val="0"/>
          <w:numId w:val="132"/>
        </w:numPr>
      </w:pPr>
      <w:r w:rsidRPr="009A26A7">
        <w:t xml:space="preserve">Reputational: the organisation’s reputation, public </w:t>
      </w:r>
      <w:proofErr w:type="gramStart"/>
      <w:r w:rsidRPr="009A26A7">
        <w:t>image</w:t>
      </w:r>
      <w:proofErr w:type="gramEnd"/>
      <w:r w:rsidRPr="009A26A7">
        <w:t xml:space="preserve"> and the level of trust it inspires in community and stakeholders.</w:t>
      </w:r>
    </w:p>
    <w:p w14:paraId="5D5EC0DE" w14:textId="77777777" w:rsidR="004927AA" w:rsidRPr="009A26A7" w:rsidRDefault="004927AA">
      <w:pPr>
        <w:pStyle w:val="ListNumber"/>
        <w:numPr>
          <w:ilvl w:val="0"/>
          <w:numId w:val="132"/>
        </w:numPr>
        <w:spacing w:before="0" w:after="160" w:line="259" w:lineRule="auto"/>
      </w:pPr>
      <w:r w:rsidRPr="009A26A7">
        <w:t>Service Delivery: delivery of core services including water supply and sewerage services to meet the needs of customers and service standards.</w:t>
      </w:r>
    </w:p>
    <w:p w14:paraId="2F372094" w14:textId="573B8A50" w:rsidR="00490827" w:rsidRPr="001021E2" w:rsidRDefault="00466A05" w:rsidP="001021E2">
      <w:pPr>
        <w:pStyle w:val="Heading2"/>
      </w:pPr>
      <w:bookmarkStart w:id="331" w:name="_Toc146746735"/>
      <w:bookmarkStart w:id="332" w:name="_Toc146004901"/>
      <w:bookmarkStart w:id="333" w:name="_Toc146004789"/>
      <w:r w:rsidRPr="001021E2">
        <w:t>How GWW manages risk</w:t>
      </w:r>
      <w:bookmarkEnd w:id="331"/>
    </w:p>
    <w:bookmarkEnd w:id="332"/>
    <w:bookmarkEnd w:id="333"/>
    <w:p w14:paraId="58144096" w14:textId="0F0A7B64" w:rsidR="004927AA" w:rsidRPr="004927AA" w:rsidRDefault="004927AA" w:rsidP="004927AA">
      <w:r w:rsidRPr="004927AA">
        <w:t>Effective risk management is about dedicating time to make informed decisions and planning for uncertainty. GWW achieves this using the following tools:</w:t>
      </w:r>
    </w:p>
    <w:p w14:paraId="1BFEAC63" w14:textId="77777777" w:rsidR="004927AA" w:rsidRPr="004927AA" w:rsidRDefault="004927AA">
      <w:pPr>
        <w:pStyle w:val="ListBullet"/>
        <w:numPr>
          <w:ilvl w:val="0"/>
          <w:numId w:val="38"/>
        </w:numPr>
      </w:pPr>
      <w:r w:rsidRPr="004927AA">
        <w:t xml:space="preserve">A three lines governance model to assign accountability, actions, </w:t>
      </w:r>
      <w:proofErr w:type="gramStart"/>
      <w:r w:rsidRPr="004927AA">
        <w:t>assurance</w:t>
      </w:r>
      <w:proofErr w:type="gramEnd"/>
      <w:r w:rsidRPr="004927AA">
        <w:t xml:space="preserve"> and advice on the responsibility of managing risks and opportunities to support organisational resilience. </w:t>
      </w:r>
    </w:p>
    <w:p w14:paraId="1428090A" w14:textId="09CAE88F" w:rsidR="004927AA" w:rsidRPr="004927AA" w:rsidRDefault="004927AA">
      <w:pPr>
        <w:pStyle w:val="ListBullet"/>
        <w:numPr>
          <w:ilvl w:val="0"/>
          <w:numId w:val="38"/>
        </w:numPr>
      </w:pPr>
      <w:r w:rsidRPr="004927AA">
        <w:t xml:space="preserve">A robust risk governance framework that incorporates: </w:t>
      </w:r>
    </w:p>
    <w:p w14:paraId="5EEF8B83" w14:textId="08A2046C" w:rsidR="004927AA" w:rsidRPr="00F37228" w:rsidRDefault="004927AA">
      <w:pPr>
        <w:pStyle w:val="ListBullet2"/>
        <w:numPr>
          <w:ilvl w:val="1"/>
          <w:numId w:val="38"/>
        </w:numPr>
      </w:pPr>
      <w:r w:rsidRPr="004927AA">
        <w:t xml:space="preserve">Risk </w:t>
      </w:r>
      <w:r w:rsidRPr="00F37228">
        <w:t xml:space="preserve">Management and Audit Committee (RMAC) – a subcommittee of the GWW </w:t>
      </w:r>
      <w:r w:rsidR="002E7DEE" w:rsidRPr="00F37228">
        <w:t>b</w:t>
      </w:r>
      <w:r w:rsidRPr="00F37228">
        <w:t xml:space="preserve">oard </w:t>
      </w:r>
    </w:p>
    <w:p w14:paraId="65A7A88A" w14:textId="26CD0844" w:rsidR="004927AA" w:rsidRPr="00F37228" w:rsidRDefault="004927AA">
      <w:pPr>
        <w:pStyle w:val="ListBullet2"/>
        <w:numPr>
          <w:ilvl w:val="1"/>
          <w:numId w:val="38"/>
        </w:numPr>
      </w:pPr>
      <w:r w:rsidRPr="00F37228">
        <w:t xml:space="preserve">Business Risk Committee – a committee comprising the full executive and supported by internal and, where appropriate, external risk professionals. Corporate risk registers for strategic and operational risks, which ensure board and management risk discussions are targeted and focused.  </w:t>
      </w:r>
    </w:p>
    <w:p w14:paraId="7F323487" w14:textId="0A2FFABB" w:rsidR="004927AA" w:rsidRPr="004927AA" w:rsidRDefault="004927AA">
      <w:pPr>
        <w:pStyle w:val="ListBullet"/>
        <w:numPr>
          <w:ilvl w:val="0"/>
          <w:numId w:val="38"/>
        </w:numPr>
      </w:pPr>
      <w:r w:rsidRPr="004927AA">
        <w:t xml:space="preserve">A fully updated </w:t>
      </w:r>
      <w:r w:rsidR="006A393C">
        <w:t>b</w:t>
      </w:r>
      <w:r w:rsidRPr="004927AA">
        <w:t>oard</w:t>
      </w:r>
      <w:r w:rsidR="006A393C">
        <w:t>-</w:t>
      </w:r>
      <w:r w:rsidRPr="004927AA">
        <w:t xml:space="preserve">approved Risk Appetite Statement, which ensures we are focused on managing critical risks effectively and positioned to take advantage of opportunities through improved risk artifacts, including a formal Risk Appetite Statement set by the board.  </w:t>
      </w:r>
    </w:p>
    <w:p w14:paraId="44160ADD" w14:textId="77777777" w:rsidR="004927AA" w:rsidRPr="004927AA" w:rsidRDefault="004927AA">
      <w:pPr>
        <w:pStyle w:val="ListBullet"/>
        <w:numPr>
          <w:ilvl w:val="0"/>
          <w:numId w:val="38"/>
        </w:numPr>
      </w:pPr>
      <w:r w:rsidRPr="004927AA">
        <w:t xml:space="preserve">Risk management policies and procedures consistent with the principles of ISO 31000.  </w:t>
      </w:r>
    </w:p>
    <w:p w14:paraId="1BC067D9" w14:textId="77777777" w:rsidR="004927AA" w:rsidRPr="004927AA" w:rsidRDefault="004927AA">
      <w:pPr>
        <w:pStyle w:val="ListBullet"/>
        <w:numPr>
          <w:ilvl w:val="0"/>
          <w:numId w:val="38"/>
        </w:numPr>
      </w:pPr>
      <w:r w:rsidRPr="004927AA">
        <w:t xml:space="preserve">An asset management framework consistent with the principles of ISO 55000. </w:t>
      </w:r>
    </w:p>
    <w:p w14:paraId="0077F5F4" w14:textId="77777777" w:rsidR="004927AA" w:rsidRPr="004927AA" w:rsidRDefault="004927AA">
      <w:pPr>
        <w:pStyle w:val="ListBullet"/>
        <w:numPr>
          <w:ilvl w:val="0"/>
          <w:numId w:val="38"/>
        </w:numPr>
      </w:pPr>
      <w:r w:rsidRPr="004927AA">
        <w:t xml:space="preserve">An asset risk management model.  </w:t>
      </w:r>
    </w:p>
    <w:p w14:paraId="610E7291" w14:textId="77777777" w:rsidR="004927AA" w:rsidRPr="00562180" w:rsidRDefault="004927AA" w:rsidP="00562180">
      <w:pPr>
        <w:pStyle w:val="Heading2"/>
      </w:pPr>
      <w:bookmarkStart w:id="334" w:name="_Toc146004902"/>
      <w:bookmarkStart w:id="335" w:name="_Toc146004790"/>
      <w:bookmarkStart w:id="336" w:name="_Toc146746736"/>
      <w:r w:rsidRPr="00562180">
        <w:t>How GWW is considering climate change risks</w:t>
      </w:r>
      <w:bookmarkEnd w:id="334"/>
      <w:bookmarkEnd w:id="335"/>
      <w:bookmarkEnd w:id="336"/>
    </w:p>
    <w:p w14:paraId="024E0C15" w14:textId="1F938EA8" w:rsidR="004927AA" w:rsidRPr="004927AA" w:rsidRDefault="004927AA" w:rsidP="004927AA">
      <w:r w:rsidRPr="004927AA">
        <w:t xml:space="preserve">Climate and environmental risks span the whole GWW business, including the way we plan, </w:t>
      </w:r>
      <w:proofErr w:type="gramStart"/>
      <w:r w:rsidRPr="004927AA">
        <w:t>build</w:t>
      </w:r>
      <w:proofErr w:type="gramEnd"/>
      <w:r w:rsidRPr="004927AA">
        <w:t xml:space="preserve"> and maintain assets, source water and manage our people during extreme events. Climate and environmental risks are embedded into planning</w:t>
      </w:r>
      <w:r w:rsidRPr="004927AA" w:rsidDel="00B35AA9">
        <w:t>.</w:t>
      </w:r>
      <w:r w:rsidRPr="004927AA">
        <w:t xml:space="preserve"> Our 2030 Strategy has clear links to climate change adaptation and mitigation across all three outcome areas: customers, community, and Country. Climate change and environment is identified as one of six strategic risks for the business. </w:t>
      </w:r>
    </w:p>
    <w:p w14:paraId="3F2D9A71" w14:textId="77777777" w:rsidR="004927AA" w:rsidRPr="004927AA" w:rsidRDefault="004927AA" w:rsidP="004927AA">
      <w:r w:rsidRPr="004927AA">
        <w:lastRenderedPageBreak/>
        <w:t>Climate change resilience risk assessments inform our Climate Change Resilience Plan, which will be released this year. The plan will internally explore how we will:</w:t>
      </w:r>
    </w:p>
    <w:p w14:paraId="2A3DB4BA" w14:textId="77777777" w:rsidR="004927AA" w:rsidRPr="004927AA" w:rsidRDefault="004927AA">
      <w:pPr>
        <w:pStyle w:val="ListBullet"/>
        <w:numPr>
          <w:ilvl w:val="0"/>
          <w:numId w:val="42"/>
        </w:numPr>
      </w:pPr>
      <w:r w:rsidRPr="004927AA">
        <w:t xml:space="preserve">become less reliant on climate-dependent water resources for drinking </w:t>
      </w:r>
      <w:proofErr w:type="gramStart"/>
      <w:r w:rsidRPr="004927AA">
        <w:t>water</w:t>
      </w:r>
      <w:proofErr w:type="gramEnd"/>
    </w:p>
    <w:p w14:paraId="1C4B1FE0" w14:textId="7AD4856A" w:rsidR="004927AA" w:rsidRPr="004927AA" w:rsidRDefault="004927AA">
      <w:pPr>
        <w:pStyle w:val="ListBullet"/>
        <w:numPr>
          <w:ilvl w:val="0"/>
          <w:numId w:val="42"/>
        </w:numPr>
      </w:pPr>
      <w:r w:rsidRPr="004927AA">
        <w:t xml:space="preserve">shift away from reliance on drinking water for end uses that don’t need water of that quality and increase the use of stormwater and recycled water for irrigation and </w:t>
      </w:r>
      <w:proofErr w:type="gramStart"/>
      <w:r w:rsidRPr="004927AA">
        <w:t>industry</w:t>
      </w:r>
      <w:proofErr w:type="gramEnd"/>
      <w:r w:rsidRPr="004927AA">
        <w:t> </w:t>
      </w:r>
    </w:p>
    <w:p w14:paraId="0CD5FB03" w14:textId="77777777" w:rsidR="004927AA" w:rsidRPr="004927AA" w:rsidRDefault="004927AA">
      <w:pPr>
        <w:pStyle w:val="ListBullet"/>
        <w:numPr>
          <w:ilvl w:val="0"/>
          <w:numId w:val="42"/>
        </w:numPr>
      </w:pPr>
      <w:r w:rsidRPr="004927AA">
        <w:t xml:space="preserve">increase resilience through capacity and/or redundancy in sewer and water </w:t>
      </w:r>
      <w:proofErr w:type="gramStart"/>
      <w:r w:rsidRPr="004927AA">
        <w:t>networks</w:t>
      </w:r>
      <w:proofErr w:type="gramEnd"/>
      <w:r w:rsidRPr="004927AA">
        <w:t> </w:t>
      </w:r>
    </w:p>
    <w:p w14:paraId="080B69BA" w14:textId="77777777" w:rsidR="004927AA" w:rsidRPr="004927AA" w:rsidRDefault="004927AA">
      <w:pPr>
        <w:pStyle w:val="ListBullet"/>
        <w:numPr>
          <w:ilvl w:val="0"/>
          <w:numId w:val="42"/>
        </w:numPr>
      </w:pPr>
      <w:r w:rsidRPr="004927AA">
        <w:t xml:space="preserve">change infrastructure standards to make them more resilient to the effects of climate </w:t>
      </w:r>
      <w:proofErr w:type="gramStart"/>
      <w:r w:rsidRPr="004927AA">
        <w:t>change</w:t>
      </w:r>
      <w:proofErr w:type="gramEnd"/>
      <w:r w:rsidRPr="004927AA">
        <w:t> </w:t>
      </w:r>
    </w:p>
    <w:p w14:paraId="665F708D" w14:textId="77777777" w:rsidR="004927AA" w:rsidRPr="004927AA" w:rsidRDefault="004927AA">
      <w:pPr>
        <w:pStyle w:val="ListBullet"/>
        <w:numPr>
          <w:ilvl w:val="0"/>
          <w:numId w:val="42"/>
        </w:numPr>
      </w:pPr>
      <w:r w:rsidRPr="004927AA">
        <w:t xml:space="preserve">increase capability and capacity of incident responses, for example, to bushfires and floods and planning for a changing </w:t>
      </w:r>
      <w:proofErr w:type="gramStart"/>
      <w:r w:rsidRPr="004927AA">
        <w:t>climate</w:t>
      </w:r>
      <w:proofErr w:type="gramEnd"/>
    </w:p>
    <w:p w14:paraId="11130D50" w14:textId="77777777" w:rsidR="004927AA" w:rsidRPr="004927AA" w:rsidRDefault="004927AA">
      <w:pPr>
        <w:pStyle w:val="ListBullet"/>
        <w:numPr>
          <w:ilvl w:val="0"/>
          <w:numId w:val="42"/>
        </w:numPr>
      </w:pPr>
      <w:r w:rsidRPr="004927AA">
        <w:t>make climate-related financial disclosures. </w:t>
      </w:r>
    </w:p>
    <w:p w14:paraId="6BD33DB8" w14:textId="77777777" w:rsidR="004927AA" w:rsidRPr="004927AA" w:rsidRDefault="004927AA" w:rsidP="004927AA">
      <w:r w:rsidRPr="004927AA">
        <w:t>The Climate Change Resilience Plan will be delivered in the 2024-28 regulatory period through operational expenditure and aligned with our 2030 Strategy. The plan supports</w:t>
      </w:r>
      <w:r w:rsidRPr="004927AA" w:rsidDel="00A4541D">
        <w:t xml:space="preserve"> </w:t>
      </w:r>
      <w:r w:rsidRPr="004927AA">
        <w:t xml:space="preserve">the commitments to climate change initiatives and collaboration across the water sector in the Central and Gippsland Region Sustainable Water Strategy (CGRSWS) and Greater Melbourne Urban Water and System Strategy (GMUWSS). </w:t>
      </w:r>
    </w:p>
    <w:p w14:paraId="21F39CE1" w14:textId="77777777" w:rsidR="004927AA" w:rsidRPr="004927AA" w:rsidRDefault="004927AA" w:rsidP="00562180">
      <w:pPr>
        <w:pStyle w:val="Heading2"/>
      </w:pPr>
      <w:bookmarkStart w:id="337" w:name="_Toc146004903"/>
      <w:bookmarkStart w:id="338" w:name="_Toc146004791"/>
      <w:bookmarkStart w:id="339" w:name="_Toc146746737"/>
      <w:r w:rsidRPr="00562180">
        <w:t>How</w:t>
      </w:r>
      <w:r w:rsidRPr="004927AA">
        <w:t xml:space="preserve"> GWW considered risk for the 2024 price submission</w:t>
      </w:r>
      <w:bookmarkEnd w:id="337"/>
      <w:bookmarkEnd w:id="338"/>
      <w:bookmarkEnd w:id="339"/>
    </w:p>
    <w:p w14:paraId="7F971CF3" w14:textId="4E4815ED" w:rsidR="004927AA" w:rsidRPr="004927AA" w:rsidRDefault="004927AA" w:rsidP="004927AA">
      <w:r w:rsidRPr="004927AA">
        <w:t xml:space="preserve">Through each stage of the price submission development, GWW executives and the board considered risk. This included deep dives into operational and capital expenditure programs, identifying the capital and regulatory risks being addressed, residual risks and mitigation activities. </w:t>
      </w:r>
      <w:r w:rsidR="003F7672">
        <w:t>Section</w:t>
      </w:r>
      <w:r w:rsidR="008E7703">
        <w:t xml:space="preserve"> </w:t>
      </w:r>
      <w:r w:rsidR="00D11F4E">
        <w:t>4</w:t>
      </w:r>
      <w:r w:rsidR="00B81C43" w:rsidRPr="008E7703">
        <w:fldChar w:fldCharType="begin"/>
      </w:r>
      <w:r w:rsidR="00B81C43" w:rsidRPr="008E7703">
        <w:instrText xml:space="preserve"> REF _Ref145928051 \n \h </w:instrText>
      </w:r>
      <w:r w:rsidR="00B81C43">
        <w:instrText xml:space="preserve"> \* MERGEFORMAT </w:instrText>
      </w:r>
      <w:r w:rsidR="0069425C">
        <w:fldChar w:fldCharType="separate"/>
      </w:r>
      <w:r w:rsidR="00B81C43" w:rsidRPr="008E7703">
        <w:fldChar w:fldCharType="end"/>
      </w:r>
      <w:r w:rsidR="008E7703">
        <w:t xml:space="preserve"> </w:t>
      </w:r>
      <w:r w:rsidRPr="004927AA">
        <w:t xml:space="preserve">describes our operating expenditure and associated risks and capital expenditure prioritisation process and how risk was considered in detail. </w:t>
      </w:r>
    </w:p>
    <w:p w14:paraId="4692DBA7" w14:textId="6F40BE2F" w:rsidR="004927AA" w:rsidRPr="004927AA" w:rsidRDefault="004927AA" w:rsidP="004927AA">
      <w:r w:rsidRPr="004927AA">
        <w:t xml:space="preserve">GWW undertook a regulatory risk assessment to identify risks which, if not sufficiently managed, could impact on the services our customers receive and the prices they pay. This includes external factors, which we cannot control but we can minimise impacts </w:t>
      </w:r>
      <w:r w:rsidRPr="004927AA" w:rsidDel="00BC07A1">
        <w:t xml:space="preserve">through </w:t>
      </w:r>
      <w:r w:rsidRPr="004927AA">
        <w:t xml:space="preserve">mitigation activities. The risk assessment identified our strategic regulatory risks for </w:t>
      </w:r>
      <w:r w:rsidR="007671A2">
        <w:t>this</w:t>
      </w:r>
      <w:r w:rsidRPr="004927AA">
        <w:t xml:space="preserve"> </w:t>
      </w:r>
      <w:r w:rsidR="007671A2">
        <w:t>p</w:t>
      </w:r>
      <w:r w:rsidRPr="004927AA">
        <w:t xml:space="preserve">rice </w:t>
      </w:r>
      <w:r w:rsidR="007671A2">
        <w:t>s</w:t>
      </w:r>
      <w:r w:rsidRPr="004927AA">
        <w:t>ubmission and informed our review of management and mitigation options and consideration of how to allocate residual risk between the business and customers.</w:t>
      </w:r>
    </w:p>
    <w:p w14:paraId="167CE691" w14:textId="38D6C5EE" w:rsidR="004927AA" w:rsidRPr="004927AA" w:rsidRDefault="004927AA" w:rsidP="004927AA">
      <w:r w:rsidRPr="004927AA">
        <w:t xml:space="preserve">GWW’s strategic regulatory risk assessment ensures we are prioritising long-term solutions that will deliver efficiencies, rather than short-term band-aids. We have done this through the following actions: </w:t>
      </w:r>
    </w:p>
    <w:p w14:paraId="50A5F9C1" w14:textId="77777777" w:rsidR="004927AA" w:rsidRPr="008E7703" w:rsidRDefault="004927AA">
      <w:pPr>
        <w:pStyle w:val="ListBullet"/>
        <w:numPr>
          <w:ilvl w:val="0"/>
          <w:numId w:val="130"/>
        </w:numPr>
        <w:rPr>
          <w:b/>
        </w:rPr>
      </w:pPr>
      <w:r w:rsidRPr="008E7703">
        <w:rPr>
          <w:b/>
        </w:rPr>
        <w:t xml:space="preserve">Capital </w:t>
      </w:r>
      <w:proofErr w:type="gramStart"/>
      <w:r w:rsidRPr="008E7703">
        <w:rPr>
          <w:b/>
        </w:rPr>
        <w:t>program</w:t>
      </w:r>
      <w:proofErr w:type="gramEnd"/>
      <w:r w:rsidRPr="008E7703">
        <w:rPr>
          <w:b/>
        </w:rPr>
        <w:t xml:space="preserve"> </w:t>
      </w:r>
    </w:p>
    <w:p w14:paraId="0A6B39FB" w14:textId="77777777" w:rsidR="004927AA" w:rsidRPr="00F37228" w:rsidRDefault="004927AA">
      <w:pPr>
        <w:pStyle w:val="ListBullet2"/>
        <w:numPr>
          <w:ilvl w:val="0"/>
          <w:numId w:val="131"/>
        </w:numPr>
      </w:pPr>
      <w:r w:rsidRPr="00F37228">
        <w:t>Removal or delay of uncertain projects from the capital program. GWW accepts the financial risk if currently uncertain projects need to be accelerated and delivered this regulatory period, and customers benefit from lower prices. This includes projects where timing or cost are uncertain, where benefits are yet to be fully defined or justified through business cases.</w:t>
      </w:r>
      <w:r w:rsidRPr="00F37228" w:rsidDel="00447016">
        <w:t xml:space="preserve"> </w:t>
      </w:r>
      <w:r w:rsidRPr="00F37228">
        <w:t xml:space="preserve">GWW holds the risk on behalf of our customers.  </w:t>
      </w:r>
    </w:p>
    <w:p w14:paraId="4E9C15FE" w14:textId="77777777" w:rsidR="004927AA" w:rsidRPr="00F37228" w:rsidRDefault="004927AA">
      <w:pPr>
        <w:pStyle w:val="ListBullet2"/>
        <w:numPr>
          <w:ilvl w:val="0"/>
          <w:numId w:val="131"/>
        </w:numPr>
      </w:pPr>
      <w:r w:rsidRPr="00F37228">
        <w:lastRenderedPageBreak/>
        <w:t>Adaptive planning program, business planning and embedding the risk-based capital prioritisation process into the way we work to ensure our program is deliverable reducing the risk to customers.</w:t>
      </w:r>
    </w:p>
    <w:p w14:paraId="550499DF" w14:textId="77777777" w:rsidR="004927AA" w:rsidRPr="008E7703" w:rsidRDefault="004927AA">
      <w:pPr>
        <w:pStyle w:val="ListBullet"/>
        <w:numPr>
          <w:ilvl w:val="0"/>
          <w:numId w:val="131"/>
        </w:numPr>
        <w:rPr>
          <w:b/>
        </w:rPr>
      </w:pPr>
      <w:r w:rsidRPr="008E7703">
        <w:rPr>
          <w:b/>
        </w:rPr>
        <w:t>Service delivery GSL scheme (not gold plating)</w:t>
      </w:r>
    </w:p>
    <w:p w14:paraId="2C8FEFBB" w14:textId="743B75F0" w:rsidR="004927AA" w:rsidRPr="004927AA" w:rsidRDefault="004927AA">
      <w:pPr>
        <w:pStyle w:val="ListBullet"/>
        <w:numPr>
          <w:ilvl w:val="1"/>
          <w:numId w:val="40"/>
        </w:numPr>
      </w:pPr>
      <w:r w:rsidRPr="004927AA">
        <w:t xml:space="preserve">A new GSL scheme that better balances risk between customers and GWW, ensuring that we deliver services for the majority and compensate customers where we are not meeting service levels. The scheme extends the existing central region GSL scheme to the western region, expanding guarantees to all customers. GWW will absorb all costs of the scheme. </w:t>
      </w:r>
    </w:p>
    <w:p w14:paraId="28ECAC1B" w14:textId="77777777" w:rsidR="004927AA" w:rsidRPr="004927AA" w:rsidRDefault="004927AA">
      <w:pPr>
        <w:pStyle w:val="ListBullet"/>
        <w:numPr>
          <w:ilvl w:val="1"/>
          <w:numId w:val="40"/>
        </w:numPr>
      </w:pPr>
      <w:r w:rsidRPr="004927AA">
        <w:t>A new water quality GSL.</w:t>
      </w:r>
    </w:p>
    <w:p w14:paraId="1A93531D" w14:textId="77777777" w:rsidR="004927AA" w:rsidRPr="008E7703" w:rsidRDefault="004927AA">
      <w:pPr>
        <w:pStyle w:val="ListBullet"/>
        <w:numPr>
          <w:ilvl w:val="0"/>
          <w:numId w:val="40"/>
        </w:numPr>
        <w:rPr>
          <w:b/>
        </w:rPr>
      </w:pPr>
      <w:r w:rsidRPr="008E7703">
        <w:rPr>
          <w:b/>
        </w:rPr>
        <w:t xml:space="preserve">Long-term future </w:t>
      </w:r>
    </w:p>
    <w:p w14:paraId="20E84811" w14:textId="77777777" w:rsidR="004927AA" w:rsidRPr="004927AA" w:rsidRDefault="004927AA">
      <w:pPr>
        <w:pStyle w:val="ListBullet"/>
        <w:numPr>
          <w:ilvl w:val="1"/>
          <w:numId w:val="40"/>
        </w:numPr>
      </w:pPr>
      <w:r w:rsidRPr="004927AA">
        <w:t xml:space="preserve">Implementing actions from the GMUWSS and CGRSWS, which support water security, resilience, and climate change.  </w:t>
      </w:r>
    </w:p>
    <w:p w14:paraId="0A21876D" w14:textId="77777777" w:rsidR="004927AA" w:rsidRPr="008E7703" w:rsidRDefault="004927AA">
      <w:pPr>
        <w:pStyle w:val="ListBullet"/>
        <w:numPr>
          <w:ilvl w:val="0"/>
          <w:numId w:val="40"/>
        </w:numPr>
        <w:rPr>
          <w:b/>
        </w:rPr>
      </w:pPr>
      <w:r w:rsidRPr="008E7703">
        <w:rPr>
          <w:b/>
        </w:rPr>
        <w:t xml:space="preserve">Regulatory </w:t>
      </w:r>
    </w:p>
    <w:p w14:paraId="43550C81" w14:textId="77777777" w:rsidR="004927AA" w:rsidRPr="004927AA" w:rsidRDefault="004927AA">
      <w:pPr>
        <w:pStyle w:val="ListBullet"/>
        <w:numPr>
          <w:ilvl w:val="1"/>
          <w:numId w:val="40"/>
        </w:numPr>
      </w:pPr>
      <w:r w:rsidRPr="004927AA">
        <w:t xml:space="preserve">Operating expenditure efficiency target of 3% per annum on average </w:t>
      </w:r>
    </w:p>
    <w:p w14:paraId="30CD9BA3" w14:textId="77777777" w:rsidR="004927AA" w:rsidRPr="004927AA" w:rsidRDefault="004927AA">
      <w:pPr>
        <w:pStyle w:val="ListBullet"/>
        <w:numPr>
          <w:ilvl w:val="1"/>
          <w:numId w:val="40"/>
        </w:numPr>
      </w:pPr>
      <w:r w:rsidRPr="004927AA">
        <w:t xml:space="preserve">Tariffs and cost pass through mechanisms that balance the risk of uncontrollable costs between GWW and customers through the period. </w:t>
      </w:r>
    </w:p>
    <w:p w14:paraId="5AD88FD5" w14:textId="2828710C" w:rsidR="004927AA" w:rsidRPr="004927AA" w:rsidRDefault="004927AA">
      <w:pPr>
        <w:pStyle w:val="ListBullet"/>
        <w:numPr>
          <w:ilvl w:val="1"/>
          <w:numId w:val="40"/>
        </w:numPr>
      </w:pPr>
      <w:r w:rsidRPr="004927AA">
        <w:t xml:space="preserve">Demand forecasts that consider climate change, </w:t>
      </w:r>
      <w:proofErr w:type="gramStart"/>
      <w:r w:rsidRPr="004927AA">
        <w:t>variability</w:t>
      </w:r>
      <w:proofErr w:type="gramEnd"/>
      <w:r w:rsidRPr="004927AA">
        <w:t xml:space="preserve"> and COVID-19 impacts.</w:t>
      </w:r>
    </w:p>
    <w:p w14:paraId="4112D37E" w14:textId="77777777" w:rsidR="004927AA" w:rsidRPr="004927AA" w:rsidRDefault="004927AA" w:rsidP="00562180">
      <w:pPr>
        <w:pStyle w:val="Heading2"/>
      </w:pPr>
      <w:bookmarkStart w:id="340" w:name="_Toc146004904"/>
      <w:bookmarkStart w:id="341" w:name="_Toc146004792"/>
      <w:bookmarkStart w:id="342" w:name="_Toc146746738"/>
      <w:r w:rsidRPr="004927AA">
        <w:t>Price submission 2024 regulatory risk summary</w:t>
      </w:r>
      <w:bookmarkEnd w:id="340"/>
      <w:bookmarkEnd w:id="341"/>
      <w:bookmarkEnd w:id="342"/>
      <w:r w:rsidRPr="004927AA">
        <w:t xml:space="preserve"> </w:t>
      </w:r>
    </w:p>
    <w:p w14:paraId="0A485EF2" w14:textId="26EAEE0C" w:rsidR="004927AA" w:rsidRPr="004927AA" w:rsidRDefault="00D7759A" w:rsidP="004927AA">
      <w:r>
        <w:fldChar w:fldCharType="begin"/>
      </w:r>
      <w:r>
        <w:instrText xml:space="preserve"> REF _Ref145928148 \n \h </w:instrText>
      </w:r>
      <w:r w:rsidR="0069425C">
        <w:fldChar w:fldCharType="separate"/>
      </w:r>
      <w:r>
        <w:fldChar w:fldCharType="end"/>
      </w:r>
      <w:r w:rsidR="004927AA" w:rsidRPr="004927AA">
        <w:t xml:space="preserve"> provides a summary of the strategic regulatory risks identified for the 2024-28 regulatory period. These are risks that, if not mitigated, may affect the services we provide to customers and what customers pay. </w:t>
      </w:r>
    </w:p>
    <w:p w14:paraId="156F190C" w14:textId="0008E492" w:rsidR="004927AA" w:rsidRPr="004927AA" w:rsidRDefault="004927AA" w:rsidP="004927AA">
      <w:r w:rsidRPr="004927AA">
        <w:t xml:space="preserve">Our regulatory risk assessment identified eight risk categories. A </w:t>
      </w:r>
      <w:r w:rsidR="0001296E">
        <w:t>s</w:t>
      </w:r>
      <w:r w:rsidRPr="004927AA">
        <w:t>ummary of the eight risk categories and the risk allocation between GWW and our customers is outlined below:</w:t>
      </w:r>
    </w:p>
    <w:p w14:paraId="62209E80" w14:textId="78427E48" w:rsidR="004927AA" w:rsidRPr="00145BC1" w:rsidRDefault="004927AA">
      <w:pPr>
        <w:pStyle w:val="ListBullet"/>
        <w:numPr>
          <w:ilvl w:val="0"/>
          <w:numId w:val="133"/>
        </w:numPr>
      </w:pPr>
      <w:r w:rsidRPr="00145BC1">
        <w:rPr>
          <w:b/>
          <w:bCs/>
        </w:rPr>
        <w:t>Operating expenditure</w:t>
      </w:r>
      <w:r w:rsidR="00780D45" w:rsidRPr="00145BC1">
        <w:rPr>
          <w:b/>
          <w:bCs/>
        </w:rPr>
        <w:t>:</w:t>
      </w:r>
      <w:r w:rsidR="00780D45" w:rsidRPr="00145BC1">
        <w:t xml:space="preserve"> </w:t>
      </w:r>
      <w:r w:rsidRPr="00145BC1">
        <w:t xml:space="preserve">GWW has a sustainable efficiency program underway, with full support of the executive and the board, but if the risk category is realised GWW bears the risk. </w:t>
      </w:r>
    </w:p>
    <w:p w14:paraId="186D76BC" w14:textId="29F383EC" w:rsidR="004927AA" w:rsidRPr="00145BC1" w:rsidRDefault="004927AA">
      <w:pPr>
        <w:pStyle w:val="ListBullet"/>
        <w:numPr>
          <w:ilvl w:val="0"/>
          <w:numId w:val="133"/>
        </w:numPr>
      </w:pPr>
      <w:r w:rsidRPr="00145BC1">
        <w:rPr>
          <w:b/>
          <w:bCs/>
        </w:rPr>
        <w:t>Capital program</w:t>
      </w:r>
      <w:r w:rsidR="00780D45" w:rsidRPr="00145BC1">
        <w:rPr>
          <w:b/>
          <w:bCs/>
        </w:rPr>
        <w:t>:</w:t>
      </w:r>
      <w:r w:rsidRPr="00145BC1">
        <w:t xml:space="preserve"> GWW has put in place measures to ensure our capital program and cost estimates are accurate and deliverable. If we deviate from approved capex program in a manner that is prudent and efficient, the difference in cost due to variations will be rolled into the RAB in the following Regulatory period. However, in the short-run GWW bears the risk of cost overruns.  </w:t>
      </w:r>
    </w:p>
    <w:p w14:paraId="3A70C2CB" w14:textId="7E18C0A2" w:rsidR="004927AA" w:rsidRPr="00145BC1" w:rsidRDefault="004927AA">
      <w:pPr>
        <w:pStyle w:val="ListBullet"/>
        <w:numPr>
          <w:ilvl w:val="0"/>
          <w:numId w:val="133"/>
        </w:numPr>
      </w:pPr>
      <w:r w:rsidRPr="00145BC1">
        <w:rPr>
          <w:b/>
          <w:bCs/>
        </w:rPr>
        <w:t>Demand forecasts</w:t>
      </w:r>
      <w:r w:rsidR="00780D45" w:rsidRPr="00145BC1">
        <w:rPr>
          <w:b/>
          <w:bCs/>
        </w:rPr>
        <w:t>:</w:t>
      </w:r>
      <w:r w:rsidRPr="00145BC1">
        <w:t xml:space="preserve"> are calibrated with recent actual demands and are conservatively high. In the case of demand lower than forecast, GWW would bear the revenue shortfall and if demands are higher than forecast, customers would bear the risk from over recovery. </w:t>
      </w:r>
    </w:p>
    <w:p w14:paraId="12EDBDF1" w14:textId="16A30722" w:rsidR="004927AA" w:rsidRPr="00145BC1" w:rsidRDefault="004927AA">
      <w:pPr>
        <w:pStyle w:val="ListBullet"/>
        <w:numPr>
          <w:ilvl w:val="0"/>
          <w:numId w:val="133"/>
        </w:numPr>
      </w:pPr>
      <w:r w:rsidRPr="00145BC1">
        <w:rPr>
          <w:b/>
          <w:bCs/>
        </w:rPr>
        <w:t>Tariffs and pricing</w:t>
      </w:r>
      <w:r w:rsidR="00780D45" w:rsidRPr="00145BC1">
        <w:rPr>
          <w:b/>
          <w:bCs/>
        </w:rPr>
        <w:t>:</w:t>
      </w:r>
      <w:r w:rsidRPr="00145BC1">
        <w:t xml:space="preserve"> </w:t>
      </w:r>
      <w:r w:rsidR="00780D45" w:rsidRPr="00145BC1">
        <w:t>m</w:t>
      </w:r>
      <w:r w:rsidRPr="00145BC1">
        <w:t xml:space="preserve">itigation activities including tariff basket mechanisms ensure GWW can manage price shocks in response to short term fluctuations. </w:t>
      </w:r>
    </w:p>
    <w:p w14:paraId="459C7202" w14:textId="7D61C164" w:rsidR="004927AA" w:rsidRPr="00145BC1" w:rsidRDefault="004927AA">
      <w:pPr>
        <w:pStyle w:val="ListBullet"/>
        <w:numPr>
          <w:ilvl w:val="0"/>
          <w:numId w:val="133"/>
        </w:numPr>
      </w:pPr>
      <w:r w:rsidRPr="00145BC1">
        <w:rPr>
          <w:b/>
          <w:bCs/>
        </w:rPr>
        <w:t>Operational risks</w:t>
      </w:r>
      <w:r w:rsidR="00780D45" w:rsidRPr="00145BC1">
        <w:rPr>
          <w:b/>
          <w:bCs/>
        </w:rPr>
        <w:t>:</w:t>
      </w:r>
      <w:r w:rsidR="00780D45" w:rsidRPr="00145BC1">
        <w:t xml:space="preserve"> t</w:t>
      </w:r>
      <w:r w:rsidRPr="00145BC1">
        <w:t xml:space="preserve">he financial consequences of not maintaining services that we are obliged to are borne by GWW through a range of mechanisms including our GSL scheme. </w:t>
      </w:r>
    </w:p>
    <w:p w14:paraId="1DCE9E0E" w14:textId="3622C582" w:rsidR="004927AA" w:rsidRPr="00145BC1" w:rsidRDefault="004927AA">
      <w:pPr>
        <w:pStyle w:val="ListBullet"/>
        <w:numPr>
          <w:ilvl w:val="0"/>
          <w:numId w:val="133"/>
        </w:numPr>
      </w:pPr>
      <w:r w:rsidRPr="00145BC1">
        <w:rPr>
          <w:b/>
          <w:bCs/>
        </w:rPr>
        <w:t>Climate influences and climate adaptation</w:t>
      </w:r>
      <w:r w:rsidR="00780D45" w:rsidRPr="00145BC1">
        <w:rPr>
          <w:b/>
          <w:bCs/>
        </w:rPr>
        <w:t>:</w:t>
      </w:r>
      <w:r w:rsidRPr="00145BC1">
        <w:t xml:space="preserve"> GWW bears the financial consequences of inaccurate forecasts and commitment to reach </w:t>
      </w:r>
      <w:r w:rsidR="00780D45" w:rsidRPr="00145BC1">
        <w:t>n</w:t>
      </w:r>
      <w:r w:rsidRPr="00145BC1">
        <w:t>et</w:t>
      </w:r>
      <w:r w:rsidR="00780D45" w:rsidRPr="00145BC1">
        <w:t xml:space="preserve"> z</w:t>
      </w:r>
      <w:r w:rsidRPr="00145BC1">
        <w:t>ero, however customers bear the risk of extreme weather events and desalinated water orders.</w:t>
      </w:r>
    </w:p>
    <w:p w14:paraId="1A924512" w14:textId="2F6F3B49" w:rsidR="004927AA" w:rsidRPr="00145BC1" w:rsidRDefault="004927AA">
      <w:pPr>
        <w:pStyle w:val="ListBullet"/>
        <w:numPr>
          <w:ilvl w:val="0"/>
          <w:numId w:val="133"/>
        </w:numPr>
      </w:pPr>
      <w:r w:rsidRPr="00145BC1">
        <w:rPr>
          <w:b/>
          <w:bCs/>
        </w:rPr>
        <w:lastRenderedPageBreak/>
        <w:t xml:space="preserve">Financial and </w:t>
      </w:r>
      <w:r w:rsidR="00780D45" w:rsidRPr="00145BC1">
        <w:rPr>
          <w:b/>
          <w:bCs/>
        </w:rPr>
        <w:t>r</w:t>
      </w:r>
      <w:r w:rsidRPr="00145BC1">
        <w:rPr>
          <w:b/>
          <w:bCs/>
        </w:rPr>
        <w:t xml:space="preserve">egulatory </w:t>
      </w:r>
      <w:r w:rsidR="00780D45" w:rsidRPr="00145BC1">
        <w:rPr>
          <w:b/>
          <w:bCs/>
        </w:rPr>
        <w:t>r</w:t>
      </w:r>
      <w:r w:rsidRPr="00145BC1">
        <w:rPr>
          <w:b/>
          <w:bCs/>
        </w:rPr>
        <w:t>isks</w:t>
      </w:r>
      <w:r w:rsidR="00780D45" w:rsidRPr="00145BC1">
        <w:rPr>
          <w:b/>
          <w:bCs/>
        </w:rPr>
        <w:t>:</w:t>
      </w:r>
      <w:r w:rsidR="00780D45" w:rsidRPr="00145BC1">
        <w:t xml:space="preserve"> i</w:t>
      </w:r>
      <w:r w:rsidRPr="00145BC1">
        <w:t xml:space="preserve">n the short term, GWW bears the risk of any changes in the operating environment that increase costs. Due to the pass-through mechanisms, customers bear the risk of increased cost for desalinated water orders during dry periods.  </w:t>
      </w:r>
    </w:p>
    <w:p w14:paraId="7870900A" w14:textId="59423204" w:rsidR="004927AA" w:rsidRPr="00145BC1" w:rsidRDefault="004927AA">
      <w:pPr>
        <w:pStyle w:val="ListBullet"/>
        <w:numPr>
          <w:ilvl w:val="0"/>
          <w:numId w:val="133"/>
        </w:numPr>
      </w:pPr>
      <w:r w:rsidRPr="00145BC1">
        <w:rPr>
          <w:b/>
          <w:bCs/>
        </w:rPr>
        <w:t>Business</w:t>
      </w:r>
      <w:r w:rsidR="00780D45" w:rsidRPr="00145BC1">
        <w:rPr>
          <w:b/>
          <w:bCs/>
        </w:rPr>
        <w:t>:</w:t>
      </w:r>
      <w:r w:rsidRPr="00145BC1">
        <w:t xml:space="preserve"> GWW bears all risk associated with inability to meet customers’ expectations, reputationally and financially through the GSL scheme.</w:t>
      </w:r>
    </w:p>
    <w:p w14:paraId="2BD2FFEA" w14:textId="1D754CB9" w:rsidR="004927AA" w:rsidRPr="00957688" w:rsidRDefault="00D7759A" w:rsidP="00CF34FC">
      <w:pPr>
        <w:pStyle w:val="BoxedQuote"/>
        <w:keepNext/>
        <w:rPr>
          <w:b/>
          <w:bCs/>
        </w:rPr>
      </w:pPr>
      <w:r>
        <w:rPr>
          <w:b/>
          <w:bCs/>
        </w:rPr>
        <w:t>Supporting</w:t>
      </w:r>
      <w:r w:rsidR="00957688" w:rsidRPr="00957688">
        <w:rPr>
          <w:b/>
          <w:bCs/>
        </w:rPr>
        <w:t xml:space="preserve"> documents</w:t>
      </w:r>
      <w:r w:rsidR="000B1FC8">
        <w:rPr>
          <w:b/>
          <w:bCs/>
        </w:rPr>
        <w:t xml:space="preserve"> for Risk</w:t>
      </w:r>
      <w:r w:rsidR="00957688" w:rsidRPr="00957688">
        <w:rPr>
          <w:b/>
          <w:bCs/>
        </w:rPr>
        <w:t>:</w:t>
      </w:r>
      <w:r w:rsidR="004927AA" w:rsidRPr="00957688">
        <w:rPr>
          <w:b/>
          <w:bCs/>
        </w:rPr>
        <w:t xml:space="preserve"> </w:t>
      </w:r>
    </w:p>
    <w:p w14:paraId="063C06A8" w14:textId="77777777" w:rsidR="004927AA" w:rsidRPr="004927AA" w:rsidRDefault="004927AA" w:rsidP="00780D45">
      <w:pPr>
        <w:pStyle w:val="BoxedBullet"/>
      </w:pPr>
      <w:r w:rsidRPr="004927AA">
        <w:t xml:space="preserve">GWW Risk Management Framework </w:t>
      </w:r>
    </w:p>
    <w:p w14:paraId="16257CE8" w14:textId="326302D9" w:rsidR="004927AA" w:rsidRPr="004927AA" w:rsidRDefault="004927AA" w:rsidP="00780D45">
      <w:pPr>
        <w:pStyle w:val="BoxedBullet"/>
      </w:pPr>
      <w:r w:rsidRPr="004927AA">
        <w:t>G</w:t>
      </w:r>
      <w:r w:rsidR="00780D45">
        <w:t>W</w:t>
      </w:r>
      <w:r w:rsidRPr="004927AA">
        <w:t xml:space="preserve">W Risk Appetite Statement </w:t>
      </w:r>
    </w:p>
    <w:p w14:paraId="47D816D3" w14:textId="77777777" w:rsidR="004927AA" w:rsidRPr="004927AA" w:rsidRDefault="004927AA" w:rsidP="00780D45">
      <w:pPr>
        <w:pStyle w:val="BoxedBullet"/>
      </w:pPr>
      <w:r w:rsidRPr="004927AA">
        <w:t xml:space="preserve">Corporate strategic and operational risk registers </w:t>
      </w:r>
    </w:p>
    <w:p w14:paraId="47F0748B" w14:textId="77777777" w:rsidR="00015993" w:rsidRDefault="00015993" w:rsidP="00015993"/>
    <w:p w14:paraId="424D7F45" w14:textId="77777777" w:rsidR="00FF5BEE" w:rsidRDefault="00FF5BEE" w:rsidP="00377032">
      <w:pPr>
        <w:sectPr w:rsidR="00FF5BEE" w:rsidSect="008C1A38">
          <w:pgSz w:w="11906" w:h="16838" w:code="9"/>
          <w:pgMar w:top="1134" w:right="1134" w:bottom="1134" w:left="1134" w:header="709" w:footer="652" w:gutter="0"/>
          <w:cols w:space="708"/>
          <w:docGrid w:linePitch="360"/>
        </w:sectPr>
      </w:pPr>
    </w:p>
    <w:p w14:paraId="465DC385" w14:textId="0A6E757A" w:rsidR="00864867" w:rsidRPr="00DC76CC" w:rsidRDefault="00291EA6" w:rsidP="00E56C84">
      <w:pPr>
        <w:pStyle w:val="AppendixL1LPcreated"/>
      </w:pPr>
      <w:bookmarkStart w:id="343" w:name="_Ref145918769"/>
      <w:bookmarkStart w:id="344" w:name="_Toc146004905"/>
      <w:bookmarkStart w:id="345" w:name="_Toc146004793"/>
      <w:bookmarkStart w:id="346" w:name="_Toc146746739"/>
      <w:r w:rsidRPr="00DC76CC">
        <w:lastRenderedPageBreak/>
        <w:t>PREMO self-assessment against all elements</w:t>
      </w:r>
      <w:bookmarkEnd w:id="343"/>
      <w:bookmarkEnd w:id="344"/>
      <w:bookmarkEnd w:id="345"/>
      <w:bookmarkEnd w:id="346"/>
    </w:p>
    <w:p w14:paraId="6F1AC24F" w14:textId="16BC5A7F" w:rsidR="003462A5" w:rsidRDefault="003462A5" w:rsidP="003462A5">
      <w:pPr>
        <w:pStyle w:val="AppendixHeading2LPcreated"/>
      </w:pPr>
      <w:bookmarkStart w:id="347" w:name="_Toc146746740"/>
      <w:r w:rsidRPr="003462A5">
        <w:t>Performance assessment against PREMO requirements</w:t>
      </w:r>
      <w:bookmarkEnd w:id="347"/>
    </w:p>
    <w:p w14:paraId="6EB13A7D" w14:textId="77777777" w:rsidR="003623C1" w:rsidRDefault="003623C1" w:rsidP="003623C1">
      <w:r>
        <w:t xml:space="preserve">This is our response to the ESC’s guidance questions for the </w:t>
      </w:r>
      <w:r w:rsidR="004B4EC2">
        <w:t>‘p</w:t>
      </w:r>
      <w:r>
        <w:t>erformance</w:t>
      </w:r>
      <w:r w:rsidR="004B4EC2">
        <w:t>’</w:t>
      </w:r>
      <w:r>
        <w:t xml:space="preserve"> element of PREMO. </w:t>
      </w:r>
    </w:p>
    <w:p w14:paraId="201DCE97" w14:textId="77777777" w:rsidR="00291EA6" w:rsidRPr="00291EA6" w:rsidRDefault="003623C1" w:rsidP="003623C1">
      <w:r>
        <w:t xml:space="preserve">Our self-assessment rating for </w:t>
      </w:r>
      <w:r w:rsidR="004B4EC2">
        <w:t>performance</w:t>
      </w:r>
      <w:r>
        <w:t xml:space="preserve"> is ‘Standard’.</w:t>
      </w:r>
    </w:p>
    <w:tbl>
      <w:tblPr>
        <w:tblStyle w:val="GWWDefaulttable"/>
        <w:tblW w:w="5000" w:type="pct"/>
        <w:tblLook w:val="04A0" w:firstRow="1" w:lastRow="0" w:firstColumn="1" w:lastColumn="0" w:noHBand="0" w:noVBand="1"/>
      </w:tblPr>
      <w:tblGrid>
        <w:gridCol w:w="4371"/>
        <w:gridCol w:w="10199"/>
      </w:tblGrid>
      <w:tr w:rsidR="004B4EC2" w:rsidRPr="004B4EC2" w14:paraId="3EABFA4E"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328B3007" w14:textId="77777777" w:rsidR="004B4EC2" w:rsidRPr="004B4EC2" w:rsidRDefault="004B4EC2" w:rsidP="004B4EC2">
            <w:r w:rsidRPr="004B4EC2">
              <w:t>Guiding question</w:t>
            </w:r>
          </w:p>
        </w:tc>
        <w:tc>
          <w:tcPr>
            <w:tcW w:w="3500" w:type="pct"/>
          </w:tcPr>
          <w:p w14:paraId="20BE46B9" w14:textId="77777777" w:rsidR="004B4EC2" w:rsidRPr="004B4EC2" w:rsidRDefault="004B4EC2" w:rsidP="004B4EC2">
            <w:pPr>
              <w:cnfStyle w:val="100000000000" w:firstRow="1" w:lastRow="0" w:firstColumn="0" w:lastColumn="0" w:oddVBand="0" w:evenVBand="0" w:oddHBand="0" w:evenHBand="0" w:firstRowFirstColumn="0" w:firstRowLastColumn="0" w:lastRowFirstColumn="0" w:lastRowLastColumn="0"/>
            </w:pPr>
            <w:r w:rsidRPr="004B4EC2">
              <w:t xml:space="preserve">Response </w:t>
            </w:r>
          </w:p>
        </w:tc>
      </w:tr>
      <w:tr w:rsidR="004B4EC2" w:rsidRPr="004B4EC2" w14:paraId="0192378A"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6AE46AB" w14:textId="77777777" w:rsidR="004B4EC2" w:rsidRPr="004D2299" w:rsidRDefault="004B4EC2" w:rsidP="004B4EC2">
            <w:pPr>
              <w:rPr>
                <w:b w:val="0"/>
              </w:rPr>
            </w:pPr>
            <w:r w:rsidRPr="004D2299">
              <w:rPr>
                <w:b w:val="0"/>
              </w:rPr>
              <w:t>To what extent has Greater Western Water demonstrated delivery of its customer outcomes commitment over the current regulatory period? Did its customers get what they paid for?</w:t>
            </w:r>
          </w:p>
        </w:tc>
        <w:tc>
          <w:tcPr>
            <w:tcW w:w="3500" w:type="pct"/>
          </w:tcPr>
          <w:p w14:paraId="46DA0123"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We have demonstrated we have delivered on WW’s customer outcomes (as a standard rating business), and mostly met CWW’s customer outcomes (as an advance rating)</w:t>
            </w:r>
          </w:p>
          <w:p w14:paraId="346A6E96" w14:textId="77777777" w:rsidR="0084356A"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Where there were shortfalls, they were explained to customers as part of the annual reporting process, with the ESC noting the thorough commentary for each measure.</w:t>
            </w:r>
            <w:r w:rsidR="009A24A8" w:rsidRPr="004B4EC2">
              <w:t xml:space="preserve"> </w:t>
            </w:r>
          </w:p>
          <w:p w14:paraId="72214648"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Broadly, shortfalls were driven by pandemic restrictions, three years of La Nina conditions and our integration. Pandemic restrictions limited our ability to deliver face-to-face activities or meter reads. The unusual three years of La Nina conditions (above average rainfall) led to some shortfalls such as lower alternative water consumption and increased the likelihood of spills. Integration led to a pause on some online payment and billing services promotion as we rescoped our billings replacement system.</w:t>
            </w:r>
          </w:p>
        </w:tc>
      </w:tr>
      <w:tr w:rsidR="004B4EC2" w:rsidRPr="004B4EC2" w14:paraId="6768F68D"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1695484" w14:textId="77777777" w:rsidR="004B4EC2" w:rsidRPr="004D2299" w:rsidRDefault="004B4EC2" w:rsidP="004B4EC2">
            <w:pPr>
              <w:rPr>
                <w:b w:val="0"/>
              </w:rPr>
            </w:pPr>
            <w:r w:rsidRPr="004D2299">
              <w:rPr>
                <w:b w:val="0"/>
              </w:rPr>
              <w:t>How does Greater Western Water’s actual operating expenditure across the current period compare with the established benchmark allowance for both City West Water and Western Water, and to what extent has the water business rationalised any discrepancies?</w:t>
            </w:r>
          </w:p>
        </w:tc>
        <w:tc>
          <w:tcPr>
            <w:tcW w:w="3500" w:type="pct"/>
          </w:tcPr>
          <w:p w14:paraId="20DC2C50"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We exceeded our determination operating expenditure benchmarks for CWW and WW by 7.9%. </w:t>
            </w:r>
          </w:p>
          <w:p w14:paraId="399CCEA2"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Higher operating expenditure was driven by integration and subsequent business transformation costs (that was not priced into the previous price submission), changes to other obligations such as payroll tax, superannuation and government policies and the pandemic and subsequent effects on unit rates.</w:t>
            </w:r>
          </w:p>
          <w:p w14:paraId="4FAFE0F6"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Despite challenges, controllable operating costs per connection have remained at a similar level to 2018 price submission levels. </w:t>
            </w:r>
          </w:p>
          <w:p w14:paraId="29561B7B"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GWW will not recover GSL costs from customers.  </w:t>
            </w:r>
          </w:p>
        </w:tc>
      </w:tr>
      <w:tr w:rsidR="004B4EC2" w:rsidRPr="004B4EC2" w14:paraId="31C76B01"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0C77A41" w14:textId="77777777" w:rsidR="004B4EC2" w:rsidRPr="004D2299" w:rsidRDefault="004B4EC2" w:rsidP="004B4EC2">
            <w:pPr>
              <w:rPr>
                <w:b w:val="0"/>
              </w:rPr>
            </w:pPr>
            <w:r w:rsidRPr="004D2299">
              <w:rPr>
                <w:b w:val="0"/>
              </w:rPr>
              <w:t xml:space="preserve">How does actual capital expenditure across the current period compare with the established benchmark allowance for both City West Water and Western Water, and to what extent has </w:t>
            </w:r>
            <w:r w:rsidRPr="004D2299">
              <w:rPr>
                <w:b w:val="0"/>
              </w:rPr>
              <w:lastRenderedPageBreak/>
              <w:t>Greater Western Water rationalised any discrepancies?</w:t>
            </w:r>
          </w:p>
        </w:tc>
        <w:tc>
          <w:tcPr>
            <w:tcW w:w="3500" w:type="pct"/>
          </w:tcPr>
          <w:p w14:paraId="3FA9F331"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lastRenderedPageBreak/>
              <w:t xml:space="preserve">We exceeded our determination capital expenditure benchmarks for CWW and WW by 26.8%. </w:t>
            </w:r>
          </w:p>
          <w:p w14:paraId="75E387FF"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Higher capital expenditure was driven by:</w:t>
            </w:r>
          </w:p>
          <w:p w14:paraId="34E542BD"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lastRenderedPageBreak/>
              <w:t xml:space="preserve">high growth and financial constraints resulting in competing prioritisation of spending and subsequent (under) investment in other areas to meet short-term compliance obligations. </w:t>
            </w:r>
          </w:p>
          <w:p w14:paraId="5A3E254D"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substantial increases to unit rates across all capital works driven by supply chain challenges and ag</w:t>
            </w:r>
            <w:r w:rsidR="00EC4D4B">
              <w:t>e</w:t>
            </w:r>
            <w:r w:rsidRPr="004B4EC2">
              <w:t xml:space="preserve">ing infrastructure. </w:t>
            </w:r>
          </w:p>
          <w:p w14:paraId="1D29D03E"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ag</w:t>
            </w:r>
            <w:r w:rsidR="00EC4D4B">
              <w:t>e</w:t>
            </w:r>
            <w:r w:rsidRPr="004B4EC2">
              <w:t xml:space="preserve">ing infrastructure (parts of our network are over 100 years old in the inner CBD region) requiring significant increased renewals to maintain reliability to these highly urbanised and </w:t>
            </w:r>
            <w:proofErr w:type="gramStart"/>
            <w:r w:rsidRPr="004B4EC2">
              <w:t>high risk</w:t>
            </w:r>
            <w:proofErr w:type="gramEnd"/>
            <w:r w:rsidRPr="004B4EC2">
              <w:t xml:space="preserve"> areas. </w:t>
            </w:r>
          </w:p>
          <w:p w14:paraId="6826A91F"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 xml:space="preserve">high developer reimbursements driven by location and scale of developments. </w:t>
            </w:r>
          </w:p>
          <w:p w14:paraId="2E32F8DB"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New systems needed to support integration, for example additional expenditure required for the billing and collections system to accommodate date from two businesses rather than one</w:t>
            </w:r>
            <w:r w:rsidR="00B4140C">
              <w:t>.</w:t>
            </w:r>
          </w:p>
          <w:p w14:paraId="7481C74A"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Despite challenges, capital costs per connections have declined since 2018 price submission levels</w:t>
            </w:r>
            <w:r w:rsidR="00B4140C">
              <w:t>.</w:t>
            </w:r>
          </w:p>
        </w:tc>
      </w:tr>
      <w:tr w:rsidR="004B4EC2" w:rsidRPr="004B4EC2" w14:paraId="58DB71F0"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A60C86C" w14:textId="77777777" w:rsidR="004B4EC2" w:rsidRPr="004D2299" w:rsidRDefault="004B4EC2" w:rsidP="004B4EC2">
            <w:pPr>
              <w:rPr>
                <w:b w:val="0"/>
              </w:rPr>
            </w:pPr>
            <w:r w:rsidRPr="004D2299">
              <w:rPr>
                <w:b w:val="0"/>
              </w:rPr>
              <w:lastRenderedPageBreak/>
              <w:t>To what extent does customer sentiment demonstrate satisfaction in Greater Western Water’s performance over the current regulatory period?</w:t>
            </w:r>
          </w:p>
        </w:tc>
        <w:tc>
          <w:tcPr>
            <w:tcW w:w="3500" w:type="pct"/>
          </w:tcPr>
          <w:p w14:paraId="7DF5C6E0"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Customer sentiment across ESC’s customer perception survey has improved across all four measures and were on par with state averages</w:t>
            </w:r>
            <w:r w:rsidR="00310E05">
              <w:t>.</w:t>
            </w:r>
          </w:p>
        </w:tc>
      </w:tr>
      <w:tr w:rsidR="004B4EC2" w:rsidRPr="004B4EC2" w14:paraId="3B23BE7B"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75AEFA0C" w14:textId="77777777" w:rsidR="004B4EC2" w:rsidRPr="004D2299" w:rsidRDefault="004B4EC2" w:rsidP="004B4EC2">
            <w:pPr>
              <w:rPr>
                <w:b w:val="0"/>
              </w:rPr>
            </w:pPr>
            <w:r w:rsidRPr="004D2299">
              <w:rPr>
                <w:b w:val="0"/>
              </w:rPr>
              <w:t>Are customers happy with the value they receive from Greater Western Water?</w:t>
            </w:r>
          </w:p>
        </w:tc>
        <w:tc>
          <w:tcPr>
            <w:tcW w:w="3500" w:type="pct"/>
          </w:tcPr>
          <w:p w14:paraId="54BB93D9"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 growth, pandemic impacts and integration activities drove higher spending than anticipated but customers considered us value for money over the period. This is in line with state-wide averages, with our scores improving from 6.1 to 6.3 out of 10 over the 2018-23 period.</w:t>
            </w:r>
          </w:p>
        </w:tc>
      </w:tr>
    </w:tbl>
    <w:p w14:paraId="52FB3562" w14:textId="77777777" w:rsidR="004B4EC2" w:rsidRPr="00291EA6" w:rsidRDefault="004B4EC2" w:rsidP="00767B87"/>
    <w:p w14:paraId="5BE44DBE" w14:textId="77777777" w:rsidR="00767B87" w:rsidRDefault="00767B87">
      <w:pPr>
        <w:spacing w:before="0" w:after="160" w:line="259" w:lineRule="auto"/>
      </w:pPr>
      <w:bookmarkStart w:id="348" w:name="_Toc146004907"/>
      <w:bookmarkStart w:id="349" w:name="_Toc146004795"/>
      <w:r>
        <w:br w:type="page"/>
      </w:r>
    </w:p>
    <w:p w14:paraId="38F8B465" w14:textId="77777777" w:rsidR="00EE3B2C" w:rsidRDefault="00EE3B2C" w:rsidP="009B3CA4">
      <w:pPr>
        <w:pStyle w:val="AppendixHeading2LPcreated"/>
      </w:pPr>
      <w:bookmarkStart w:id="350" w:name="_Toc146746741"/>
      <w:r>
        <w:lastRenderedPageBreak/>
        <w:t>Risk assessment against PREMO requirements</w:t>
      </w:r>
      <w:bookmarkEnd w:id="348"/>
      <w:bookmarkEnd w:id="349"/>
      <w:bookmarkEnd w:id="350"/>
    </w:p>
    <w:p w14:paraId="382D6062" w14:textId="4ADE6FF1" w:rsidR="00EE3B2C" w:rsidRDefault="00EE3B2C" w:rsidP="00EE3B2C">
      <w:r>
        <w:t xml:space="preserve">This is our response to the ESC’s guidance questions for the </w:t>
      </w:r>
      <w:r w:rsidR="005547F9">
        <w:t>‘r</w:t>
      </w:r>
      <w:r>
        <w:t>isk</w:t>
      </w:r>
      <w:r w:rsidR="005547F9">
        <w:t>’</w:t>
      </w:r>
      <w:r>
        <w:t xml:space="preserve"> element of PREMO. </w:t>
      </w:r>
    </w:p>
    <w:p w14:paraId="24C3A9B9" w14:textId="78D025CB" w:rsidR="00FF5BEE" w:rsidRDefault="00EE3B2C" w:rsidP="00377032">
      <w:r>
        <w:t>Our self-assessment rating for risk is ‘Standard’.</w:t>
      </w:r>
    </w:p>
    <w:tbl>
      <w:tblPr>
        <w:tblStyle w:val="GWWDefaulttable"/>
        <w:tblW w:w="5000" w:type="pct"/>
        <w:tblLook w:val="04A0" w:firstRow="1" w:lastRow="0" w:firstColumn="1" w:lastColumn="0" w:noHBand="0" w:noVBand="1"/>
      </w:tblPr>
      <w:tblGrid>
        <w:gridCol w:w="4371"/>
        <w:gridCol w:w="10199"/>
      </w:tblGrid>
      <w:tr w:rsidR="00364E3C" w:rsidRPr="00364E3C" w14:paraId="4D441393"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77BCE410" w14:textId="77777777" w:rsidR="00364E3C" w:rsidRPr="00364E3C" w:rsidRDefault="00364E3C" w:rsidP="00364E3C">
            <w:r w:rsidRPr="00364E3C">
              <w:t>Guiding question</w:t>
            </w:r>
          </w:p>
        </w:tc>
        <w:tc>
          <w:tcPr>
            <w:tcW w:w="3500" w:type="pct"/>
          </w:tcPr>
          <w:p w14:paraId="24863FA3" w14:textId="77777777" w:rsidR="00364E3C" w:rsidRPr="00364E3C" w:rsidRDefault="00364E3C" w:rsidP="00364E3C">
            <w:pPr>
              <w:cnfStyle w:val="100000000000" w:firstRow="1" w:lastRow="0" w:firstColumn="0" w:lastColumn="0" w:oddVBand="0" w:evenVBand="0" w:oddHBand="0" w:evenHBand="0" w:firstRowFirstColumn="0" w:firstRowLastColumn="0" w:lastRowFirstColumn="0" w:lastRowLastColumn="0"/>
            </w:pPr>
            <w:r w:rsidRPr="00364E3C">
              <w:t xml:space="preserve">Response </w:t>
            </w:r>
          </w:p>
        </w:tc>
      </w:tr>
      <w:tr w:rsidR="00364E3C" w:rsidRPr="00364E3C" w14:paraId="4006C409"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7AFD38E" w14:textId="7352C806" w:rsidR="00364E3C" w:rsidRPr="004D2299" w:rsidRDefault="00364E3C" w:rsidP="00364E3C">
            <w:pPr>
              <w:rPr>
                <w:b w:val="0"/>
              </w:rPr>
            </w:pPr>
            <w:r w:rsidRPr="004D2299">
              <w:rPr>
                <w:b w:val="0"/>
              </w:rPr>
              <w:t>To what extent has Greater Western Water demonstrated a robust process for identifying risk, and how it has decided who should bear these risks? i.e., such that customers are not paying more than they need to.</w:t>
            </w:r>
          </w:p>
        </w:tc>
        <w:tc>
          <w:tcPr>
            <w:tcW w:w="3500" w:type="pct"/>
          </w:tcPr>
          <w:p w14:paraId="3F53D0AB" w14:textId="77777777"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Our enterprise risk management framework is embedded across our business, and risk management policies and procedures are consistent with the principles of ISO 31000.</w:t>
            </w:r>
          </w:p>
          <w:p w14:paraId="0D79010C" w14:textId="77777777"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 </w:t>
            </w:r>
          </w:p>
          <w:p w14:paraId="7629E36D" w14:textId="5E6F3451"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Clear governance structures are in place at operational, strategic, executive and board levels. We took additional steps to ensure that the executive and board were active in risk conversations through deep dives into capital and operating expenditure where risk was a key topic. A strategic regulatory risk assessment aligned to our operational and strategic risk registers allowed us to assess and allocate risk between the business and our customers, aligning to the Risk element of PREMO. </w:t>
            </w:r>
          </w:p>
        </w:tc>
      </w:tr>
      <w:tr w:rsidR="00364E3C" w:rsidRPr="00364E3C" w14:paraId="58E93579"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5E9B556D" w14:textId="77777777" w:rsidR="00364E3C" w:rsidRPr="004D2299" w:rsidRDefault="00364E3C" w:rsidP="00364E3C">
            <w:pPr>
              <w:rPr>
                <w:b w:val="0"/>
              </w:rPr>
            </w:pPr>
            <w:r w:rsidRPr="004D2299">
              <w:rPr>
                <w:b w:val="0"/>
              </w:rPr>
              <w:t>To what extent does the proposed guaranteed service level (GSL) scheme provide incentives for Greater Western Water to be accountable for the quality of services delivered, and provide incentives to deliver valued services efficiently?</w:t>
            </w:r>
          </w:p>
        </w:tc>
        <w:tc>
          <w:tcPr>
            <w:tcW w:w="3500" w:type="pct"/>
          </w:tcPr>
          <w:p w14:paraId="29F28FAA" w14:textId="2FC0307A"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Our new proposed GSL scheme places the financial risk onto GWW and extends the benefits to customers in the previous western region, including a new water quality GSL. </w:t>
            </w:r>
          </w:p>
          <w:p w14:paraId="597E2F4B" w14:textId="34C2CFFC"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GWW will not recover GSL costs from customers. </w:t>
            </w:r>
          </w:p>
        </w:tc>
      </w:tr>
    </w:tbl>
    <w:p w14:paraId="716A3D9F" w14:textId="77777777" w:rsidR="00F1269B" w:rsidRDefault="00F1269B" w:rsidP="00377032"/>
    <w:p w14:paraId="31196B4D" w14:textId="77777777" w:rsidR="00767B87" w:rsidRDefault="00767B87">
      <w:pPr>
        <w:spacing w:before="0" w:after="160" w:line="259" w:lineRule="auto"/>
      </w:pPr>
      <w:r>
        <w:br w:type="page"/>
      </w:r>
    </w:p>
    <w:p w14:paraId="001A36D7" w14:textId="77777777" w:rsidR="00B32DB2" w:rsidRDefault="00B32DB2" w:rsidP="00213EA1">
      <w:pPr>
        <w:pStyle w:val="AppendixHeading2LPcreated"/>
      </w:pPr>
      <w:bookmarkStart w:id="351" w:name="_Toc146004908"/>
      <w:bookmarkStart w:id="352" w:name="_Toc146004796"/>
      <w:bookmarkStart w:id="353" w:name="_Toc146746742"/>
      <w:r>
        <w:lastRenderedPageBreak/>
        <w:t>Engagement assessment against PREMO requirements</w:t>
      </w:r>
      <w:bookmarkEnd w:id="351"/>
      <w:bookmarkEnd w:id="352"/>
      <w:bookmarkEnd w:id="353"/>
    </w:p>
    <w:p w14:paraId="08B681A4" w14:textId="19A04200" w:rsidR="00B32DB2" w:rsidRDefault="00B32DB2" w:rsidP="00B32DB2">
      <w:r>
        <w:t xml:space="preserve">This is our response to the ESC’s guidance questions for the </w:t>
      </w:r>
      <w:r w:rsidR="005547F9">
        <w:t>‘e</w:t>
      </w:r>
      <w:r>
        <w:t>ngagement</w:t>
      </w:r>
      <w:r w:rsidR="005547F9">
        <w:t>’</w:t>
      </w:r>
      <w:r>
        <w:t xml:space="preserve"> element of PREMO. </w:t>
      </w:r>
    </w:p>
    <w:p w14:paraId="6BCD9344" w14:textId="56BCC9D4" w:rsidR="00364E3C" w:rsidRDefault="00B32DB2" w:rsidP="00377032">
      <w:r>
        <w:t>Our self-assessment rating for engagement is ‘Advanced’.</w:t>
      </w:r>
    </w:p>
    <w:tbl>
      <w:tblPr>
        <w:tblStyle w:val="GWWDefaulttable"/>
        <w:tblW w:w="5000" w:type="pct"/>
        <w:tblLook w:val="04A0" w:firstRow="1" w:lastRow="0" w:firstColumn="1" w:lastColumn="0" w:noHBand="0" w:noVBand="1"/>
      </w:tblPr>
      <w:tblGrid>
        <w:gridCol w:w="4371"/>
        <w:gridCol w:w="10199"/>
      </w:tblGrid>
      <w:tr w:rsidR="003D16D4" w:rsidRPr="003D16D4" w14:paraId="064C6A81"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6A537592" w14:textId="77777777" w:rsidR="003D16D4" w:rsidRPr="003D16D4" w:rsidRDefault="003D16D4" w:rsidP="003D16D4">
            <w:r w:rsidRPr="003D16D4">
              <w:t xml:space="preserve">Guiding questions </w:t>
            </w:r>
          </w:p>
        </w:tc>
        <w:tc>
          <w:tcPr>
            <w:tcW w:w="3500" w:type="pct"/>
          </w:tcPr>
          <w:p w14:paraId="1ED2567B" w14:textId="77777777" w:rsidR="003D16D4" w:rsidRPr="003D16D4" w:rsidRDefault="003D16D4" w:rsidP="003D16D4">
            <w:pPr>
              <w:cnfStyle w:val="100000000000" w:firstRow="1" w:lastRow="0" w:firstColumn="0" w:lastColumn="0" w:oddVBand="0" w:evenVBand="0" w:oddHBand="0" w:evenHBand="0" w:firstRowFirstColumn="0" w:firstRowLastColumn="0" w:lastRowFirstColumn="0" w:lastRowLastColumn="0"/>
            </w:pPr>
            <w:r w:rsidRPr="003D16D4">
              <w:t xml:space="preserve">Responses </w:t>
            </w:r>
          </w:p>
        </w:tc>
      </w:tr>
      <w:tr w:rsidR="003D16D4" w:rsidRPr="003D16D4" w14:paraId="7A43A17F"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3C9E84B8" w14:textId="77777777" w:rsidR="003D16D4" w:rsidRPr="004D2299" w:rsidRDefault="003D16D4" w:rsidP="003D16D4">
            <w:pPr>
              <w:rPr>
                <w:b w:val="0"/>
              </w:rPr>
            </w:pPr>
            <w:r w:rsidRPr="004D2299">
              <w:rPr>
                <w:b w:val="0"/>
              </w:rPr>
              <w:t>To what extent has Greater Western Water justified how the form of engagement suits the content of consultation, the circumstances facing the water business and its customers?</w:t>
            </w:r>
          </w:p>
        </w:tc>
        <w:tc>
          <w:tcPr>
            <w:tcW w:w="3500" w:type="pct"/>
          </w:tcPr>
          <w:p w14:paraId="285666F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Spoke to our customers and stakeholders (including Traditional Owners) about the way/s they wished to be engaged and communicated with, rather than assuming general engagement practices. </w:t>
            </w:r>
          </w:p>
          <w:p w14:paraId="15B96063"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Took different forms of engagement to suit the needs of our customers (face to face, surveys, online focus groups, interviews). </w:t>
            </w:r>
          </w:p>
          <w:p w14:paraId="03B3681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Provided translation services and translated surveys/deliberative forum to include our diverse communities.</w:t>
            </w:r>
          </w:p>
          <w:p w14:paraId="14AD280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Used multiple techniques to triangulate community views on a range of topics.</w:t>
            </w:r>
          </w:p>
          <w:p w14:paraId="51E65190"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Included the difficult topic of harmonising service levels across our metro and regional customers.</w:t>
            </w:r>
          </w:p>
          <w:p w14:paraId="0BD3EF2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Much greater emphasis on affordability given the high inflation/interest rate environment.</w:t>
            </w:r>
          </w:p>
          <w:p w14:paraId="5C8AB64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Worked directly with our engagement advisors to ensure our engagement was done in a culturally and emotionally safe way – with strategies in place to achieve this in every meeting. </w:t>
            </w:r>
          </w:p>
          <w:p w14:paraId="5080DA4D"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Deliberative and facilitated approaches taken to engagement activities to ensure collaborative engagement.</w:t>
            </w:r>
          </w:p>
        </w:tc>
      </w:tr>
      <w:tr w:rsidR="003D16D4" w:rsidRPr="003D16D4" w14:paraId="43108D5C"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0F978A10" w14:textId="77777777" w:rsidR="003D16D4" w:rsidRPr="004D2299" w:rsidRDefault="003D16D4" w:rsidP="003D16D4">
            <w:pPr>
              <w:rPr>
                <w:b w:val="0"/>
              </w:rPr>
            </w:pPr>
            <w:r w:rsidRPr="004D2299">
              <w:rPr>
                <w:b w:val="0"/>
              </w:rPr>
              <w:t xml:space="preserve">To what extent has Greater Western Water demonstrated that it provided appropriate instruction and information to customers about the purpose, </w:t>
            </w:r>
            <w:proofErr w:type="gramStart"/>
            <w:r w:rsidRPr="004D2299">
              <w:rPr>
                <w:b w:val="0"/>
              </w:rPr>
              <w:t>form</w:t>
            </w:r>
            <w:proofErr w:type="gramEnd"/>
            <w:r w:rsidRPr="004D2299">
              <w:rPr>
                <w:b w:val="0"/>
              </w:rPr>
              <w:t xml:space="preserve"> and content of the customer engagement?</w:t>
            </w:r>
          </w:p>
        </w:tc>
        <w:tc>
          <w:tcPr>
            <w:tcW w:w="3500" w:type="pct"/>
          </w:tcPr>
          <w:p w14:paraId="4398444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For each stage of our engagement work, we provided up to date, easy to access and easy to understand information. This supported our survey </w:t>
            </w:r>
            <w:proofErr w:type="gramStart"/>
            <w:r w:rsidRPr="003D16D4">
              <w:t>process</w:t>
            </w:r>
            <w:proofErr w:type="gramEnd"/>
            <w:r w:rsidRPr="003D16D4">
              <w:t xml:space="preserve"> so customers were informed and able to engage meaningfully with the work. </w:t>
            </w:r>
          </w:p>
          <w:p w14:paraId="4380480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Our panel was provided with background documents, a private online portal and access to key subject matter experts to provide information and training to respond effectively to the work.</w:t>
            </w:r>
          </w:p>
          <w:p w14:paraId="2B585ED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IAP2 level of ‘Collaborate’.</w:t>
            </w:r>
          </w:p>
          <w:p w14:paraId="783BCC60"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Significant time devoted to the development of critical thinking skills.</w:t>
            </w:r>
          </w:p>
          <w:p w14:paraId="291C706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Adjustments made to minimise and manage framing, social </w:t>
            </w:r>
            <w:proofErr w:type="gramStart"/>
            <w:r w:rsidRPr="003D16D4">
              <w:t>desirability</w:t>
            </w:r>
            <w:proofErr w:type="gramEnd"/>
            <w:r w:rsidRPr="003D16D4">
              <w:t xml:space="preserve"> and loss aversion biases.</w:t>
            </w:r>
          </w:p>
        </w:tc>
      </w:tr>
      <w:tr w:rsidR="003D16D4" w:rsidRPr="003D16D4" w14:paraId="3724DB5E"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D0BE4E0" w14:textId="77777777" w:rsidR="003D16D4" w:rsidRPr="004D2299" w:rsidRDefault="003D16D4" w:rsidP="003D16D4">
            <w:pPr>
              <w:rPr>
                <w:b w:val="0"/>
              </w:rPr>
            </w:pPr>
            <w:r w:rsidRPr="004D2299">
              <w:rPr>
                <w:b w:val="0"/>
              </w:rPr>
              <w:lastRenderedPageBreak/>
              <w:t>To what extent has Greater Western Water demonstrated that the matters it has engaged on are those that have the most influence on the services provided to customers and prices charged?</w:t>
            </w:r>
          </w:p>
        </w:tc>
        <w:tc>
          <w:tcPr>
            <w:tcW w:w="3500" w:type="pct"/>
          </w:tcPr>
          <w:p w14:paraId="7C585923"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Narrative techniques were used in the activation phase where customers told stories. These anecdotes were analysed by our consultants to reveal what was important to customers without any framing by GWW. </w:t>
            </w:r>
          </w:p>
          <w:p w14:paraId="646085F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interests, concerns and priorities gathered in the activation phase were further developed in the exploration phase.</w:t>
            </w:r>
          </w:p>
          <w:p w14:paraId="6600C82C"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Customer values evident in the exploration phase were quantified in the valuation phase.</w:t>
            </w:r>
          </w:p>
          <w:p w14:paraId="470C1F9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topic areas presented for deliberation were assessed for customer interest and price materiality.</w:t>
            </w:r>
          </w:p>
        </w:tc>
      </w:tr>
      <w:tr w:rsidR="003D16D4" w:rsidRPr="003D16D4" w14:paraId="6DB2F123"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1C007420" w14:textId="77777777" w:rsidR="003D16D4" w:rsidRPr="004D2299" w:rsidRDefault="003D16D4" w:rsidP="003D16D4">
            <w:pPr>
              <w:rPr>
                <w:b w:val="0"/>
              </w:rPr>
            </w:pPr>
            <w:r w:rsidRPr="004D2299">
              <w:rPr>
                <w:b w:val="0"/>
              </w:rPr>
              <w:t>To what extent has Greater Western Water explained how it decided when to carry out its engagement?</w:t>
            </w:r>
          </w:p>
        </w:tc>
        <w:tc>
          <w:tcPr>
            <w:tcW w:w="3500" w:type="pct"/>
          </w:tcPr>
          <w:p w14:paraId="5873B45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activation phase saw the development of a ‘customer agenda’ separately from the ‘organisation agenda’. The overlap between these largely informed the content of the valuation stage because the topics passed both the materiality and interest tests.</w:t>
            </w:r>
          </w:p>
          <w:p w14:paraId="69DA10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Timing of engagement was restricted due to integration and availability of resources. The engagement program commenced as soon as possible after integration. </w:t>
            </w:r>
          </w:p>
        </w:tc>
      </w:tr>
      <w:tr w:rsidR="003D16D4" w:rsidRPr="003D16D4" w14:paraId="6B246C03"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04D9C9C0" w14:textId="77777777" w:rsidR="003D16D4" w:rsidRPr="004D2299" w:rsidRDefault="003D16D4" w:rsidP="003D16D4">
            <w:pPr>
              <w:rPr>
                <w:b w:val="0"/>
              </w:rPr>
            </w:pPr>
            <w:r w:rsidRPr="004D2299">
              <w:rPr>
                <w:b w:val="0"/>
              </w:rPr>
              <w:t>To what extent has Greater Western Water demonstrated how its engagement with customers has influenced its submission?</w:t>
            </w:r>
          </w:p>
        </w:tc>
        <w:tc>
          <w:tcPr>
            <w:tcW w:w="3500" w:type="pct"/>
          </w:tcPr>
          <w:p w14:paraId="321D6BF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We have clearly outlined how the findings of each engagement stage and activity have influenced the engagement strategy and/or the price submission itself. </w:t>
            </w:r>
          </w:p>
          <w:p w14:paraId="2DC2E84D"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The deliberative process gave customers’ the opportunity to define how we, as a business, work. </w:t>
            </w:r>
          </w:p>
          <w:p w14:paraId="29568D1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Our customer forum and confirmation surveys and events gave customers the opportunity to provide feedback on our suggested plans and outcomes. </w:t>
            </w:r>
          </w:p>
          <w:p w14:paraId="786F9141"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Our customer engagement has influenced our proposed capital program. Any additional operational expenditure to support outcome delivery will be re-prioritised from other </w:t>
            </w:r>
            <w:proofErr w:type="gramStart"/>
            <w:r w:rsidRPr="003D16D4">
              <w:t>programs, or</w:t>
            </w:r>
            <w:proofErr w:type="gramEnd"/>
            <w:r w:rsidRPr="003D16D4">
              <w:t xml:space="preserve"> found through efficiencies. </w:t>
            </w:r>
          </w:p>
        </w:tc>
      </w:tr>
      <w:tr w:rsidR="003D16D4" w:rsidRPr="003D16D4" w14:paraId="68DE694D"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F50A39A" w14:textId="77777777" w:rsidR="003D16D4" w:rsidRPr="004D2299" w:rsidRDefault="003D16D4" w:rsidP="003D16D4">
            <w:pPr>
              <w:rPr>
                <w:b w:val="0"/>
              </w:rPr>
            </w:pPr>
            <w:r w:rsidRPr="004D2299">
              <w:rPr>
                <w:b w:val="0"/>
              </w:rPr>
              <w:t>To what extent has Greater Western Water demonstrated that its engagement was inclusive of consumers experiencing vulnerability?</w:t>
            </w:r>
          </w:p>
        </w:tc>
        <w:tc>
          <w:tcPr>
            <w:tcW w:w="3500" w:type="pct"/>
          </w:tcPr>
          <w:p w14:paraId="03A1362C"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To ensure that all members of our community, including those who may experience vulnerability, were able to take part in our work.</w:t>
            </w:r>
          </w:p>
          <w:p w14:paraId="5AA7E6C3" w14:textId="65E4D43F"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Surveys were provided in languages other than English, with our community survey provided with our translator service hotline and our willingness to pay for surveys translated into Mandarin, Arabic and Vietnamese (</w:t>
            </w:r>
            <w:proofErr w:type="gramStart"/>
            <w:r w:rsidRPr="003D16D4">
              <w:t>most commonly spoken</w:t>
            </w:r>
            <w:proofErr w:type="gramEnd"/>
            <w:r w:rsidRPr="003D16D4">
              <w:t xml:space="preserve"> languages in our </w:t>
            </w:r>
            <w:r w:rsidR="005743D0">
              <w:t xml:space="preserve">service </w:t>
            </w:r>
            <w:r w:rsidRPr="003D16D4">
              <w:t xml:space="preserve">region other than English). Interpreting services were provided for panel members who did not speak English. </w:t>
            </w:r>
          </w:p>
          <w:p w14:paraId="764CAA31"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All engagement material was reviewed for plain English. </w:t>
            </w:r>
          </w:p>
          <w:p w14:paraId="762A147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lastRenderedPageBreak/>
              <w:t xml:space="preserve">We paid all participants to ensure there was no burden on them participating in our engagement. Deliberative panel members who were carers were offered additional assistance to ensure they could attend panel sessions. </w:t>
            </w:r>
          </w:p>
          <w:p w14:paraId="475FB3A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Needs of customers having trouble making ends meet were highlighted in engagement reports.</w:t>
            </w:r>
          </w:p>
          <w:p w14:paraId="3D7CF8B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Consumer Action Law Centre was involved in our Community Advisory Group and gave advice and insights into the experience of customers. </w:t>
            </w:r>
          </w:p>
          <w:p w14:paraId="7E5DA0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Language was carefully chosen to create empathy with these customers and avoid the risk of ‘othering’.</w:t>
            </w:r>
          </w:p>
        </w:tc>
      </w:tr>
      <w:tr w:rsidR="003D16D4" w:rsidRPr="003D16D4" w14:paraId="103C8CDE"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377A9480" w14:textId="77777777" w:rsidR="003D16D4" w:rsidRPr="004D2299" w:rsidRDefault="003D16D4" w:rsidP="003D16D4">
            <w:pPr>
              <w:rPr>
                <w:b w:val="0"/>
              </w:rPr>
            </w:pPr>
            <w:r w:rsidRPr="004D2299">
              <w:rPr>
                <w:b w:val="0"/>
              </w:rPr>
              <w:lastRenderedPageBreak/>
              <w:t>To what extent has Greater Western Water demonstrated that its engagement was inclusive of First Nations people?</w:t>
            </w:r>
          </w:p>
        </w:tc>
        <w:tc>
          <w:tcPr>
            <w:tcW w:w="3500" w:type="pct"/>
          </w:tcPr>
          <w:p w14:paraId="749FD10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We are committed to working with Traditional Owners and First Nations people beyond the work of this price submission. </w:t>
            </w:r>
          </w:p>
          <w:p w14:paraId="32240F2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GWW reserved places on the deliberative panel for First Nations people, to ensure representation of their voices on the panel.</w:t>
            </w:r>
          </w:p>
          <w:p w14:paraId="2C6547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GWW has established ongoing quarterly forums with Traditional Owners to discuss their priorities and support ongoing partnerships.</w:t>
            </w:r>
          </w:p>
          <w:p w14:paraId="446FCDF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We have outlined how we engaged with our Traditional Owner partners in our ‘Parallel stakeholder and partnership engagement’ section and reconfirmed our commitments through Attachment 2 with dedicated funding for Traditional Owners to lead projects and support GWW to form ongoing partnerships.</w:t>
            </w:r>
          </w:p>
        </w:tc>
      </w:tr>
    </w:tbl>
    <w:p w14:paraId="20A2DEDD" w14:textId="77777777" w:rsidR="00B32DB2" w:rsidRDefault="00B32DB2" w:rsidP="00B32DB2"/>
    <w:p w14:paraId="6BA89635" w14:textId="77777777" w:rsidR="00767B87" w:rsidRDefault="00767B87">
      <w:pPr>
        <w:spacing w:before="0" w:after="160" w:line="259" w:lineRule="auto"/>
      </w:pPr>
      <w:r>
        <w:br w:type="page"/>
      </w:r>
    </w:p>
    <w:p w14:paraId="6722FD0A" w14:textId="77777777" w:rsidR="007D406E" w:rsidRDefault="007D406E" w:rsidP="00213EA1">
      <w:pPr>
        <w:pStyle w:val="AppendixHeading2LPcreated"/>
      </w:pPr>
      <w:bookmarkStart w:id="354" w:name="_Toc146004909"/>
      <w:bookmarkStart w:id="355" w:name="_Toc146004797"/>
      <w:bookmarkStart w:id="356" w:name="_Toc146746743"/>
      <w:r>
        <w:lastRenderedPageBreak/>
        <w:t>Management assessment against PREMO requirements</w:t>
      </w:r>
      <w:bookmarkEnd w:id="354"/>
      <w:bookmarkEnd w:id="355"/>
      <w:bookmarkEnd w:id="356"/>
    </w:p>
    <w:p w14:paraId="44524FCF" w14:textId="32CB36E1" w:rsidR="007D406E" w:rsidRDefault="007D406E" w:rsidP="007D406E">
      <w:r>
        <w:t xml:space="preserve">This is our response to the ESC’s guidance questions for the </w:t>
      </w:r>
      <w:r w:rsidR="005547F9">
        <w:t>‘m</w:t>
      </w:r>
      <w:r>
        <w:t>anagement</w:t>
      </w:r>
      <w:r w:rsidR="005547F9">
        <w:t>’</w:t>
      </w:r>
      <w:r>
        <w:t xml:space="preserve"> element of PREMO. </w:t>
      </w:r>
    </w:p>
    <w:p w14:paraId="7A50D0CB" w14:textId="120925F5" w:rsidR="002E1690" w:rsidRDefault="007D406E" w:rsidP="00B32DB2">
      <w:r>
        <w:t xml:space="preserve">Our self-assessment rating for </w:t>
      </w:r>
      <w:r w:rsidR="00E8062C">
        <w:t>m</w:t>
      </w:r>
      <w:r>
        <w:t>anagement is ‘Standard’.</w:t>
      </w:r>
    </w:p>
    <w:tbl>
      <w:tblPr>
        <w:tblStyle w:val="GWWDefaulttable"/>
        <w:tblW w:w="5000" w:type="pct"/>
        <w:tblLook w:val="04A0" w:firstRow="1" w:lastRow="0" w:firstColumn="1" w:lastColumn="0" w:noHBand="0" w:noVBand="1"/>
      </w:tblPr>
      <w:tblGrid>
        <w:gridCol w:w="4371"/>
        <w:gridCol w:w="10199"/>
      </w:tblGrid>
      <w:tr w:rsidR="00594B3C" w:rsidRPr="00943C88" w14:paraId="18DB2B83"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59E02F74" w14:textId="77777777" w:rsidR="00594B3C" w:rsidRPr="00943C88" w:rsidRDefault="00594B3C" w:rsidP="00943C88">
            <w:r w:rsidRPr="00943C88">
              <w:t>Guiding question</w:t>
            </w:r>
          </w:p>
        </w:tc>
        <w:tc>
          <w:tcPr>
            <w:tcW w:w="3500" w:type="pct"/>
          </w:tcPr>
          <w:p w14:paraId="08895DAB" w14:textId="77777777" w:rsidR="00594B3C" w:rsidRPr="00943C88" w:rsidRDefault="00594B3C" w:rsidP="00943C88">
            <w:pPr>
              <w:cnfStyle w:val="100000000000" w:firstRow="1" w:lastRow="0" w:firstColumn="0" w:lastColumn="0" w:oddVBand="0" w:evenVBand="0" w:oddHBand="0" w:evenHBand="0" w:firstRowFirstColumn="0" w:firstRowLastColumn="0" w:lastRowFirstColumn="0" w:lastRowLastColumn="0"/>
            </w:pPr>
            <w:r w:rsidRPr="00943C88">
              <w:t xml:space="preserve">Response </w:t>
            </w:r>
          </w:p>
        </w:tc>
      </w:tr>
      <w:tr w:rsidR="00594B3C" w:rsidRPr="00943C88" w14:paraId="286F0887"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2B20F185" w14:textId="77777777" w:rsidR="00594B3C" w:rsidRPr="004D2299" w:rsidRDefault="00594B3C" w:rsidP="00943C88">
            <w:pPr>
              <w:rPr>
                <w:b w:val="0"/>
              </w:rPr>
            </w:pPr>
            <w:r w:rsidRPr="004D2299">
              <w:rPr>
                <w:b w:val="0"/>
              </w:rPr>
              <w:t>To what extent has Greater Western Water demonstrated how its proposed prices reflect only prudent and efficient expenditure?</w:t>
            </w:r>
          </w:p>
        </w:tc>
        <w:tc>
          <w:tcPr>
            <w:tcW w:w="3500" w:type="pct"/>
          </w:tcPr>
          <w:p w14:paraId="29DE463F" w14:textId="0CAE6A34"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Operational expenditure has increased over the previous regulatory period determinations outlined in the performance and operational expenditure sections with clear justification and rationale for changes. GWW has provided detailed plans on how it will achieve a 3% annual operating efficiency target to ensure expenditure is prudent and efficient and will continue to deliver efficiencies over current and future price periods and GWW has propose</w:t>
            </w:r>
            <w:r w:rsidR="00526C36">
              <w:t>d</w:t>
            </w:r>
            <w:r w:rsidRPr="00943C88">
              <w:t xml:space="preserve"> </w:t>
            </w:r>
            <w:r w:rsidR="00526C36">
              <w:t xml:space="preserve">declining </w:t>
            </w:r>
            <w:r w:rsidRPr="00943C88">
              <w:t xml:space="preserve">bill paths over the next regulatory period. </w:t>
            </w:r>
          </w:p>
          <w:p w14:paraId="4F39AAF0" w14:textId="17D32E81"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We undertook an extensive capital program prioritisation process aligned with principles to ensure our capital expenditure is prudent and efficiency and can </w:t>
            </w:r>
            <w:r w:rsidR="00526C36">
              <w:t xml:space="preserve">reduce </w:t>
            </w:r>
            <w:r w:rsidRPr="00943C88">
              <w:t xml:space="preserve">bills for customers. </w:t>
            </w:r>
          </w:p>
          <w:p w14:paraId="725FA10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We undertook additional assurance of capital program top 10 major project business cases and top 10 program justifications to ensure cost estimates are accurate, justified and demonstrate prudent and efficient expenditure. </w:t>
            </w:r>
          </w:p>
          <w:p w14:paraId="59B1CD08"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Our expenditure programs are aligned to our agreed customer outcomes and what customers told us is important.   </w:t>
            </w:r>
          </w:p>
          <w:p w14:paraId="15138200"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The expenditure forecasts for the 2024–28 period have been developed using sound assumptions and methodologies to produce efficient expenditure forecasts across operating and capital expenditure projects and programs. </w:t>
            </w:r>
          </w:p>
        </w:tc>
      </w:tr>
      <w:tr w:rsidR="00594B3C" w:rsidRPr="00943C88" w14:paraId="4206DA76"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6A6E44E" w14:textId="77777777" w:rsidR="00594B3C" w:rsidRPr="004D2299" w:rsidRDefault="00594B3C" w:rsidP="00943C88">
            <w:pPr>
              <w:rPr>
                <w:b w:val="0"/>
              </w:rPr>
            </w:pPr>
            <w:r w:rsidRPr="004D2299">
              <w:rPr>
                <w:b w:val="0"/>
              </w:rPr>
              <w:t>To what extent has Greater Western Water justified its commitment to cost efficiency or productivity improvements?</w:t>
            </w:r>
          </w:p>
        </w:tc>
        <w:tc>
          <w:tcPr>
            <w:tcW w:w="3500" w:type="pct"/>
          </w:tcPr>
          <w:p w14:paraId="0B916632"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GWW has committed to an ambitious annual operating efficiency target of 3% per </w:t>
            </w:r>
            <w:proofErr w:type="gramStart"/>
            <w:r w:rsidRPr="00943C88">
              <w:t>annum, and</w:t>
            </w:r>
            <w:proofErr w:type="gramEnd"/>
            <w:r w:rsidRPr="00943C88">
              <w:t xml:space="preserve"> is implementing a sustainable efficiency program to ensure the target is met.  Our efficiency forecast has been justified based on four components:</w:t>
            </w:r>
          </w:p>
          <w:p w14:paraId="640A482E" w14:textId="7777777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 xml:space="preserve">Identified integration </w:t>
            </w:r>
            <w:proofErr w:type="gramStart"/>
            <w:r w:rsidRPr="00943C88">
              <w:t>efficiencies</w:t>
            </w:r>
            <w:proofErr w:type="gramEnd"/>
            <w:r w:rsidRPr="00943C88">
              <w:t xml:space="preserve"> </w:t>
            </w:r>
          </w:p>
          <w:p w14:paraId="797FF981" w14:textId="076E3EB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Identified transformation efficiencies:</w:t>
            </w:r>
          </w:p>
          <w:p w14:paraId="3D93C02D" w14:textId="30286403"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Unidentified transformation efficiency target:</w:t>
            </w:r>
          </w:p>
          <w:p w14:paraId="684050FE" w14:textId="7777777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Residual efficiencies (economies of scale and scope): 1.4% efficiency per year.</w:t>
            </w:r>
          </w:p>
          <w:p w14:paraId="12DD8510" w14:textId="1D8BE2E7" w:rsidR="00594B3C" w:rsidRPr="004C6890"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Detail on the proposed efficiencies is in Section 7.2 Operational Expenditure.</w:t>
            </w:r>
          </w:p>
          <w:p w14:paraId="57466112"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GWW is delivering an asset delivery transformational program which will enhance our asset delivery maturity and address pain points across the asset delivery lifecycle. The Asset Delivery Organisational Review</w:t>
            </w:r>
            <w:r w:rsidRPr="00943C88" w:rsidDel="007B0398">
              <w:t xml:space="preserve"> </w:t>
            </w:r>
            <w:r w:rsidRPr="00943C88">
              <w:t xml:space="preserve">program will enable GWW to successfully deliver current programs, while establishing the foundations to scale for future </w:t>
            </w:r>
            <w:r w:rsidRPr="00943C88">
              <w:lastRenderedPageBreak/>
              <w:t xml:space="preserve">growth, move away from reactive issues management to proactive risk management and provide a clear view of the portfolio to delivery business productivity improvements through single processes and systems.  </w:t>
            </w:r>
          </w:p>
        </w:tc>
      </w:tr>
      <w:tr w:rsidR="00594B3C" w:rsidRPr="00943C88" w14:paraId="2709ECD7"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1BF7C26D" w14:textId="77777777" w:rsidR="00594B3C" w:rsidRPr="004D2299" w:rsidRDefault="00594B3C" w:rsidP="00943C88">
            <w:pPr>
              <w:rPr>
                <w:b w:val="0"/>
              </w:rPr>
            </w:pPr>
            <w:r w:rsidRPr="004D2299">
              <w:rPr>
                <w:b w:val="0"/>
              </w:rPr>
              <w:lastRenderedPageBreak/>
              <w:t>To what extent has Greater Western Water justified or provided assurance about the quality of the submission, including the quality of supporting information on forecast costs or projects?</w:t>
            </w:r>
          </w:p>
        </w:tc>
        <w:tc>
          <w:tcPr>
            <w:tcW w:w="3500" w:type="pct"/>
          </w:tcPr>
          <w:p w14:paraId="0AEA961C"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GWW implemented a through Attestation assurance process which provided confidence for the board that:</w:t>
            </w:r>
          </w:p>
          <w:p w14:paraId="648D60B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information and documentation provided in the price submission and relied upon to support GWW’s price submission is reasonably based, complete and accurate in all material respects.</w:t>
            </w:r>
          </w:p>
          <w:p w14:paraId="1EC48E06"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financial and demand forecasts are the business’s best estimates, and supporting information is available to justify the assumptions and methodologies </w:t>
            </w:r>
            <w:proofErr w:type="gramStart"/>
            <w:r w:rsidRPr="00943C88">
              <w:t>used</w:t>
            </w:r>
            <w:proofErr w:type="gramEnd"/>
          </w:p>
          <w:p w14:paraId="7589367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the price submission satisfies the requirements of the Review Guidance paper issued by the Essential Services Commission in all material respects.</w:t>
            </w:r>
          </w:p>
          <w:p w14:paraId="2BFBA5F0" w14:textId="4DC8DA0D"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The </w:t>
            </w:r>
            <w:r w:rsidR="0057266D">
              <w:t>price submission</w:t>
            </w:r>
            <w:r w:rsidRPr="00943C88">
              <w:t xml:space="preserve"> has a clear governance and management structure including: </w:t>
            </w:r>
          </w:p>
          <w:p w14:paraId="7019A3E7"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Executive and board engagement throughout the development with monthly reporting and discussions </w:t>
            </w:r>
          </w:p>
          <w:p w14:paraId="22B1CC35"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appropriately skilled program management team and work stream leads for each of the key price submission elements.</w:t>
            </w:r>
          </w:p>
          <w:p w14:paraId="19F3C753"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External specialist support including:</w:t>
            </w:r>
          </w:p>
          <w:p w14:paraId="38328C3A"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detailed review of all regulatory and demand models, outputs, and assumptions.</w:t>
            </w:r>
          </w:p>
          <w:p w14:paraId="063A5515"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strategic economic advice on key inputs and challenges</w:t>
            </w:r>
            <w:r w:rsidRPr="00943C88" w:rsidDel="00C16578">
              <w:t xml:space="preserve"> </w:t>
            </w:r>
            <w:r w:rsidRPr="00943C88">
              <w:t>and review of all operational expenditure forecasts.</w:t>
            </w:r>
          </w:p>
          <w:p w14:paraId="06DEA91A"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detailed review of capital program, businesses cases and program justifications (including cost estimates) and capital forecasts.</w:t>
            </w:r>
          </w:p>
        </w:tc>
      </w:tr>
      <w:tr w:rsidR="00594B3C" w:rsidRPr="00943C88" w14:paraId="29C3B4AA"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2CFB5E5" w14:textId="77777777" w:rsidR="00594B3C" w:rsidRPr="004D2299" w:rsidRDefault="00594B3C" w:rsidP="00943C88">
            <w:pPr>
              <w:rPr>
                <w:b w:val="0"/>
              </w:rPr>
            </w:pPr>
            <w:r w:rsidRPr="004D2299">
              <w:rPr>
                <w:b w:val="0"/>
              </w:rPr>
              <w:t>To what extent has Greater Western Water provided evidence that there is senior level, including board level, ownership and commitment to its submission and its outcomes?</w:t>
            </w:r>
          </w:p>
        </w:tc>
        <w:tc>
          <w:tcPr>
            <w:tcW w:w="3500" w:type="pct"/>
          </w:tcPr>
          <w:p w14:paraId="3581D81A" w14:textId="25B17F98"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GWW </w:t>
            </w:r>
            <w:r w:rsidR="00E51243">
              <w:t>e</w:t>
            </w:r>
            <w:r w:rsidRPr="00943C88">
              <w:t xml:space="preserve">xecutive and board have demonstrated ownership and commitment to the development and delivering of the 2024 price submission over the last 18 months, which has included: </w:t>
            </w:r>
          </w:p>
          <w:p w14:paraId="514C22FA" w14:textId="0A9600C0" w:rsidR="00594B3C" w:rsidRPr="00D06186" w:rsidRDefault="00594B3C">
            <w:pPr>
              <w:pStyle w:val="ListParagraph"/>
              <w:numPr>
                <w:ilvl w:val="0"/>
                <w:numId w:val="136"/>
              </w:numPr>
              <w:cnfStyle w:val="000000000000" w:firstRow="0" w:lastRow="0" w:firstColumn="0" w:lastColumn="0" w:oddVBand="0" w:evenVBand="0" w:oddHBand="0" w:evenHBand="0" w:firstRowFirstColumn="0" w:firstRowLastColumn="0" w:lastRowFirstColumn="0" w:lastRowLastColumn="0"/>
            </w:pPr>
            <w:r w:rsidRPr="00D06186">
              <w:t>Executive and board standing monthly agenda item for price submission updates</w:t>
            </w:r>
            <w:r w:rsidR="002109BD" w:rsidRPr="00D06186">
              <w:t>.</w:t>
            </w:r>
          </w:p>
          <w:p w14:paraId="70E6C03C" w14:textId="5403A54E"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t xml:space="preserve">dedicating board strategic speaker sessions to speakers with relevance to the price - submission, including the Essential Services Commission, </w:t>
            </w:r>
            <w:r w:rsidR="003C5767">
              <w:t>Environment Protection Authority</w:t>
            </w:r>
            <w:r w:rsidRPr="00943C88">
              <w:t xml:space="preserve">, </w:t>
            </w:r>
            <w:r w:rsidR="004F2688">
              <w:t>Deputy Secretary of Water and Catchments.</w:t>
            </w:r>
            <w:r w:rsidRPr="00943C88">
              <w:t xml:space="preserve"> of Department of Environment, Energy and Climate Action, Energy and Water Ombudsman of Victoria </w:t>
            </w:r>
            <w:r w:rsidR="002C501D">
              <w:t xml:space="preserve">Ombudsman </w:t>
            </w:r>
            <w:r w:rsidRPr="00943C88">
              <w:t xml:space="preserve">and Customer Advisory Group representative.  </w:t>
            </w:r>
          </w:p>
          <w:p w14:paraId="5F69C1D2" w14:textId="241A8FBA"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t xml:space="preserve">dedicating the 2022 board strategy day to price submission discussions and </w:t>
            </w:r>
            <w:r w:rsidR="00E51243">
              <w:t>e</w:t>
            </w:r>
            <w:r w:rsidRPr="00943C88">
              <w:t xml:space="preserve">xecutive strategy days </w:t>
            </w:r>
          </w:p>
          <w:p w14:paraId="0B2D930B" w14:textId="7E9793B0"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lastRenderedPageBreak/>
              <w:t>including longer agenda items where deeper discussions were needed such as operational and capital expenditure.</w:t>
            </w:r>
          </w:p>
          <w:p w14:paraId="6E6EBFDF" w14:textId="28A01745"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Further, GWW </w:t>
            </w:r>
            <w:r w:rsidR="00E51243">
              <w:t>e</w:t>
            </w:r>
            <w:r w:rsidRPr="00943C88">
              <w:t xml:space="preserve">xecutive and board have committed to refreshing our 2030 Corporate Strategy to align with our agreed customer outcomes to ensure we focus and deliver on what our customers have told us is most important. </w:t>
            </w:r>
          </w:p>
        </w:tc>
      </w:tr>
      <w:tr w:rsidR="00594B3C" w:rsidRPr="00943C88" w14:paraId="23563950"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53F6B1E7" w14:textId="77777777" w:rsidR="00594B3C" w:rsidRPr="004D2299" w:rsidRDefault="00594B3C" w:rsidP="00943C88">
            <w:pPr>
              <w:rPr>
                <w:b w:val="0"/>
              </w:rPr>
            </w:pPr>
            <w:r w:rsidRPr="004D2299">
              <w:rPr>
                <w:b w:val="0"/>
              </w:rPr>
              <w:lastRenderedPageBreak/>
              <w:t>To what extent has Greater Western Water demonstrated its price submission is an ‘open book’?</w:t>
            </w:r>
          </w:p>
        </w:tc>
        <w:tc>
          <w:tcPr>
            <w:tcW w:w="3500" w:type="pct"/>
          </w:tcPr>
          <w:p w14:paraId="3A13C415"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This submission and supporting documents provide an ‘open book’ for the ESC and their advisors to understand in detail the basis of our expenditure and pricing forecasts.</w:t>
            </w:r>
          </w:p>
        </w:tc>
      </w:tr>
    </w:tbl>
    <w:p w14:paraId="17198822" w14:textId="77777777" w:rsidR="007D406E" w:rsidRDefault="007D406E" w:rsidP="007D406E"/>
    <w:p w14:paraId="30C66569" w14:textId="77777777" w:rsidR="00767B87" w:rsidRDefault="00767B87">
      <w:pPr>
        <w:spacing w:before="0" w:after="160" w:line="259" w:lineRule="auto"/>
      </w:pPr>
      <w:r>
        <w:br w:type="page"/>
      </w:r>
    </w:p>
    <w:p w14:paraId="583A6EA6" w14:textId="77777777" w:rsidR="00327B3F" w:rsidRDefault="00327B3F" w:rsidP="00213EA1">
      <w:pPr>
        <w:pStyle w:val="AppendixHeading2LPcreated"/>
      </w:pPr>
      <w:bookmarkStart w:id="357" w:name="_Toc146004910"/>
      <w:bookmarkStart w:id="358" w:name="_Toc146004798"/>
      <w:bookmarkStart w:id="359" w:name="_Toc146746744"/>
      <w:r>
        <w:lastRenderedPageBreak/>
        <w:t>Outcomes assessment against PREMO requirements</w:t>
      </w:r>
      <w:bookmarkEnd w:id="357"/>
      <w:bookmarkEnd w:id="358"/>
      <w:bookmarkEnd w:id="359"/>
    </w:p>
    <w:p w14:paraId="54B3CCD7" w14:textId="0C120A6C" w:rsidR="00327B3F" w:rsidRDefault="00327B3F" w:rsidP="00327B3F">
      <w:r>
        <w:t xml:space="preserve">This is our response to the ESC’s guidance questions for the </w:t>
      </w:r>
      <w:r w:rsidR="005547F9">
        <w:t>‘o</w:t>
      </w:r>
      <w:r>
        <w:t>utcomes</w:t>
      </w:r>
      <w:r w:rsidR="005547F9">
        <w:t>’</w:t>
      </w:r>
      <w:r>
        <w:t xml:space="preserve"> element of PREMO. </w:t>
      </w:r>
    </w:p>
    <w:p w14:paraId="3D8858DD" w14:textId="6874B479" w:rsidR="00327B3F" w:rsidRDefault="00327B3F" w:rsidP="00327B3F">
      <w:r>
        <w:t xml:space="preserve">Our self-assessment rating for </w:t>
      </w:r>
      <w:r w:rsidR="005547F9">
        <w:t>o</w:t>
      </w:r>
      <w:r>
        <w:t>utcomes is ‘Standard’.</w:t>
      </w:r>
    </w:p>
    <w:tbl>
      <w:tblPr>
        <w:tblStyle w:val="GWWDefaulttable"/>
        <w:tblW w:w="5000" w:type="pct"/>
        <w:tblLook w:val="04A0" w:firstRow="1" w:lastRow="0" w:firstColumn="1" w:lastColumn="0" w:noHBand="0" w:noVBand="1"/>
      </w:tblPr>
      <w:tblGrid>
        <w:gridCol w:w="4371"/>
        <w:gridCol w:w="10199"/>
      </w:tblGrid>
      <w:tr w:rsidR="005547F9" w:rsidRPr="005547F9" w14:paraId="47847419" w14:textId="77777777" w:rsidTr="004D2299">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00" w:type="pct"/>
          </w:tcPr>
          <w:p w14:paraId="72DE0C3C" w14:textId="77777777" w:rsidR="005547F9" w:rsidRPr="005547F9" w:rsidRDefault="005547F9" w:rsidP="005547F9">
            <w:r w:rsidRPr="005547F9">
              <w:t xml:space="preserve">Guidance question </w:t>
            </w:r>
          </w:p>
        </w:tc>
        <w:tc>
          <w:tcPr>
            <w:tcW w:w="3500" w:type="pct"/>
          </w:tcPr>
          <w:p w14:paraId="4B88507C" w14:textId="77777777" w:rsidR="005547F9" w:rsidRPr="005547F9" w:rsidRDefault="005547F9" w:rsidP="005547F9">
            <w:pPr>
              <w:cnfStyle w:val="100000000000" w:firstRow="1" w:lastRow="0" w:firstColumn="0" w:lastColumn="0" w:oddVBand="0" w:evenVBand="0" w:oddHBand="0" w:evenHBand="0" w:firstRowFirstColumn="0" w:firstRowLastColumn="0" w:lastRowFirstColumn="0" w:lastRowLastColumn="0"/>
            </w:pPr>
            <w:r w:rsidRPr="005547F9">
              <w:t xml:space="preserve">Response </w:t>
            </w:r>
          </w:p>
        </w:tc>
      </w:tr>
      <w:tr w:rsidR="005547F9" w:rsidRPr="005547F9" w14:paraId="1D10F0D6" w14:textId="77777777" w:rsidTr="004D2299">
        <w:trPr>
          <w:trHeight w:val="1042"/>
        </w:trPr>
        <w:tc>
          <w:tcPr>
            <w:cnfStyle w:val="001000000000" w:firstRow="0" w:lastRow="0" w:firstColumn="1" w:lastColumn="0" w:oddVBand="0" w:evenVBand="0" w:oddHBand="0" w:evenHBand="0" w:firstRowFirstColumn="0" w:firstRowLastColumn="0" w:lastRowFirstColumn="0" w:lastRowLastColumn="0"/>
            <w:tcW w:w="1500" w:type="pct"/>
          </w:tcPr>
          <w:p w14:paraId="3F66AEC3" w14:textId="77777777" w:rsidR="005547F9" w:rsidRPr="004D2299" w:rsidRDefault="005547F9" w:rsidP="005547F9">
            <w:pPr>
              <w:rPr>
                <w:b w:val="0"/>
              </w:rPr>
            </w:pPr>
            <w:r w:rsidRPr="004D2299">
              <w:rPr>
                <w:b w:val="0"/>
              </w:rPr>
              <w:t xml:space="preserve">Has Greater Western Water provided evidence that the outcomes proposed have </w:t>
            </w:r>
            <w:proofErr w:type="gramStart"/>
            <w:r w:rsidRPr="004D2299">
              <w:rPr>
                <w:b w:val="0"/>
              </w:rPr>
              <w:t>taken into account</w:t>
            </w:r>
            <w:proofErr w:type="gramEnd"/>
            <w:r w:rsidRPr="004D2299">
              <w:rPr>
                <w:b w:val="0"/>
              </w:rPr>
              <w:t xml:space="preserve"> the views, concerns and priorities of customers?</w:t>
            </w:r>
          </w:p>
        </w:tc>
        <w:tc>
          <w:tcPr>
            <w:tcW w:w="3500" w:type="pct"/>
          </w:tcPr>
          <w:p w14:paraId="614B33D9"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Through a broad and extensive six-stage engagement program leveraging GWW 2030 Corporate Strategy strategic outcomes, we listened, learned, and tested customer values and sentiments to understand what matters most to our customers and what they expect from their water provider. Our new customer outcomes were refined at each stage of engagement program, with our customer forum validating that they represent their values and interests. </w:t>
            </w:r>
          </w:p>
        </w:tc>
      </w:tr>
      <w:tr w:rsidR="005547F9" w:rsidRPr="005547F9" w14:paraId="1917D64D" w14:textId="77777777" w:rsidTr="004D2299">
        <w:trPr>
          <w:trHeight w:val="2114"/>
        </w:trPr>
        <w:tc>
          <w:tcPr>
            <w:cnfStyle w:val="001000000000" w:firstRow="0" w:lastRow="0" w:firstColumn="1" w:lastColumn="0" w:oddVBand="0" w:evenVBand="0" w:oddHBand="0" w:evenHBand="0" w:firstRowFirstColumn="0" w:firstRowLastColumn="0" w:lastRowFirstColumn="0" w:lastRowLastColumn="0"/>
            <w:tcW w:w="1500" w:type="pct"/>
          </w:tcPr>
          <w:p w14:paraId="2DF415E3" w14:textId="77777777" w:rsidR="005547F9" w:rsidRPr="004D2299" w:rsidRDefault="005547F9" w:rsidP="005547F9">
            <w:pPr>
              <w:rPr>
                <w:b w:val="0"/>
              </w:rPr>
            </w:pPr>
            <w:r w:rsidRPr="004D2299">
              <w:rPr>
                <w:b w:val="0"/>
              </w:rPr>
              <w:t>Has Greater Western Water provided sufficient explanation of how the outcomes it has proposed align to the forecast expenditure requested?</w:t>
            </w:r>
          </w:p>
        </w:tc>
        <w:tc>
          <w:tcPr>
            <w:tcW w:w="3500" w:type="pct"/>
          </w:tcPr>
          <w:p w14:paraId="631EC62B" w14:textId="445E2CD4"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Our capital program is mapped to each of the proposed 5 customer outcomes to ensure we are delivering what matters most to our customers. Our capital program top 10 projects and program justifications show clear alignment with our customer outcomes and benefits. </w:t>
            </w:r>
          </w:p>
          <w:p w14:paraId="2EA55E1A"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We have committed to refreshing our 2030 Strategy to align with our customer outcomes which will mean annual prioritisation and business planning for operational expenditure will provide benefits to customers through delivering on our customer outcomes.</w:t>
            </w:r>
          </w:p>
        </w:tc>
      </w:tr>
      <w:tr w:rsidR="005547F9" w:rsidRPr="005547F9" w14:paraId="7596904C" w14:textId="77777777" w:rsidTr="004D2299">
        <w:trPr>
          <w:trHeight w:val="60"/>
        </w:trPr>
        <w:tc>
          <w:tcPr>
            <w:cnfStyle w:val="001000000000" w:firstRow="0" w:lastRow="0" w:firstColumn="1" w:lastColumn="0" w:oddVBand="0" w:evenVBand="0" w:oddHBand="0" w:evenHBand="0" w:firstRowFirstColumn="0" w:firstRowLastColumn="0" w:lastRowFirstColumn="0" w:lastRowLastColumn="0"/>
            <w:tcW w:w="1500" w:type="pct"/>
          </w:tcPr>
          <w:p w14:paraId="42850D0F" w14:textId="77777777" w:rsidR="005547F9" w:rsidRPr="004D2299" w:rsidRDefault="005547F9" w:rsidP="005547F9">
            <w:pPr>
              <w:rPr>
                <w:b w:val="0"/>
              </w:rPr>
            </w:pPr>
            <w:r w:rsidRPr="004D2299">
              <w:rPr>
                <w:b w:val="0"/>
              </w:rPr>
              <w:t xml:space="preserve">Has Greater Western Water proposed outputs to support each of its outcomes, which are measurable, </w:t>
            </w:r>
            <w:proofErr w:type="gramStart"/>
            <w:r w:rsidRPr="004D2299">
              <w:rPr>
                <w:b w:val="0"/>
              </w:rPr>
              <w:t>robust</w:t>
            </w:r>
            <w:proofErr w:type="gramEnd"/>
            <w:r w:rsidRPr="004D2299">
              <w:rPr>
                <w:b w:val="0"/>
              </w:rPr>
              <w:t xml:space="preserve"> and deliverable?</w:t>
            </w:r>
          </w:p>
        </w:tc>
        <w:tc>
          <w:tcPr>
            <w:tcW w:w="3500" w:type="pct"/>
          </w:tcPr>
          <w:p w14:paraId="0552BE10"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Our customer forum was provided various measures aligned to each of the customer outcomes with the customer forum picking which measures represented their values the most. The customer forum then endorsed the outcomes and measures. We sought additional support from the Customer Advisory Group who endorsed the measures and outputs and suggested adding additional measures to better reflect our diverse customer base which GWW addressed.  </w:t>
            </w:r>
          </w:p>
          <w:p w14:paraId="52521579"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p>
          <w:p w14:paraId="320E9C7F"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All measures and targets have been developed with subject matter experts across GWW to ensure they are measurable, robust, and deliverable. </w:t>
            </w:r>
          </w:p>
        </w:tc>
      </w:tr>
      <w:tr w:rsidR="005547F9" w:rsidRPr="005547F9" w14:paraId="0B9B67C2" w14:textId="77777777" w:rsidTr="004D2299">
        <w:trPr>
          <w:trHeight w:val="893"/>
        </w:trPr>
        <w:tc>
          <w:tcPr>
            <w:cnfStyle w:val="001000000000" w:firstRow="0" w:lastRow="0" w:firstColumn="1" w:lastColumn="0" w:oddVBand="0" w:evenVBand="0" w:oddHBand="0" w:evenHBand="0" w:firstRowFirstColumn="0" w:firstRowLastColumn="0" w:lastRowFirstColumn="0" w:lastRowLastColumn="0"/>
            <w:tcW w:w="1500" w:type="pct"/>
          </w:tcPr>
          <w:p w14:paraId="2C2A9D7C" w14:textId="77777777" w:rsidR="005547F9" w:rsidRPr="004D2299" w:rsidRDefault="005547F9" w:rsidP="005547F9">
            <w:pPr>
              <w:rPr>
                <w:b w:val="0"/>
              </w:rPr>
            </w:pPr>
            <w:r w:rsidRPr="004D2299">
              <w:rPr>
                <w:b w:val="0"/>
              </w:rPr>
              <w:lastRenderedPageBreak/>
              <w:t>Has Greater Western Water provided evidence that the outputs it has proposed are reasonable measures of performance against stated outcomes?</w:t>
            </w:r>
          </w:p>
        </w:tc>
        <w:tc>
          <w:tcPr>
            <w:tcW w:w="3500" w:type="pct"/>
          </w:tcPr>
          <w:p w14:paraId="79E86AD8"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We were operating under our previous price determinations, which included 11 customer outcomes underpinned by 71 different measures. To develop this submission, we aligned and mapped previous targets to develop one set for GWW. </w:t>
            </w:r>
          </w:p>
          <w:p w14:paraId="6457E7A3"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 </w:t>
            </w:r>
          </w:p>
          <w:p w14:paraId="1B5E4C22"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Each output measure, new or existing, has been reviewed using historical performance data for WW and CWW to combine measures for GWW. Our measures are aligned with our capital and operating expenditures to deliver similar price for similar service.  </w:t>
            </w:r>
          </w:p>
        </w:tc>
      </w:tr>
      <w:tr w:rsidR="005547F9" w:rsidRPr="005547F9" w14:paraId="79C39289" w14:textId="77777777" w:rsidTr="004D2299">
        <w:trPr>
          <w:trHeight w:val="849"/>
        </w:trPr>
        <w:tc>
          <w:tcPr>
            <w:cnfStyle w:val="001000000000" w:firstRow="0" w:lastRow="0" w:firstColumn="1" w:lastColumn="0" w:oddVBand="0" w:evenVBand="0" w:oddHBand="0" w:evenHBand="0" w:firstRowFirstColumn="0" w:firstRowLastColumn="0" w:lastRowFirstColumn="0" w:lastRowLastColumn="0"/>
            <w:tcW w:w="1500" w:type="pct"/>
          </w:tcPr>
          <w:p w14:paraId="63E821D1" w14:textId="77777777" w:rsidR="005547F9" w:rsidRPr="004D2299" w:rsidRDefault="005547F9" w:rsidP="005547F9">
            <w:pPr>
              <w:rPr>
                <w:b w:val="0"/>
              </w:rPr>
            </w:pPr>
            <w:r w:rsidRPr="004D2299">
              <w:rPr>
                <w:b w:val="0"/>
              </w:rPr>
              <w:t>Has Greater Western Water demonstrated a process to measure performance against each outcome and to inform customers?</w:t>
            </w:r>
          </w:p>
        </w:tc>
        <w:tc>
          <w:tcPr>
            <w:tcW w:w="3500" w:type="pct"/>
          </w:tcPr>
          <w:p w14:paraId="5B662C6F"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We have established an ongoing customer forum who will meet annually to track our performance against the ‘score card’ and provide the result publicly through our website. This process ensures GWW is held accountable by customers.  </w:t>
            </w:r>
          </w:p>
        </w:tc>
      </w:tr>
    </w:tbl>
    <w:p w14:paraId="12175D88" w14:textId="77777777" w:rsidR="00FF5BEE" w:rsidRDefault="00FF5BEE" w:rsidP="00377032">
      <w:pPr>
        <w:sectPr w:rsidR="00FF5BEE" w:rsidSect="008C1A38">
          <w:headerReference w:type="default" r:id="rId90"/>
          <w:headerReference w:type="first" r:id="rId91"/>
          <w:pgSz w:w="16838" w:h="11906" w:orient="landscape" w:code="9"/>
          <w:pgMar w:top="1134" w:right="1134" w:bottom="1134" w:left="1134" w:header="709" w:footer="652" w:gutter="0"/>
          <w:cols w:space="708"/>
          <w:docGrid w:linePitch="360"/>
        </w:sectPr>
      </w:pPr>
    </w:p>
    <w:p w14:paraId="12F0224D" w14:textId="02253252" w:rsidR="00FF58E6" w:rsidRDefault="00EA2E30" w:rsidP="002A1F0B">
      <w:pPr>
        <w:pStyle w:val="AppendixL1LPcreated"/>
      </w:pPr>
      <w:bookmarkStart w:id="360" w:name="_Ref145928148"/>
      <w:bookmarkStart w:id="361" w:name="_Toc146004911"/>
      <w:bookmarkStart w:id="362" w:name="_Toc146004799"/>
      <w:bookmarkStart w:id="363" w:name="_Toc146746745"/>
      <w:r>
        <w:lastRenderedPageBreak/>
        <w:t xml:space="preserve">Regulatory </w:t>
      </w:r>
      <w:r w:rsidR="00A24BC0">
        <w:t>r</w:t>
      </w:r>
      <w:r>
        <w:t>isks</w:t>
      </w:r>
      <w:bookmarkEnd w:id="360"/>
      <w:bookmarkEnd w:id="361"/>
      <w:bookmarkEnd w:id="362"/>
      <w:bookmarkEnd w:id="363"/>
    </w:p>
    <w:tbl>
      <w:tblPr>
        <w:tblStyle w:val="GWWDefaulttable"/>
        <w:tblW w:w="14586" w:type="dxa"/>
        <w:tblLook w:val="04A0" w:firstRow="1" w:lastRow="0" w:firstColumn="1" w:lastColumn="0" w:noHBand="0" w:noVBand="1"/>
      </w:tblPr>
      <w:tblGrid>
        <w:gridCol w:w="1817"/>
        <w:gridCol w:w="2236"/>
        <w:gridCol w:w="2933"/>
        <w:gridCol w:w="4991"/>
        <w:gridCol w:w="2609"/>
      </w:tblGrid>
      <w:tr w:rsidR="00A24BC0" w:rsidRPr="00A24BC0" w14:paraId="34E49533" w14:textId="77777777" w:rsidTr="006E1C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7910762" w14:textId="77777777" w:rsidR="00A24BC0" w:rsidRPr="00A24BC0" w:rsidRDefault="00A24BC0" w:rsidP="00A24BC0">
            <w:r w:rsidRPr="00A24BC0">
              <w:t xml:space="preserve">Risk </w:t>
            </w:r>
          </w:p>
        </w:tc>
        <w:tc>
          <w:tcPr>
            <w:tcW w:w="2400" w:type="dxa"/>
            <w:vAlign w:val="center"/>
          </w:tcPr>
          <w:p w14:paraId="51D4FAE4"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Implication </w:t>
            </w:r>
          </w:p>
        </w:tc>
        <w:tc>
          <w:tcPr>
            <w:tcW w:w="3374" w:type="dxa"/>
            <w:vAlign w:val="center"/>
          </w:tcPr>
          <w:p w14:paraId="72A9D0D2" w14:textId="6F01E8DC"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Mitigation </w:t>
            </w:r>
            <w:r w:rsidR="00DB308C">
              <w:t>a</w:t>
            </w:r>
            <w:r w:rsidRPr="00A24BC0">
              <w:t xml:space="preserve">ctivities </w:t>
            </w:r>
          </w:p>
        </w:tc>
        <w:tc>
          <w:tcPr>
            <w:tcW w:w="4154" w:type="dxa"/>
            <w:vAlign w:val="center"/>
          </w:tcPr>
          <w:p w14:paraId="77BCF9E1"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How risk mitigations </w:t>
            </w:r>
            <w:proofErr w:type="gramStart"/>
            <w:r w:rsidRPr="00A24BC0">
              <w:t>contributes</w:t>
            </w:r>
            <w:proofErr w:type="gramEnd"/>
            <w:r w:rsidRPr="00A24BC0">
              <w:t xml:space="preserve"> to balancing the risk</w:t>
            </w:r>
          </w:p>
        </w:tc>
        <w:tc>
          <w:tcPr>
            <w:tcW w:w="2841" w:type="dxa"/>
            <w:vAlign w:val="center"/>
          </w:tcPr>
          <w:p w14:paraId="27CB14AA"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Risk allocation summary </w:t>
            </w:r>
          </w:p>
        </w:tc>
      </w:tr>
      <w:tr w:rsidR="00A24BC0" w:rsidRPr="00A24BC0" w14:paraId="70954C80"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403C9E65" w14:textId="77777777" w:rsidR="00A24BC0" w:rsidRPr="00A24BC0" w:rsidRDefault="00A24BC0" w:rsidP="00A24BC0">
            <w:r w:rsidRPr="00A24BC0">
              <w:t>Operating expenditure </w:t>
            </w:r>
          </w:p>
        </w:tc>
      </w:tr>
      <w:tr w:rsidR="00A24BC0" w:rsidRPr="00A24BC0" w14:paraId="1154C5B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2AA4B31A" w14:textId="77777777" w:rsidR="00A24BC0" w:rsidRPr="004D2299" w:rsidRDefault="00A24BC0" w:rsidP="00A24BC0">
            <w:pPr>
              <w:rPr>
                <w:b w:val="0"/>
              </w:rPr>
            </w:pPr>
            <w:r w:rsidRPr="004D2299">
              <w:rPr>
                <w:b w:val="0"/>
              </w:rPr>
              <w:t>Not meeting our efficiency target  </w:t>
            </w:r>
          </w:p>
          <w:p w14:paraId="0B77B5CE" w14:textId="77777777" w:rsidR="00A24BC0" w:rsidRPr="004D2299" w:rsidRDefault="00A24BC0" w:rsidP="00A24BC0">
            <w:pPr>
              <w:rPr>
                <w:b w:val="0"/>
              </w:rPr>
            </w:pPr>
          </w:p>
        </w:tc>
        <w:tc>
          <w:tcPr>
            <w:tcW w:w="2400" w:type="dxa"/>
          </w:tcPr>
          <w:p w14:paraId="5D37213E" w14:textId="36132911"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Financial risk for the business if we are not able to deliver the efficiencies that we’ve proposed.</w:t>
            </w:r>
          </w:p>
        </w:tc>
        <w:tc>
          <w:tcPr>
            <w:tcW w:w="3374" w:type="dxa"/>
          </w:tcPr>
          <w:p w14:paraId="270336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Sustainable efficiency program underway, with full support of the executive and the board. </w:t>
            </w:r>
          </w:p>
          <w:p w14:paraId="414B7A1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0798A32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High target efficiency proposed will deliver on more efficient </w:t>
            </w:r>
            <w:proofErr w:type="spellStart"/>
            <w:r w:rsidRPr="00A24BC0">
              <w:t>opex</w:t>
            </w:r>
            <w:proofErr w:type="spellEnd"/>
            <w:r w:rsidRPr="00A24BC0">
              <w:t>, reducing the cost to customers.</w:t>
            </w:r>
          </w:p>
          <w:p w14:paraId="05B8936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4FB5D5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bears the financial risk.  </w:t>
            </w:r>
          </w:p>
          <w:p w14:paraId="0A3794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3576751A"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7C326C6C" w14:textId="7A6A859D" w:rsidR="00A24BC0" w:rsidRPr="00A24BC0" w:rsidRDefault="00A24BC0" w:rsidP="00A24BC0">
            <w:r w:rsidRPr="00A24BC0">
              <w:t xml:space="preserve">Capital </w:t>
            </w:r>
            <w:r w:rsidR="00E8062C">
              <w:t>p</w:t>
            </w:r>
            <w:r w:rsidRPr="00A24BC0">
              <w:t xml:space="preserve">rogram  </w:t>
            </w:r>
          </w:p>
        </w:tc>
      </w:tr>
      <w:tr w:rsidR="00A24BC0" w:rsidRPr="00A24BC0" w14:paraId="1A706321"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C7748AE" w14:textId="14364AC6" w:rsidR="00A24BC0" w:rsidRPr="004D2299" w:rsidRDefault="00A24BC0" w:rsidP="00A24BC0">
            <w:pPr>
              <w:rPr>
                <w:b w:val="0"/>
              </w:rPr>
            </w:pPr>
            <w:r w:rsidRPr="004D2299">
              <w:rPr>
                <w:b w:val="0"/>
              </w:rPr>
              <w:t xml:space="preserve">Deliverability of the </w:t>
            </w:r>
            <w:r w:rsidR="00E8062C" w:rsidRPr="004D2299">
              <w:rPr>
                <w:b w:val="0"/>
              </w:rPr>
              <w:t>c</w:t>
            </w:r>
            <w:r w:rsidRPr="004D2299">
              <w:rPr>
                <w:b w:val="0"/>
              </w:rPr>
              <w:t xml:space="preserve">apital </w:t>
            </w:r>
            <w:r w:rsidR="00E8062C" w:rsidRPr="004D2299">
              <w:rPr>
                <w:b w:val="0"/>
              </w:rPr>
              <w:t>p</w:t>
            </w:r>
            <w:r w:rsidRPr="004D2299">
              <w:rPr>
                <w:b w:val="0"/>
              </w:rPr>
              <w:t>rogram </w:t>
            </w:r>
          </w:p>
          <w:p w14:paraId="272BF3B5" w14:textId="77777777" w:rsidR="00A24BC0" w:rsidRPr="004D2299" w:rsidRDefault="00A24BC0" w:rsidP="00A24BC0">
            <w:pPr>
              <w:rPr>
                <w:b w:val="0"/>
              </w:rPr>
            </w:pPr>
          </w:p>
        </w:tc>
        <w:tc>
          <w:tcPr>
            <w:tcW w:w="2400" w:type="dxa"/>
          </w:tcPr>
          <w:p w14:paraId="5C313EF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delivers a diverse range and scale of capital projects. There is a risk that projects will not be delivered on time. Missed project delivery targets can result in: </w:t>
            </w:r>
          </w:p>
          <w:p w14:paraId="68489BBC"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failure to meet KPIs. </w:t>
            </w:r>
          </w:p>
          <w:p w14:paraId="448B629F"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failure to deliver customer outcomes. </w:t>
            </w:r>
          </w:p>
          <w:p w14:paraId="32535A1C"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project benefits not being captured.  </w:t>
            </w:r>
          </w:p>
          <w:p w14:paraId="28EAA1C9" w14:textId="701F80DA"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lastRenderedPageBreak/>
              <w:t>GWW either under or over recovering revenues relative to efficient costs. </w:t>
            </w:r>
          </w:p>
        </w:tc>
        <w:tc>
          <w:tcPr>
            <w:tcW w:w="3374" w:type="dxa"/>
          </w:tcPr>
          <w:p w14:paraId="4C4D53B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‘Uncertain projects’ have been identified and excluded from the PS2024 capital program. </w:t>
            </w:r>
          </w:p>
          <w:p w14:paraId="4D90859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Deliverability of individual projects and programs assessed in project and program justification documents and based on what legacy businesses have historically been able to deliver. We also considered our ability to deliver within the current operational environment. </w:t>
            </w:r>
          </w:p>
          <w:p w14:paraId="3C60E47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Continue existing risk controls including project governance, reporting, training, </w:t>
            </w:r>
            <w:r w:rsidRPr="00A24BC0">
              <w:lastRenderedPageBreak/>
              <w:t>procurement, and auditing practices. </w:t>
            </w:r>
          </w:p>
          <w:p w14:paraId="10FD6B0C" w14:textId="7C312649"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Asset Delivery Organisational Review (ADOR) has identified a considerable work program that will build our capacity to deliver the infrastructure required over the next decade. </w:t>
            </w:r>
          </w:p>
        </w:tc>
        <w:tc>
          <w:tcPr>
            <w:tcW w:w="4154" w:type="dxa"/>
          </w:tcPr>
          <w:p w14:paraId="6500746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Sufficient measures and current processes are put in place, including consideration of current construction </w:t>
            </w:r>
            <w:proofErr w:type="gramStart"/>
            <w:r w:rsidRPr="00A24BC0">
              <w:t>limitations</w:t>
            </w:r>
            <w:proofErr w:type="gramEnd"/>
            <w:r w:rsidRPr="00A24BC0">
              <w:t xml:space="preserve"> and improving internal processes and capacity to ensure the deliverability of the capital program means we can deliver what our customers are paying for.  </w:t>
            </w:r>
          </w:p>
          <w:p w14:paraId="5D7EE42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6804216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Uncertain projects’ have been identified and excluded from the PS24. Deliverability was at the forefront in preparing our capital plan for the regulatory period. We examined what we have been previously able to deliver and the capital plan proposed is consistent with historical spend.  </w:t>
            </w:r>
          </w:p>
          <w:p w14:paraId="018280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067C1FA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If we deviate from PS24-approved capex in a manner that is prudent and efficient, the difference </w:t>
            </w:r>
            <w:r w:rsidRPr="00A24BC0">
              <w:lastRenderedPageBreak/>
              <w:t>in cost due to variations will be rolled into the RAB in the following Regulatory period. However, in the short-run GWW will bear the risk of cost overruns.</w:t>
            </w:r>
          </w:p>
          <w:p w14:paraId="62D82E2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14C4B513"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49796FE" w14:textId="77777777" w:rsidR="00A24BC0" w:rsidRPr="004D2299" w:rsidRDefault="00A24BC0" w:rsidP="00A24BC0">
            <w:pPr>
              <w:rPr>
                <w:b w:val="0"/>
              </w:rPr>
            </w:pPr>
            <w:r w:rsidRPr="004D2299">
              <w:rPr>
                <w:b w:val="0"/>
              </w:rPr>
              <w:lastRenderedPageBreak/>
              <w:t>Cost estimation risk </w:t>
            </w:r>
          </w:p>
        </w:tc>
        <w:tc>
          <w:tcPr>
            <w:tcW w:w="2400" w:type="dxa"/>
          </w:tcPr>
          <w:p w14:paraId="26887C5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delivers a diverse range of capital projects. Not all projects will be delivered to the P50 budget (some will be under; some will be over). </w:t>
            </w:r>
          </w:p>
          <w:p w14:paraId="58B2631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This may cause GWW to either under- or over-recover revenues relative to its efficient costs</w:t>
            </w:r>
          </w:p>
        </w:tc>
        <w:tc>
          <w:tcPr>
            <w:tcW w:w="3374" w:type="dxa"/>
          </w:tcPr>
          <w:p w14:paraId="4E9182E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built bottom-up cost estimates for projects and programs which consider current delivery context and economic climate.  </w:t>
            </w:r>
          </w:p>
          <w:p w14:paraId="3F581F0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We have used quotations where possible and probabilistic cost estimates at the P50 level based on recent projects/unit rates. </w:t>
            </w:r>
          </w:p>
          <w:p w14:paraId="32AA349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‘Uncertain projects’ have been identified and excluded from the PS24 capital program.  </w:t>
            </w:r>
          </w:p>
          <w:p w14:paraId="46B06CC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capital program will be monitored and adaptively managed through PS24. This includes, enterprise-wide prioritisation process, management of impacts to strategic risks at a project level and management of budgets at a program level.</w:t>
            </w:r>
          </w:p>
          <w:p w14:paraId="794A0C0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In many instances GWW has built its cost estimates using the best available information in Financial Year 2023. For programs with an established delivery model GWW has not felt it appropriate to inflate by CPI given the large March 2023 CPI number. GWW will instead bear this risk ourselves</w:t>
            </w:r>
          </w:p>
        </w:tc>
        <w:tc>
          <w:tcPr>
            <w:tcW w:w="4154" w:type="dxa"/>
          </w:tcPr>
          <w:p w14:paraId="28BC141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GWW’s PS24 retail prices reflect a revenue requirement based on the expected value of the capital program. </w:t>
            </w:r>
          </w:p>
        </w:tc>
        <w:tc>
          <w:tcPr>
            <w:tcW w:w="2841" w:type="dxa"/>
          </w:tcPr>
          <w:p w14:paraId="525B0B4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If we deviate from PS24-approved capex in a manner that is prudent and efficient, the difference in cost due to variations will be rolled into the RAB in the following Regulatory period. However, in the short-run GWW will bear the risk of cost overruns.</w:t>
            </w:r>
          </w:p>
          <w:p w14:paraId="09CC454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7C89E41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Where GWW has escalated cost estimates we have used CPI, instead of the construction indices which have trended higher in recent years. The risk of ongoing higher inflation in the construction sector is being worn by GWW.</w:t>
            </w:r>
          </w:p>
          <w:p w14:paraId="510054D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0A7FEE7"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59634702" w14:textId="67F23CF7" w:rsidR="00A24BC0" w:rsidRPr="00A24BC0" w:rsidRDefault="00A24BC0" w:rsidP="00A24BC0">
            <w:r w:rsidRPr="00A24BC0">
              <w:t>Demand</w:t>
            </w:r>
            <w:r w:rsidR="00E8062C">
              <w:t xml:space="preserve"> f</w:t>
            </w:r>
            <w:r w:rsidRPr="00A24BC0">
              <w:t xml:space="preserve">orecasts </w:t>
            </w:r>
          </w:p>
        </w:tc>
      </w:tr>
      <w:tr w:rsidR="00A24BC0" w:rsidRPr="00A24BC0" w14:paraId="7DA8F99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7EAC254" w14:textId="77777777" w:rsidR="00A24BC0" w:rsidRPr="004D2299" w:rsidRDefault="00A24BC0" w:rsidP="00A24BC0">
            <w:pPr>
              <w:rPr>
                <w:b w:val="0"/>
              </w:rPr>
            </w:pPr>
            <w:r w:rsidRPr="004D2299">
              <w:rPr>
                <w:b w:val="0"/>
              </w:rPr>
              <w:t>Unexpected loss of a major customer or customer segment </w:t>
            </w:r>
          </w:p>
        </w:tc>
        <w:tc>
          <w:tcPr>
            <w:tcW w:w="2400" w:type="dxa"/>
          </w:tcPr>
          <w:p w14:paraId="4FC0FF86" w14:textId="4B41ED29"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Reduced demand for GWW services during PS24 leading to a revenue shortfall. </w:t>
            </w:r>
          </w:p>
        </w:tc>
        <w:tc>
          <w:tcPr>
            <w:tcW w:w="3374" w:type="dxa"/>
          </w:tcPr>
          <w:p w14:paraId="3A179CC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customer service representatives regularly meet with major customers to understand their needs and forward forecasts.</w:t>
            </w:r>
          </w:p>
        </w:tc>
        <w:tc>
          <w:tcPr>
            <w:tcW w:w="4154" w:type="dxa"/>
          </w:tcPr>
          <w:p w14:paraId="36E5999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An accurate demand forecast will maintain GWW’s financial viability in PS24.</w:t>
            </w:r>
          </w:p>
        </w:tc>
        <w:tc>
          <w:tcPr>
            <w:tcW w:w="2841" w:type="dxa"/>
          </w:tcPr>
          <w:p w14:paraId="21420AE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(high) forecasts in PS24. </w:t>
            </w:r>
          </w:p>
        </w:tc>
      </w:tr>
      <w:tr w:rsidR="00A24BC0" w:rsidRPr="00A24BC0" w14:paraId="5D9D5A52"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67CD0A1" w14:textId="77777777" w:rsidR="00A24BC0" w:rsidRPr="004D2299" w:rsidRDefault="00A24BC0" w:rsidP="00A24BC0">
            <w:pPr>
              <w:rPr>
                <w:b w:val="0"/>
              </w:rPr>
            </w:pPr>
            <w:r w:rsidRPr="004D2299">
              <w:rPr>
                <w:b w:val="0"/>
              </w:rPr>
              <w:t>Inaccurate demand forecasts </w:t>
            </w:r>
          </w:p>
        </w:tc>
        <w:tc>
          <w:tcPr>
            <w:tcW w:w="2400" w:type="dxa"/>
          </w:tcPr>
          <w:p w14:paraId="0D5C8D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When actual demand is greater than forecast demand, GWW may recover excessive revenues, meaning customers are paying more for GWW services than its efficient costs.  </w:t>
            </w:r>
          </w:p>
          <w:p w14:paraId="32A0C54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When actual demand is less than forecast demand, GWW may recover insufficient </w:t>
            </w:r>
            <w:r w:rsidRPr="00A24BC0">
              <w:lastRenderedPageBreak/>
              <w:t>revenues meaning customers are not paying GWW its efficient costs.</w:t>
            </w:r>
          </w:p>
        </w:tc>
        <w:tc>
          <w:tcPr>
            <w:tcW w:w="3374" w:type="dxa"/>
          </w:tcPr>
          <w:p w14:paraId="5CBCE4A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Develop demand forecasts calibrated to recent actual demands.  </w:t>
            </w:r>
          </w:p>
          <w:p w14:paraId="559D76F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Conservatively high demands</w:t>
            </w:r>
          </w:p>
          <w:p w14:paraId="14E9014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options to: </w:t>
            </w:r>
          </w:p>
          <w:p w14:paraId="49E3A337" w14:textId="77777777" w:rsidR="00A24BC0" w:rsidRPr="00A24BC0" w:rsidRDefault="00A24BC0">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A24BC0">
              <w:t xml:space="preserve">Uncertain and unforeseen events mechanism available if events affecting demand </w:t>
            </w:r>
            <w:proofErr w:type="gramStart"/>
            <w:r w:rsidRPr="00A24BC0">
              <w:t>occur</w:t>
            </w:r>
            <w:proofErr w:type="gramEnd"/>
            <w:r w:rsidRPr="00A24BC0">
              <w:t> </w:t>
            </w:r>
          </w:p>
          <w:p w14:paraId="3CF95052" w14:textId="77777777" w:rsidR="00A24BC0" w:rsidRPr="00A24BC0" w:rsidRDefault="00A24BC0">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A24BC0">
              <w:t xml:space="preserve">Tarif basket form of price control includes </w:t>
            </w:r>
            <w:r w:rsidRPr="00A24BC0">
              <w:lastRenderedPageBreak/>
              <w:t xml:space="preserve">provision for adjustments for actual demand </w:t>
            </w:r>
            <w:proofErr w:type="gramStart"/>
            <w:r w:rsidRPr="00A24BC0">
              <w:t>quantity</w:t>
            </w:r>
            <w:proofErr w:type="gramEnd"/>
            <w:r w:rsidRPr="00A24BC0">
              <w:t> </w:t>
            </w:r>
          </w:p>
          <w:p w14:paraId="438B1D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744E9550" w14:textId="77777777" w:rsidR="005205D0" w:rsidRDefault="00F1680A" w:rsidP="00A24BC0">
            <w:pPr>
              <w:cnfStyle w:val="000000000000" w:firstRow="0" w:lastRow="0" w:firstColumn="0" w:lastColumn="0" w:oddVBand="0" w:evenVBand="0" w:oddHBand="0" w:evenHBand="0" w:firstRowFirstColumn="0" w:firstRowLastColumn="0" w:lastRowFirstColumn="0" w:lastRowLastColumn="0"/>
            </w:pPr>
            <w:r>
              <w:lastRenderedPageBreak/>
              <w:t xml:space="preserve">Risk </w:t>
            </w:r>
            <w:r w:rsidR="00014779">
              <w:t xml:space="preserve">mitigation uses </w:t>
            </w:r>
            <w:r w:rsidR="00A0053E">
              <w:t>higher demand to place more risk with GWW</w:t>
            </w:r>
            <w:r w:rsidR="00025A19">
              <w:t xml:space="preserve">, and less with our customers. </w:t>
            </w:r>
          </w:p>
          <w:p w14:paraId="5DAC19C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2E64F9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(high) forecasts in PS24 as GWW would recover less than anticipated.</w:t>
            </w:r>
          </w:p>
          <w:p w14:paraId="18EF5D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Without mitigations, customers hold the consequences of inaccurate (low) forecasts in PS24 as GWW would recover more than anticipated.</w:t>
            </w:r>
          </w:p>
          <w:p w14:paraId="31EFF52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759FB6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789EE49C" w14:textId="77777777" w:rsidR="00A24BC0" w:rsidRPr="004D2299" w:rsidRDefault="00A24BC0" w:rsidP="00A24BC0">
            <w:pPr>
              <w:rPr>
                <w:b w:val="0"/>
              </w:rPr>
            </w:pPr>
            <w:r w:rsidRPr="004D2299">
              <w:rPr>
                <w:b w:val="0"/>
              </w:rPr>
              <w:lastRenderedPageBreak/>
              <w:t>Inaccurate timing and location of growth forecast </w:t>
            </w:r>
          </w:p>
        </w:tc>
        <w:tc>
          <w:tcPr>
            <w:tcW w:w="2400" w:type="dxa"/>
          </w:tcPr>
          <w:p w14:paraId="02B5394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overall growth rate can change GWW’s revenues, meaning that customers may pay more or less than GWW’s efficient costs.  </w:t>
            </w:r>
          </w:p>
          <w:p w14:paraId="7D63DF9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7B84980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location of growth (balance of infill to growth areas) can change GWW’s infrastructure requirements. </w:t>
            </w:r>
          </w:p>
        </w:tc>
        <w:tc>
          <w:tcPr>
            <w:tcW w:w="3374" w:type="dxa"/>
          </w:tcPr>
          <w:p w14:paraId="28C9AA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Liaise closely with planning and approvals agencies (VPA, councils) to determine the best growth estimate by location.  </w:t>
            </w:r>
          </w:p>
          <w:p w14:paraId="5BAA34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Continue to develop staged growth plans so that capital projects can be timed to match growth patterns. </w:t>
            </w:r>
          </w:p>
          <w:p w14:paraId="2BBFC8C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Only include ‘certain’ capital projects in PS2024. </w:t>
            </w:r>
          </w:p>
          <w:p w14:paraId="7786E96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Consultation with development industry on expected infrastructure requirements. Network Servicing Plans transparently published and inform any reimbursable costs GWW can charge to minimise costs to GWW.</w:t>
            </w:r>
          </w:p>
        </w:tc>
        <w:tc>
          <w:tcPr>
            <w:tcW w:w="4154" w:type="dxa"/>
          </w:tcPr>
          <w:p w14:paraId="0DB46C6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Staged growth plans allow GWW to invest only in prudent expenditure. </w:t>
            </w:r>
          </w:p>
          <w:p w14:paraId="5DAFABE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exclusion of uncertain projects means customers are not paying for speculative capex. </w:t>
            </w:r>
          </w:p>
          <w:p w14:paraId="376343E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7631574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(low) forecasts in PS24 as higher growth will require a bring forth of planned expenditure not recovered in pricing.  </w:t>
            </w:r>
          </w:p>
          <w:p w14:paraId="5DEE0E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10AFC1F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Without mitigation, customers would </w:t>
            </w:r>
            <w:proofErr w:type="gramStart"/>
            <w:r w:rsidRPr="00A24BC0">
              <w:t>holds</w:t>
            </w:r>
            <w:proofErr w:type="gramEnd"/>
            <w:r w:rsidRPr="00A24BC0">
              <w:t xml:space="preserve"> the risk of inaccurate (high) forecasts, but GWW’s use of removing all ‘uncertain’ projects and staged investment plans mitigates this customer risk. </w:t>
            </w:r>
          </w:p>
          <w:p w14:paraId="41B1A6D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F0E729C"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320E0624" w14:textId="7FCBA8AD" w:rsidR="00A24BC0" w:rsidRPr="00A24BC0" w:rsidRDefault="00A24BC0" w:rsidP="00A24BC0">
            <w:r w:rsidRPr="00A24BC0">
              <w:t xml:space="preserve">Tariffs and </w:t>
            </w:r>
            <w:r w:rsidR="00E8062C">
              <w:t>p</w:t>
            </w:r>
            <w:r w:rsidRPr="00A24BC0">
              <w:t>ricing  </w:t>
            </w:r>
          </w:p>
        </w:tc>
      </w:tr>
      <w:tr w:rsidR="00A24BC0" w:rsidRPr="00A24BC0" w14:paraId="56BA54A2"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484FBB37" w14:textId="3D1850A7" w:rsidR="00A24BC0" w:rsidRPr="004D2299" w:rsidRDefault="00A24BC0" w:rsidP="00A24BC0">
            <w:pPr>
              <w:rPr>
                <w:b w:val="0"/>
              </w:rPr>
            </w:pPr>
            <w:r w:rsidRPr="004D2299">
              <w:rPr>
                <w:b w:val="0"/>
              </w:rPr>
              <w:t xml:space="preserve">Removal of the </w:t>
            </w:r>
            <w:r w:rsidR="00E8062C" w:rsidRPr="004D2299">
              <w:rPr>
                <w:b w:val="0"/>
              </w:rPr>
              <w:t>r</w:t>
            </w:r>
            <w:r w:rsidRPr="004D2299">
              <w:rPr>
                <w:b w:val="0"/>
              </w:rPr>
              <w:t xml:space="preserve">esidential sewage </w:t>
            </w:r>
            <w:r w:rsidRPr="004D2299">
              <w:rPr>
                <w:b w:val="0"/>
              </w:rPr>
              <w:lastRenderedPageBreak/>
              <w:t>disposal charge (SDC) </w:t>
            </w:r>
          </w:p>
        </w:tc>
        <w:tc>
          <w:tcPr>
            <w:tcW w:w="2400" w:type="dxa"/>
          </w:tcPr>
          <w:p w14:paraId="35CE001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Risk of revenue recovery transfer to customers who do not </w:t>
            </w:r>
            <w:r w:rsidRPr="00A24BC0">
              <w:lastRenderedPageBreak/>
              <w:t>benefit from a sewage service. </w:t>
            </w:r>
          </w:p>
        </w:tc>
        <w:tc>
          <w:tcPr>
            <w:tcW w:w="3374" w:type="dxa"/>
          </w:tcPr>
          <w:p w14:paraId="3AE5C39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Introduction of new water usage charge applied to </w:t>
            </w:r>
            <w:r w:rsidRPr="00A24BC0">
              <w:lastRenderedPageBreak/>
              <w:t xml:space="preserve">customers who receive both a water and sewage service. </w:t>
            </w:r>
          </w:p>
          <w:p w14:paraId="1B8DB79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Transfer of revenue recovery of outgoing SDC to this charge. </w:t>
            </w:r>
          </w:p>
          <w:p w14:paraId="26C93B7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not receiving a sewage service continue to receive a lower water usage charge.</w:t>
            </w:r>
          </w:p>
        </w:tc>
        <w:tc>
          <w:tcPr>
            <w:tcW w:w="4154" w:type="dxa"/>
          </w:tcPr>
          <w:p w14:paraId="10FAA6F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Transfer of SDC revenue recovery to only customers receiving a sewage service ensures efficient costs </w:t>
            </w:r>
            <w:r w:rsidRPr="00A24BC0">
              <w:lastRenderedPageBreak/>
              <w:t>recovered from customers who benefit from the service.  </w:t>
            </w:r>
          </w:p>
          <w:p w14:paraId="7AE2F7D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704AC4D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Removal of SDC will not impact user pays approach to sewerage service. </w:t>
            </w:r>
          </w:p>
          <w:p w14:paraId="7F6EBFA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2100D05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454DC044" w14:textId="77777777" w:rsidR="00A24BC0" w:rsidRPr="004D2299" w:rsidRDefault="00A24BC0" w:rsidP="00A24BC0">
            <w:pPr>
              <w:rPr>
                <w:b w:val="0"/>
              </w:rPr>
            </w:pPr>
            <w:r w:rsidRPr="004D2299">
              <w:rPr>
                <w:b w:val="0"/>
              </w:rPr>
              <w:lastRenderedPageBreak/>
              <w:t>Adverse impacts for customer cohorts from tariff strategy</w:t>
            </w:r>
          </w:p>
        </w:tc>
        <w:tc>
          <w:tcPr>
            <w:tcW w:w="2400" w:type="dxa"/>
          </w:tcPr>
          <w:p w14:paraId="52D5BC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 of certain customer groups receiving price shocks as we align tariffs </w:t>
            </w:r>
          </w:p>
        </w:tc>
        <w:tc>
          <w:tcPr>
            <w:tcW w:w="3374" w:type="dxa"/>
          </w:tcPr>
          <w:p w14:paraId="6CA8C09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Transitional approach applied to tariff alignment over a period of two regulatory periods to manage annual bill impacts. </w:t>
            </w:r>
          </w:p>
          <w:p w14:paraId="20F205A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Focus on the impact to Western tenant bills as we transition the fixed to variable ratio to a higher variable component compounded by the gradual removal of the tenant rebate.</w:t>
            </w:r>
          </w:p>
          <w:p w14:paraId="7FD091F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Tenant bills in the western region are some of the lowest in the state and payment assistance will continue to be provided    </w:t>
            </w:r>
          </w:p>
        </w:tc>
        <w:tc>
          <w:tcPr>
            <w:tcW w:w="4154" w:type="dxa"/>
          </w:tcPr>
          <w:p w14:paraId="7F7D966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shift of increased variable revenue recovery in the Western region sends better price signals to customers on water usage.</w:t>
            </w:r>
          </w:p>
          <w:p w14:paraId="100126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72FA27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Transitioning water variable charges over two regulatory period manages bills in a smooth manner. Combined with the tariff basket mechanisms, GWW can adjust in response to short term fluctuations to limit price and bill shocks in the short run.</w:t>
            </w:r>
          </w:p>
          <w:p w14:paraId="1977B8F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0BA1F5DF"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3745CBA3" w14:textId="77777777" w:rsidR="00A24BC0" w:rsidRPr="00A24BC0" w:rsidRDefault="00A24BC0" w:rsidP="00A24BC0">
            <w:r w:rsidRPr="00A24BC0">
              <w:t>Operational risks </w:t>
            </w:r>
          </w:p>
        </w:tc>
      </w:tr>
      <w:tr w:rsidR="00A24BC0" w:rsidRPr="00A24BC0" w14:paraId="3EDACD69"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F6234B1" w14:textId="744E68AD" w:rsidR="00A24BC0" w:rsidRPr="004D2299" w:rsidRDefault="00A24BC0" w:rsidP="00A24BC0">
            <w:pPr>
              <w:rPr>
                <w:b w:val="0"/>
              </w:rPr>
            </w:pPr>
            <w:r w:rsidRPr="004D2299">
              <w:rPr>
                <w:b w:val="0"/>
              </w:rPr>
              <w:lastRenderedPageBreak/>
              <w:t>Infrastructure failure causing breach of Department of Health</w:t>
            </w:r>
            <w:r w:rsidR="00AD1EFA" w:rsidRPr="004D2299">
              <w:rPr>
                <w:b w:val="0"/>
              </w:rPr>
              <w:t xml:space="preserve"> </w:t>
            </w:r>
            <w:r w:rsidRPr="004D2299">
              <w:rPr>
                <w:b w:val="0"/>
              </w:rPr>
              <w:t>standards </w:t>
            </w:r>
          </w:p>
        </w:tc>
        <w:tc>
          <w:tcPr>
            <w:tcW w:w="2400" w:type="dxa"/>
          </w:tcPr>
          <w:p w14:paraId="558C4B7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Inability to provide drinking water to standards, placing at risk:  </w:t>
            </w:r>
          </w:p>
          <w:p w14:paraId="02389E15" w14:textId="77777777" w:rsidR="00A24BC0" w:rsidRPr="00A24BC0" w:rsidRDefault="00A24BC0">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A24BC0">
              <w:t>public health </w:t>
            </w:r>
          </w:p>
          <w:p w14:paraId="51152A6C" w14:textId="77777777" w:rsidR="00A24BC0" w:rsidRPr="00A24BC0" w:rsidRDefault="00A24BC0">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A24BC0">
              <w:t>customer satisfaction with water quality</w:t>
            </w:r>
          </w:p>
          <w:p w14:paraId="340964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6754F54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operational arrangements for water quality monitoring and alerts under Bulk Water Supply Agreement with Melbourne Water. </w:t>
            </w:r>
          </w:p>
          <w:p w14:paraId="41518F7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HACCP system </w:t>
            </w:r>
            <w:proofErr w:type="gramStart"/>
            <w:r w:rsidRPr="00A24BC0">
              <w:t>audits;</w:t>
            </w:r>
            <w:proofErr w:type="gramEnd"/>
          </w:p>
          <w:p w14:paraId="70F97B5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Compliance and regulatory audits completed in accordance with the Safe drinking water </w:t>
            </w:r>
            <w:proofErr w:type="gramStart"/>
            <w:r w:rsidRPr="00A24BC0">
              <w:t>Act</w:t>
            </w:r>
            <w:proofErr w:type="gramEnd"/>
          </w:p>
          <w:p w14:paraId="2DFD411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Upgrades and consolidation of SCADA systems and geospatial technology.  </w:t>
            </w:r>
          </w:p>
          <w:p w14:paraId="67B63D9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water testing and disinfection program. </w:t>
            </w:r>
          </w:p>
          <w:p w14:paraId="55665C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Continuous reporting on drinking water quality.  </w:t>
            </w:r>
          </w:p>
          <w:p w14:paraId="530A5583" w14:textId="13C95FA1"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 system augmentations to enable more resilient and consistent supply at the highest-risk locations and treatment plant capacity. </w:t>
            </w:r>
          </w:p>
          <w:p w14:paraId="4E7F693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Drinking water quality roadmap</w:t>
            </w:r>
          </w:p>
        </w:tc>
        <w:tc>
          <w:tcPr>
            <w:tcW w:w="4154" w:type="dxa"/>
          </w:tcPr>
          <w:p w14:paraId="08F543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Public trust in safe, high-quality water supply is of fundamental importance and everyone having the same great tasting water was a high priority of our customer engagement.</w:t>
            </w:r>
          </w:p>
          <w:p w14:paraId="442C108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69838C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High quality reliable water service for the community provides a more efficient water supply than relying on bottled water purchases or individual water purification systems.  </w:t>
            </w:r>
          </w:p>
          <w:p w14:paraId="76AEE29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2E37FF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financial consequences of failure to deliver water to standard during PS24. </w:t>
            </w:r>
          </w:p>
          <w:p w14:paraId="355EC97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064162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Water quality GSL which GWW will bear the cost. </w:t>
            </w:r>
          </w:p>
          <w:p w14:paraId="6AB29EE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6187ABE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Risks to community health and our reputation are managed within our enterprise risk framework.  </w:t>
            </w:r>
          </w:p>
          <w:p w14:paraId="2CD9E9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0B822AE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B06FE33" w14:textId="77777777" w:rsidR="00A24BC0" w:rsidRPr="004D2299" w:rsidRDefault="00A24BC0" w:rsidP="00A24BC0">
            <w:pPr>
              <w:rPr>
                <w:b w:val="0"/>
              </w:rPr>
            </w:pPr>
            <w:r w:rsidRPr="004D2299">
              <w:rPr>
                <w:b w:val="0"/>
              </w:rPr>
              <w:t xml:space="preserve">Infrastructure failure causing breach of </w:t>
            </w:r>
            <w:r w:rsidRPr="004D2299">
              <w:rPr>
                <w:b w:val="0"/>
              </w:rPr>
              <w:lastRenderedPageBreak/>
              <w:t>Environment Protection Authority (EPA) obligations    </w:t>
            </w:r>
          </w:p>
        </w:tc>
        <w:tc>
          <w:tcPr>
            <w:tcW w:w="2400" w:type="dxa"/>
          </w:tcPr>
          <w:p w14:paraId="0652C83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Inability to contain sewage in network under 1:5 average </w:t>
            </w:r>
            <w:r w:rsidRPr="00A24BC0">
              <w:lastRenderedPageBreak/>
              <w:t xml:space="preserve">recurrence interval (ARI) </w:t>
            </w:r>
            <w:proofErr w:type="gramStart"/>
            <w:r w:rsidRPr="00A24BC0">
              <w:t>events</w:t>
            </w:r>
            <w:proofErr w:type="gramEnd"/>
            <w:r w:rsidRPr="00A24BC0">
              <w:t>  </w:t>
            </w:r>
          </w:p>
          <w:p w14:paraId="30D6B5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Inability to meet sewage treatment plant discharge requirements </w:t>
            </w:r>
          </w:p>
        </w:tc>
        <w:tc>
          <w:tcPr>
            <w:tcW w:w="3374" w:type="dxa"/>
          </w:tcPr>
          <w:p w14:paraId="37F8F8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Maintain monitoring and testing programs.  </w:t>
            </w:r>
          </w:p>
          <w:p w14:paraId="656F4F8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Maintain calibrated hydraulic models.  </w:t>
            </w:r>
          </w:p>
          <w:p w14:paraId="7A4BF9A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Up to date infrastructure master plans  </w:t>
            </w:r>
          </w:p>
          <w:p w14:paraId="4FB5CAFE" w14:textId="4F1A365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 sewer treatment to manage growth and capacity.  </w:t>
            </w:r>
          </w:p>
          <w:p w14:paraId="109F1E61" w14:textId="061DE218"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Environmental Resilience Roadmap reported to the board quarterly</w:t>
            </w:r>
          </w:p>
        </w:tc>
        <w:tc>
          <w:tcPr>
            <w:tcW w:w="4154" w:type="dxa"/>
          </w:tcPr>
          <w:p w14:paraId="435D1EF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Safe disposal of sewage is important to maintain sanitation, local </w:t>
            </w:r>
            <w:proofErr w:type="gramStart"/>
            <w:r w:rsidRPr="00A24BC0">
              <w:t>amenity</w:t>
            </w:r>
            <w:proofErr w:type="gramEnd"/>
            <w:r w:rsidRPr="00A24BC0">
              <w:t xml:space="preserve"> and environmental health of waterways.  </w:t>
            </w:r>
          </w:p>
          <w:p w14:paraId="6679DE9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6C5E3B0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GWW holds the consequences of a breach </w:t>
            </w:r>
            <w:r w:rsidRPr="00A24BC0">
              <w:lastRenderedPageBreak/>
              <w:t>for 1:5 events that are not contained.  </w:t>
            </w:r>
          </w:p>
          <w:p w14:paraId="760B370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274B36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Risks to community health, the environment and our reputation are managed within risk framework. </w:t>
            </w:r>
          </w:p>
        </w:tc>
      </w:tr>
      <w:tr w:rsidR="00A24BC0" w:rsidRPr="00A24BC0" w14:paraId="6BD5343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BB5480C" w14:textId="77777777" w:rsidR="00A24BC0" w:rsidRPr="004D2299" w:rsidRDefault="00A24BC0" w:rsidP="00A24BC0">
            <w:pPr>
              <w:rPr>
                <w:b w:val="0"/>
              </w:rPr>
            </w:pPr>
            <w:r w:rsidRPr="004D2299">
              <w:rPr>
                <w:b w:val="0"/>
              </w:rPr>
              <w:lastRenderedPageBreak/>
              <w:t xml:space="preserve">Infrastructure failure causing inability to provide network services to </w:t>
            </w:r>
            <w:proofErr w:type="gramStart"/>
            <w:r w:rsidRPr="004D2299">
              <w:rPr>
                <w:b w:val="0"/>
              </w:rPr>
              <w:t>customers</w:t>
            </w:r>
            <w:proofErr w:type="gramEnd"/>
            <w:r w:rsidRPr="004D2299">
              <w:rPr>
                <w:b w:val="0"/>
              </w:rPr>
              <w:t> </w:t>
            </w:r>
          </w:p>
          <w:p w14:paraId="1499C390" w14:textId="77777777" w:rsidR="00A24BC0" w:rsidRPr="004D2299" w:rsidRDefault="00A24BC0" w:rsidP="00A24BC0">
            <w:pPr>
              <w:rPr>
                <w:b w:val="0"/>
              </w:rPr>
            </w:pPr>
          </w:p>
        </w:tc>
        <w:tc>
          <w:tcPr>
            <w:tcW w:w="2400" w:type="dxa"/>
          </w:tcPr>
          <w:p w14:paraId="69F01E9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water, sewerage and recycled water networks and facilities deliver a range of essential services. </w:t>
            </w:r>
          </w:p>
          <w:p w14:paraId="3BD15D7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69FA9D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Infrastructure failure can result in:  </w:t>
            </w:r>
          </w:p>
          <w:p w14:paraId="4E84B4F0" w14:textId="77777777"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 xml:space="preserve">disruption to </w:t>
            </w:r>
            <w:proofErr w:type="gramStart"/>
            <w:r w:rsidRPr="00A24BC0">
              <w:t>supply</w:t>
            </w:r>
            <w:proofErr w:type="gramEnd"/>
            <w:r w:rsidRPr="00A24BC0">
              <w:t> </w:t>
            </w:r>
          </w:p>
          <w:p w14:paraId="541E3181" w14:textId="77777777"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 xml:space="preserve">failure to deliver customer </w:t>
            </w:r>
            <w:proofErr w:type="gramStart"/>
            <w:r w:rsidRPr="00A24BC0">
              <w:t>outcomes</w:t>
            </w:r>
            <w:proofErr w:type="gramEnd"/>
            <w:r w:rsidRPr="00A24BC0">
              <w:t>  </w:t>
            </w:r>
          </w:p>
          <w:p w14:paraId="22FDE983" w14:textId="2F723122"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 xml:space="preserve">failure to meet KPIs guaranteed service level </w:t>
            </w:r>
            <w:r w:rsidRPr="00A24BC0">
              <w:lastRenderedPageBreak/>
              <w:t>(GSL) payments</w:t>
            </w:r>
          </w:p>
        </w:tc>
        <w:tc>
          <w:tcPr>
            <w:tcW w:w="3374" w:type="dxa"/>
          </w:tcPr>
          <w:p w14:paraId="01F403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Asset management plans to identify maintenance </w:t>
            </w:r>
            <w:proofErr w:type="gramStart"/>
            <w:r w:rsidRPr="00A24BC0">
              <w:t>programs</w:t>
            </w:r>
            <w:proofErr w:type="gramEnd"/>
          </w:p>
          <w:p w14:paraId="092BE013" w14:textId="28C5707A"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w:t>
            </w:r>
          </w:p>
          <w:p w14:paraId="733FE7E2" w14:textId="77777777" w:rsidR="00A24BC0" w:rsidRPr="00A24BC0" w:rsidRDefault="00A24BC0">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A24BC0">
              <w:t>asset ecosystems systems which are digital systems and capabilities that monitor, record and report on condition of assets with the capability to monitor and control physical processes and devices in real time.   </w:t>
            </w:r>
          </w:p>
          <w:p w14:paraId="75AFB5A9" w14:textId="77777777" w:rsidR="00A24BC0" w:rsidRPr="00A24BC0" w:rsidRDefault="00A24BC0">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A24BC0">
              <w:t xml:space="preserve">water and sewer main renewals to maintain </w:t>
            </w:r>
            <w:r w:rsidRPr="00A24BC0">
              <w:lastRenderedPageBreak/>
              <w:t>the same level of service.  </w:t>
            </w:r>
          </w:p>
          <w:p w14:paraId="51D2D085" w14:textId="4DBBDF6E"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System augmentations to enable more resilient and consistent supply at the highest-risk locations and treatment plant capacity. </w:t>
            </w:r>
          </w:p>
        </w:tc>
        <w:tc>
          <w:tcPr>
            <w:tcW w:w="4154" w:type="dxa"/>
          </w:tcPr>
          <w:p w14:paraId="1F965D1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Responsive costs can be controlled by taking preventative actions. </w:t>
            </w:r>
          </w:p>
          <w:p w14:paraId="667E7FA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DF4991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Customers told </w:t>
            </w:r>
            <w:proofErr w:type="gramStart"/>
            <w:r w:rsidRPr="00A24BC0">
              <w:t>us</w:t>
            </w:r>
            <w:proofErr w:type="gramEnd"/>
            <w:r w:rsidRPr="00A24BC0">
              <w:t xml:space="preserve"> </w:t>
            </w:r>
          </w:p>
          <w:p w14:paraId="4BA0E1C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water is safe, </w:t>
            </w:r>
            <w:proofErr w:type="gramStart"/>
            <w:r w:rsidRPr="00A24BC0">
              <w:t>consistent</w:t>
            </w:r>
            <w:proofErr w:type="gramEnd"/>
            <w:r w:rsidRPr="00A24BC0">
              <w:t xml:space="preserve"> and resilient is important.</w:t>
            </w:r>
          </w:p>
          <w:p w14:paraId="7601E5B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1D631D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risk allocation is shared:  </w:t>
            </w:r>
          </w:p>
          <w:p w14:paraId="5143AE5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consequences of not maintaining services that customers value will be borne by GWW through our new GSL scheme.  </w:t>
            </w:r>
          </w:p>
          <w:p w14:paraId="2C84559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hold the risk of service disruption </w:t>
            </w:r>
          </w:p>
        </w:tc>
      </w:tr>
      <w:tr w:rsidR="00A24BC0" w:rsidRPr="00A24BC0" w14:paraId="3877B308"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D41D795" w14:textId="77777777" w:rsidR="00A24BC0" w:rsidRPr="004D2299" w:rsidRDefault="00A24BC0" w:rsidP="00A24BC0">
            <w:pPr>
              <w:rPr>
                <w:b w:val="0"/>
              </w:rPr>
            </w:pPr>
            <w:r w:rsidRPr="004D2299">
              <w:rPr>
                <w:b w:val="0"/>
              </w:rPr>
              <w:t>Major IT and/or asset ecosystems failure</w:t>
            </w:r>
          </w:p>
        </w:tc>
        <w:tc>
          <w:tcPr>
            <w:tcW w:w="2400" w:type="dxa"/>
          </w:tcPr>
          <w:p w14:paraId="11F85D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information technology systems support GWW’s distribution and treatment operations.  </w:t>
            </w:r>
          </w:p>
          <w:p w14:paraId="002D802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system failure can result in: </w:t>
            </w:r>
          </w:p>
          <w:p w14:paraId="6C99F949"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negative impact on service supply </w:t>
            </w:r>
          </w:p>
          <w:p w14:paraId="69FD4A4C"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technical failure to SCADA, billing system, GIS, system ops, etc. </w:t>
            </w:r>
          </w:p>
          <w:p w14:paraId="351839AD"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financial loss short-term business continuity problem </w:t>
            </w:r>
          </w:p>
          <w:p w14:paraId="4F0EEAE6" w14:textId="62201794"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 xml:space="preserve">increase in expenditure to </w:t>
            </w:r>
            <w:r w:rsidRPr="00A24BC0">
              <w:lastRenderedPageBreak/>
              <w:t>rectify problem(s)</w:t>
            </w:r>
          </w:p>
        </w:tc>
        <w:tc>
          <w:tcPr>
            <w:tcW w:w="3374" w:type="dxa"/>
          </w:tcPr>
          <w:p w14:paraId="0A5657E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Implement a range of controls to address risks associated with IT service provision, including:  </w:t>
            </w:r>
          </w:p>
          <w:p w14:paraId="2D76939B"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recovery and backup program  </w:t>
            </w:r>
          </w:p>
          <w:p w14:paraId="3909699D"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appropriate use of cloud computing services </w:t>
            </w:r>
          </w:p>
          <w:p w14:paraId="392590BD"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effective business continuity framework modernisation of IT systems to contemporary platforms. </w:t>
            </w:r>
          </w:p>
          <w:p w14:paraId="202303E6" w14:textId="364A883E" w:rsidR="00A24BC0" w:rsidRPr="00A24BC0" w:rsidRDefault="00A24BC0" w:rsidP="00E944FB">
            <w:pPr>
              <w:ind w:left="360"/>
              <w:cnfStyle w:val="000000000000" w:firstRow="0" w:lastRow="0" w:firstColumn="0" w:lastColumn="0" w:oddVBand="0" w:evenVBand="0" w:oddHBand="0" w:evenHBand="0" w:firstRowFirstColumn="0" w:firstRowLastColumn="0" w:lastRowFirstColumn="0" w:lastRowLastColumn="0"/>
            </w:pPr>
            <w:r w:rsidRPr="00A24BC0">
              <w:t xml:space="preserve">Considerable </w:t>
            </w:r>
            <w:r w:rsidR="00741613" w:rsidRPr="00A24BC0">
              <w:t xml:space="preserve">capital </w:t>
            </w:r>
            <w:r w:rsidR="00741613">
              <w:t xml:space="preserve">expenditure </w:t>
            </w:r>
            <w:r w:rsidRPr="00A24BC0">
              <w:t>in IT and asset ecosystem uplift and consolidation  </w:t>
            </w:r>
          </w:p>
        </w:tc>
        <w:tc>
          <w:tcPr>
            <w:tcW w:w="4154" w:type="dxa"/>
          </w:tcPr>
          <w:p w14:paraId="7A5946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Reliable and secure IT systems are fundamental to providing valued customer experiences, maintaining customer trust and meeting compliance obligations. </w:t>
            </w:r>
          </w:p>
          <w:p w14:paraId="4DF376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10221EB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Response expenditure can be controlled by taking preventative actions. </w:t>
            </w:r>
          </w:p>
          <w:p w14:paraId="080251A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C03BD2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not maintaining IT systems. </w:t>
            </w:r>
          </w:p>
          <w:p w14:paraId="167C453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6131C53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31C1D42" w14:textId="77777777" w:rsidR="00A24BC0" w:rsidRPr="004D2299" w:rsidRDefault="00A24BC0" w:rsidP="00A24BC0">
            <w:pPr>
              <w:rPr>
                <w:b w:val="0"/>
              </w:rPr>
            </w:pPr>
            <w:r w:rsidRPr="004D2299">
              <w:rPr>
                <w:b w:val="0"/>
              </w:rPr>
              <w:t>Technology breaches  </w:t>
            </w:r>
          </w:p>
        </w:tc>
        <w:tc>
          <w:tcPr>
            <w:tcW w:w="2400" w:type="dxa"/>
          </w:tcPr>
          <w:p w14:paraId="489B67A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Loss of sensitive data and/or control of our technology operating environment resulting in financial, reputational, well-being and regulatory impacts.</w:t>
            </w:r>
          </w:p>
          <w:p w14:paraId="0CE398F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26FA01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 privacy and confidential business data are shared.  </w:t>
            </w:r>
          </w:p>
          <w:p w14:paraId="5F5D1E7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1267B1F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Business continuity framework, emergency management framework</w:t>
            </w:r>
          </w:p>
          <w:p w14:paraId="2F2279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Information security management system including periodic test programs and disaster recovery plan.</w:t>
            </w:r>
          </w:p>
          <w:p w14:paraId="589C864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Cyber strategy uplift including cyber behaviour campaigns and capability </w:t>
            </w:r>
            <w:proofErr w:type="gramStart"/>
            <w:r w:rsidRPr="00A24BC0">
              <w:t>uplift</w:t>
            </w:r>
            <w:proofErr w:type="gramEnd"/>
          </w:p>
          <w:p w14:paraId="07D957E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Regular cyber behavioural training programs</w:t>
            </w:r>
          </w:p>
          <w:p w14:paraId="380CD15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Cyber security threat and vulnerability monitoring, response plan and quarterly cyber risk reporting to the board</w:t>
            </w:r>
          </w:p>
          <w:p w14:paraId="26E01444" w14:textId="77777777" w:rsid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Security of critical </w:t>
            </w:r>
            <w:r w:rsidR="00E8062C">
              <w:t>infrastructure</w:t>
            </w:r>
            <w:r w:rsidR="00E8062C" w:rsidRPr="00A24BC0">
              <w:t xml:space="preserve"> </w:t>
            </w:r>
            <w:r w:rsidRPr="00A24BC0">
              <w:t xml:space="preserve">IT program to improve cyber security management to meet industry standards. </w:t>
            </w:r>
          </w:p>
          <w:p w14:paraId="55D10A6E" w14:textId="77777777" w:rsidR="009B2919" w:rsidRDefault="009B2919" w:rsidP="00A24BC0">
            <w:pPr>
              <w:cnfStyle w:val="000000000000" w:firstRow="0" w:lastRow="0" w:firstColumn="0" w:lastColumn="0" w:oddVBand="0" w:evenVBand="0" w:oddHBand="0" w:evenHBand="0" w:firstRowFirstColumn="0" w:firstRowLastColumn="0" w:lastRowFirstColumn="0" w:lastRowLastColumn="0"/>
            </w:pPr>
          </w:p>
          <w:p w14:paraId="0D7E0241" w14:textId="3B64D8D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362923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Reliable and secure IT systems are fundamental to providing valued customer experiences, maintaining customer trust and meeting compliance obligations. </w:t>
            </w:r>
          </w:p>
          <w:p w14:paraId="6344901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85895F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holds the consequences of not maintaining IT systems.  </w:t>
            </w:r>
          </w:p>
          <w:p w14:paraId="597E669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109E1DE5"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4D6757BF" w14:textId="77777777" w:rsidR="00A24BC0" w:rsidRPr="00A24BC0" w:rsidRDefault="00A24BC0" w:rsidP="00A24BC0">
            <w:r w:rsidRPr="00A24BC0">
              <w:t xml:space="preserve">Climate influences and climate adaptation  </w:t>
            </w:r>
          </w:p>
        </w:tc>
      </w:tr>
      <w:tr w:rsidR="00A24BC0" w:rsidRPr="00A24BC0" w14:paraId="6242E84F"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CED9610" w14:textId="77777777" w:rsidR="00A24BC0" w:rsidRPr="004D2299" w:rsidRDefault="00A24BC0" w:rsidP="00A24BC0">
            <w:pPr>
              <w:rPr>
                <w:b w:val="0"/>
              </w:rPr>
            </w:pPr>
            <w:r w:rsidRPr="004D2299">
              <w:rPr>
                <w:b w:val="0"/>
              </w:rPr>
              <w:lastRenderedPageBreak/>
              <w:t xml:space="preserve">Extreme weather events  </w:t>
            </w:r>
          </w:p>
        </w:tc>
        <w:tc>
          <w:tcPr>
            <w:tcW w:w="2400" w:type="dxa"/>
          </w:tcPr>
          <w:p w14:paraId="61A29C4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Major events (</w:t>
            </w:r>
            <w:proofErr w:type="gramStart"/>
            <w:r w:rsidRPr="00A24BC0">
              <w:t>e.g.</w:t>
            </w:r>
            <w:proofErr w:type="gramEnd"/>
            <w:r w:rsidRPr="00A24BC0">
              <w:t xml:space="preserve"> a natural disaster) create a widespread disruption and failure to deliver services to the agreed standard leading to large GSL payments. </w:t>
            </w:r>
          </w:p>
        </w:tc>
        <w:tc>
          <w:tcPr>
            <w:tcW w:w="3374" w:type="dxa"/>
          </w:tcPr>
          <w:p w14:paraId="36535AE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Maintenance of contingency plans and industry protocols.  </w:t>
            </w:r>
          </w:p>
          <w:p w14:paraId="36D2AE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Water industry emergency response plan. </w:t>
            </w:r>
          </w:p>
          <w:p w14:paraId="4B82FDA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Application for unforeseen and uncertain events mechanism. </w:t>
            </w:r>
          </w:p>
        </w:tc>
        <w:tc>
          <w:tcPr>
            <w:tcW w:w="4154" w:type="dxa"/>
          </w:tcPr>
          <w:p w14:paraId="7B48F5D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is prudent and efficient for GWW to plan for reasonably foreseeable events. The consequences of Acts of God are covered under the unforeseen events mechanism. </w:t>
            </w:r>
          </w:p>
          <w:p w14:paraId="390BDF3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6EE229A" w14:textId="77777777" w:rsidR="003F4619" w:rsidRDefault="00260DAB" w:rsidP="00A24BC0">
            <w:pPr>
              <w:cnfStyle w:val="000000000000" w:firstRow="0" w:lastRow="0" w:firstColumn="0" w:lastColumn="0" w:oddVBand="0" w:evenVBand="0" w:oddHBand="0" w:evenHBand="0" w:firstRowFirstColumn="0" w:firstRowLastColumn="0" w:lastRowFirstColumn="0" w:lastRowLastColumn="0"/>
            </w:pPr>
            <w:r>
              <w:t xml:space="preserve">Risk allocation is shared: </w:t>
            </w:r>
          </w:p>
          <w:p w14:paraId="5E102A17" w14:textId="02490915" w:rsidR="003F4619" w:rsidRDefault="00E40F82" w:rsidP="00A24BC0">
            <w:pPr>
              <w:cnfStyle w:val="000000000000" w:firstRow="0" w:lastRow="0" w:firstColumn="0" w:lastColumn="0" w:oddVBand="0" w:evenVBand="0" w:oddHBand="0" w:evenHBand="0" w:firstRowFirstColumn="0" w:firstRowLastColumn="0" w:lastRowFirstColumn="0" w:lastRowLastColumn="0"/>
            </w:pPr>
            <w:r>
              <w:t xml:space="preserve">GWW has mitigation planning in place </w:t>
            </w:r>
            <w:r w:rsidR="00FF41DB">
              <w:t>and provides GSL</w:t>
            </w:r>
            <w:r w:rsidR="00E53E0D">
              <w:t xml:space="preserve"> payments to customers for significant service </w:t>
            </w:r>
            <w:r w:rsidR="003F4619">
              <w:t>disruptions.</w:t>
            </w:r>
          </w:p>
          <w:p w14:paraId="2D138E32" w14:textId="1D6C16A5" w:rsidR="00A24BC0" w:rsidRPr="00A24BC0" w:rsidRDefault="00170DF3" w:rsidP="00A24BC0">
            <w:pPr>
              <w:cnfStyle w:val="000000000000" w:firstRow="0" w:lastRow="0" w:firstColumn="0" w:lastColumn="0" w:oddVBand="0" w:evenVBand="0" w:oddHBand="0" w:evenHBand="0" w:firstRowFirstColumn="0" w:firstRowLastColumn="0" w:lastRowFirstColumn="0" w:lastRowLastColumn="0"/>
            </w:pPr>
            <w:r>
              <w:t xml:space="preserve">Uncertain and unforeseen events mechanism </w:t>
            </w:r>
            <w:r w:rsidR="009353B1">
              <w:t>application</w:t>
            </w:r>
            <w:r w:rsidR="00056117">
              <w:t xml:space="preserve"> where necessary.</w:t>
            </w:r>
            <w:r w:rsidR="00B05D5D">
              <w:t xml:space="preserve"> </w:t>
            </w:r>
            <w:r w:rsidR="00A24BC0" w:rsidRPr="00A24BC0">
              <w:t xml:space="preserve">  </w:t>
            </w:r>
          </w:p>
        </w:tc>
      </w:tr>
      <w:tr w:rsidR="00A24BC0" w:rsidRPr="00A24BC0" w14:paraId="023608C3"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BD6F7DD" w14:textId="77777777" w:rsidR="00A24BC0" w:rsidRPr="004D2299" w:rsidRDefault="00A24BC0" w:rsidP="00A24BC0">
            <w:pPr>
              <w:rPr>
                <w:b w:val="0"/>
              </w:rPr>
            </w:pPr>
            <w:r w:rsidRPr="004D2299">
              <w:rPr>
                <w:b w:val="0"/>
              </w:rPr>
              <w:t xml:space="preserve">Water shortage – leading to supply </w:t>
            </w:r>
            <w:proofErr w:type="gramStart"/>
            <w:r w:rsidRPr="004D2299">
              <w:rPr>
                <w:b w:val="0"/>
              </w:rPr>
              <w:t>restrictions</w:t>
            </w:r>
            <w:proofErr w:type="gramEnd"/>
            <w:r w:rsidRPr="004D2299">
              <w:rPr>
                <w:b w:val="0"/>
              </w:rPr>
              <w:t> </w:t>
            </w:r>
          </w:p>
          <w:p w14:paraId="40EFB8F8" w14:textId="77777777" w:rsidR="00A24BC0" w:rsidRPr="004D2299" w:rsidRDefault="00A24BC0" w:rsidP="00A24BC0">
            <w:pPr>
              <w:rPr>
                <w:b w:val="0"/>
                <w:highlight w:val="yellow"/>
              </w:rPr>
            </w:pPr>
          </w:p>
        </w:tc>
        <w:tc>
          <w:tcPr>
            <w:tcW w:w="2400" w:type="dxa"/>
          </w:tcPr>
          <w:p w14:paraId="4797DA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 satisfaction is reduced as access to water is rationed via restrictions.  </w:t>
            </w:r>
          </w:p>
          <w:p w14:paraId="279B147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036D2B0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Revenue to GWW is correspondingly lower, placing financial viability at risk. </w:t>
            </w:r>
          </w:p>
        </w:tc>
        <w:tc>
          <w:tcPr>
            <w:tcW w:w="3374" w:type="dxa"/>
          </w:tcPr>
          <w:p w14:paraId="0E190A9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Commitment to water conservation policies, including Target 150 and permanent water use rules. </w:t>
            </w:r>
          </w:p>
          <w:p w14:paraId="71B8AC5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Undertake actions aligning to our latest GWW drought preparedness plan.  </w:t>
            </w:r>
          </w:p>
          <w:p w14:paraId="54B812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Provide joint desalinated water order advice to the Minster recommending a volume of water to be purchased in order aligning to the updated water outlook zones actions.  </w:t>
            </w:r>
          </w:p>
          <w:p w14:paraId="34A76F1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Commitment to the SWS and GWMUSS actions relating to water security and resilience of </w:t>
            </w:r>
            <w:proofErr w:type="gramStart"/>
            <w:r w:rsidRPr="00A24BC0">
              <w:t>supply</w:t>
            </w:r>
            <w:proofErr w:type="gramEnd"/>
            <w:r w:rsidRPr="00A24BC0">
              <w:t>  </w:t>
            </w:r>
          </w:p>
          <w:p w14:paraId="3B228246" w14:textId="322CF88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Utilise the tariff basket </w:t>
            </w:r>
            <w:proofErr w:type="gramStart"/>
            <w:r w:rsidRPr="00A24BC0">
              <w:t>( reduce</w:t>
            </w:r>
            <w:proofErr w:type="gramEnd"/>
            <w:r w:rsidRPr="00A24BC0">
              <w:t xml:space="preserve"> volumetric prices) </w:t>
            </w:r>
            <w:r w:rsidRPr="00A24BC0">
              <w:lastRenderedPageBreak/>
              <w:t>should water sales reduce during the regulatory period. </w:t>
            </w:r>
          </w:p>
        </w:tc>
        <w:tc>
          <w:tcPr>
            <w:tcW w:w="4154" w:type="dxa"/>
          </w:tcPr>
          <w:p w14:paraId="35EC91A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Maintaining security of supply provides customer confidence and avoids customers having to make prospectively inefficient investments in water conservation (or substitute supplies) </w:t>
            </w:r>
            <w:proofErr w:type="gramStart"/>
            <w:r w:rsidRPr="00A24BC0">
              <w:t>as a consequence of</w:t>
            </w:r>
            <w:proofErr w:type="gramEnd"/>
            <w:r w:rsidRPr="00A24BC0">
              <w:t xml:space="preserve"> water restrictions. </w:t>
            </w:r>
          </w:p>
          <w:p w14:paraId="4F9C351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36AD9E8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 allocation is shared:  </w:t>
            </w:r>
          </w:p>
          <w:p w14:paraId="3DA68AF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holds the financial consequences of inaccurate (low) forecasts in PS24 as a result of any possible restrictions on the water </w:t>
            </w:r>
            <w:proofErr w:type="gramStart"/>
            <w:r w:rsidRPr="00A24BC0">
              <w:t>supply</w:t>
            </w:r>
            <w:proofErr w:type="gramEnd"/>
          </w:p>
          <w:p w14:paraId="392DDFE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pay for desalinated water orders or reductions in satisfaction resulting from the application of water use restrictions. </w:t>
            </w:r>
          </w:p>
          <w:p w14:paraId="2FF26C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4831D5CF"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4586" w:type="dxa"/>
            <w:gridSpan w:val="5"/>
            <w:shd w:val="clear" w:color="auto" w:fill="F4F0EE" w:themeFill="background2"/>
          </w:tcPr>
          <w:p w14:paraId="6DFAC3AE" w14:textId="78C92927" w:rsidR="00A24BC0" w:rsidRPr="00A24BC0" w:rsidRDefault="00A24BC0" w:rsidP="00A24BC0">
            <w:r w:rsidRPr="00A24BC0">
              <w:t xml:space="preserve">Financial and </w:t>
            </w:r>
            <w:r w:rsidR="00E8062C">
              <w:t>r</w:t>
            </w:r>
            <w:r w:rsidRPr="00A24BC0">
              <w:t xml:space="preserve">egulatory </w:t>
            </w:r>
            <w:r w:rsidR="00E8062C">
              <w:t>r</w:t>
            </w:r>
            <w:r w:rsidRPr="00A24BC0">
              <w:t>isks   </w:t>
            </w:r>
          </w:p>
        </w:tc>
      </w:tr>
      <w:tr w:rsidR="00A24BC0" w:rsidRPr="00A24BC0" w14:paraId="596A3D0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AE450D3" w14:textId="77777777" w:rsidR="00A24BC0" w:rsidRPr="004D2299" w:rsidRDefault="00A24BC0" w:rsidP="00A24BC0">
            <w:pPr>
              <w:rPr>
                <w:b w:val="0"/>
              </w:rPr>
            </w:pPr>
            <w:r w:rsidRPr="004D2299">
              <w:rPr>
                <w:b w:val="0"/>
              </w:rPr>
              <w:t>Expenditure to achieve net zero by 2030</w:t>
            </w:r>
          </w:p>
        </w:tc>
        <w:tc>
          <w:tcPr>
            <w:tcW w:w="2400" w:type="dxa"/>
          </w:tcPr>
          <w:p w14:paraId="63FD745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Uncertain operational expenditure has been removed.  </w:t>
            </w:r>
          </w:p>
        </w:tc>
        <w:tc>
          <w:tcPr>
            <w:tcW w:w="3374" w:type="dxa"/>
          </w:tcPr>
          <w:p w14:paraId="0D64DE3D" w14:textId="282B6515"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have developed a roadmap to Net Zero by 2030. We are currently working on the implementation plan - focussed on utilising the Vic Governments VRET2 scheme and </w:t>
            </w:r>
            <w:r w:rsidR="00741613" w:rsidRPr="00A24BC0">
              <w:t xml:space="preserve">capital </w:t>
            </w:r>
            <w:r w:rsidR="00741613">
              <w:t>expenditure</w:t>
            </w:r>
            <w:r w:rsidRPr="00A24BC0">
              <w:t>. Where emissions can't be reduced by the above initiatives, GWW will purchase offsets through operational expenditure to ensure we meet our obligation.</w:t>
            </w:r>
          </w:p>
          <w:p w14:paraId="71AE79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Collaboration across the water sector to develop imitative solutions</w:t>
            </w:r>
          </w:p>
        </w:tc>
        <w:tc>
          <w:tcPr>
            <w:tcW w:w="4154" w:type="dxa"/>
          </w:tcPr>
          <w:p w14:paraId="4D6D0F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Ensuring GWW is planning and initiating activities to meet </w:t>
            </w:r>
            <w:proofErr w:type="gramStart"/>
            <w:r w:rsidRPr="00A24BC0">
              <w:t>obligations</w:t>
            </w:r>
            <w:proofErr w:type="gramEnd"/>
            <w:r w:rsidRPr="00A24BC0">
              <w:t xml:space="preserve">  </w:t>
            </w:r>
          </w:p>
          <w:p w14:paraId="6BF921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F826BB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financial risk.</w:t>
            </w:r>
          </w:p>
        </w:tc>
      </w:tr>
      <w:tr w:rsidR="00A24BC0" w:rsidRPr="00A24BC0" w14:paraId="77A2C00E"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BB49D5F" w14:textId="77777777" w:rsidR="00A24BC0" w:rsidRPr="004D2299" w:rsidRDefault="00A24BC0" w:rsidP="00A24BC0">
            <w:pPr>
              <w:rPr>
                <w:b w:val="0"/>
              </w:rPr>
            </w:pPr>
            <w:r w:rsidRPr="004D2299">
              <w:rPr>
                <w:b w:val="0"/>
              </w:rPr>
              <w:t>Inflation and financial market movements </w:t>
            </w:r>
          </w:p>
        </w:tc>
        <w:tc>
          <w:tcPr>
            <w:tcW w:w="2400" w:type="dxa"/>
          </w:tcPr>
          <w:p w14:paraId="3B061F3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Movements to financial parameters that are outside of GWW’s control may lead to GWW either under or over-recovering revenues from customers as compared to efficient financing </w:t>
            </w:r>
            <w:proofErr w:type="gramStart"/>
            <w:r w:rsidRPr="00A24BC0">
              <w:t>costs</w:t>
            </w:r>
            <w:proofErr w:type="gramEnd"/>
            <w:r w:rsidRPr="00A24BC0">
              <w:t> </w:t>
            </w:r>
          </w:p>
          <w:p w14:paraId="74E7D1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64D92249" w14:textId="0A7B3A55" w:rsidR="009650BB" w:rsidRDefault="00E01E25" w:rsidP="00A24BC0">
            <w:pPr>
              <w:cnfStyle w:val="000000000000" w:firstRow="0" w:lastRow="0" w:firstColumn="0" w:lastColumn="0" w:oddVBand="0" w:evenVBand="0" w:oddHBand="0" w:evenHBand="0" w:firstRowFirstColumn="0" w:firstRowLastColumn="0" w:lastRowFirstColumn="0" w:lastRowLastColumn="0"/>
            </w:pPr>
            <w:r>
              <w:lastRenderedPageBreak/>
              <w:t xml:space="preserve">GWW has sought to deliver P0 real bill reductions for </w:t>
            </w:r>
            <w:proofErr w:type="gramStart"/>
            <w:r>
              <w:t>the majority of</w:t>
            </w:r>
            <w:proofErr w:type="gramEnd"/>
            <w:r>
              <w:t xml:space="preserve"> typical customers in 2024-25 where inflation may </w:t>
            </w:r>
            <w:r w:rsidR="009650BB">
              <w:t>remain higher than the long-term trend to help manage nominal bill changes.</w:t>
            </w:r>
          </w:p>
          <w:p w14:paraId="7C61C8C1" w14:textId="7C55C66E"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is not best placed to manage or hedge financial market movements and </w:t>
            </w:r>
            <w:r w:rsidRPr="00A24BC0">
              <w:lastRenderedPageBreak/>
              <w:t>several financial pass-throughs are proposed:  </w:t>
            </w:r>
          </w:p>
          <w:p w14:paraId="4E5F8807" w14:textId="33DFE346" w:rsidR="00A24BC0" w:rsidRPr="00A24BC0" w:rsidRDefault="00B03F04" w:rsidP="00A24BC0">
            <w:pPr>
              <w:cnfStyle w:val="000000000000" w:firstRow="0" w:lastRow="0" w:firstColumn="0" w:lastColumn="0" w:oddVBand="0" w:evenVBand="0" w:oddHBand="0" w:evenHBand="0" w:firstRowFirstColumn="0" w:firstRowLastColumn="0" w:lastRowFirstColumn="0" w:lastRowLastColumn="0"/>
            </w:pPr>
            <w:r>
              <w:t>Continue</w:t>
            </w:r>
            <w:r w:rsidR="00A24BC0" w:rsidRPr="00A24BC0">
              <w:t xml:space="preserve"> ten-year trailing average cost of debt as proposed by the ESC.  </w:t>
            </w:r>
          </w:p>
          <w:p w14:paraId="41F24E62" w14:textId="6DB3C21E" w:rsidR="00A24BC0" w:rsidRPr="00A24BC0" w:rsidRDefault="009B2A83" w:rsidP="00A24BC0">
            <w:pPr>
              <w:cnfStyle w:val="000000000000" w:firstRow="0" w:lastRow="0" w:firstColumn="0" w:lastColumn="0" w:oddVBand="0" w:evenVBand="0" w:oddHBand="0" w:evenHBand="0" w:firstRowFirstColumn="0" w:firstRowLastColumn="0" w:lastRowFirstColumn="0" w:lastRowLastColumn="0"/>
            </w:pPr>
            <w:r>
              <w:t>A</w:t>
            </w:r>
            <w:r w:rsidR="00A24BC0" w:rsidRPr="00A24BC0">
              <w:t xml:space="preserve">djust prices in response to the trailing average cost of </w:t>
            </w:r>
            <w:proofErr w:type="gramStart"/>
            <w:r w:rsidR="00A24BC0" w:rsidRPr="00A24BC0">
              <w:t>debt</w:t>
            </w:r>
            <w:proofErr w:type="gramEnd"/>
            <w:r w:rsidR="00A24BC0" w:rsidRPr="00A24BC0">
              <w:t>  </w:t>
            </w:r>
          </w:p>
          <w:p w14:paraId="661071D1" w14:textId="7EC209B5" w:rsidR="00A24BC0" w:rsidRPr="00A24BC0" w:rsidRDefault="009B2A83" w:rsidP="00A24BC0">
            <w:pPr>
              <w:cnfStyle w:val="000000000000" w:firstRow="0" w:lastRow="0" w:firstColumn="0" w:lastColumn="0" w:oddVBand="0" w:evenVBand="0" w:oddHBand="0" w:evenHBand="0" w:firstRowFirstColumn="0" w:firstRowLastColumn="0" w:lastRowFirstColumn="0" w:lastRowLastColumn="0"/>
            </w:pPr>
            <w:r>
              <w:t>I</w:t>
            </w:r>
            <w:r w:rsidR="00A24BC0" w:rsidRPr="00A24BC0">
              <w:t>ndexation of prices to inflation </w:t>
            </w:r>
          </w:p>
        </w:tc>
        <w:tc>
          <w:tcPr>
            <w:tcW w:w="4154" w:type="dxa"/>
          </w:tcPr>
          <w:p w14:paraId="1FEB53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The mitigations allow GWW to focus on its controllable costs and not bear risks associated with financial market movements. </w:t>
            </w:r>
          </w:p>
          <w:p w14:paraId="21EFBAB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04DA7DB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In line with ESC guidance, GWW proposes pass-through mechanisms for non-controllable financial market movements during PS24. </w:t>
            </w:r>
          </w:p>
          <w:p w14:paraId="4D164F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6C00D971" w14:textId="021E6793" w:rsidR="00A24BC0" w:rsidRPr="00A24BC0" w:rsidRDefault="00A53FD9" w:rsidP="00A24BC0">
            <w:pPr>
              <w:cnfStyle w:val="000000000000" w:firstRow="0" w:lastRow="0" w:firstColumn="0" w:lastColumn="0" w:oddVBand="0" w:evenVBand="0" w:oddHBand="0" w:evenHBand="0" w:firstRowFirstColumn="0" w:firstRowLastColumn="0" w:lastRowFirstColumn="0" w:lastRowLastColumn="0"/>
            </w:pPr>
            <w:r>
              <w:t>The</w:t>
            </w:r>
            <w:r w:rsidR="00A24BC0" w:rsidRPr="00A24BC0">
              <w:t xml:space="preserve"> costs of GWW managing these risks </w:t>
            </w:r>
            <w:r w:rsidR="00A24BC0" w:rsidRPr="00A24BC0">
              <w:lastRenderedPageBreak/>
              <w:t>through hedging are likely to be more than the benefits that might otherwise accrue to customers.</w:t>
            </w:r>
          </w:p>
        </w:tc>
      </w:tr>
      <w:tr w:rsidR="00A24BC0" w:rsidRPr="00A24BC0" w14:paraId="5DAE891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9AECA9A" w14:textId="77777777" w:rsidR="00A24BC0" w:rsidRPr="004D2299" w:rsidRDefault="00A24BC0" w:rsidP="00A24BC0">
            <w:pPr>
              <w:rPr>
                <w:b w:val="0"/>
              </w:rPr>
            </w:pPr>
            <w:r w:rsidRPr="004D2299">
              <w:rPr>
                <w:b w:val="0"/>
              </w:rPr>
              <w:lastRenderedPageBreak/>
              <w:t>Desalination cost changes </w:t>
            </w:r>
          </w:p>
          <w:p w14:paraId="019F56FB" w14:textId="77777777" w:rsidR="00A24BC0" w:rsidRPr="004D2299" w:rsidRDefault="00A24BC0" w:rsidP="00A24BC0">
            <w:pPr>
              <w:rPr>
                <w:b w:val="0"/>
              </w:rPr>
            </w:pPr>
          </w:p>
        </w:tc>
        <w:tc>
          <w:tcPr>
            <w:tcW w:w="2400" w:type="dxa"/>
          </w:tcPr>
          <w:p w14:paraId="08304C33" w14:textId="1CE5794A" w:rsidR="00056E74"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Victorian Desalination Project (VDP) security payments are subject to variation (up or down depending on refinancing arrangements outside GWW’s control). There is a risk that GWW will either under or over-recover funds required for payment of obligations associated with the VDP. Further, costs increase when desalinated water orders are placed. </w:t>
            </w:r>
          </w:p>
        </w:tc>
        <w:tc>
          <w:tcPr>
            <w:tcW w:w="3374" w:type="dxa"/>
          </w:tcPr>
          <w:p w14:paraId="3FE7F17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Given GWW is not party to the desalination contract and is not able to manage desalination cost variations. As such, GWW will maintain cost pass-through mechanisms for changes in VDP security payments and desalinated water order costs.  </w:t>
            </w:r>
          </w:p>
          <w:p w14:paraId="4026E06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2E7CCE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will use the annual tariff basket adjustments to mitigate the impacts of large changes in desalination costs from year to year</w:t>
            </w:r>
          </w:p>
        </w:tc>
        <w:tc>
          <w:tcPr>
            <w:tcW w:w="4154" w:type="dxa"/>
          </w:tcPr>
          <w:p w14:paraId="050620B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Maintaining the security of supply provides customer confidence and prevents customers having to make prospectively inefficient investments in water conservation (or substitute supplies) because of water restrictions. </w:t>
            </w:r>
          </w:p>
          <w:p w14:paraId="57224FF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A62B31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With the proposed pass-through arrangements, customers will bear the risk associated with changes in desalination costs. </w:t>
            </w:r>
          </w:p>
          <w:p w14:paraId="177E271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23EE1DB7"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0BCE8BEE" w14:textId="77777777" w:rsidR="00A24BC0" w:rsidRPr="004D2299" w:rsidRDefault="00A24BC0" w:rsidP="00A24BC0">
            <w:pPr>
              <w:rPr>
                <w:b w:val="0"/>
              </w:rPr>
            </w:pPr>
            <w:r w:rsidRPr="004D2299">
              <w:rPr>
                <w:b w:val="0"/>
              </w:rPr>
              <w:t xml:space="preserve">Capital program </w:t>
            </w:r>
            <w:proofErr w:type="gramStart"/>
            <w:r w:rsidRPr="004D2299">
              <w:rPr>
                <w:b w:val="0"/>
              </w:rPr>
              <w:t>delivery</w:t>
            </w:r>
            <w:proofErr w:type="gramEnd"/>
            <w:r w:rsidRPr="004D2299">
              <w:rPr>
                <w:b w:val="0"/>
              </w:rPr>
              <w:t>  </w:t>
            </w:r>
          </w:p>
          <w:p w14:paraId="0DDAE901" w14:textId="77777777" w:rsidR="00A24BC0" w:rsidRPr="004D2299" w:rsidRDefault="00A24BC0" w:rsidP="00A24BC0">
            <w:pPr>
              <w:rPr>
                <w:b w:val="0"/>
              </w:rPr>
            </w:pPr>
          </w:p>
        </w:tc>
        <w:tc>
          <w:tcPr>
            <w:tcW w:w="2400" w:type="dxa"/>
          </w:tcPr>
          <w:p w14:paraId="2229800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Projects that have been removed from the capital program </w:t>
            </w:r>
            <w:r w:rsidRPr="00A24BC0">
              <w:lastRenderedPageBreak/>
              <w:t>due to low certainty or development may need to be implemented within the regulatory period, causing a financial impact on the business</w:t>
            </w:r>
          </w:p>
        </w:tc>
        <w:tc>
          <w:tcPr>
            <w:tcW w:w="3374" w:type="dxa"/>
          </w:tcPr>
          <w:p w14:paraId="2D21CDB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The GWW adaptive planning framework will re-prioritise capital projects annually based </w:t>
            </w:r>
            <w:r w:rsidRPr="00A24BC0">
              <w:lastRenderedPageBreak/>
              <w:t>on the operational risk framework and business risk appetite statements.</w:t>
            </w:r>
          </w:p>
        </w:tc>
        <w:tc>
          <w:tcPr>
            <w:tcW w:w="4154" w:type="dxa"/>
          </w:tcPr>
          <w:p w14:paraId="04DD7CF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 xml:space="preserve">Removal of uncertain projects from the capital program prevents over-recovery of revenue from </w:t>
            </w:r>
            <w:r w:rsidRPr="00A24BC0">
              <w:lastRenderedPageBreak/>
              <w:t>customers, ensuring only prudent and efficient costs are recovered.  </w:t>
            </w:r>
          </w:p>
          <w:p w14:paraId="400EB10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0EAAD32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lastRenderedPageBreak/>
              <w:t>GWW holds the risk. </w:t>
            </w:r>
          </w:p>
          <w:p w14:paraId="4A72748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40401560"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00F6BCD1" w14:textId="77777777" w:rsidR="00A24BC0" w:rsidRPr="004D2299" w:rsidRDefault="00A24BC0" w:rsidP="00A24BC0">
            <w:pPr>
              <w:rPr>
                <w:b w:val="0"/>
              </w:rPr>
            </w:pPr>
            <w:r w:rsidRPr="004D2299">
              <w:rPr>
                <w:b w:val="0"/>
              </w:rPr>
              <w:t>Changes in standards, regulations, and legislation </w:t>
            </w:r>
          </w:p>
          <w:p w14:paraId="14B64E68" w14:textId="77777777" w:rsidR="00A24BC0" w:rsidRPr="004D2299" w:rsidRDefault="00A24BC0" w:rsidP="00A24BC0">
            <w:pPr>
              <w:rPr>
                <w:b w:val="0"/>
              </w:rPr>
            </w:pPr>
          </w:p>
        </w:tc>
        <w:tc>
          <w:tcPr>
            <w:tcW w:w="2400" w:type="dxa"/>
          </w:tcPr>
          <w:p w14:paraId="30EAB34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Changes in standards, regulations and legislation can have a material effect on costs. This may cause GWW to either under or over recover revenues relative to its efficient costs. </w:t>
            </w:r>
          </w:p>
          <w:p w14:paraId="36EC01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1706FE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incorporated all known changes in regulation in PS24 (including increased Traditional Owner and GED obligations) </w:t>
            </w:r>
          </w:p>
          <w:p w14:paraId="02640C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proposes to retain ‘Changes in standards, regulations and legislation’ as an event that the uncertain and unforeseen events mechanism would cover. </w:t>
            </w:r>
          </w:p>
          <w:p w14:paraId="5335284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Dedicated government liaison officer to support engagement and partnerships with departments and regulatory agencies.  </w:t>
            </w:r>
          </w:p>
          <w:p w14:paraId="6FBBABF8" w14:textId="36AA6EB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Liaison with other water corporations and Vic Water. </w:t>
            </w:r>
          </w:p>
        </w:tc>
        <w:tc>
          <w:tcPr>
            <w:tcW w:w="4154" w:type="dxa"/>
          </w:tcPr>
          <w:p w14:paraId="0DC13A9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assumed a continuation of current regulatory obligations and standards. </w:t>
            </w:r>
          </w:p>
          <w:p w14:paraId="48F253B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38202D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In the medium term, GWW holds the risk of any changes in standards that cause an increase in cost. </w:t>
            </w:r>
          </w:p>
          <w:p w14:paraId="7DB40C3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7F4625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 the longer term, there is a risk that prices will need to increase if GWW must spend a lot more than we have allowed for to maintain compliance with regulation and standards. </w:t>
            </w:r>
          </w:p>
          <w:p w14:paraId="411E3E1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6C1423A8" w14:textId="77777777" w:rsidTr="004D2299">
        <w:trPr>
          <w:trHeight w:val="300"/>
        </w:trPr>
        <w:tc>
          <w:tcPr>
            <w:cnfStyle w:val="001000000000" w:firstRow="0" w:lastRow="0" w:firstColumn="1" w:lastColumn="0" w:oddVBand="0" w:evenVBand="0" w:oddHBand="0" w:evenHBand="0" w:firstRowFirstColumn="0" w:firstRowLastColumn="0" w:lastRowFirstColumn="0" w:lastRowLastColumn="0"/>
            <w:tcW w:w="14586" w:type="dxa"/>
            <w:gridSpan w:val="5"/>
            <w:shd w:val="clear" w:color="auto" w:fill="F4F0EE" w:themeFill="background2"/>
          </w:tcPr>
          <w:p w14:paraId="7580DFBC" w14:textId="77777777" w:rsidR="00A24BC0" w:rsidRPr="00A24BC0" w:rsidRDefault="00A24BC0" w:rsidP="00A24BC0">
            <w:r w:rsidRPr="00A24BC0">
              <w:t xml:space="preserve">Business risk </w:t>
            </w:r>
          </w:p>
        </w:tc>
      </w:tr>
      <w:tr w:rsidR="00A24BC0" w:rsidRPr="00A24BC0" w14:paraId="188909A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BA8E7AE" w14:textId="77777777" w:rsidR="00A24BC0" w:rsidRPr="004D2299" w:rsidRDefault="00A24BC0" w:rsidP="00A24BC0">
            <w:pPr>
              <w:rPr>
                <w:b w:val="0"/>
              </w:rPr>
            </w:pPr>
            <w:r w:rsidRPr="004D2299">
              <w:rPr>
                <w:b w:val="0"/>
              </w:rPr>
              <w:lastRenderedPageBreak/>
              <w:t>Decline in customer satisfaction</w:t>
            </w:r>
          </w:p>
        </w:tc>
        <w:tc>
          <w:tcPr>
            <w:tcW w:w="2400" w:type="dxa"/>
          </w:tcPr>
          <w:p w14:paraId="79CCDD9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exists to provide valued services to customers. There is a risk that the level of services provided does not meet customers’ expectations and this could be exacerbated in the current economic climate.  </w:t>
            </w:r>
          </w:p>
        </w:tc>
        <w:tc>
          <w:tcPr>
            <w:tcW w:w="3374" w:type="dxa"/>
          </w:tcPr>
          <w:p w14:paraId="435DF2D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Develop a set of customer-focused outcome areas with key measures of performance based on engagement findings.</w:t>
            </w:r>
          </w:p>
          <w:p w14:paraId="063963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continuous customer engagement to gain insights into and respond to changing customer expectations.  </w:t>
            </w:r>
          </w:p>
          <w:p w14:paraId="62BDCAD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Customer forum to annual track GWWs performance against our customer outcomes, </w:t>
            </w:r>
            <w:proofErr w:type="gramStart"/>
            <w:r w:rsidRPr="00A24BC0">
              <w:t>measures</w:t>
            </w:r>
            <w:proofErr w:type="gramEnd"/>
            <w:r w:rsidRPr="00A24BC0">
              <w:t xml:space="preserve"> and targets  </w:t>
            </w:r>
          </w:p>
          <w:p w14:paraId="261C2D9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Increased support to residential and small business customers through customer support programs </w:t>
            </w:r>
          </w:p>
        </w:tc>
        <w:tc>
          <w:tcPr>
            <w:tcW w:w="4154" w:type="dxa"/>
          </w:tcPr>
          <w:p w14:paraId="220EDC1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is important for GWW to continually adapt its service offerings to only provide services (supported by corresponding expenditures) that are valued by customers.</w:t>
            </w:r>
          </w:p>
        </w:tc>
        <w:tc>
          <w:tcPr>
            <w:tcW w:w="2841" w:type="dxa"/>
          </w:tcPr>
          <w:p w14:paraId="2F1F3CF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reputational risk and ‘performance’ (PREMO) risk during PS24. </w:t>
            </w:r>
          </w:p>
          <w:p w14:paraId="5C71E5C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bl>
    <w:p w14:paraId="4050A623" w14:textId="77777777" w:rsidR="0023141E" w:rsidRPr="00C5502F" w:rsidRDefault="0023141E" w:rsidP="00C5502F"/>
    <w:p w14:paraId="025EFBB2" w14:textId="77777777" w:rsidR="00C5502F" w:rsidRDefault="00C5502F" w:rsidP="00C5502F"/>
    <w:p w14:paraId="4FEC1B9B" w14:textId="77777777" w:rsidR="00704435" w:rsidRDefault="00704435" w:rsidP="00C5502F">
      <w:pPr>
        <w:sectPr w:rsidR="00704435" w:rsidSect="008C1A38">
          <w:headerReference w:type="default" r:id="rId92"/>
          <w:pgSz w:w="16838" w:h="11906" w:orient="landscape"/>
          <w:pgMar w:top="1134" w:right="1134" w:bottom="1134" w:left="1134" w:header="709" w:footer="652" w:gutter="0"/>
          <w:cols w:space="708"/>
          <w:docGrid w:linePitch="360"/>
        </w:sectPr>
      </w:pPr>
    </w:p>
    <w:p w14:paraId="0309135E" w14:textId="77777777" w:rsidR="00C5502F" w:rsidRPr="00C5502F" w:rsidRDefault="00C5502F" w:rsidP="00C5502F">
      <w:pPr>
        <w:sectPr w:rsidR="00C5502F" w:rsidRPr="00C5502F" w:rsidSect="008C1A38">
          <w:pgSz w:w="16838" w:h="11906" w:orient="landscape"/>
          <w:pgMar w:top="1134" w:right="1134" w:bottom="1134" w:left="1134" w:header="709" w:footer="652" w:gutter="0"/>
          <w:cols w:space="708"/>
          <w:docGrid w:linePitch="360"/>
        </w:sectPr>
      </w:pPr>
    </w:p>
    <w:p w14:paraId="143E8036" w14:textId="74D47CF2" w:rsidR="00635753" w:rsidRPr="00F92862" w:rsidRDefault="00D24DD4" w:rsidP="002A1F0B">
      <w:pPr>
        <w:pStyle w:val="AppendixL1LPcreated"/>
      </w:pPr>
      <w:bookmarkStart w:id="364" w:name="_Ref145919059"/>
      <w:bookmarkStart w:id="365" w:name="_Ref145919815"/>
      <w:bookmarkStart w:id="366" w:name="_Toc146004912"/>
      <w:bookmarkStart w:id="367" w:name="_Toc146004800"/>
      <w:bookmarkStart w:id="368" w:name="_Toc146746746"/>
      <w:r w:rsidRPr="00F92862">
        <w:lastRenderedPageBreak/>
        <w:t xml:space="preserve">Customer </w:t>
      </w:r>
      <w:r w:rsidR="00250B7F" w:rsidRPr="00F92862">
        <w:t>s</w:t>
      </w:r>
      <w:r w:rsidRPr="00F92862">
        <w:t>corecard</w:t>
      </w:r>
      <w:bookmarkEnd w:id="364"/>
      <w:bookmarkEnd w:id="365"/>
      <w:bookmarkEnd w:id="366"/>
      <w:bookmarkEnd w:id="367"/>
      <w:bookmarkEnd w:id="368"/>
    </w:p>
    <w:p w14:paraId="4F903461" w14:textId="3D8CF06C" w:rsidR="009B68CB" w:rsidRPr="00F92862" w:rsidRDefault="00EE5B60" w:rsidP="009B68CB">
      <w:r w:rsidRPr="00F92862">
        <w:t xml:space="preserve">Our measures and rebates were chosen by our Customer Forum (outlined </w:t>
      </w:r>
      <w:r w:rsidR="00EF625B">
        <w:t>S</w:t>
      </w:r>
      <w:r w:rsidR="00FA0580">
        <w:t xml:space="preserve">ection </w:t>
      </w:r>
      <w:r w:rsidR="00861A51">
        <w:t>3</w:t>
      </w:r>
      <w:r w:rsidR="00260939">
        <w:fldChar w:fldCharType="begin"/>
      </w:r>
      <w:r w:rsidR="00260939">
        <w:instrText xml:space="preserve"> REF _Ref146622191 \r \h </w:instrText>
      </w:r>
      <w:r w:rsidR="0069425C">
        <w:fldChar w:fldCharType="separate"/>
      </w:r>
      <w:r w:rsidR="00260939">
        <w:fldChar w:fldCharType="end"/>
      </w:r>
      <w:r w:rsidRPr="00F92862">
        <w:t>). To ensure we are appropriately measuring our performance and representing our core services, we engaged with our Customer Advisory Group, developers, and internal stakeholders to identify and include further measures to represent delivery for all stakeholders. Measures in black were chosen by our customer forum, while measures in red were developed through these other groups.</w:t>
      </w:r>
    </w:p>
    <w:p w14:paraId="310B2E65" w14:textId="77777777" w:rsidR="00635753" w:rsidRPr="00F92862" w:rsidRDefault="00635753" w:rsidP="00C5502F">
      <w:pPr>
        <w:pStyle w:val="NoSpacing"/>
      </w:pPr>
    </w:p>
    <w:tbl>
      <w:tblPr>
        <w:tblStyle w:val="GWWDefaulttable"/>
        <w:tblW w:w="5000" w:type="pct"/>
        <w:tblLook w:val="04A0" w:firstRow="1" w:lastRow="0" w:firstColumn="1" w:lastColumn="0" w:noHBand="0" w:noVBand="1"/>
      </w:tblPr>
      <w:tblGrid>
        <w:gridCol w:w="2365"/>
        <w:gridCol w:w="4262"/>
        <w:gridCol w:w="1914"/>
        <w:gridCol w:w="1097"/>
      </w:tblGrid>
      <w:tr w:rsidR="00A11BCD" w:rsidRPr="006B6E39" w14:paraId="2018F0A3" w14:textId="77777777" w:rsidTr="00091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B21F0A0" w14:textId="77777777" w:rsidR="00A11BCD" w:rsidRPr="00F92862" w:rsidRDefault="00A11BCD" w:rsidP="00A11BCD">
            <w:r w:rsidRPr="00F92862">
              <w:t xml:space="preserve">Promise 1: Your water is safe, </w:t>
            </w:r>
            <w:proofErr w:type="gramStart"/>
            <w:r w:rsidRPr="00F92862">
              <w:t>consistent</w:t>
            </w:r>
            <w:proofErr w:type="gramEnd"/>
            <w:r w:rsidRPr="00F92862">
              <w:t xml:space="preserve"> and resilient </w:t>
            </w:r>
          </w:p>
        </w:tc>
      </w:tr>
      <w:tr w:rsidR="00A11BCD" w:rsidRPr="006B6E39" w14:paraId="538700B3" w14:textId="77777777" w:rsidTr="00350756">
        <w:tc>
          <w:tcPr>
            <w:cnfStyle w:val="001000000000" w:firstRow="0" w:lastRow="0" w:firstColumn="1" w:lastColumn="0" w:oddVBand="0" w:evenVBand="0" w:oddHBand="0" w:evenHBand="0" w:firstRowFirstColumn="0" w:firstRowLastColumn="0" w:lastRowFirstColumn="0" w:lastRowLastColumn="0"/>
            <w:tcW w:w="1227" w:type="pct"/>
            <w:shd w:val="clear" w:color="auto" w:fill="B3C5E6" w:themeFill="accent2"/>
            <w:vAlign w:val="center"/>
          </w:tcPr>
          <w:p w14:paraId="77D44DC4" w14:textId="77777777" w:rsidR="00A11BCD" w:rsidRPr="00503A91" w:rsidRDefault="00A11BCD" w:rsidP="00A11BCD">
            <w:pPr>
              <w:rPr>
                <w:color w:val="auto"/>
              </w:rPr>
            </w:pPr>
            <w:r w:rsidRPr="00503A91">
              <w:rPr>
                <w:color w:val="auto"/>
              </w:rPr>
              <w:t xml:space="preserve">Experience </w:t>
            </w:r>
          </w:p>
        </w:tc>
        <w:tc>
          <w:tcPr>
            <w:tcW w:w="2211" w:type="pct"/>
            <w:shd w:val="clear" w:color="auto" w:fill="B3C5E6" w:themeFill="accent2"/>
            <w:vAlign w:val="center"/>
          </w:tcPr>
          <w:p w14:paraId="26B84D05"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993" w:type="pct"/>
            <w:shd w:val="clear" w:color="auto" w:fill="B3C5E6" w:themeFill="accent2"/>
            <w:vAlign w:val="center"/>
          </w:tcPr>
          <w:p w14:paraId="076F7330"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c>
          <w:tcPr>
            <w:tcW w:w="570" w:type="pct"/>
            <w:shd w:val="clear" w:color="auto" w:fill="B3C5E6" w:themeFill="accent2"/>
            <w:vAlign w:val="center"/>
          </w:tcPr>
          <w:p w14:paraId="59A2BF05"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Rebate ($)</w:t>
            </w:r>
          </w:p>
        </w:tc>
      </w:tr>
      <w:tr w:rsidR="00A11BCD" w:rsidRPr="006B6E39" w14:paraId="68E7C35F" w14:textId="77777777" w:rsidTr="00091763">
        <w:tc>
          <w:tcPr>
            <w:cnfStyle w:val="001000000000" w:firstRow="0" w:lastRow="0" w:firstColumn="1" w:lastColumn="0" w:oddVBand="0" w:evenVBand="0" w:oddHBand="0" w:evenHBand="0" w:firstRowFirstColumn="0" w:firstRowLastColumn="0" w:lastRowFirstColumn="0" w:lastRowLastColumn="0"/>
            <w:tcW w:w="1227" w:type="pct"/>
            <w:vMerge w:val="restart"/>
          </w:tcPr>
          <w:p w14:paraId="7D32C3B7" w14:textId="77777777" w:rsidR="00A11BCD" w:rsidRPr="00091763" w:rsidRDefault="00A11BCD" w:rsidP="00A11BCD">
            <w:pPr>
              <w:rPr>
                <w:b w:val="0"/>
              </w:rPr>
            </w:pPr>
            <w:r w:rsidRPr="00091763">
              <w:rPr>
                <w:b w:val="0"/>
              </w:rPr>
              <w:t>Your water tastes great, is high quality and always safe to drink</w:t>
            </w:r>
          </w:p>
        </w:tc>
        <w:tc>
          <w:tcPr>
            <w:tcW w:w="2211" w:type="pct"/>
          </w:tcPr>
          <w:p w14:paraId="1F8B4AE1"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Compliance with water quality standards and regulations (</w:t>
            </w:r>
            <w:r w:rsidRPr="00F92862">
              <w:rPr>
                <w:i/>
                <w:color w:val="FF0000"/>
              </w:rPr>
              <w:t xml:space="preserve">Safe Drinking Water Regulations </w:t>
            </w:r>
            <w:r w:rsidRPr="00F92862">
              <w:t xml:space="preserve">and </w:t>
            </w:r>
            <w:r w:rsidRPr="00F92862">
              <w:rPr>
                <w:i/>
              </w:rPr>
              <w:t>Australian Drinking Water Guidelines</w:t>
            </w:r>
            <w:r w:rsidRPr="00F92862">
              <w:t>)</w:t>
            </w:r>
          </w:p>
        </w:tc>
        <w:tc>
          <w:tcPr>
            <w:tcW w:w="993" w:type="pct"/>
          </w:tcPr>
          <w:p w14:paraId="3DC455E8"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100%</w:t>
            </w:r>
          </w:p>
        </w:tc>
        <w:tc>
          <w:tcPr>
            <w:tcW w:w="570" w:type="pct"/>
          </w:tcPr>
          <w:p w14:paraId="302079A7"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p>
        </w:tc>
      </w:tr>
      <w:tr w:rsidR="00A11BCD" w:rsidRPr="006B6E39" w14:paraId="6C7E96D0" w14:textId="77777777" w:rsidTr="00091763">
        <w:tc>
          <w:tcPr>
            <w:cnfStyle w:val="001000000000" w:firstRow="0" w:lastRow="0" w:firstColumn="1" w:lastColumn="0" w:oddVBand="0" w:evenVBand="0" w:oddHBand="0" w:evenHBand="0" w:firstRowFirstColumn="0" w:firstRowLastColumn="0" w:lastRowFirstColumn="0" w:lastRowLastColumn="0"/>
            <w:tcW w:w="1227" w:type="pct"/>
            <w:vMerge/>
          </w:tcPr>
          <w:p w14:paraId="1E3F0D33" w14:textId="77777777" w:rsidR="00A11BCD" w:rsidRPr="00091763" w:rsidRDefault="00A11BCD" w:rsidP="00A11BCD">
            <w:pPr>
              <w:rPr>
                <w:b w:val="0"/>
              </w:rPr>
            </w:pPr>
          </w:p>
        </w:tc>
        <w:tc>
          <w:tcPr>
            <w:tcW w:w="2211" w:type="pct"/>
          </w:tcPr>
          <w:p w14:paraId="73EA1067"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Customer satisfaction on our water quality on those who contacted GWW in past 12 months</w:t>
            </w:r>
          </w:p>
        </w:tc>
        <w:tc>
          <w:tcPr>
            <w:tcW w:w="993" w:type="pct"/>
          </w:tcPr>
          <w:p w14:paraId="75842611"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&gt;85%</w:t>
            </w:r>
          </w:p>
        </w:tc>
        <w:tc>
          <w:tcPr>
            <w:tcW w:w="570" w:type="pct"/>
          </w:tcPr>
          <w:p w14:paraId="69B554AE"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p>
        </w:tc>
      </w:tr>
      <w:tr w:rsidR="00A11BCD" w:rsidRPr="006B6E39" w14:paraId="5D32834A" w14:textId="77777777" w:rsidTr="00091763">
        <w:tc>
          <w:tcPr>
            <w:cnfStyle w:val="001000000000" w:firstRow="0" w:lastRow="0" w:firstColumn="1" w:lastColumn="0" w:oddVBand="0" w:evenVBand="0" w:oddHBand="0" w:evenHBand="0" w:firstRowFirstColumn="0" w:firstRowLastColumn="0" w:lastRowFirstColumn="0" w:lastRowLastColumn="0"/>
            <w:tcW w:w="1227" w:type="pct"/>
          </w:tcPr>
          <w:p w14:paraId="4F6C9037" w14:textId="77777777" w:rsidR="00A11BCD" w:rsidRPr="00091763" w:rsidRDefault="00A11BCD" w:rsidP="00A11BCD">
            <w:pPr>
              <w:rPr>
                <w:b w:val="0"/>
              </w:rPr>
            </w:pPr>
            <w:r w:rsidRPr="00091763">
              <w:rPr>
                <w:b w:val="0"/>
              </w:rPr>
              <w:t>Water is there when you turn on the tap</w:t>
            </w:r>
          </w:p>
        </w:tc>
        <w:tc>
          <w:tcPr>
            <w:tcW w:w="2211" w:type="pct"/>
          </w:tcPr>
          <w:p w14:paraId="12E56221"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Number of customers receiving more than four unplanned water supply interruptions in a year</w:t>
            </w:r>
          </w:p>
        </w:tc>
        <w:tc>
          <w:tcPr>
            <w:tcW w:w="993" w:type="pct"/>
          </w:tcPr>
          <w:p w14:paraId="04F23ECB"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&lt;270 customers</w:t>
            </w:r>
          </w:p>
        </w:tc>
        <w:tc>
          <w:tcPr>
            <w:tcW w:w="570" w:type="pct"/>
          </w:tcPr>
          <w:p w14:paraId="5C5FAB11"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$100</w:t>
            </w:r>
          </w:p>
        </w:tc>
      </w:tr>
      <w:tr w:rsidR="00A11BCD" w:rsidRPr="00A11BCD" w14:paraId="06E4DAA5" w14:textId="77777777" w:rsidTr="00091763">
        <w:tc>
          <w:tcPr>
            <w:cnfStyle w:val="001000000000" w:firstRow="0" w:lastRow="0" w:firstColumn="1" w:lastColumn="0" w:oddVBand="0" w:evenVBand="0" w:oddHBand="0" w:evenHBand="0" w:firstRowFirstColumn="0" w:firstRowLastColumn="0" w:lastRowFirstColumn="0" w:lastRowLastColumn="0"/>
            <w:tcW w:w="1227" w:type="pct"/>
          </w:tcPr>
          <w:p w14:paraId="75E39F19" w14:textId="77777777" w:rsidR="00A11BCD" w:rsidRPr="00091763" w:rsidRDefault="00A11BCD" w:rsidP="00A11BCD">
            <w:pPr>
              <w:rPr>
                <w:b w:val="0"/>
              </w:rPr>
            </w:pPr>
            <w:r w:rsidRPr="00091763">
              <w:rPr>
                <w:b w:val="0"/>
              </w:rPr>
              <w:t>Your sewerage service works without interruptions or blockages</w:t>
            </w:r>
          </w:p>
        </w:tc>
        <w:tc>
          <w:tcPr>
            <w:tcW w:w="2211" w:type="pct"/>
          </w:tcPr>
          <w:p w14:paraId="385B6D88"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Number of residential sewer supply customer interruptions (excludes interruptions due to faults in customers’ pipes)</w:t>
            </w:r>
          </w:p>
        </w:tc>
        <w:tc>
          <w:tcPr>
            <w:tcW w:w="993" w:type="pct"/>
          </w:tcPr>
          <w:p w14:paraId="2685C02B"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&lt;3,100 customers</w:t>
            </w:r>
          </w:p>
        </w:tc>
        <w:tc>
          <w:tcPr>
            <w:tcW w:w="570" w:type="pct"/>
          </w:tcPr>
          <w:p w14:paraId="7429E937" w14:textId="77777777" w:rsidR="00A11BCD" w:rsidRPr="00A11BCD"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$250</w:t>
            </w:r>
          </w:p>
        </w:tc>
      </w:tr>
    </w:tbl>
    <w:p w14:paraId="7FFA02D3" w14:textId="77777777" w:rsidR="00635753" w:rsidRPr="00635753" w:rsidRDefault="00635753" w:rsidP="00C5502F">
      <w:pPr>
        <w:pStyle w:val="NoSpacing"/>
      </w:pPr>
    </w:p>
    <w:tbl>
      <w:tblPr>
        <w:tblStyle w:val="GWWDefaulttable"/>
        <w:tblW w:w="5000" w:type="pct"/>
        <w:tblLook w:val="04A0" w:firstRow="1" w:lastRow="0" w:firstColumn="1" w:lastColumn="0" w:noHBand="0" w:noVBand="1"/>
      </w:tblPr>
      <w:tblGrid>
        <w:gridCol w:w="2446"/>
        <w:gridCol w:w="4316"/>
        <w:gridCol w:w="2876"/>
      </w:tblGrid>
      <w:tr w:rsidR="009E48A0" w:rsidRPr="006B6E39" w14:paraId="6458EA0F"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2F461CE" w14:textId="77777777" w:rsidR="009E48A0" w:rsidRPr="00F92862" w:rsidRDefault="009E48A0" w:rsidP="009E48A0">
            <w:r w:rsidRPr="00F92862">
              <w:t>Promise 2: When things go wrong, we fix them</w:t>
            </w:r>
          </w:p>
        </w:tc>
      </w:tr>
      <w:tr w:rsidR="009E48A0" w:rsidRPr="006B6E39" w14:paraId="188B15BF" w14:textId="77777777" w:rsidTr="00036506">
        <w:tc>
          <w:tcPr>
            <w:cnfStyle w:val="001000000000" w:firstRow="0" w:lastRow="0" w:firstColumn="1" w:lastColumn="0" w:oddVBand="0" w:evenVBand="0" w:oddHBand="0" w:evenHBand="0" w:firstRowFirstColumn="0" w:firstRowLastColumn="0" w:lastRowFirstColumn="0" w:lastRowLastColumn="0"/>
            <w:tcW w:w="1269" w:type="pct"/>
            <w:shd w:val="clear" w:color="auto" w:fill="B3C5E6" w:themeFill="accent2"/>
          </w:tcPr>
          <w:p w14:paraId="42183391" w14:textId="77777777" w:rsidR="009E48A0" w:rsidRPr="00091763" w:rsidRDefault="009E48A0" w:rsidP="009E48A0">
            <w:pPr>
              <w:rPr>
                <w:color w:val="auto"/>
              </w:rPr>
            </w:pPr>
            <w:r w:rsidRPr="00091763">
              <w:rPr>
                <w:color w:val="auto"/>
              </w:rPr>
              <w:t xml:space="preserve">Experience </w:t>
            </w:r>
          </w:p>
        </w:tc>
        <w:tc>
          <w:tcPr>
            <w:tcW w:w="2239" w:type="pct"/>
            <w:shd w:val="clear" w:color="auto" w:fill="B3C5E6" w:themeFill="accent2"/>
          </w:tcPr>
          <w:p w14:paraId="357F0DA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92" w:type="pct"/>
            <w:shd w:val="clear" w:color="auto" w:fill="B3C5E6" w:themeFill="accent2"/>
          </w:tcPr>
          <w:p w14:paraId="663BA08C"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9E48A0" w:rsidRPr="006B6E39" w14:paraId="352D1B90"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val="restart"/>
          </w:tcPr>
          <w:p w14:paraId="2ACDEFAB" w14:textId="77777777" w:rsidR="009E48A0" w:rsidRPr="006C7BF8" w:rsidRDefault="009E48A0" w:rsidP="009E48A0">
            <w:pPr>
              <w:rPr>
                <w:b w:val="0"/>
              </w:rPr>
            </w:pPr>
            <w:r w:rsidRPr="006C7BF8">
              <w:rPr>
                <w:b w:val="0"/>
              </w:rPr>
              <w:t>Our water and sewerage maintenance crews are responsive and efficient if disruptions happen</w:t>
            </w:r>
          </w:p>
        </w:tc>
        <w:tc>
          <w:tcPr>
            <w:tcW w:w="2239" w:type="pct"/>
          </w:tcPr>
          <w:p w14:paraId="39703E33"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Average time to fix a burst or leak in our main or trunk infrastructure (priority 1)</w:t>
            </w:r>
          </w:p>
        </w:tc>
        <w:tc>
          <w:tcPr>
            <w:tcW w:w="1492" w:type="pct"/>
            <w:vAlign w:val="center"/>
          </w:tcPr>
          <w:p w14:paraId="220F0485"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&lt; 465 minutes</w:t>
            </w:r>
          </w:p>
        </w:tc>
      </w:tr>
      <w:tr w:rsidR="009E48A0" w:rsidRPr="006B6E39" w14:paraId="53288DD7"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tcPr>
          <w:p w14:paraId="1E873476" w14:textId="77777777" w:rsidR="009E48A0" w:rsidRPr="006C7BF8" w:rsidRDefault="009E48A0" w:rsidP="009E48A0">
            <w:pPr>
              <w:rPr>
                <w:b w:val="0"/>
              </w:rPr>
            </w:pPr>
          </w:p>
        </w:tc>
        <w:tc>
          <w:tcPr>
            <w:tcW w:w="2239" w:type="pct"/>
          </w:tcPr>
          <w:p w14:paraId="43F461D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Average time to fix all reported sewer blockages/spills</w:t>
            </w:r>
          </w:p>
        </w:tc>
        <w:tc>
          <w:tcPr>
            <w:tcW w:w="1492" w:type="pct"/>
            <w:vAlign w:val="center"/>
          </w:tcPr>
          <w:p w14:paraId="115A602E"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&lt; 117 minutes</w:t>
            </w:r>
          </w:p>
        </w:tc>
      </w:tr>
      <w:tr w:rsidR="009E48A0" w:rsidRPr="006B6E39" w14:paraId="664CDF86"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tcPr>
          <w:p w14:paraId="55D655BC" w14:textId="77777777" w:rsidR="009E48A0" w:rsidRPr="006C7BF8" w:rsidRDefault="009E48A0" w:rsidP="009E48A0">
            <w:pPr>
              <w:rPr>
                <w:b w:val="0"/>
              </w:rPr>
            </w:pPr>
          </w:p>
        </w:tc>
        <w:tc>
          <w:tcPr>
            <w:tcW w:w="2239" w:type="pct"/>
          </w:tcPr>
          <w:p w14:paraId="1AA3E4F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rPr>
                <w:color w:val="FF0000"/>
              </w:rPr>
              <w:t>Percentage of unplanned water supply interruptions restored within five hours</w:t>
            </w:r>
          </w:p>
        </w:tc>
        <w:tc>
          <w:tcPr>
            <w:tcW w:w="1492" w:type="pct"/>
            <w:vAlign w:val="center"/>
          </w:tcPr>
          <w:p w14:paraId="1C939F24"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&gt;95%</w:t>
            </w:r>
          </w:p>
        </w:tc>
      </w:tr>
      <w:tr w:rsidR="009E48A0" w:rsidRPr="009E48A0" w14:paraId="7976462E" w14:textId="77777777" w:rsidTr="00036506">
        <w:tc>
          <w:tcPr>
            <w:cnfStyle w:val="001000000000" w:firstRow="0" w:lastRow="0" w:firstColumn="1" w:lastColumn="0" w:oddVBand="0" w:evenVBand="0" w:oddHBand="0" w:evenHBand="0" w:firstRowFirstColumn="0" w:firstRowLastColumn="0" w:lastRowFirstColumn="0" w:lastRowLastColumn="0"/>
            <w:tcW w:w="1269" w:type="pct"/>
          </w:tcPr>
          <w:p w14:paraId="2E280168" w14:textId="77777777" w:rsidR="009E48A0" w:rsidRPr="006C7BF8" w:rsidRDefault="009E48A0" w:rsidP="009E48A0">
            <w:pPr>
              <w:rPr>
                <w:b w:val="0"/>
              </w:rPr>
            </w:pPr>
            <w:r w:rsidRPr="006C7BF8">
              <w:rPr>
                <w:b w:val="0"/>
              </w:rPr>
              <w:lastRenderedPageBreak/>
              <w:t>We provide excellent customer services when you contact us</w:t>
            </w:r>
          </w:p>
        </w:tc>
        <w:tc>
          <w:tcPr>
            <w:tcW w:w="2239" w:type="pct"/>
          </w:tcPr>
          <w:p w14:paraId="4FCAB192"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Overall customer satisfaction of those who contact GWW in past 12 months</w:t>
            </w:r>
          </w:p>
        </w:tc>
        <w:tc>
          <w:tcPr>
            <w:tcW w:w="1492" w:type="pct"/>
            <w:vAlign w:val="center"/>
          </w:tcPr>
          <w:p w14:paraId="2E0B101F" w14:textId="079279F2" w:rsidR="009E48A0" w:rsidRPr="009E48A0"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&gt;80%</w:t>
            </w:r>
          </w:p>
        </w:tc>
      </w:tr>
    </w:tbl>
    <w:p w14:paraId="67D54735" w14:textId="77777777" w:rsidR="00635753" w:rsidRPr="00635753" w:rsidRDefault="00635753"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446"/>
        <w:gridCol w:w="4316"/>
        <w:gridCol w:w="2876"/>
      </w:tblGrid>
      <w:tr w:rsidR="008453FF" w:rsidRPr="008453FF" w14:paraId="1E9E83C0" w14:textId="77777777" w:rsidTr="0003650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3"/>
          </w:tcPr>
          <w:p w14:paraId="3DF2972E" w14:textId="77777777" w:rsidR="008453FF" w:rsidRPr="008453FF" w:rsidRDefault="008453FF" w:rsidP="008453FF">
            <w:r w:rsidRPr="008453FF">
              <w:t xml:space="preserve">Promise 3: We support our diverse communities and customers </w:t>
            </w:r>
          </w:p>
        </w:tc>
      </w:tr>
      <w:tr w:rsidR="008453FF" w:rsidRPr="008453FF" w14:paraId="16E29583"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shd w:val="clear" w:color="auto" w:fill="B3C5E6" w:themeFill="accent2"/>
          </w:tcPr>
          <w:p w14:paraId="42310D87" w14:textId="77777777" w:rsidR="008453FF" w:rsidRPr="006C7BF8" w:rsidRDefault="008453FF" w:rsidP="008453FF">
            <w:pPr>
              <w:rPr>
                <w:color w:val="auto"/>
              </w:rPr>
            </w:pPr>
            <w:r w:rsidRPr="006C7BF8">
              <w:rPr>
                <w:color w:val="auto"/>
              </w:rPr>
              <w:t xml:space="preserve">Experience </w:t>
            </w:r>
          </w:p>
        </w:tc>
        <w:tc>
          <w:tcPr>
            <w:tcW w:w="2239" w:type="pct"/>
            <w:shd w:val="clear" w:color="auto" w:fill="B3C5E6" w:themeFill="accent2"/>
          </w:tcPr>
          <w:p w14:paraId="6EE0D765" w14:textId="77777777" w:rsidR="008453FF" w:rsidRPr="00FD2D4F" w:rsidRDefault="008453FF" w:rsidP="008453FF">
            <w:pPr>
              <w:cnfStyle w:val="000000000000" w:firstRow="0" w:lastRow="0" w:firstColumn="0" w:lastColumn="0" w:oddVBand="0" w:evenVBand="0" w:oddHBand="0" w:evenHBand="0" w:firstRowFirstColumn="0" w:firstRowLastColumn="0" w:lastRowFirstColumn="0" w:lastRowLastColumn="0"/>
              <w:rPr>
                <w:b/>
              </w:rPr>
            </w:pPr>
            <w:r w:rsidRPr="00FD2D4F">
              <w:rPr>
                <w:b/>
              </w:rPr>
              <w:t>Report card measures</w:t>
            </w:r>
          </w:p>
        </w:tc>
        <w:tc>
          <w:tcPr>
            <w:tcW w:w="1492" w:type="pct"/>
            <w:shd w:val="clear" w:color="auto" w:fill="B3C5E6" w:themeFill="accent2"/>
          </w:tcPr>
          <w:p w14:paraId="42B43859" w14:textId="77777777" w:rsidR="008453FF" w:rsidRPr="00FD2D4F" w:rsidRDefault="008453FF" w:rsidP="008453FF">
            <w:pPr>
              <w:cnfStyle w:val="000000000000" w:firstRow="0" w:lastRow="0" w:firstColumn="0" w:lastColumn="0" w:oddVBand="0" w:evenVBand="0" w:oddHBand="0" w:evenHBand="0" w:firstRowFirstColumn="0" w:firstRowLastColumn="0" w:lastRowFirstColumn="0" w:lastRowLastColumn="0"/>
              <w:rPr>
                <w:b/>
              </w:rPr>
            </w:pPr>
            <w:r w:rsidRPr="00FD2D4F">
              <w:rPr>
                <w:b/>
              </w:rPr>
              <w:t>Our 2024-28 target</w:t>
            </w:r>
          </w:p>
        </w:tc>
      </w:tr>
      <w:tr w:rsidR="008453FF" w:rsidRPr="008453FF" w14:paraId="59DFB009"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tcPr>
          <w:p w14:paraId="0D8E7AA4" w14:textId="77777777" w:rsidR="008453FF" w:rsidRPr="006C7BF8" w:rsidRDefault="008453FF" w:rsidP="008453FF">
            <w:pPr>
              <w:rPr>
                <w:b w:val="0"/>
              </w:rPr>
            </w:pPr>
            <w:r w:rsidRPr="006C7BF8">
              <w:rPr>
                <w:b w:val="0"/>
              </w:rPr>
              <w:t>With our partners, we improve the wellbeing of our communities by providing alternative water to irrigate public green spaces</w:t>
            </w:r>
          </w:p>
        </w:tc>
        <w:tc>
          <w:tcPr>
            <w:tcW w:w="2239" w:type="pct"/>
          </w:tcPr>
          <w:p w14:paraId="2E0393F6"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t>The number of projects funded through the stormwater harvesting partnership fund</w:t>
            </w:r>
          </w:p>
        </w:tc>
        <w:tc>
          <w:tcPr>
            <w:tcW w:w="1492" w:type="pct"/>
          </w:tcPr>
          <w:p w14:paraId="5A50088D"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2024-27 target: On track</w:t>
            </w:r>
          </w:p>
          <w:p w14:paraId="7A16DB15"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2027-28 target: Met (10)</w:t>
            </w:r>
          </w:p>
        </w:tc>
      </w:tr>
      <w:tr w:rsidR="008453FF" w:rsidRPr="008453FF" w14:paraId="59F4DBEB"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vMerge w:val="restart"/>
          </w:tcPr>
          <w:p w14:paraId="75712966" w14:textId="77777777" w:rsidR="008453FF" w:rsidRPr="006C7BF8" w:rsidRDefault="008453FF" w:rsidP="008453FF">
            <w:pPr>
              <w:rPr>
                <w:b w:val="0"/>
              </w:rPr>
            </w:pPr>
            <w:r w:rsidRPr="006C7BF8">
              <w:rPr>
                <w:b w:val="0"/>
              </w:rPr>
              <w:t>We support the financial resilience of our communities and help you if you’re having payment difficulties</w:t>
            </w:r>
          </w:p>
        </w:tc>
        <w:tc>
          <w:tcPr>
            <w:tcW w:w="2239" w:type="pct"/>
          </w:tcPr>
          <w:p w14:paraId="114E2FFC"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t>Customer satisfaction that our prices for our services represents value for money</w:t>
            </w:r>
          </w:p>
        </w:tc>
        <w:tc>
          <w:tcPr>
            <w:tcW w:w="1492" w:type="pct"/>
          </w:tcPr>
          <w:p w14:paraId="7F9388D2"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&gt;60%</w:t>
            </w:r>
          </w:p>
        </w:tc>
      </w:tr>
      <w:tr w:rsidR="008453FF" w:rsidRPr="008453FF" w14:paraId="2897968A"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vMerge/>
          </w:tcPr>
          <w:p w14:paraId="21A5BB7C" w14:textId="77777777" w:rsidR="008453FF" w:rsidRPr="008453FF" w:rsidRDefault="008453FF" w:rsidP="008453FF"/>
        </w:tc>
        <w:tc>
          <w:tcPr>
            <w:tcW w:w="2239" w:type="pct"/>
          </w:tcPr>
          <w:p w14:paraId="6E165A36"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rPr>
                <w:color w:val="FF0000"/>
              </w:rPr>
              <w:t xml:space="preserve">Proportion of customer support program participants meeting mutual obligations </w:t>
            </w:r>
          </w:p>
        </w:tc>
        <w:tc>
          <w:tcPr>
            <w:tcW w:w="1492" w:type="pct"/>
          </w:tcPr>
          <w:p w14:paraId="6A8FC579"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&gt;75%</w:t>
            </w:r>
          </w:p>
        </w:tc>
      </w:tr>
    </w:tbl>
    <w:p w14:paraId="58F8055D" w14:textId="77777777" w:rsidR="008453FF" w:rsidRDefault="008453FF"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589"/>
        <w:gridCol w:w="4171"/>
        <w:gridCol w:w="2878"/>
      </w:tblGrid>
      <w:tr w:rsidR="006A575D" w:rsidRPr="006A575D" w14:paraId="06714BE1"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0227F0F" w14:textId="77777777" w:rsidR="006A575D" w:rsidRPr="006A575D" w:rsidRDefault="006A575D" w:rsidP="006A575D">
            <w:r w:rsidRPr="006A575D">
              <w:t>Promise 4: We enable growth and help businesses thrive</w:t>
            </w:r>
          </w:p>
        </w:tc>
      </w:tr>
      <w:tr w:rsidR="006A575D" w:rsidRPr="006A575D" w14:paraId="72F749DC" w14:textId="77777777" w:rsidTr="00036506">
        <w:tc>
          <w:tcPr>
            <w:cnfStyle w:val="001000000000" w:firstRow="0" w:lastRow="0" w:firstColumn="1" w:lastColumn="0" w:oddVBand="0" w:evenVBand="0" w:oddHBand="0" w:evenHBand="0" w:firstRowFirstColumn="0" w:firstRowLastColumn="0" w:lastRowFirstColumn="0" w:lastRowLastColumn="0"/>
            <w:tcW w:w="1343" w:type="pct"/>
            <w:shd w:val="clear" w:color="auto" w:fill="B3C5E6" w:themeFill="accent2"/>
          </w:tcPr>
          <w:p w14:paraId="437899A8" w14:textId="77777777" w:rsidR="006A575D" w:rsidRPr="006C7BF8" w:rsidRDefault="006A575D" w:rsidP="006A575D">
            <w:pPr>
              <w:rPr>
                <w:color w:val="auto"/>
              </w:rPr>
            </w:pPr>
            <w:r w:rsidRPr="006C7BF8">
              <w:rPr>
                <w:color w:val="auto"/>
              </w:rPr>
              <w:t xml:space="preserve">Experience </w:t>
            </w:r>
          </w:p>
        </w:tc>
        <w:tc>
          <w:tcPr>
            <w:tcW w:w="2164" w:type="pct"/>
            <w:shd w:val="clear" w:color="auto" w:fill="B3C5E6" w:themeFill="accent2"/>
          </w:tcPr>
          <w:p w14:paraId="04AB8E3D" w14:textId="77777777" w:rsidR="006A575D" w:rsidRPr="00F92862" w:rsidRDefault="006A575D" w:rsidP="006A575D">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92" w:type="pct"/>
            <w:shd w:val="clear" w:color="auto" w:fill="B3C5E6" w:themeFill="accent2"/>
          </w:tcPr>
          <w:p w14:paraId="447C6339" w14:textId="77777777" w:rsidR="006A575D" w:rsidRPr="00F92862" w:rsidRDefault="006A575D" w:rsidP="006A575D">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6A575D" w:rsidRPr="006A575D" w14:paraId="19E1A8B2" w14:textId="77777777" w:rsidTr="00036506">
        <w:tc>
          <w:tcPr>
            <w:cnfStyle w:val="001000000000" w:firstRow="0" w:lastRow="0" w:firstColumn="1" w:lastColumn="0" w:oddVBand="0" w:evenVBand="0" w:oddHBand="0" w:evenHBand="0" w:firstRowFirstColumn="0" w:firstRowLastColumn="0" w:lastRowFirstColumn="0" w:lastRowLastColumn="0"/>
            <w:tcW w:w="1343" w:type="pct"/>
          </w:tcPr>
          <w:p w14:paraId="13D97A0E" w14:textId="77777777" w:rsidR="006A575D" w:rsidRPr="006C7BF8" w:rsidRDefault="006A575D" w:rsidP="006A575D">
            <w:pPr>
              <w:rPr>
                <w:b w:val="0"/>
              </w:rPr>
            </w:pPr>
            <w:r w:rsidRPr="006C7BF8">
              <w:rPr>
                <w:b w:val="0"/>
              </w:rPr>
              <w:t>We provide excellent customer services when you contact us</w:t>
            </w:r>
          </w:p>
        </w:tc>
        <w:tc>
          <w:tcPr>
            <w:tcW w:w="2164" w:type="pct"/>
          </w:tcPr>
          <w:p w14:paraId="192C2BC0" w14:textId="77777777" w:rsidR="006A575D" w:rsidRPr="006A575D" w:rsidRDefault="006A575D" w:rsidP="006A575D">
            <w:pPr>
              <w:cnfStyle w:val="000000000000" w:firstRow="0" w:lastRow="0" w:firstColumn="0" w:lastColumn="0" w:oddVBand="0" w:evenVBand="0" w:oddHBand="0" w:evenHBand="0" w:firstRowFirstColumn="0" w:firstRowLastColumn="0" w:lastRowFirstColumn="0" w:lastRowLastColumn="0"/>
            </w:pPr>
            <w:r w:rsidRPr="006A575D">
              <w:t xml:space="preserve">Business customer satisfaction on responses to enquires and complaints </w:t>
            </w:r>
          </w:p>
        </w:tc>
        <w:tc>
          <w:tcPr>
            <w:tcW w:w="1492" w:type="pct"/>
          </w:tcPr>
          <w:p w14:paraId="4E973539"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&gt;65%</w:t>
            </w:r>
          </w:p>
        </w:tc>
      </w:tr>
      <w:tr w:rsidR="006A575D" w:rsidRPr="006A575D" w14:paraId="390B2AFF" w14:textId="77777777" w:rsidTr="00036506">
        <w:tc>
          <w:tcPr>
            <w:cnfStyle w:val="001000000000" w:firstRow="0" w:lastRow="0" w:firstColumn="1" w:lastColumn="0" w:oddVBand="0" w:evenVBand="0" w:oddHBand="0" w:evenHBand="0" w:firstRowFirstColumn="0" w:firstRowLastColumn="0" w:lastRowFirstColumn="0" w:lastRowLastColumn="0"/>
            <w:tcW w:w="1343" w:type="pct"/>
          </w:tcPr>
          <w:p w14:paraId="0111781B" w14:textId="77777777" w:rsidR="006A575D" w:rsidRPr="006C7BF8" w:rsidRDefault="006A575D" w:rsidP="006A575D">
            <w:pPr>
              <w:rPr>
                <w:b w:val="0"/>
              </w:rPr>
            </w:pPr>
            <w:r w:rsidRPr="006C7BF8">
              <w:rPr>
                <w:b w:val="0"/>
              </w:rPr>
              <w:t>We support agriculture with the right recycled water products for your needs</w:t>
            </w:r>
          </w:p>
        </w:tc>
        <w:tc>
          <w:tcPr>
            <w:tcW w:w="2164" w:type="pct"/>
          </w:tcPr>
          <w:p w14:paraId="16394335"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Volume of recycled water delivered for agricultural uses</w:t>
            </w:r>
          </w:p>
        </w:tc>
        <w:tc>
          <w:tcPr>
            <w:tcW w:w="1492" w:type="pct"/>
          </w:tcPr>
          <w:p w14:paraId="2DD3FFDA"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&gt;3,500ML</w:t>
            </w:r>
          </w:p>
        </w:tc>
      </w:tr>
      <w:tr w:rsidR="006A575D" w:rsidRPr="006A575D" w14:paraId="5BD9A340"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val="restart"/>
          </w:tcPr>
          <w:p w14:paraId="7C7D3DD4" w14:textId="77777777" w:rsidR="006A575D" w:rsidRPr="006C7BF8" w:rsidRDefault="006A575D" w:rsidP="006A575D">
            <w:pPr>
              <w:rPr>
                <w:b w:val="0"/>
              </w:rPr>
            </w:pPr>
            <w:r w:rsidRPr="006C7BF8">
              <w:rPr>
                <w:b w:val="0"/>
              </w:rPr>
              <w:t>Developers and applicants find us easy, timely and consistent to do business with to get new customers connected</w:t>
            </w:r>
          </w:p>
        </w:tc>
        <w:tc>
          <w:tcPr>
            <w:tcW w:w="2164" w:type="pct"/>
          </w:tcPr>
          <w:p w14:paraId="6BB9F795"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Pressure and flow information applications processed within five business days</w:t>
            </w:r>
          </w:p>
        </w:tc>
        <w:tc>
          <w:tcPr>
            <w:tcW w:w="1492" w:type="pct"/>
          </w:tcPr>
          <w:p w14:paraId="585BFBD9"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r w:rsidR="006A575D" w:rsidRPr="006A575D" w14:paraId="45637664"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tcPr>
          <w:p w14:paraId="4758ABE9" w14:textId="77777777" w:rsidR="006A575D" w:rsidRPr="006A575D" w:rsidRDefault="006A575D" w:rsidP="006A575D"/>
        </w:tc>
        <w:tc>
          <w:tcPr>
            <w:tcW w:w="2164" w:type="pct"/>
          </w:tcPr>
          <w:p w14:paraId="2FC7E56F"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Standard new customer contribution applications processed within 45 business days</w:t>
            </w:r>
          </w:p>
        </w:tc>
        <w:tc>
          <w:tcPr>
            <w:tcW w:w="1492" w:type="pct"/>
          </w:tcPr>
          <w:p w14:paraId="22B99A5C"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r w:rsidR="006A575D" w:rsidRPr="006A575D" w14:paraId="3EB4835F"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tcPr>
          <w:p w14:paraId="13C1B24C" w14:textId="77777777" w:rsidR="006A575D" w:rsidRPr="006A575D" w:rsidRDefault="006A575D" w:rsidP="006A575D"/>
        </w:tc>
        <w:tc>
          <w:tcPr>
            <w:tcW w:w="2164" w:type="pct"/>
          </w:tcPr>
          <w:p w14:paraId="08E1CA88"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Standard plumbing applications completed on time within five business days</w:t>
            </w:r>
          </w:p>
        </w:tc>
        <w:tc>
          <w:tcPr>
            <w:tcW w:w="1492" w:type="pct"/>
          </w:tcPr>
          <w:p w14:paraId="59236A5E"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bl>
    <w:p w14:paraId="05D5D354" w14:textId="77777777" w:rsidR="008453FF" w:rsidRDefault="008453FF"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732"/>
        <w:gridCol w:w="4175"/>
        <w:gridCol w:w="2731"/>
      </w:tblGrid>
      <w:tr w:rsidR="001620F3" w:rsidRPr="001620F3" w14:paraId="70B6AED5"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988D094" w14:textId="77777777" w:rsidR="001620F3" w:rsidRPr="001620F3" w:rsidRDefault="001620F3" w:rsidP="001620F3">
            <w:r w:rsidRPr="001620F3">
              <w:t xml:space="preserve">Promise 5: We heal and care for Country </w:t>
            </w:r>
          </w:p>
        </w:tc>
      </w:tr>
      <w:tr w:rsidR="001620F3" w:rsidRPr="001620F3" w14:paraId="52EC968B" w14:textId="77777777" w:rsidTr="00036506">
        <w:tc>
          <w:tcPr>
            <w:cnfStyle w:val="001000000000" w:firstRow="0" w:lastRow="0" w:firstColumn="1" w:lastColumn="0" w:oddVBand="0" w:evenVBand="0" w:oddHBand="0" w:evenHBand="0" w:firstRowFirstColumn="0" w:firstRowLastColumn="0" w:lastRowFirstColumn="0" w:lastRowLastColumn="0"/>
            <w:tcW w:w="1417" w:type="pct"/>
            <w:shd w:val="clear" w:color="auto" w:fill="B3C5E6" w:themeFill="accent2"/>
          </w:tcPr>
          <w:p w14:paraId="2B5E0A5B" w14:textId="77777777" w:rsidR="001620F3" w:rsidRPr="006C7BF8" w:rsidRDefault="001620F3" w:rsidP="001620F3">
            <w:pPr>
              <w:rPr>
                <w:color w:val="auto"/>
              </w:rPr>
            </w:pPr>
            <w:r w:rsidRPr="006C7BF8">
              <w:rPr>
                <w:color w:val="auto"/>
              </w:rPr>
              <w:t xml:space="preserve">Experience </w:t>
            </w:r>
          </w:p>
        </w:tc>
        <w:tc>
          <w:tcPr>
            <w:tcW w:w="2166" w:type="pct"/>
            <w:shd w:val="clear" w:color="auto" w:fill="B3C5E6" w:themeFill="accent2"/>
          </w:tcPr>
          <w:p w14:paraId="51C00AF7" w14:textId="77777777" w:rsidR="001620F3" w:rsidRPr="00F92862" w:rsidRDefault="001620F3" w:rsidP="001620F3">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16" w:type="pct"/>
            <w:shd w:val="clear" w:color="auto" w:fill="B3C5E6" w:themeFill="accent2"/>
          </w:tcPr>
          <w:p w14:paraId="4F7191A0" w14:textId="77777777" w:rsidR="001620F3" w:rsidRPr="00F92862" w:rsidRDefault="001620F3" w:rsidP="001620F3">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1620F3" w:rsidRPr="001620F3" w14:paraId="329F439F"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val="restart"/>
          </w:tcPr>
          <w:p w14:paraId="59583028" w14:textId="77777777" w:rsidR="001620F3" w:rsidRPr="006C7BF8" w:rsidRDefault="001620F3" w:rsidP="001620F3">
            <w:pPr>
              <w:rPr>
                <w:b w:val="0"/>
              </w:rPr>
            </w:pPr>
            <w:r w:rsidRPr="006C7BF8">
              <w:rPr>
                <w:b w:val="0"/>
              </w:rPr>
              <w:t>We limit and reduce our impact on the environment including from our treatment plants</w:t>
            </w:r>
          </w:p>
        </w:tc>
        <w:tc>
          <w:tcPr>
            <w:tcW w:w="2166" w:type="pct"/>
          </w:tcPr>
          <w:p w14:paraId="273C4A52"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Proportion of beneficial re-use of biosolids from our treatment plants</w:t>
            </w:r>
          </w:p>
        </w:tc>
        <w:tc>
          <w:tcPr>
            <w:tcW w:w="1416" w:type="pct"/>
          </w:tcPr>
          <w:p w14:paraId="4EFBF2D2"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&gt;90%</w:t>
            </w:r>
          </w:p>
        </w:tc>
      </w:tr>
      <w:tr w:rsidR="001620F3" w:rsidRPr="001620F3" w14:paraId="48F9CD8A"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tcPr>
          <w:p w14:paraId="22F202BB" w14:textId="77777777" w:rsidR="001620F3" w:rsidRPr="006C7BF8" w:rsidRDefault="001620F3" w:rsidP="001620F3">
            <w:pPr>
              <w:rPr>
                <w:b w:val="0"/>
              </w:rPr>
            </w:pPr>
          </w:p>
        </w:tc>
        <w:tc>
          <w:tcPr>
            <w:tcW w:w="2166" w:type="pct"/>
          </w:tcPr>
          <w:p w14:paraId="395F7CDA"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The number of EPA-notifiable sewer spills</w:t>
            </w:r>
          </w:p>
        </w:tc>
        <w:tc>
          <w:tcPr>
            <w:tcW w:w="1416" w:type="pct"/>
          </w:tcPr>
          <w:p w14:paraId="1F458486"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&lt;13</w:t>
            </w:r>
          </w:p>
        </w:tc>
      </w:tr>
      <w:tr w:rsidR="001620F3" w:rsidRPr="001620F3" w14:paraId="69B1AAEB" w14:textId="77777777" w:rsidTr="00036506">
        <w:tc>
          <w:tcPr>
            <w:cnfStyle w:val="001000000000" w:firstRow="0" w:lastRow="0" w:firstColumn="1" w:lastColumn="0" w:oddVBand="0" w:evenVBand="0" w:oddHBand="0" w:evenHBand="0" w:firstRowFirstColumn="0" w:firstRowLastColumn="0" w:lastRowFirstColumn="0" w:lastRowLastColumn="0"/>
            <w:tcW w:w="1417" w:type="pct"/>
          </w:tcPr>
          <w:p w14:paraId="324EFE33" w14:textId="77777777" w:rsidR="001620F3" w:rsidRPr="006C7BF8" w:rsidRDefault="001620F3" w:rsidP="001620F3">
            <w:pPr>
              <w:rPr>
                <w:b w:val="0"/>
              </w:rPr>
            </w:pPr>
            <w:r w:rsidRPr="006C7BF8">
              <w:rPr>
                <w:b w:val="0"/>
              </w:rPr>
              <w:t>We will meet our net zero emission targets by 2030</w:t>
            </w:r>
          </w:p>
        </w:tc>
        <w:tc>
          <w:tcPr>
            <w:tcW w:w="2166" w:type="pct"/>
          </w:tcPr>
          <w:p w14:paraId="1B7AC6EB"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1620F3">
              <w:rPr>
                <w:color w:val="FF0000"/>
              </w:rPr>
              <w:t>Tonnes of CO2 equivalent emissions</w:t>
            </w:r>
          </w:p>
        </w:tc>
        <w:tc>
          <w:tcPr>
            <w:tcW w:w="1416" w:type="pct"/>
          </w:tcPr>
          <w:p w14:paraId="502DD76C"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2024-25 target: &lt;27,586 tonnes</w:t>
            </w:r>
          </w:p>
          <w:p w14:paraId="09AE30F7"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2025-28 target: &lt;27,586 tonnes*</w:t>
            </w:r>
          </w:p>
          <w:p w14:paraId="7A992854"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p>
          <w:p w14:paraId="60AD0BFC"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*We are currently progressing on a pathway to net zero by 2030. At the time of submission, the target tonnes of CO2 equivalent emissions beyond 2024-25 have not been finalised. We anticipate finalising these targets before 1 July 2024 and will inform the ESC with these targets as soon as possible.</w:t>
            </w:r>
          </w:p>
        </w:tc>
      </w:tr>
      <w:tr w:rsidR="001620F3" w:rsidRPr="001620F3" w14:paraId="1485AB57"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val="restart"/>
          </w:tcPr>
          <w:p w14:paraId="5FF6FA8C" w14:textId="6D351EAD" w:rsidR="001620F3" w:rsidRPr="006C7BF8" w:rsidRDefault="001620F3" w:rsidP="001620F3">
            <w:pPr>
              <w:rPr>
                <w:b w:val="0"/>
              </w:rPr>
            </w:pPr>
            <w:r w:rsidRPr="006C7BF8">
              <w:rPr>
                <w:b w:val="0"/>
              </w:rPr>
              <w:t>We actively support First Nations and Traditional Owners self-determination and provide access to water to achieve cultural value</w:t>
            </w:r>
            <w:r w:rsidR="008423F9">
              <w:rPr>
                <w:b w:val="0"/>
              </w:rPr>
              <w:t>s</w:t>
            </w:r>
          </w:p>
        </w:tc>
        <w:tc>
          <w:tcPr>
            <w:tcW w:w="2166" w:type="pct"/>
          </w:tcPr>
          <w:p w14:paraId="20F6AC65" w14:textId="77777777" w:rsidR="001620F3" w:rsidRPr="004D1332"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4D1332">
              <w:rPr>
                <w:color w:val="FF0000"/>
              </w:rPr>
              <w:t xml:space="preserve">Deliver actions outlined in our Reconciliation Action Plan (RAP)  </w:t>
            </w:r>
          </w:p>
        </w:tc>
        <w:tc>
          <w:tcPr>
            <w:tcW w:w="1416" w:type="pct"/>
          </w:tcPr>
          <w:p w14:paraId="324068DF"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2024-25 target: On track – Refer to traffic light report.</w:t>
            </w:r>
          </w:p>
          <w:p w14:paraId="716B2481"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2025-26 target: Met – delivered on actions in our 2023-2025 RAP and begun development or refresh of next RAP.</w:t>
            </w:r>
          </w:p>
          <w:p w14:paraId="432599AF" w14:textId="4B859790"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2026-28 target: </w:t>
            </w:r>
            <w:r w:rsidR="007617A7">
              <w:t xml:space="preserve">On track - </w:t>
            </w:r>
            <w:r w:rsidRPr="001620F3">
              <w:t>Continued implementation or refresh of next RAP.</w:t>
            </w:r>
          </w:p>
        </w:tc>
      </w:tr>
      <w:tr w:rsidR="001620F3" w:rsidRPr="001620F3" w14:paraId="6E66E8A3"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tcPr>
          <w:p w14:paraId="670AD722" w14:textId="77777777" w:rsidR="001620F3" w:rsidRPr="001620F3" w:rsidRDefault="001620F3" w:rsidP="001620F3"/>
        </w:tc>
        <w:tc>
          <w:tcPr>
            <w:tcW w:w="2166" w:type="pct"/>
          </w:tcPr>
          <w:p w14:paraId="25EC2BD7" w14:textId="60839760" w:rsidR="001620F3" w:rsidRPr="004D1332"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4D1332">
              <w:rPr>
                <w:color w:val="FF0000"/>
              </w:rPr>
              <w:t xml:space="preserve">Development and implementation of our </w:t>
            </w:r>
            <w:r w:rsidR="009C74FD">
              <w:rPr>
                <w:color w:val="FF0000"/>
              </w:rPr>
              <w:t xml:space="preserve">Walking </w:t>
            </w:r>
            <w:r w:rsidR="00C92BFA">
              <w:rPr>
                <w:color w:val="FF0000"/>
              </w:rPr>
              <w:t>A</w:t>
            </w:r>
            <w:r w:rsidR="009C74FD">
              <w:rPr>
                <w:color w:val="FF0000"/>
              </w:rPr>
              <w:t xml:space="preserve">longside First Nations </w:t>
            </w:r>
            <w:r w:rsidR="00C92BFA">
              <w:rPr>
                <w:color w:val="FF0000"/>
              </w:rPr>
              <w:t>C</w:t>
            </w:r>
            <w:r w:rsidR="009C74FD">
              <w:rPr>
                <w:color w:val="FF0000"/>
              </w:rPr>
              <w:t xml:space="preserve">ommitment. </w:t>
            </w:r>
          </w:p>
        </w:tc>
        <w:tc>
          <w:tcPr>
            <w:tcW w:w="1416" w:type="pct"/>
          </w:tcPr>
          <w:p w14:paraId="705A8D93"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2024-28 target: </w:t>
            </w:r>
          </w:p>
          <w:p w14:paraId="5CF642A0" w14:textId="7E07FA51"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On track (refer to our commitments in our </w:t>
            </w:r>
            <w:r w:rsidR="00C92BFA">
              <w:t>Walking Alongside First Nations Commitment</w:t>
            </w:r>
            <w:r w:rsidRPr="001620F3">
              <w:t>)</w:t>
            </w:r>
          </w:p>
        </w:tc>
      </w:tr>
    </w:tbl>
    <w:p w14:paraId="0744605B" w14:textId="77777777" w:rsidR="00F23AC2" w:rsidRDefault="00F23AC2" w:rsidP="00635753">
      <w:pPr>
        <w:spacing w:after="0" w:line="240" w:lineRule="auto"/>
        <w:rPr>
          <w:rFonts w:ascii="Verdana" w:eastAsia="Verdana" w:hAnsi="Verdana" w:cs="Times New Roman"/>
          <w:spacing w:val="0"/>
          <w:sz w:val="21"/>
          <w:szCs w:val="21"/>
          <w:lang w:val="en-US"/>
        </w:rPr>
        <w:sectPr w:rsidR="00F23AC2" w:rsidSect="008C1A38">
          <w:headerReference w:type="default" r:id="rId93"/>
          <w:pgSz w:w="11906" w:h="16838" w:code="9"/>
          <w:pgMar w:top="1134" w:right="1134" w:bottom="1134" w:left="1134" w:header="709" w:footer="652" w:gutter="0"/>
          <w:cols w:space="708"/>
          <w:docGrid w:linePitch="360"/>
        </w:sectPr>
      </w:pPr>
    </w:p>
    <w:p w14:paraId="067BA338" w14:textId="1B790068" w:rsidR="000F6675" w:rsidRDefault="0066492D" w:rsidP="002A1F0B">
      <w:pPr>
        <w:pStyle w:val="AppendixL1LPcreated"/>
      </w:pPr>
      <w:bookmarkStart w:id="369" w:name="_Ref145919874"/>
      <w:bookmarkStart w:id="370" w:name="_Toc146004913"/>
      <w:bookmarkStart w:id="371" w:name="_Toc146004801"/>
      <w:bookmarkStart w:id="372" w:name="_Toc146746747"/>
      <w:r>
        <w:lastRenderedPageBreak/>
        <w:t>Customer Advisory Group Engagement Support Letter</w:t>
      </w:r>
      <w:bookmarkEnd w:id="369"/>
      <w:bookmarkEnd w:id="370"/>
      <w:bookmarkEnd w:id="371"/>
      <w:bookmarkEnd w:id="372"/>
      <w:r>
        <w:t xml:space="preserve"> </w:t>
      </w:r>
    </w:p>
    <w:p w14:paraId="36E07BDB" w14:textId="0C11686E" w:rsidR="00F20ED0" w:rsidRDefault="00BE1579" w:rsidP="00F20ED0">
      <w:pPr>
        <w:spacing w:before="240" w:after="240" w:line="240" w:lineRule="auto"/>
        <w:ind w:left="-284" w:right="-188"/>
        <w:jc w:val="right"/>
        <w:rPr>
          <w:rFonts w:ascii="Arial" w:eastAsia="Times New Roman" w:hAnsi="Arial" w:cs="Arial"/>
          <w:color w:val="000000"/>
          <w:lang w:eastAsia="en-AU"/>
        </w:rPr>
      </w:pPr>
      <w:r>
        <w:rPr>
          <w:rFonts w:ascii="Times New Roman" w:eastAsia="Times New Roman" w:hAnsi="Times New Roman" w:cs="Times New Roman"/>
          <w:noProof/>
          <w:sz w:val="24"/>
          <w:szCs w:val="24"/>
          <w:lang w:eastAsia="en-AU"/>
        </w:rPr>
        <w:drawing>
          <wp:inline distT="0" distB="0" distL="0" distR="0" wp14:anchorId="1FEB47AC" wp14:editId="18F9D8DE">
            <wp:extent cx="6638925" cy="8121084"/>
            <wp:effectExtent l="0" t="0" r="0" b="0"/>
            <wp:docPr id="50" name="Picture 50" descr="Letter from our community advisory group, dated September 2023, addressed to David Middleton and Maree Lang.&#10;Letter reads: &#10;ear David and Maree &#10;&#10;We are writing to you as part of our role as Community Advisory Group, regarding Greater Western Water’s 2024 price submission. &#10;&#10;Greater Western Water (GWW) established their Community Advisory Group in March 2023 as an independent assurance mechanism for the engagement program.  &#10;&#10;We were brought together to act as a ‘critical friend’, to provide GWW with feedback and challenge the engagement process. We were supplied with high-level documentation and information on the program. We acted as an independent lens for the GWW price submission team, asking questions of their findings and next steps to ensure their work was robust. &#10;&#10;The advisory group met four times between March and August 2023. We were provided with relevant documentation (including engagement results, reports and planning documents) and the opportunity to ask questions of GWW’s price submission team, the General Manager of Strategy and Partnerships, General Manager of Customer Experience, the Managing Director, and the Executive Director of Insync.  &#10;&#10;We are confident in the findings of the engagement program, noting that greater value could have been achieved if the Community Advisory Group had been activated at the commencement of engagement rather than part way through and the overall community engagement program could have benefitted from a longer timeframe. The GWW team has acknowledged this will be an improvement for future pricing submission engagement. &#10;&#10;We are particularly pleased with how transparent the team was with us, providing us with both draft and final versions of documents and willingness to acknowledge the challenges they have faced in delivering this program of work. &#10;&#10;The methodology, inclusivity and rigorous nature of the engagement program has met our expectations. We are satisfied with the different opportunities GWW provided for members of the community to engage with the price submission. &#10;&#10;We are pleased to offer this letter of support for the engagement program to the Greater Western Water Board, and are comfortable with the Board sharing this letter as part of the price submission to the Essential Services Commission. &#10;&#10;The letter is signed by Luke Lovell, Senior Policy Officer, Consumer Action Law Centre, Bruce Mountain, Director, Carbon Energy Markets, and Roslyn Wai, Chief Executive Officer, Mel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etter from our community advisory group, dated September 2023, addressed to David Middleton and Maree Lang.&#10;Letter reads: &#10;ear David and Maree &#10;&#10;We are writing to you as part of our role as Community Advisory Group, regarding Greater Western Water’s 2024 price submission. &#10;&#10;Greater Western Water (GWW) established their Community Advisory Group in March 2023 as an independent assurance mechanism for the engagement program.  &#10;&#10;We were brought together to act as a ‘critical friend’, to provide GWW with feedback and challenge the engagement process. We were supplied with high-level documentation and information on the program. We acted as an independent lens for the GWW price submission team, asking questions of their findings and next steps to ensure their work was robust. &#10;&#10;The advisory group met four times between March and August 2023. We were provided with relevant documentation (including engagement results, reports and planning documents) and the opportunity to ask questions of GWW’s price submission team, the General Manager of Strategy and Partnerships, General Manager of Customer Experience, the Managing Director, and the Executive Director of Insync.  &#10;&#10;We are confident in the findings of the engagement program, noting that greater value could have been achieved if the Community Advisory Group had been activated at the commencement of engagement rather than part way through and the overall community engagement program could have benefitted from a longer timeframe. The GWW team has acknowledged this will be an improvement for future pricing submission engagement. &#10;&#10;We are particularly pleased with how transparent the team was with us, providing us with both draft and final versions of documents and willingness to acknowledge the challenges they have faced in delivering this program of work. &#10;&#10;The methodology, inclusivity and rigorous nature of the engagement program has met our expectations. We are satisfied with the different opportunities GWW provided for members of the community to engage with the price submission. &#10;&#10;We are pleased to offer this letter of support for the engagement program to the Greater Western Water Board, and are comfortable with the Board sharing this letter as part of the price submission to the Essential Services Commission. &#10;&#10;The letter is signed by Luke Lovell, Senior Policy Officer, Consumer Action Law Centre, Bruce Mountain, Director, Carbon Energy Markets, and Roslyn Wai, Chief Executive Officer, Melton City Council"/>
                    <pic:cNvPicPr/>
                  </pic:nvPicPr>
                  <pic:blipFill rotWithShape="1">
                    <a:blip r:embed="rId94">
                      <a:extLst>
                        <a:ext uri="{28A0092B-C50C-407E-A947-70E740481C1C}">
                          <a14:useLocalDpi xmlns:a14="http://schemas.microsoft.com/office/drawing/2010/main" val="0"/>
                        </a:ext>
                      </a:extLst>
                    </a:blip>
                    <a:srcRect t="5844" b="7657"/>
                    <a:stretch/>
                  </pic:blipFill>
                  <pic:spPr bwMode="auto">
                    <a:xfrm>
                      <a:off x="0" y="0"/>
                      <a:ext cx="6665095" cy="8153096"/>
                    </a:xfrm>
                    <a:prstGeom prst="rect">
                      <a:avLst/>
                    </a:prstGeom>
                    <a:ln>
                      <a:noFill/>
                    </a:ln>
                    <a:extLst>
                      <a:ext uri="{53640926-AAD7-44D8-BBD7-CCE9431645EC}">
                        <a14:shadowObscured xmlns:a14="http://schemas.microsoft.com/office/drawing/2010/main"/>
                      </a:ext>
                    </a:extLst>
                  </pic:spPr>
                </pic:pic>
              </a:graphicData>
            </a:graphic>
          </wp:inline>
        </w:drawing>
      </w:r>
    </w:p>
    <w:p w14:paraId="0331B7BD" w14:textId="62DCA585" w:rsidR="00F20ED0" w:rsidRPr="000A208E" w:rsidRDefault="00F20ED0" w:rsidP="00F20ED0">
      <w:pPr>
        <w:spacing w:before="240" w:after="240" w:line="240" w:lineRule="auto"/>
        <w:ind w:left="-284" w:right="-188"/>
        <w:rPr>
          <w:rFonts w:ascii="Times New Roman" w:eastAsia="Times New Roman" w:hAnsi="Times New Roman" w:cs="Times New Roman"/>
          <w:sz w:val="24"/>
          <w:szCs w:val="24"/>
          <w:lang w:eastAsia="en-AU"/>
        </w:rPr>
      </w:pPr>
      <w:r w:rsidRPr="000A208E">
        <w:rPr>
          <w:rFonts w:ascii="Arial" w:eastAsia="Times New Roman" w:hAnsi="Arial" w:cs="Arial"/>
          <w:color w:val="000000"/>
          <w:lang w:eastAsia="en-AU"/>
        </w:rPr>
        <w:lastRenderedPageBreak/>
        <w:t> </w:t>
      </w:r>
    </w:p>
    <w:p w14:paraId="50D5784F" w14:textId="77777777" w:rsidR="00F20ED0" w:rsidRDefault="00F20ED0" w:rsidP="00F20ED0"/>
    <w:p w14:paraId="6A95EB59" w14:textId="77777777" w:rsidR="00F23AC2" w:rsidRDefault="00F23AC2" w:rsidP="00635753">
      <w:pPr>
        <w:sectPr w:rsidR="00F23AC2" w:rsidSect="008C1A38">
          <w:headerReference w:type="default" r:id="rId95"/>
          <w:pgSz w:w="11906" w:h="16838" w:code="9"/>
          <w:pgMar w:top="1134" w:right="1134" w:bottom="1134" w:left="1134" w:header="709" w:footer="652" w:gutter="0"/>
          <w:cols w:space="708"/>
          <w:docGrid w:linePitch="360"/>
        </w:sectPr>
      </w:pPr>
      <w:bookmarkStart w:id="373" w:name="_Ref145920181"/>
      <w:bookmarkStart w:id="374" w:name="_Toc146004914"/>
      <w:bookmarkStart w:id="375" w:name="_Toc146004802"/>
    </w:p>
    <w:p w14:paraId="13821CCF" w14:textId="7FE9EF0F" w:rsidR="000F6675" w:rsidRPr="00CE1342" w:rsidRDefault="000F6675" w:rsidP="002617B3">
      <w:pPr>
        <w:pStyle w:val="AppendixL1LPcreated"/>
      </w:pPr>
      <w:bookmarkStart w:id="376" w:name="_Toc146746748"/>
      <w:r w:rsidRPr="00CE1342">
        <w:lastRenderedPageBreak/>
        <w:t>Connection between existing and proposed customer outcomes</w:t>
      </w:r>
      <w:bookmarkEnd w:id="373"/>
      <w:bookmarkEnd w:id="374"/>
      <w:bookmarkEnd w:id="375"/>
      <w:bookmarkEnd w:id="376"/>
      <w:r w:rsidRPr="00CE1342">
        <w:t xml:space="preserve"> </w:t>
      </w:r>
    </w:p>
    <w:p w14:paraId="3ECFE89E" w14:textId="59842483" w:rsidR="000F6675" w:rsidRDefault="000F6675" w:rsidP="000F6675">
      <w:pPr>
        <w:spacing w:before="0" w:after="0"/>
        <w:textAlignment w:val="baseline"/>
        <w:rPr>
          <w:rFonts w:ascii="Segoe UI" w:hAnsi="Segoe UI" w:cs="Segoe UI"/>
          <w:sz w:val="18"/>
          <w:szCs w:val="18"/>
        </w:rPr>
      </w:pPr>
      <w:r>
        <w:rPr>
          <w:rFonts w:ascii="Verdana" w:hAnsi="Verdana" w:cs="Segoe UI"/>
        </w:rPr>
        <w:t>We did not re-test our existing customer outcomes directly with our customers. Instead, we leveraged our newly developed 2030 Strategy and its strategic outcomes</w:t>
      </w:r>
      <w:r w:rsidR="00C732B9" w:rsidRPr="00C732B9">
        <w:rPr>
          <w:rFonts w:ascii="Verdana" w:hAnsi="Verdana" w:cs="Segoe UI"/>
        </w:rPr>
        <w:t xml:space="preserve"> –</w:t>
      </w:r>
      <w:r w:rsidR="001C3BB6">
        <w:rPr>
          <w:rFonts w:ascii="Verdana" w:hAnsi="Verdana" w:cs="Segoe UI"/>
        </w:rPr>
        <w:t xml:space="preserve"> </w:t>
      </w:r>
      <w:r>
        <w:rPr>
          <w:rFonts w:ascii="Verdana" w:hAnsi="Verdana" w:cs="Segoe UI"/>
        </w:rPr>
        <w:t>Customer, Community and Country. However, our customers values and preferences remained consistent with the values identified in our 2018 price submission and 2020 price submission for City West Water and Western Water respectiv</w:t>
      </w:r>
      <w:r w:rsidRPr="00293B9F">
        <w:rPr>
          <w:rFonts w:ascii="Verdana" w:hAnsi="Verdana" w:cs="Segoe UI"/>
        </w:rPr>
        <w:t>ely</w:t>
      </w:r>
      <w:r w:rsidR="00970B90" w:rsidRPr="00293B9F">
        <w:rPr>
          <w:rFonts w:ascii="Verdana" w:hAnsi="Verdana" w:cs="Segoe UI"/>
        </w:rPr>
        <w:t>.</w:t>
      </w:r>
      <w:r w:rsidR="00E825E6">
        <w:rPr>
          <w:rFonts w:ascii="Verdana" w:hAnsi="Verdana" w:cs="Segoe UI"/>
        </w:rPr>
        <w:t xml:space="preserve"> </w:t>
      </w:r>
      <w:r w:rsidR="00E825E6">
        <w:rPr>
          <w:rFonts w:ascii="Verdana" w:hAnsi="Verdana" w:cs="Segoe UI"/>
        </w:rPr>
        <w:fldChar w:fldCharType="begin"/>
      </w:r>
      <w:r w:rsidR="00E825E6">
        <w:rPr>
          <w:rFonts w:ascii="Verdana" w:hAnsi="Verdana" w:cs="Segoe UI"/>
        </w:rPr>
        <w:instrText xml:space="preserve"> REF _Ref146031471 \h </w:instrText>
      </w:r>
      <w:r w:rsidR="00E825E6">
        <w:rPr>
          <w:rFonts w:ascii="Verdana" w:hAnsi="Verdana" w:cs="Segoe UI"/>
        </w:rPr>
      </w:r>
      <w:r w:rsidR="00E825E6">
        <w:rPr>
          <w:rFonts w:ascii="Verdana" w:hAnsi="Verdana" w:cs="Segoe UI"/>
        </w:rPr>
        <w:fldChar w:fldCharType="separate"/>
      </w:r>
      <w:r w:rsidR="003B42C6" w:rsidRPr="00251B4C">
        <w:rPr>
          <w:b/>
        </w:rPr>
        <w:t xml:space="preserve">Table </w:t>
      </w:r>
      <w:r w:rsidR="003B42C6">
        <w:rPr>
          <w:b/>
          <w:noProof/>
        </w:rPr>
        <w:t>62</w:t>
      </w:r>
      <w:r w:rsidR="00E825E6">
        <w:rPr>
          <w:rFonts w:ascii="Verdana" w:hAnsi="Verdana" w:cs="Segoe UI"/>
        </w:rPr>
        <w:fldChar w:fldCharType="end"/>
      </w:r>
      <w:r w:rsidR="00970B90" w:rsidRPr="00293B9F">
        <w:rPr>
          <w:rFonts w:ascii="Verdana" w:hAnsi="Verdana" w:cs="Segoe UI"/>
        </w:rPr>
        <w:t xml:space="preserve"> </w:t>
      </w:r>
      <w:r w:rsidRPr="00293B9F">
        <w:rPr>
          <w:rFonts w:ascii="Verdana" w:hAnsi="Verdana" w:cs="Segoe UI"/>
        </w:rPr>
        <w:t>shows</w:t>
      </w:r>
      <w:r>
        <w:rPr>
          <w:rFonts w:ascii="Verdana" w:hAnsi="Verdana" w:cs="Segoe UI"/>
        </w:rPr>
        <w:t xml:space="preserve"> the connection and alignment of the existing central and western customer outcomes to our proposed GWW customer outcomes.</w:t>
      </w:r>
    </w:p>
    <w:p w14:paraId="491BD648" w14:textId="61CD01B6" w:rsidR="000F6675" w:rsidRDefault="00293B9F" w:rsidP="00293B9F">
      <w:pPr>
        <w:pStyle w:val="Caption"/>
        <w:rPr>
          <w:shd w:val="clear" w:color="auto" w:fill="FFFFFF"/>
        </w:rPr>
      </w:pPr>
      <w:bookmarkStart w:id="377" w:name="_Ref146031471"/>
      <w:r w:rsidRPr="00251B4C">
        <w:rPr>
          <w:b/>
        </w:rPr>
        <w:t xml:space="preserve">Table </w:t>
      </w:r>
      <w:r w:rsidR="001F7221" w:rsidRPr="00251B4C">
        <w:rPr>
          <w:b/>
        </w:rPr>
        <w:fldChar w:fldCharType="begin"/>
      </w:r>
      <w:r w:rsidR="001F7221" w:rsidRPr="00251B4C">
        <w:rPr>
          <w:b/>
        </w:rPr>
        <w:instrText xml:space="preserve"> SEQ Table \* ARABIC </w:instrText>
      </w:r>
      <w:r w:rsidR="001F7221" w:rsidRPr="00251B4C">
        <w:rPr>
          <w:b/>
        </w:rPr>
        <w:fldChar w:fldCharType="separate"/>
      </w:r>
      <w:r w:rsidR="003B42C6">
        <w:rPr>
          <w:b/>
          <w:noProof/>
        </w:rPr>
        <w:t>62</w:t>
      </w:r>
      <w:r w:rsidR="001F7221" w:rsidRPr="00251B4C">
        <w:rPr>
          <w:b/>
        </w:rPr>
        <w:fldChar w:fldCharType="end"/>
      </w:r>
      <w:bookmarkEnd w:id="377"/>
      <w:r w:rsidRPr="00293B9F">
        <w:rPr>
          <w:shd w:val="clear" w:color="auto" w:fill="FFFFFF"/>
        </w:rPr>
        <w:t xml:space="preserve"> </w:t>
      </w:r>
      <w:r w:rsidR="000F6675" w:rsidRPr="00293B9F">
        <w:rPr>
          <w:shd w:val="clear" w:color="auto" w:fill="FFFFFF"/>
        </w:rPr>
        <w:t xml:space="preserve"> Our existing and proposed customer outcomes</w:t>
      </w:r>
    </w:p>
    <w:tbl>
      <w:tblPr>
        <w:tblStyle w:val="GWWDefaulttable"/>
        <w:tblW w:w="5000" w:type="pct"/>
        <w:tblLook w:val="04A0" w:firstRow="1" w:lastRow="0" w:firstColumn="1" w:lastColumn="0" w:noHBand="0" w:noVBand="1"/>
      </w:tblPr>
      <w:tblGrid>
        <w:gridCol w:w="1929"/>
        <w:gridCol w:w="3021"/>
        <w:gridCol w:w="2535"/>
        <w:gridCol w:w="2153"/>
      </w:tblGrid>
      <w:tr w:rsidR="000F6675" w:rsidRPr="006C12BA" w14:paraId="49C07785" w14:textId="77777777" w:rsidTr="00251B4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68" w:type="pct"/>
            <w:gridSpan w:val="2"/>
            <w:tcBorders>
              <w:right w:val="single" w:sz="8" w:space="0" w:color="1A206C"/>
            </w:tcBorders>
            <w:hideMark/>
          </w:tcPr>
          <w:p w14:paraId="03E44207" w14:textId="77777777" w:rsidR="000F6675" w:rsidRPr="006C12BA" w:rsidRDefault="000F6675" w:rsidP="006C12BA">
            <w:r w:rsidRPr="006C12BA">
              <w:t>GWW Customer outcomes 2024-28 </w:t>
            </w:r>
          </w:p>
        </w:tc>
        <w:tc>
          <w:tcPr>
            <w:tcW w:w="2432" w:type="pct"/>
            <w:gridSpan w:val="2"/>
            <w:tcBorders>
              <w:left w:val="single" w:sz="8" w:space="0" w:color="1A206C"/>
            </w:tcBorders>
            <w:hideMark/>
          </w:tcPr>
          <w:p w14:paraId="66C5B513" w14:textId="77777777" w:rsidR="000F6675" w:rsidRPr="006C12BA" w:rsidRDefault="000F6675" w:rsidP="006C12BA">
            <w:pPr>
              <w:cnfStyle w:val="100000000000" w:firstRow="1" w:lastRow="0" w:firstColumn="0" w:lastColumn="0" w:oddVBand="0" w:evenVBand="0" w:oddHBand="0" w:evenHBand="0" w:firstRowFirstColumn="0" w:firstRowLastColumn="0" w:lastRowFirstColumn="0" w:lastRowLastColumn="0"/>
            </w:pPr>
            <w:r w:rsidRPr="006C12BA">
              <w:t>Existing customer outcomes 2018-2023 </w:t>
            </w:r>
          </w:p>
        </w:tc>
      </w:tr>
      <w:tr w:rsidR="000F6675" w:rsidRPr="006C12BA" w14:paraId="4862B5CD" w14:textId="77777777" w:rsidTr="00251B4C">
        <w:trPr>
          <w:trHeight w:val="450"/>
        </w:trPr>
        <w:tc>
          <w:tcPr>
            <w:cnfStyle w:val="001000000000" w:firstRow="0" w:lastRow="0" w:firstColumn="1" w:lastColumn="0" w:oddVBand="0" w:evenVBand="0" w:oddHBand="0" w:evenHBand="0" w:firstRowFirstColumn="0" w:firstRowLastColumn="0" w:lastRowFirstColumn="0" w:lastRowLastColumn="0"/>
            <w:tcW w:w="1001" w:type="pct"/>
            <w:shd w:val="clear" w:color="auto" w:fill="B3C5E6" w:themeFill="accent2"/>
            <w:hideMark/>
          </w:tcPr>
          <w:p w14:paraId="77B60D31" w14:textId="77777777" w:rsidR="000F6675" w:rsidRPr="00251B4C" w:rsidRDefault="000F6675" w:rsidP="006C12BA">
            <w:pPr>
              <w:rPr>
                <w:color w:val="auto"/>
              </w:rPr>
            </w:pPr>
            <w:r w:rsidRPr="00251B4C">
              <w:rPr>
                <w:color w:val="auto"/>
              </w:rPr>
              <w:t>Outcomes </w:t>
            </w:r>
          </w:p>
        </w:tc>
        <w:tc>
          <w:tcPr>
            <w:tcW w:w="1567" w:type="pct"/>
            <w:tcBorders>
              <w:right w:val="single" w:sz="8" w:space="0" w:color="1A206C"/>
            </w:tcBorders>
            <w:shd w:val="clear" w:color="auto" w:fill="B3C5E6" w:themeFill="accent2"/>
            <w:hideMark/>
          </w:tcPr>
          <w:p w14:paraId="1E2515E0"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Customer experiences </w:t>
            </w:r>
          </w:p>
        </w:tc>
        <w:tc>
          <w:tcPr>
            <w:tcW w:w="1315" w:type="pct"/>
            <w:tcBorders>
              <w:left w:val="single" w:sz="8" w:space="0" w:color="1A206C"/>
            </w:tcBorders>
            <w:shd w:val="clear" w:color="auto" w:fill="B3C5E6" w:themeFill="accent2"/>
            <w:hideMark/>
          </w:tcPr>
          <w:p w14:paraId="0FC4FCA2"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City West Water </w:t>
            </w:r>
          </w:p>
        </w:tc>
        <w:tc>
          <w:tcPr>
            <w:tcW w:w="1117" w:type="pct"/>
            <w:shd w:val="clear" w:color="auto" w:fill="B3C5E6" w:themeFill="accent2"/>
            <w:hideMark/>
          </w:tcPr>
          <w:p w14:paraId="131C868E"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Western Water </w:t>
            </w:r>
          </w:p>
        </w:tc>
      </w:tr>
      <w:tr w:rsidR="000F6675" w:rsidRPr="006C12BA" w14:paraId="2C9CD0A6" w14:textId="77777777" w:rsidTr="00251B4C">
        <w:trPr>
          <w:trHeight w:val="1859"/>
        </w:trPr>
        <w:tc>
          <w:tcPr>
            <w:cnfStyle w:val="001000000000" w:firstRow="0" w:lastRow="0" w:firstColumn="1" w:lastColumn="0" w:oddVBand="0" w:evenVBand="0" w:oddHBand="0" w:evenHBand="0" w:firstRowFirstColumn="0" w:firstRowLastColumn="0" w:lastRowFirstColumn="0" w:lastRowLastColumn="0"/>
            <w:tcW w:w="1001" w:type="pct"/>
            <w:hideMark/>
          </w:tcPr>
          <w:p w14:paraId="0DE54681" w14:textId="77777777" w:rsidR="000F6675" w:rsidRPr="00251B4C" w:rsidRDefault="000F6675" w:rsidP="006C12BA">
            <w:pPr>
              <w:rPr>
                <w:b w:val="0"/>
              </w:rPr>
            </w:pPr>
            <w:r w:rsidRPr="006C12BA">
              <w:t>Outcome 1</w:t>
            </w:r>
            <w:r w:rsidRPr="00251B4C">
              <w:rPr>
                <w:b w:val="0"/>
              </w:rPr>
              <w:t xml:space="preserve">: Your water is safe, </w:t>
            </w:r>
            <w:proofErr w:type="gramStart"/>
            <w:r w:rsidRPr="00251B4C">
              <w:rPr>
                <w:b w:val="0"/>
              </w:rPr>
              <w:t>consistent</w:t>
            </w:r>
            <w:proofErr w:type="gramEnd"/>
            <w:r w:rsidRPr="00251B4C">
              <w:rPr>
                <w:b w:val="0"/>
              </w:rPr>
              <w:t xml:space="preserve"> and resilient </w:t>
            </w:r>
          </w:p>
        </w:tc>
        <w:tc>
          <w:tcPr>
            <w:tcW w:w="1567" w:type="pct"/>
            <w:tcBorders>
              <w:right w:val="single" w:sz="8" w:space="0" w:color="1A206C"/>
            </w:tcBorders>
            <w:hideMark/>
          </w:tcPr>
          <w:p w14:paraId="2FCE6BD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Your water tastes great, is high quality and always safe to drink. </w:t>
            </w:r>
          </w:p>
          <w:p w14:paraId="1D0C4B6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Water is there when you turn on the tap. </w:t>
            </w:r>
          </w:p>
          <w:p w14:paraId="7BB4C97C"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Your sewerage service works without interruptions or blockages. </w:t>
            </w:r>
          </w:p>
        </w:tc>
        <w:tc>
          <w:tcPr>
            <w:tcW w:w="1315" w:type="pct"/>
            <w:vMerge w:val="restart"/>
            <w:tcBorders>
              <w:left w:val="single" w:sz="8" w:space="0" w:color="1A206C"/>
            </w:tcBorders>
            <w:hideMark/>
          </w:tcPr>
          <w:p w14:paraId="61A2A6E9"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1</w:t>
            </w:r>
            <w:r w:rsidRPr="006C12BA">
              <w:t>: Services to my home and business are safe, reliable, and efficiently managed </w:t>
            </w:r>
          </w:p>
        </w:tc>
        <w:tc>
          <w:tcPr>
            <w:tcW w:w="1117" w:type="pct"/>
            <w:vMerge w:val="restart"/>
            <w:hideMark/>
          </w:tcPr>
          <w:p w14:paraId="37EA2511"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2</w:t>
            </w:r>
            <w:r w:rsidRPr="006C12BA">
              <w:t>: Reliable, safe services </w:t>
            </w:r>
          </w:p>
        </w:tc>
      </w:tr>
      <w:tr w:rsidR="000F6675" w:rsidRPr="006C12BA" w14:paraId="7D077A81" w14:textId="77777777" w:rsidTr="00251B4C">
        <w:trPr>
          <w:trHeight w:val="449"/>
        </w:trPr>
        <w:tc>
          <w:tcPr>
            <w:cnfStyle w:val="001000000000" w:firstRow="0" w:lastRow="0" w:firstColumn="1" w:lastColumn="0" w:oddVBand="0" w:evenVBand="0" w:oddHBand="0" w:evenHBand="0" w:firstRowFirstColumn="0" w:firstRowLastColumn="0" w:lastRowFirstColumn="0" w:lastRowLastColumn="0"/>
            <w:tcW w:w="1001" w:type="pct"/>
            <w:vMerge w:val="restart"/>
            <w:hideMark/>
          </w:tcPr>
          <w:p w14:paraId="16FD311F" w14:textId="77777777" w:rsidR="000F6675" w:rsidRPr="00251B4C" w:rsidRDefault="000F6675" w:rsidP="006C12BA">
            <w:pPr>
              <w:rPr>
                <w:b w:val="0"/>
              </w:rPr>
            </w:pPr>
            <w:r w:rsidRPr="006C12BA">
              <w:t>Outcome 2</w:t>
            </w:r>
            <w:r w:rsidRPr="00251B4C">
              <w:rPr>
                <w:b w:val="0"/>
              </w:rPr>
              <w:t>: When things go wrong, we fix them </w:t>
            </w:r>
          </w:p>
        </w:tc>
        <w:tc>
          <w:tcPr>
            <w:tcW w:w="1567" w:type="pct"/>
            <w:vMerge w:val="restart"/>
            <w:tcBorders>
              <w:right w:val="single" w:sz="8" w:space="0" w:color="1A206C"/>
            </w:tcBorders>
            <w:hideMark/>
          </w:tcPr>
          <w:p w14:paraId="0A522A50"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Our water and sewerage maintenance crews are responsive and efficient if disruptions happen. </w:t>
            </w:r>
          </w:p>
          <w:p w14:paraId="0D2DED7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provide excellent customer services when you contact us </w:t>
            </w:r>
          </w:p>
        </w:tc>
        <w:tc>
          <w:tcPr>
            <w:tcW w:w="1315" w:type="pct"/>
            <w:vMerge/>
            <w:tcBorders>
              <w:left w:val="single" w:sz="8" w:space="0" w:color="1A206C"/>
            </w:tcBorders>
            <w:hideMark/>
          </w:tcPr>
          <w:p w14:paraId="35FAF29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117" w:type="pct"/>
            <w:vMerge/>
            <w:hideMark/>
          </w:tcPr>
          <w:p w14:paraId="7739BCA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r>
      <w:tr w:rsidR="000F6675" w:rsidRPr="006C12BA" w14:paraId="0F33C2E9" w14:textId="77777777" w:rsidTr="00251B4C">
        <w:trPr>
          <w:trHeight w:val="1305"/>
        </w:trPr>
        <w:tc>
          <w:tcPr>
            <w:cnfStyle w:val="001000000000" w:firstRow="0" w:lastRow="0" w:firstColumn="1" w:lastColumn="0" w:oddVBand="0" w:evenVBand="0" w:oddHBand="0" w:evenHBand="0" w:firstRowFirstColumn="0" w:firstRowLastColumn="0" w:lastRowFirstColumn="0" w:lastRowLastColumn="0"/>
            <w:tcW w:w="1001" w:type="pct"/>
            <w:vMerge/>
            <w:hideMark/>
          </w:tcPr>
          <w:p w14:paraId="22F3A246" w14:textId="77777777" w:rsidR="000F6675" w:rsidRPr="006C12BA" w:rsidRDefault="000F6675" w:rsidP="006C12BA"/>
        </w:tc>
        <w:tc>
          <w:tcPr>
            <w:tcW w:w="1567" w:type="pct"/>
            <w:vMerge/>
            <w:tcBorders>
              <w:right w:val="single" w:sz="8" w:space="0" w:color="1A206C"/>
            </w:tcBorders>
            <w:hideMark/>
          </w:tcPr>
          <w:p w14:paraId="77A5113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tcBorders>
              <w:left w:val="single" w:sz="8" w:space="0" w:color="1A206C"/>
            </w:tcBorders>
            <w:hideMark/>
          </w:tcPr>
          <w:p w14:paraId="1291AD1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2</w:t>
            </w:r>
            <w:r w:rsidRPr="006C12BA">
              <w:t>: Customer service is accessible, and my enquiries are resolved promptly </w:t>
            </w:r>
          </w:p>
        </w:tc>
        <w:tc>
          <w:tcPr>
            <w:tcW w:w="1117" w:type="pct"/>
            <w:vMerge w:val="restart"/>
            <w:hideMark/>
          </w:tcPr>
          <w:p w14:paraId="79AA23FE"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3</w:t>
            </w:r>
            <w:r w:rsidRPr="006C12BA">
              <w:t>: Innovative approaches to addressing customer needs </w:t>
            </w:r>
          </w:p>
        </w:tc>
      </w:tr>
      <w:tr w:rsidR="000F6675" w:rsidRPr="006C12BA" w14:paraId="529BD644" w14:textId="77777777" w:rsidTr="00251B4C">
        <w:trPr>
          <w:trHeight w:val="1785"/>
        </w:trPr>
        <w:tc>
          <w:tcPr>
            <w:cnfStyle w:val="001000000000" w:firstRow="0" w:lastRow="0" w:firstColumn="1" w:lastColumn="0" w:oddVBand="0" w:evenVBand="0" w:oddHBand="0" w:evenHBand="0" w:firstRowFirstColumn="0" w:firstRowLastColumn="0" w:lastRowFirstColumn="0" w:lastRowLastColumn="0"/>
            <w:tcW w:w="1001" w:type="pct"/>
            <w:vMerge/>
            <w:hideMark/>
          </w:tcPr>
          <w:p w14:paraId="4FC90D08" w14:textId="77777777" w:rsidR="000F6675" w:rsidRPr="006C12BA" w:rsidRDefault="000F6675" w:rsidP="006C12BA"/>
        </w:tc>
        <w:tc>
          <w:tcPr>
            <w:tcW w:w="1567" w:type="pct"/>
            <w:vMerge/>
            <w:tcBorders>
              <w:right w:val="single" w:sz="8" w:space="0" w:color="1A206C"/>
            </w:tcBorders>
            <w:hideMark/>
          </w:tcPr>
          <w:p w14:paraId="6F05C21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tcBorders>
              <w:left w:val="single" w:sz="8" w:space="0" w:color="1A206C"/>
            </w:tcBorders>
            <w:hideMark/>
          </w:tcPr>
          <w:p w14:paraId="4AF32865" w14:textId="3C1F4788"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3</w:t>
            </w:r>
            <w:r w:rsidRPr="006C12BA">
              <w:t>:</w:t>
            </w:r>
            <w:r w:rsidR="00DB308C">
              <w:t xml:space="preserve"> </w:t>
            </w:r>
            <w:r w:rsidRPr="006C12BA">
              <w:t>Billing and payment options are efficient and convenient </w:t>
            </w:r>
          </w:p>
        </w:tc>
        <w:tc>
          <w:tcPr>
            <w:tcW w:w="1117" w:type="pct"/>
            <w:vMerge/>
            <w:hideMark/>
          </w:tcPr>
          <w:p w14:paraId="6D618E45"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r>
      <w:tr w:rsidR="000F6675" w:rsidRPr="006C12BA" w14:paraId="03123E76" w14:textId="77777777" w:rsidTr="00251B4C">
        <w:trPr>
          <w:trHeight w:val="1170"/>
        </w:trPr>
        <w:tc>
          <w:tcPr>
            <w:cnfStyle w:val="001000000000" w:firstRow="0" w:lastRow="0" w:firstColumn="1" w:lastColumn="0" w:oddVBand="0" w:evenVBand="0" w:oddHBand="0" w:evenHBand="0" w:firstRowFirstColumn="0" w:firstRowLastColumn="0" w:lastRowFirstColumn="0" w:lastRowLastColumn="0"/>
            <w:tcW w:w="1001" w:type="pct"/>
            <w:vMerge w:val="restart"/>
            <w:hideMark/>
          </w:tcPr>
          <w:p w14:paraId="3F77C971" w14:textId="77777777" w:rsidR="000F6675" w:rsidRPr="00251B4C" w:rsidRDefault="000F6675" w:rsidP="006C12BA">
            <w:pPr>
              <w:rPr>
                <w:b w:val="0"/>
              </w:rPr>
            </w:pPr>
            <w:r w:rsidRPr="006C12BA">
              <w:t>Outcome 3</w:t>
            </w:r>
            <w:r w:rsidRPr="00251B4C">
              <w:rPr>
                <w:b w:val="0"/>
              </w:rPr>
              <w:t xml:space="preserve">: We support our diverse </w:t>
            </w:r>
            <w:r w:rsidRPr="00251B4C">
              <w:rPr>
                <w:b w:val="0"/>
              </w:rPr>
              <w:lastRenderedPageBreak/>
              <w:t>communities and customers </w:t>
            </w:r>
          </w:p>
        </w:tc>
        <w:tc>
          <w:tcPr>
            <w:tcW w:w="1567" w:type="pct"/>
            <w:vMerge w:val="restart"/>
            <w:tcBorders>
              <w:right w:val="single" w:sz="8" w:space="0" w:color="1A206C"/>
            </w:tcBorders>
            <w:hideMark/>
          </w:tcPr>
          <w:p w14:paraId="7177CC9D"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lastRenderedPageBreak/>
              <w:t xml:space="preserve">With our partners, we improve the wellbeing of our communities by providing </w:t>
            </w:r>
            <w:r w:rsidRPr="006C12BA">
              <w:lastRenderedPageBreak/>
              <w:t>alternative water to irrigate public green spaces. </w:t>
            </w:r>
          </w:p>
          <w:p w14:paraId="1BF197B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If our customers are having payment difficulties, we provide support. </w:t>
            </w:r>
          </w:p>
        </w:tc>
        <w:tc>
          <w:tcPr>
            <w:tcW w:w="1315" w:type="pct"/>
            <w:tcBorders>
              <w:left w:val="single" w:sz="8" w:space="0" w:color="1A206C"/>
            </w:tcBorders>
            <w:hideMark/>
          </w:tcPr>
          <w:p w14:paraId="1E5580D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lastRenderedPageBreak/>
              <w:t>Outcome 4</w:t>
            </w:r>
            <w:r w:rsidRPr="006C12BA">
              <w:t>: Customers in hardship are supported </w:t>
            </w:r>
          </w:p>
        </w:tc>
        <w:tc>
          <w:tcPr>
            <w:tcW w:w="1117" w:type="pct"/>
            <w:hideMark/>
          </w:tcPr>
          <w:p w14:paraId="513BED7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1</w:t>
            </w:r>
            <w:r w:rsidRPr="006C12BA">
              <w:t>: Fair and affordable charges </w:t>
            </w:r>
          </w:p>
        </w:tc>
      </w:tr>
      <w:tr w:rsidR="000F6675" w:rsidRPr="006C12BA" w14:paraId="67915247" w14:textId="77777777" w:rsidTr="00251B4C">
        <w:trPr>
          <w:trHeight w:val="780"/>
        </w:trPr>
        <w:tc>
          <w:tcPr>
            <w:cnfStyle w:val="001000000000" w:firstRow="0" w:lastRow="0" w:firstColumn="1" w:lastColumn="0" w:oddVBand="0" w:evenVBand="0" w:oddHBand="0" w:evenHBand="0" w:firstRowFirstColumn="0" w:firstRowLastColumn="0" w:lastRowFirstColumn="0" w:lastRowLastColumn="0"/>
            <w:tcW w:w="1001" w:type="pct"/>
            <w:vMerge/>
            <w:hideMark/>
          </w:tcPr>
          <w:p w14:paraId="6DF2DFE0" w14:textId="77777777" w:rsidR="000F6675" w:rsidRPr="00251B4C" w:rsidRDefault="000F6675" w:rsidP="006C12BA">
            <w:pPr>
              <w:rPr>
                <w:b w:val="0"/>
              </w:rPr>
            </w:pPr>
          </w:p>
        </w:tc>
        <w:tc>
          <w:tcPr>
            <w:tcW w:w="1567" w:type="pct"/>
            <w:vMerge/>
            <w:tcBorders>
              <w:right w:val="single" w:sz="8" w:space="0" w:color="1A206C"/>
            </w:tcBorders>
            <w:hideMark/>
          </w:tcPr>
          <w:p w14:paraId="1983784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vMerge w:val="restart"/>
            <w:tcBorders>
              <w:left w:val="single" w:sz="8" w:space="0" w:color="1A206C"/>
            </w:tcBorders>
            <w:hideMark/>
          </w:tcPr>
          <w:p w14:paraId="63A94B5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5:</w:t>
            </w:r>
            <w:r w:rsidRPr="006C12BA">
              <w:t xml:space="preserve"> The whole of the water cycle is managed in an environmentally sustainable way </w:t>
            </w:r>
          </w:p>
        </w:tc>
        <w:tc>
          <w:tcPr>
            <w:tcW w:w="1117" w:type="pct"/>
            <w:hideMark/>
          </w:tcPr>
          <w:p w14:paraId="70BB96B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5:</w:t>
            </w:r>
            <w:r w:rsidRPr="006C12BA">
              <w:t xml:space="preserve"> Sustainably contributing to the community and regional liveability </w:t>
            </w:r>
          </w:p>
        </w:tc>
      </w:tr>
      <w:tr w:rsidR="000F6675" w:rsidRPr="006C12BA" w14:paraId="575D4153" w14:textId="77777777" w:rsidTr="00251B4C">
        <w:trPr>
          <w:trHeight w:val="1542"/>
        </w:trPr>
        <w:tc>
          <w:tcPr>
            <w:cnfStyle w:val="001000000000" w:firstRow="0" w:lastRow="0" w:firstColumn="1" w:lastColumn="0" w:oddVBand="0" w:evenVBand="0" w:oddHBand="0" w:evenHBand="0" w:firstRowFirstColumn="0" w:firstRowLastColumn="0" w:lastRowFirstColumn="0" w:lastRowLastColumn="0"/>
            <w:tcW w:w="1001" w:type="pct"/>
            <w:hideMark/>
          </w:tcPr>
          <w:p w14:paraId="4D0E545F" w14:textId="77777777" w:rsidR="000F6675" w:rsidRPr="00251B4C" w:rsidRDefault="000F6675" w:rsidP="006C12BA">
            <w:pPr>
              <w:rPr>
                <w:b w:val="0"/>
              </w:rPr>
            </w:pPr>
            <w:r w:rsidRPr="006C12BA">
              <w:t>Outcome 5</w:t>
            </w:r>
            <w:r w:rsidRPr="00251B4C">
              <w:rPr>
                <w:b w:val="0"/>
              </w:rPr>
              <w:t>: We heal and care for Country </w:t>
            </w:r>
          </w:p>
        </w:tc>
        <w:tc>
          <w:tcPr>
            <w:tcW w:w="1567" w:type="pct"/>
            <w:tcBorders>
              <w:right w:val="single" w:sz="8" w:space="0" w:color="1A206C"/>
            </w:tcBorders>
            <w:hideMark/>
          </w:tcPr>
          <w:p w14:paraId="39C78D8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limit and reduce our impact on the environment including from our treatment plants. </w:t>
            </w:r>
          </w:p>
          <w:p w14:paraId="378DB67C"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will meet our net zero emission targets by 2030. </w:t>
            </w:r>
          </w:p>
          <w:p w14:paraId="529E743C" w14:textId="00E5B6CB"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 xml:space="preserve">We actively support First Nations and Traditional Owners self-determination and provide access to water to achieve cultural </w:t>
            </w:r>
            <w:r w:rsidR="008423F9">
              <w:t>values</w:t>
            </w:r>
            <w:r w:rsidRPr="006C12BA">
              <w:t>. </w:t>
            </w:r>
          </w:p>
        </w:tc>
        <w:tc>
          <w:tcPr>
            <w:tcW w:w="1315" w:type="pct"/>
            <w:vMerge/>
            <w:tcBorders>
              <w:left w:val="single" w:sz="8" w:space="0" w:color="1A206C"/>
            </w:tcBorders>
            <w:hideMark/>
          </w:tcPr>
          <w:p w14:paraId="23DDFCB0"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117" w:type="pct"/>
            <w:hideMark/>
          </w:tcPr>
          <w:p w14:paraId="1633AC14"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4:</w:t>
            </w:r>
            <w:r w:rsidRPr="006C12BA">
              <w:t xml:space="preserve"> Caring of the environment </w:t>
            </w:r>
          </w:p>
        </w:tc>
      </w:tr>
      <w:tr w:rsidR="000F6675" w:rsidRPr="006C12BA" w14:paraId="387793D0" w14:textId="77777777" w:rsidTr="00251B4C">
        <w:trPr>
          <w:trHeight w:val="390"/>
        </w:trPr>
        <w:tc>
          <w:tcPr>
            <w:cnfStyle w:val="001000000000" w:firstRow="0" w:lastRow="0" w:firstColumn="1" w:lastColumn="0" w:oddVBand="0" w:evenVBand="0" w:oddHBand="0" w:evenHBand="0" w:firstRowFirstColumn="0" w:firstRowLastColumn="0" w:lastRowFirstColumn="0" w:lastRowLastColumn="0"/>
            <w:tcW w:w="1001" w:type="pct"/>
            <w:hideMark/>
          </w:tcPr>
          <w:p w14:paraId="2F9FE0A0" w14:textId="77777777" w:rsidR="000F6675" w:rsidRPr="00251B4C" w:rsidRDefault="000F6675" w:rsidP="006C12BA">
            <w:pPr>
              <w:rPr>
                <w:b w:val="0"/>
              </w:rPr>
            </w:pPr>
            <w:r w:rsidRPr="006C12BA">
              <w:t>Outcome 4</w:t>
            </w:r>
            <w:r w:rsidRPr="00251B4C">
              <w:rPr>
                <w:b w:val="0"/>
              </w:rPr>
              <w:t>: We enable growth and help businesses thrive  </w:t>
            </w:r>
          </w:p>
        </w:tc>
        <w:tc>
          <w:tcPr>
            <w:tcW w:w="1567" w:type="pct"/>
            <w:tcBorders>
              <w:right w:val="single" w:sz="8" w:space="0" w:color="1A206C"/>
            </w:tcBorders>
            <w:hideMark/>
          </w:tcPr>
          <w:p w14:paraId="23791AF1"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provide excellent customer services when you contact us. </w:t>
            </w:r>
          </w:p>
          <w:p w14:paraId="780B479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support agriculture with the right recycled water products for your needs.  </w:t>
            </w:r>
          </w:p>
          <w:p w14:paraId="63C68D5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Developers and applicants find us easy, timely and consistent to do business with to get new customers connected. </w:t>
            </w:r>
          </w:p>
        </w:tc>
        <w:tc>
          <w:tcPr>
            <w:tcW w:w="1315" w:type="pct"/>
            <w:tcBorders>
              <w:left w:val="single" w:sz="8" w:space="0" w:color="1A206C"/>
            </w:tcBorders>
            <w:hideMark/>
          </w:tcPr>
          <w:p w14:paraId="532893C6"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6</w:t>
            </w:r>
            <w:r w:rsidRPr="006C12BA">
              <w:t>: City West Water is a valued partner in servicing a growing Melbourne* </w:t>
            </w:r>
          </w:p>
        </w:tc>
        <w:tc>
          <w:tcPr>
            <w:tcW w:w="1117" w:type="pct"/>
            <w:hideMark/>
          </w:tcPr>
          <w:p w14:paraId="56B9FEF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N/A </w:t>
            </w:r>
          </w:p>
        </w:tc>
      </w:tr>
    </w:tbl>
    <w:p w14:paraId="65D9D1CD" w14:textId="77777777" w:rsidR="00F23AC2" w:rsidRDefault="00F23AC2" w:rsidP="002F0A9F">
      <w:pPr>
        <w:sectPr w:rsidR="00F23AC2" w:rsidSect="008C1A38">
          <w:headerReference w:type="default" r:id="rId96"/>
          <w:pgSz w:w="11906" w:h="16838" w:code="9"/>
          <w:pgMar w:top="1134" w:right="1134" w:bottom="1134" w:left="1134" w:header="709" w:footer="652" w:gutter="0"/>
          <w:cols w:space="708"/>
          <w:docGrid w:linePitch="360"/>
        </w:sectPr>
      </w:pPr>
      <w:bookmarkStart w:id="378" w:name="_Ref145922219"/>
      <w:bookmarkStart w:id="379" w:name="_Ref146000494"/>
      <w:bookmarkStart w:id="380" w:name="_Toc146004915"/>
      <w:bookmarkStart w:id="381" w:name="_Toc146004803"/>
    </w:p>
    <w:p w14:paraId="0A3C9864" w14:textId="489D66D0" w:rsidR="00E630F4" w:rsidRDefault="009049DB" w:rsidP="002617B3">
      <w:pPr>
        <w:pStyle w:val="AppendixL1LPcreated"/>
      </w:pPr>
      <w:bookmarkStart w:id="382" w:name="_Toc146746749"/>
      <w:r>
        <w:lastRenderedPageBreak/>
        <w:t xml:space="preserve">Top 10 </w:t>
      </w:r>
      <w:r w:rsidR="00920FC0">
        <w:t>m</w:t>
      </w:r>
      <w:r w:rsidR="00E630F4">
        <w:t>ajor project summary</w:t>
      </w:r>
      <w:bookmarkEnd w:id="378"/>
      <w:bookmarkEnd w:id="379"/>
      <w:bookmarkEnd w:id="380"/>
      <w:bookmarkEnd w:id="381"/>
      <w:bookmarkEnd w:id="382"/>
      <w:r w:rsidR="00E630F4">
        <w:t xml:space="preserve"> </w:t>
      </w:r>
    </w:p>
    <w:p w14:paraId="1E5B4386" w14:textId="49B9A620" w:rsidR="00084265" w:rsidRPr="00F22B93" w:rsidRDefault="000B3867">
      <w:pPr>
        <w:rPr>
          <w:sz w:val="18"/>
          <w:szCs w:val="18"/>
        </w:rPr>
      </w:pPr>
      <w:r w:rsidRPr="00F22B93">
        <w:rPr>
          <w:sz w:val="18"/>
          <w:szCs w:val="18"/>
        </w:rPr>
        <w:t xml:space="preserve">Full business cases have been developed for </w:t>
      </w:r>
      <w:r w:rsidR="00B90474" w:rsidRPr="00F22B93">
        <w:rPr>
          <w:sz w:val="18"/>
          <w:szCs w:val="18"/>
        </w:rPr>
        <w:t>all</w:t>
      </w:r>
      <w:r w:rsidRPr="00F22B93">
        <w:rPr>
          <w:sz w:val="18"/>
          <w:szCs w:val="18"/>
        </w:rPr>
        <w:t xml:space="preserve"> the top 10 major projects and will be available to the ESC upon request during their review process. Project summaries will be included as appendices to the price submission and are provided below. </w:t>
      </w:r>
    </w:p>
    <w:tbl>
      <w:tblPr>
        <w:tblStyle w:val="GWWDefaulttable"/>
        <w:tblW w:w="4934" w:type="pct"/>
        <w:tblInd w:w="-142" w:type="dxa"/>
        <w:tblLook w:val="04A0" w:firstRow="1" w:lastRow="0" w:firstColumn="1" w:lastColumn="0" w:noHBand="0" w:noVBand="1"/>
      </w:tblPr>
      <w:tblGrid>
        <w:gridCol w:w="1702"/>
        <w:gridCol w:w="7809"/>
      </w:tblGrid>
      <w:tr w:rsidR="00842DC3" w:rsidRPr="00400030" w14:paraId="025291C6" w14:textId="77777777" w:rsidTr="00842DC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5" w:type="pct"/>
            <w:hideMark/>
          </w:tcPr>
          <w:p w14:paraId="0585B7B4" w14:textId="77777777" w:rsidR="00400030" w:rsidRPr="00842DC3" w:rsidRDefault="00400030" w:rsidP="00400030">
            <w:pPr>
              <w:rPr>
                <w:sz w:val="16"/>
                <w:szCs w:val="16"/>
              </w:rPr>
            </w:pPr>
            <w:r w:rsidRPr="00842DC3">
              <w:rPr>
                <w:sz w:val="16"/>
                <w:szCs w:val="16"/>
              </w:rPr>
              <w:t>Project 1 </w:t>
            </w:r>
          </w:p>
        </w:tc>
        <w:tc>
          <w:tcPr>
            <w:tcW w:w="4105" w:type="pct"/>
            <w:hideMark/>
          </w:tcPr>
          <w:p w14:paraId="307DFEBC" w14:textId="77777777" w:rsidR="00F4570C" w:rsidRDefault="00400030" w:rsidP="00400030">
            <w:pPr>
              <w:cnfStyle w:val="100000000000" w:firstRow="1" w:lastRow="0" w:firstColumn="0" w:lastColumn="0" w:oddVBand="0" w:evenVBand="0" w:oddHBand="0" w:evenHBand="0" w:firstRowFirstColumn="0" w:firstRowLastColumn="0" w:lastRowFirstColumn="0" w:lastRowLastColumn="0"/>
              <w:rPr>
                <w:b w:val="0"/>
                <w:sz w:val="16"/>
                <w:szCs w:val="16"/>
              </w:rPr>
            </w:pPr>
            <w:r w:rsidRPr="00842DC3">
              <w:rPr>
                <w:sz w:val="16"/>
                <w:szCs w:val="16"/>
              </w:rPr>
              <w:t>Improving Waterway Health in Woodend</w:t>
            </w:r>
            <w:r w:rsidR="00842DC3">
              <w:rPr>
                <w:sz w:val="16"/>
                <w:szCs w:val="16"/>
              </w:rPr>
              <w:t xml:space="preserve"> </w:t>
            </w:r>
          </w:p>
          <w:p w14:paraId="73E3B98F" w14:textId="5BC85BFE" w:rsidR="00400030" w:rsidRPr="00842DC3" w:rsidRDefault="00842DC3" w:rsidP="00400030">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w:t>
            </w:r>
            <w:r w:rsidRPr="00842DC3">
              <w:rPr>
                <w:b w:val="0"/>
                <w:sz w:val="16"/>
                <w:szCs w:val="16"/>
              </w:rPr>
              <w:t>Woodend Recycled Water Plant</w:t>
            </w:r>
            <w:r>
              <w:rPr>
                <w:b w:val="0"/>
                <w:sz w:val="16"/>
                <w:szCs w:val="16"/>
              </w:rPr>
              <w:t>)</w:t>
            </w:r>
          </w:p>
        </w:tc>
      </w:tr>
      <w:tr w:rsidR="00842DC3" w:rsidRPr="00400030" w14:paraId="2F83B537" w14:textId="77777777" w:rsidTr="00842DC3">
        <w:trPr>
          <w:trHeight w:val="236"/>
        </w:trPr>
        <w:tc>
          <w:tcPr>
            <w:cnfStyle w:val="001000000000" w:firstRow="0" w:lastRow="0" w:firstColumn="1" w:lastColumn="0" w:oddVBand="0" w:evenVBand="0" w:oddHBand="0" w:evenHBand="0" w:firstRowFirstColumn="0" w:firstRowLastColumn="0" w:lastRowFirstColumn="0" w:lastRowLastColumn="0"/>
            <w:tcW w:w="895" w:type="pct"/>
            <w:hideMark/>
          </w:tcPr>
          <w:p w14:paraId="34AEFEEB" w14:textId="77777777" w:rsidR="00400030" w:rsidRPr="00842DC3" w:rsidRDefault="00400030" w:rsidP="00400030">
            <w:pPr>
              <w:rPr>
                <w:b w:val="0"/>
                <w:sz w:val="16"/>
                <w:szCs w:val="16"/>
              </w:rPr>
            </w:pPr>
            <w:r w:rsidRPr="00842DC3">
              <w:rPr>
                <w:b w:val="0"/>
                <w:sz w:val="16"/>
                <w:szCs w:val="16"/>
              </w:rPr>
              <w:t>Service </w:t>
            </w:r>
          </w:p>
        </w:tc>
        <w:tc>
          <w:tcPr>
            <w:tcW w:w="4105" w:type="pct"/>
            <w:hideMark/>
          </w:tcPr>
          <w:p w14:paraId="38765ABC"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Sewer</w:t>
            </w:r>
          </w:p>
        </w:tc>
      </w:tr>
      <w:tr w:rsidR="00842DC3" w:rsidRPr="00400030" w14:paraId="13D3F487" w14:textId="77777777" w:rsidTr="00842DC3">
        <w:trPr>
          <w:trHeight w:val="265"/>
        </w:trPr>
        <w:tc>
          <w:tcPr>
            <w:cnfStyle w:val="001000000000" w:firstRow="0" w:lastRow="0" w:firstColumn="1" w:lastColumn="0" w:oddVBand="0" w:evenVBand="0" w:oddHBand="0" w:evenHBand="0" w:firstRowFirstColumn="0" w:firstRowLastColumn="0" w:lastRowFirstColumn="0" w:lastRowLastColumn="0"/>
            <w:tcW w:w="895" w:type="pct"/>
            <w:hideMark/>
          </w:tcPr>
          <w:p w14:paraId="6ACBCD6E" w14:textId="77777777" w:rsidR="00400030" w:rsidRPr="00842DC3" w:rsidRDefault="00400030" w:rsidP="00400030">
            <w:pPr>
              <w:rPr>
                <w:b w:val="0"/>
                <w:sz w:val="16"/>
                <w:szCs w:val="16"/>
              </w:rPr>
            </w:pPr>
            <w:r w:rsidRPr="00842DC3">
              <w:rPr>
                <w:b w:val="0"/>
                <w:sz w:val="16"/>
                <w:szCs w:val="16"/>
              </w:rPr>
              <w:t>Asset category </w:t>
            </w:r>
          </w:p>
        </w:tc>
        <w:tc>
          <w:tcPr>
            <w:tcW w:w="4105" w:type="pct"/>
            <w:hideMark/>
          </w:tcPr>
          <w:p w14:paraId="2794D59F"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Treatment</w:t>
            </w:r>
          </w:p>
        </w:tc>
      </w:tr>
      <w:tr w:rsidR="00842DC3" w:rsidRPr="00400030" w14:paraId="29EACE0C" w14:textId="77777777" w:rsidTr="00842DC3">
        <w:trPr>
          <w:trHeight w:val="295"/>
        </w:trPr>
        <w:tc>
          <w:tcPr>
            <w:cnfStyle w:val="001000000000" w:firstRow="0" w:lastRow="0" w:firstColumn="1" w:lastColumn="0" w:oddVBand="0" w:evenVBand="0" w:oddHBand="0" w:evenHBand="0" w:firstRowFirstColumn="0" w:firstRowLastColumn="0" w:lastRowFirstColumn="0" w:lastRowLastColumn="0"/>
            <w:tcW w:w="895" w:type="pct"/>
            <w:hideMark/>
          </w:tcPr>
          <w:p w14:paraId="4558A89F" w14:textId="77777777" w:rsidR="00400030" w:rsidRPr="00842DC3" w:rsidRDefault="00400030" w:rsidP="00400030">
            <w:pPr>
              <w:rPr>
                <w:b w:val="0"/>
                <w:sz w:val="16"/>
                <w:szCs w:val="16"/>
              </w:rPr>
            </w:pPr>
            <w:r w:rsidRPr="00842DC3">
              <w:rPr>
                <w:b w:val="0"/>
                <w:sz w:val="16"/>
                <w:szCs w:val="16"/>
              </w:rPr>
              <w:t>Cost driver </w:t>
            </w:r>
          </w:p>
        </w:tc>
        <w:tc>
          <w:tcPr>
            <w:tcW w:w="4105" w:type="pct"/>
            <w:hideMark/>
          </w:tcPr>
          <w:p w14:paraId="7549C3D6"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Growth </w:t>
            </w:r>
          </w:p>
        </w:tc>
      </w:tr>
      <w:tr w:rsidR="00842DC3" w:rsidRPr="00400030" w14:paraId="65325F88" w14:textId="77777777" w:rsidTr="00842DC3">
        <w:trPr>
          <w:trHeight w:val="857"/>
        </w:trPr>
        <w:tc>
          <w:tcPr>
            <w:cnfStyle w:val="001000000000" w:firstRow="0" w:lastRow="0" w:firstColumn="1" w:lastColumn="0" w:oddVBand="0" w:evenVBand="0" w:oddHBand="0" w:evenHBand="0" w:firstRowFirstColumn="0" w:firstRowLastColumn="0" w:lastRowFirstColumn="0" w:lastRowLastColumn="0"/>
            <w:tcW w:w="895" w:type="pct"/>
            <w:hideMark/>
          </w:tcPr>
          <w:p w14:paraId="2FEF6C04" w14:textId="77777777" w:rsidR="00400030" w:rsidRPr="00842DC3" w:rsidRDefault="00400030" w:rsidP="00400030">
            <w:pPr>
              <w:rPr>
                <w:b w:val="0"/>
                <w:sz w:val="16"/>
                <w:szCs w:val="16"/>
              </w:rPr>
            </w:pPr>
            <w:r w:rsidRPr="00842DC3">
              <w:rPr>
                <w:b w:val="0"/>
                <w:sz w:val="16"/>
                <w:szCs w:val="16"/>
              </w:rPr>
              <w:t>Description </w:t>
            </w:r>
          </w:p>
        </w:tc>
        <w:tc>
          <w:tcPr>
            <w:tcW w:w="4105" w:type="pct"/>
            <w:hideMark/>
          </w:tcPr>
          <w:p w14:paraId="0F0F9E23"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Major plant upgrade of Woodend Recycled Water Plant (RWP) to meet future capacity requirements. The upgrade includes the conversion of the existing Intermittently Decanted Aerated Lagoons (IDAL) to a Membrane Bioreactor (MBR) based treatment system meeting future growth requirements.</w:t>
            </w:r>
          </w:p>
        </w:tc>
      </w:tr>
      <w:tr w:rsidR="00842DC3" w:rsidRPr="00400030" w14:paraId="64A8F06D" w14:textId="77777777" w:rsidTr="00842DC3">
        <w:trPr>
          <w:trHeight w:val="447"/>
        </w:trPr>
        <w:tc>
          <w:tcPr>
            <w:cnfStyle w:val="001000000000" w:firstRow="0" w:lastRow="0" w:firstColumn="1" w:lastColumn="0" w:oddVBand="0" w:evenVBand="0" w:oddHBand="0" w:evenHBand="0" w:firstRowFirstColumn="0" w:firstRowLastColumn="0" w:lastRowFirstColumn="0" w:lastRowLastColumn="0"/>
            <w:tcW w:w="895" w:type="pct"/>
            <w:hideMark/>
          </w:tcPr>
          <w:p w14:paraId="5887D4CC" w14:textId="77777777" w:rsidR="00400030" w:rsidRPr="00842DC3" w:rsidRDefault="00400030" w:rsidP="00400030">
            <w:pPr>
              <w:rPr>
                <w:b w:val="0"/>
                <w:sz w:val="16"/>
                <w:szCs w:val="16"/>
              </w:rPr>
            </w:pPr>
            <w:r w:rsidRPr="00842DC3">
              <w:rPr>
                <w:b w:val="0"/>
                <w:sz w:val="16"/>
                <w:szCs w:val="16"/>
              </w:rPr>
              <w:t>Customer outcome </w:t>
            </w:r>
          </w:p>
        </w:tc>
        <w:tc>
          <w:tcPr>
            <w:tcW w:w="4105" w:type="pct"/>
            <w:hideMark/>
          </w:tcPr>
          <w:p w14:paraId="6DFB81A1"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The project supports our customer outcome of healing and caring for Country by improving water quality.</w:t>
            </w:r>
          </w:p>
        </w:tc>
      </w:tr>
      <w:tr w:rsidR="00842DC3" w:rsidRPr="00400030" w14:paraId="64615B4B" w14:textId="77777777" w:rsidTr="00842DC3">
        <w:trPr>
          <w:trHeight w:val="1274"/>
        </w:trPr>
        <w:tc>
          <w:tcPr>
            <w:cnfStyle w:val="001000000000" w:firstRow="0" w:lastRow="0" w:firstColumn="1" w:lastColumn="0" w:oddVBand="0" w:evenVBand="0" w:oddHBand="0" w:evenHBand="0" w:firstRowFirstColumn="0" w:firstRowLastColumn="0" w:lastRowFirstColumn="0" w:lastRowLastColumn="0"/>
            <w:tcW w:w="895" w:type="pct"/>
            <w:hideMark/>
          </w:tcPr>
          <w:p w14:paraId="401C7803" w14:textId="77777777" w:rsidR="00400030" w:rsidRPr="00842DC3" w:rsidRDefault="00400030" w:rsidP="00400030">
            <w:pPr>
              <w:rPr>
                <w:b w:val="0"/>
                <w:sz w:val="16"/>
                <w:szCs w:val="16"/>
              </w:rPr>
            </w:pPr>
            <w:r w:rsidRPr="00842DC3">
              <w:rPr>
                <w:b w:val="0"/>
                <w:sz w:val="16"/>
                <w:szCs w:val="16"/>
              </w:rPr>
              <w:t>Background </w:t>
            </w:r>
          </w:p>
        </w:tc>
        <w:tc>
          <w:tcPr>
            <w:tcW w:w="4105" w:type="pct"/>
            <w:hideMark/>
          </w:tcPr>
          <w:p w14:paraId="4D58D7F3" w14:textId="23FC5BA2"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xml:space="preserve">The Woodend RWP is currently treating approximately 1.1 ML/day at average dry weather flow (ADWF), which is above its designed treatment capacity of 0.85 ML/day ADWF. This disparity will continue as growth continues within the Woodend catchment. Additionally, Woodend RWP’s current discharge licence conditions do not align with general environmental duty (GED) </w:t>
            </w:r>
            <w:proofErr w:type="gramStart"/>
            <w:r w:rsidRPr="00842DC3">
              <w:rPr>
                <w:sz w:val="16"/>
                <w:szCs w:val="16"/>
              </w:rPr>
              <w:t>principles</w:t>
            </w:r>
            <w:proofErr w:type="gramEnd"/>
            <w:r w:rsidRPr="00842DC3">
              <w:rPr>
                <w:sz w:val="16"/>
                <w:szCs w:val="16"/>
              </w:rPr>
              <w:t xml:space="preserve"> and it is likely in the future that more stringent discharge conditions will be enforced, requiring an increase in recycled water quality.</w:t>
            </w:r>
          </w:p>
        </w:tc>
      </w:tr>
      <w:tr w:rsidR="00842DC3" w:rsidRPr="00400030" w14:paraId="3C62F9A8" w14:textId="77777777" w:rsidTr="00842DC3">
        <w:trPr>
          <w:trHeight w:val="771"/>
        </w:trPr>
        <w:tc>
          <w:tcPr>
            <w:cnfStyle w:val="001000000000" w:firstRow="0" w:lastRow="0" w:firstColumn="1" w:lastColumn="0" w:oddVBand="0" w:evenVBand="0" w:oddHBand="0" w:evenHBand="0" w:firstRowFirstColumn="0" w:firstRowLastColumn="0" w:lastRowFirstColumn="0" w:lastRowLastColumn="0"/>
            <w:tcW w:w="895" w:type="pct"/>
            <w:hideMark/>
          </w:tcPr>
          <w:p w14:paraId="31CD205F" w14:textId="77777777" w:rsidR="00400030" w:rsidRPr="00842DC3" w:rsidRDefault="00400030" w:rsidP="00400030">
            <w:pPr>
              <w:rPr>
                <w:b w:val="0"/>
                <w:sz w:val="16"/>
                <w:szCs w:val="16"/>
              </w:rPr>
            </w:pPr>
            <w:r w:rsidRPr="00842DC3">
              <w:rPr>
                <w:b w:val="0"/>
                <w:sz w:val="16"/>
                <w:szCs w:val="16"/>
              </w:rPr>
              <w:t>Risk addressed </w:t>
            </w:r>
          </w:p>
        </w:tc>
        <w:tc>
          <w:tcPr>
            <w:tcW w:w="4105" w:type="pct"/>
            <w:hideMark/>
          </w:tcPr>
          <w:p w14:paraId="0E92DCE0" w14:textId="77777777" w:rsidR="00400030"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xml:space="preserve">Environmental risk: impact on waterway health due to poor quality discharge </w:t>
            </w:r>
          </w:p>
          <w:p w14:paraId="3A89A095" w14:textId="77777777" w:rsidR="007739DD"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Regulatory risk:</w:t>
            </w:r>
            <w:r w:rsidR="007739DD" w:rsidRPr="00842DC3">
              <w:rPr>
                <w:sz w:val="16"/>
                <w:szCs w:val="16"/>
              </w:rPr>
              <w:t xml:space="preserve"> </w:t>
            </w:r>
            <w:r w:rsidRPr="00842DC3">
              <w:rPr>
                <w:sz w:val="16"/>
                <w:szCs w:val="16"/>
              </w:rPr>
              <w:t>meeting GED compliance obligations</w:t>
            </w:r>
          </w:p>
          <w:p w14:paraId="12720CD5" w14:textId="3F65CBD7" w:rsidR="00400030"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Service delivery</w:t>
            </w:r>
            <w:r w:rsidR="007739DD" w:rsidRPr="00842DC3">
              <w:rPr>
                <w:sz w:val="16"/>
                <w:szCs w:val="16"/>
              </w:rPr>
              <w:t xml:space="preserve"> risk: </w:t>
            </w:r>
            <w:r w:rsidRPr="00842DC3">
              <w:rPr>
                <w:sz w:val="16"/>
                <w:szCs w:val="16"/>
              </w:rPr>
              <w:t>unable to deliver appropriate sewerage services due to growth in demand</w:t>
            </w:r>
          </w:p>
        </w:tc>
      </w:tr>
      <w:tr w:rsidR="00842DC3" w:rsidRPr="00400030" w14:paraId="29D336A3" w14:textId="77777777" w:rsidTr="00842DC3">
        <w:trPr>
          <w:trHeight w:val="242"/>
        </w:trPr>
        <w:tc>
          <w:tcPr>
            <w:cnfStyle w:val="001000000000" w:firstRow="0" w:lastRow="0" w:firstColumn="1" w:lastColumn="0" w:oddVBand="0" w:evenVBand="0" w:oddHBand="0" w:evenHBand="0" w:firstRowFirstColumn="0" w:firstRowLastColumn="0" w:lastRowFirstColumn="0" w:lastRowLastColumn="0"/>
            <w:tcW w:w="895" w:type="pct"/>
            <w:hideMark/>
          </w:tcPr>
          <w:p w14:paraId="3C10774D" w14:textId="77777777" w:rsidR="00400030" w:rsidRPr="00842DC3" w:rsidRDefault="00400030" w:rsidP="00400030">
            <w:pPr>
              <w:rPr>
                <w:b w:val="0"/>
                <w:sz w:val="16"/>
                <w:szCs w:val="16"/>
              </w:rPr>
            </w:pPr>
            <w:r w:rsidRPr="00842DC3">
              <w:rPr>
                <w:b w:val="0"/>
                <w:sz w:val="16"/>
                <w:szCs w:val="16"/>
              </w:rPr>
              <w:t>Start year </w:t>
            </w:r>
          </w:p>
        </w:tc>
        <w:tc>
          <w:tcPr>
            <w:tcW w:w="4105" w:type="pct"/>
            <w:hideMark/>
          </w:tcPr>
          <w:p w14:paraId="5EBD9392" w14:textId="0BF2C019"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w:t>
            </w:r>
            <w:r w:rsidR="00021211" w:rsidRPr="00842DC3">
              <w:rPr>
                <w:sz w:val="16"/>
                <w:szCs w:val="16"/>
              </w:rPr>
              <w:t>2023-</w:t>
            </w:r>
            <w:r w:rsidRPr="00842DC3">
              <w:rPr>
                <w:sz w:val="16"/>
                <w:szCs w:val="16"/>
              </w:rPr>
              <w:t>24</w:t>
            </w:r>
          </w:p>
        </w:tc>
      </w:tr>
      <w:tr w:rsidR="00842DC3" w:rsidRPr="00400030" w14:paraId="23CA752A"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hideMark/>
          </w:tcPr>
          <w:p w14:paraId="26E3C297" w14:textId="77777777" w:rsidR="00400030" w:rsidRPr="00842DC3" w:rsidRDefault="00400030" w:rsidP="00400030">
            <w:pPr>
              <w:rPr>
                <w:b w:val="0"/>
                <w:sz w:val="16"/>
                <w:szCs w:val="16"/>
              </w:rPr>
            </w:pPr>
            <w:r w:rsidRPr="00842DC3">
              <w:rPr>
                <w:b w:val="0"/>
                <w:sz w:val="16"/>
                <w:szCs w:val="16"/>
              </w:rPr>
              <w:t>Completion year </w:t>
            </w:r>
          </w:p>
        </w:tc>
        <w:tc>
          <w:tcPr>
            <w:tcW w:w="4105" w:type="pct"/>
            <w:hideMark/>
          </w:tcPr>
          <w:p w14:paraId="0AACD740" w14:textId="1F1C581F"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w:t>
            </w:r>
            <w:r w:rsidR="00021211" w:rsidRPr="00842DC3">
              <w:rPr>
                <w:sz w:val="16"/>
                <w:szCs w:val="16"/>
              </w:rPr>
              <w:t>2029-</w:t>
            </w:r>
            <w:r w:rsidRPr="00842DC3">
              <w:rPr>
                <w:sz w:val="16"/>
                <w:szCs w:val="16"/>
              </w:rPr>
              <w:t>30</w:t>
            </w:r>
          </w:p>
        </w:tc>
      </w:tr>
      <w:tr w:rsidR="00842DC3" w:rsidRPr="00400030" w14:paraId="212C7F91"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hideMark/>
          </w:tcPr>
          <w:p w14:paraId="28FD879A" w14:textId="7EBF5212" w:rsidR="00400030" w:rsidRPr="00842DC3" w:rsidRDefault="00400030" w:rsidP="00400030">
            <w:pPr>
              <w:rPr>
                <w:sz w:val="16"/>
                <w:szCs w:val="16"/>
              </w:rPr>
            </w:pPr>
            <w:r w:rsidRPr="00842DC3">
              <w:rPr>
                <w:sz w:val="16"/>
                <w:szCs w:val="16"/>
              </w:rPr>
              <w:t xml:space="preserve">Total Capex over Regulatory Period </w:t>
            </w:r>
            <w:r w:rsidRPr="00842DC3">
              <w:rPr>
                <w:b w:val="0"/>
                <w:sz w:val="16"/>
                <w:szCs w:val="16"/>
              </w:rPr>
              <w:t>(Real $</w:t>
            </w:r>
            <w:r w:rsidR="005F3138" w:rsidRPr="00842DC3">
              <w:rPr>
                <w:b w:val="0"/>
                <w:sz w:val="16"/>
                <w:szCs w:val="16"/>
              </w:rPr>
              <w:t>20</w:t>
            </w:r>
            <w:r w:rsidRPr="00842DC3">
              <w:rPr>
                <w:b w:val="0"/>
                <w:sz w:val="16"/>
                <w:szCs w:val="16"/>
              </w:rPr>
              <w:t>23</w:t>
            </w:r>
            <w:r w:rsidR="005F3138" w:rsidRPr="00842DC3">
              <w:rPr>
                <w:b w:val="0"/>
                <w:sz w:val="16"/>
                <w:szCs w:val="16"/>
              </w:rPr>
              <w:t>-</w:t>
            </w:r>
            <w:r w:rsidRPr="00842DC3">
              <w:rPr>
                <w:b w:val="0"/>
                <w:sz w:val="16"/>
                <w:szCs w:val="16"/>
              </w:rPr>
              <w:t>24)</w:t>
            </w:r>
            <w:r w:rsidRPr="00842DC3">
              <w:rPr>
                <w:sz w:val="16"/>
                <w:szCs w:val="16"/>
              </w:rPr>
              <w:t> </w:t>
            </w:r>
          </w:p>
        </w:tc>
        <w:tc>
          <w:tcPr>
            <w:tcW w:w="4105" w:type="pct"/>
            <w:vAlign w:val="center"/>
            <w:hideMark/>
          </w:tcPr>
          <w:p w14:paraId="60511200" w14:textId="1F9D513E"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b/>
                <w:sz w:val="16"/>
                <w:szCs w:val="16"/>
              </w:rPr>
            </w:pPr>
            <w:r w:rsidRPr="00842DC3">
              <w:rPr>
                <w:b/>
                <w:sz w:val="16"/>
                <w:szCs w:val="16"/>
              </w:rPr>
              <w:t>$58.</w:t>
            </w:r>
            <w:r w:rsidR="00A15842" w:rsidRPr="00842DC3">
              <w:rPr>
                <w:b/>
                <w:sz w:val="16"/>
                <w:szCs w:val="16"/>
              </w:rPr>
              <w:t xml:space="preserve">39 </w:t>
            </w:r>
            <w:r w:rsidRPr="00842DC3">
              <w:rPr>
                <w:b/>
                <w:sz w:val="16"/>
                <w:szCs w:val="16"/>
              </w:rPr>
              <w:t>million</w:t>
            </w:r>
          </w:p>
        </w:tc>
      </w:tr>
      <w:tr w:rsidR="00842DC3" w:rsidRPr="00400030" w:rsidDel="00B92F9A" w14:paraId="4C8C11D3"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tcPr>
          <w:p w14:paraId="432690ED" w14:textId="195351A9" w:rsidR="00400030" w:rsidRPr="00842DC3" w:rsidRDefault="00400030" w:rsidP="00400030">
            <w:pPr>
              <w:rPr>
                <w:sz w:val="16"/>
                <w:szCs w:val="16"/>
              </w:rPr>
            </w:pPr>
            <w:r w:rsidRPr="00842DC3">
              <w:rPr>
                <w:sz w:val="16"/>
                <w:szCs w:val="16"/>
              </w:rPr>
              <w:t>Total Project Cost</w:t>
            </w:r>
            <w:r w:rsidR="00F52300" w:rsidRPr="00842DC3">
              <w:rPr>
                <w:sz w:val="16"/>
                <w:szCs w:val="16"/>
              </w:rPr>
              <w:br/>
            </w:r>
            <w:r w:rsidRPr="00842DC3">
              <w:rPr>
                <w:b w:val="0"/>
                <w:sz w:val="16"/>
                <w:szCs w:val="16"/>
              </w:rPr>
              <w:t>(Real $</w:t>
            </w:r>
            <w:r w:rsidR="005F3138" w:rsidRPr="00842DC3">
              <w:rPr>
                <w:b w:val="0"/>
                <w:sz w:val="16"/>
                <w:szCs w:val="16"/>
              </w:rPr>
              <w:t>20</w:t>
            </w:r>
            <w:r w:rsidRPr="00842DC3">
              <w:rPr>
                <w:b w:val="0"/>
                <w:sz w:val="16"/>
                <w:szCs w:val="16"/>
              </w:rPr>
              <w:t>23</w:t>
            </w:r>
            <w:r w:rsidR="005F3138" w:rsidRPr="00842DC3">
              <w:rPr>
                <w:b w:val="0"/>
                <w:sz w:val="16"/>
                <w:szCs w:val="16"/>
              </w:rPr>
              <w:t>-</w:t>
            </w:r>
            <w:r w:rsidRPr="00842DC3">
              <w:rPr>
                <w:b w:val="0"/>
                <w:sz w:val="16"/>
                <w:szCs w:val="16"/>
              </w:rPr>
              <w:t>24)</w:t>
            </w:r>
          </w:p>
        </w:tc>
        <w:tc>
          <w:tcPr>
            <w:tcW w:w="4105" w:type="pct"/>
            <w:vAlign w:val="center"/>
          </w:tcPr>
          <w:p w14:paraId="3992B73A" w14:textId="0B9B8A93" w:rsidR="00400030" w:rsidRPr="00842DC3" w:rsidDel="00B92F9A" w:rsidRDefault="00400030" w:rsidP="00400030">
            <w:pPr>
              <w:cnfStyle w:val="000000000000" w:firstRow="0" w:lastRow="0" w:firstColumn="0" w:lastColumn="0" w:oddVBand="0" w:evenVBand="0" w:oddHBand="0" w:evenHBand="0" w:firstRowFirstColumn="0" w:firstRowLastColumn="0" w:lastRowFirstColumn="0" w:lastRowLastColumn="0"/>
              <w:rPr>
                <w:b/>
                <w:sz w:val="16"/>
                <w:szCs w:val="16"/>
              </w:rPr>
            </w:pPr>
            <w:r w:rsidRPr="00842DC3">
              <w:rPr>
                <w:b/>
                <w:sz w:val="16"/>
                <w:szCs w:val="16"/>
              </w:rPr>
              <w:t>$61.1</w:t>
            </w:r>
            <w:r w:rsidR="00A15842" w:rsidRPr="00842DC3">
              <w:rPr>
                <w:b/>
                <w:sz w:val="16"/>
                <w:szCs w:val="16"/>
              </w:rPr>
              <w:t>0</w:t>
            </w:r>
            <w:r w:rsidRPr="00842DC3">
              <w:rPr>
                <w:b/>
                <w:sz w:val="16"/>
                <w:szCs w:val="16"/>
              </w:rPr>
              <w:t xml:space="preserve"> million</w:t>
            </w:r>
          </w:p>
        </w:tc>
      </w:tr>
    </w:tbl>
    <w:p w14:paraId="1DBB05AC" w14:textId="50634B9C" w:rsidR="00320F90" w:rsidRDefault="00320F90"/>
    <w:tbl>
      <w:tblPr>
        <w:tblStyle w:val="GWWDefaulttable"/>
        <w:tblW w:w="5000" w:type="pct"/>
        <w:tblLook w:val="04A0" w:firstRow="1" w:lastRow="0" w:firstColumn="1" w:lastColumn="0" w:noHBand="0" w:noVBand="1"/>
      </w:tblPr>
      <w:tblGrid>
        <w:gridCol w:w="2041"/>
        <w:gridCol w:w="7597"/>
      </w:tblGrid>
      <w:tr w:rsidR="004603D3" w:rsidRPr="004603D3" w14:paraId="0DCB3C6F"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B9A7C02" w14:textId="77777777" w:rsidR="004603D3" w:rsidRPr="00FD7ABD" w:rsidRDefault="004603D3" w:rsidP="004603D3">
            <w:pPr>
              <w:rPr>
                <w:sz w:val="16"/>
                <w:szCs w:val="16"/>
              </w:rPr>
            </w:pPr>
            <w:r w:rsidRPr="00FD7ABD">
              <w:rPr>
                <w:sz w:val="16"/>
                <w:szCs w:val="16"/>
              </w:rPr>
              <w:lastRenderedPageBreak/>
              <w:t>Project 2</w:t>
            </w:r>
          </w:p>
        </w:tc>
        <w:tc>
          <w:tcPr>
            <w:tcW w:w="3941" w:type="pct"/>
            <w:hideMark/>
          </w:tcPr>
          <w:p w14:paraId="5E4C67A6" w14:textId="77777777" w:rsidR="00F4570C" w:rsidRDefault="004603D3" w:rsidP="004603D3">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sz w:val="16"/>
                <w:szCs w:val="16"/>
              </w:rPr>
              <w:t>Improving water supply reliability in the Macedon Ranges</w:t>
            </w:r>
            <w:r w:rsidR="00FD7ABD">
              <w:rPr>
                <w:sz w:val="16"/>
                <w:szCs w:val="16"/>
              </w:rPr>
              <w:t xml:space="preserve"> </w:t>
            </w:r>
          </w:p>
          <w:p w14:paraId="08ED2C5A" w14:textId="5C9BC11D" w:rsidR="004603D3" w:rsidRPr="00FD7ABD" w:rsidRDefault="00FD7ABD" w:rsidP="004603D3">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w:t>
            </w:r>
            <w:r w:rsidRPr="00FD7ABD">
              <w:rPr>
                <w:b w:val="0"/>
                <w:sz w:val="16"/>
                <w:szCs w:val="16"/>
              </w:rPr>
              <w:t>Macedon Ranges Transfer Augmentation</w:t>
            </w:r>
            <w:r>
              <w:rPr>
                <w:b w:val="0"/>
                <w:sz w:val="16"/>
                <w:szCs w:val="16"/>
              </w:rPr>
              <w:t>)</w:t>
            </w:r>
          </w:p>
        </w:tc>
      </w:tr>
      <w:tr w:rsidR="004603D3" w:rsidRPr="004603D3" w14:paraId="199B747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8DA2998" w14:textId="77777777" w:rsidR="004603D3" w:rsidRPr="00FD7ABD" w:rsidRDefault="004603D3" w:rsidP="004603D3">
            <w:pPr>
              <w:rPr>
                <w:b w:val="0"/>
                <w:sz w:val="16"/>
                <w:szCs w:val="16"/>
              </w:rPr>
            </w:pPr>
            <w:r w:rsidRPr="00FD7ABD">
              <w:rPr>
                <w:b w:val="0"/>
                <w:sz w:val="16"/>
                <w:szCs w:val="16"/>
              </w:rPr>
              <w:t>Service </w:t>
            </w:r>
          </w:p>
        </w:tc>
        <w:tc>
          <w:tcPr>
            <w:tcW w:w="3941" w:type="pct"/>
            <w:hideMark/>
          </w:tcPr>
          <w:p w14:paraId="747A79B1"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Water </w:t>
            </w:r>
          </w:p>
        </w:tc>
      </w:tr>
      <w:tr w:rsidR="004603D3" w:rsidRPr="004603D3" w14:paraId="5E4763F3"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BCFA1C3" w14:textId="77777777" w:rsidR="004603D3" w:rsidRPr="00FD7ABD" w:rsidRDefault="004603D3" w:rsidP="004603D3">
            <w:pPr>
              <w:rPr>
                <w:b w:val="0"/>
                <w:sz w:val="16"/>
                <w:szCs w:val="16"/>
              </w:rPr>
            </w:pPr>
            <w:r w:rsidRPr="00FD7ABD">
              <w:rPr>
                <w:b w:val="0"/>
                <w:sz w:val="16"/>
                <w:szCs w:val="16"/>
              </w:rPr>
              <w:t>Asset category </w:t>
            </w:r>
          </w:p>
        </w:tc>
        <w:tc>
          <w:tcPr>
            <w:tcW w:w="3941" w:type="pct"/>
            <w:hideMark/>
          </w:tcPr>
          <w:p w14:paraId="677DC04E"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Pipelines/Networks </w:t>
            </w:r>
          </w:p>
        </w:tc>
      </w:tr>
      <w:tr w:rsidR="004603D3" w:rsidRPr="004603D3" w14:paraId="0D279C4F"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3D24587" w14:textId="77777777" w:rsidR="004603D3" w:rsidRPr="00FD7ABD" w:rsidRDefault="004603D3" w:rsidP="004603D3">
            <w:pPr>
              <w:rPr>
                <w:b w:val="0"/>
                <w:sz w:val="16"/>
                <w:szCs w:val="16"/>
              </w:rPr>
            </w:pPr>
            <w:r w:rsidRPr="00FD7ABD">
              <w:rPr>
                <w:b w:val="0"/>
                <w:sz w:val="16"/>
                <w:szCs w:val="16"/>
              </w:rPr>
              <w:t>Cost driver </w:t>
            </w:r>
          </w:p>
        </w:tc>
        <w:tc>
          <w:tcPr>
            <w:tcW w:w="3941" w:type="pct"/>
            <w:hideMark/>
          </w:tcPr>
          <w:p w14:paraId="64C24D98"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Growth</w:t>
            </w:r>
          </w:p>
        </w:tc>
      </w:tr>
      <w:tr w:rsidR="004603D3" w:rsidRPr="004603D3" w14:paraId="6110B554" w14:textId="77777777" w:rsidTr="00FD7ABD">
        <w:trPr>
          <w:trHeight w:val="1470"/>
        </w:trPr>
        <w:tc>
          <w:tcPr>
            <w:cnfStyle w:val="001000000000" w:firstRow="0" w:lastRow="0" w:firstColumn="1" w:lastColumn="0" w:oddVBand="0" w:evenVBand="0" w:oddHBand="0" w:evenHBand="0" w:firstRowFirstColumn="0" w:firstRowLastColumn="0" w:lastRowFirstColumn="0" w:lastRowLastColumn="0"/>
            <w:tcW w:w="1059" w:type="pct"/>
            <w:hideMark/>
          </w:tcPr>
          <w:p w14:paraId="43A43F3E" w14:textId="77777777" w:rsidR="004603D3" w:rsidRPr="00FD7ABD" w:rsidRDefault="004603D3" w:rsidP="004603D3">
            <w:pPr>
              <w:rPr>
                <w:b w:val="0"/>
                <w:sz w:val="16"/>
                <w:szCs w:val="16"/>
              </w:rPr>
            </w:pPr>
            <w:r w:rsidRPr="00FD7ABD">
              <w:rPr>
                <w:b w:val="0"/>
                <w:sz w:val="16"/>
                <w:szCs w:val="16"/>
              </w:rPr>
              <w:t>Description </w:t>
            </w:r>
          </w:p>
        </w:tc>
        <w:tc>
          <w:tcPr>
            <w:tcW w:w="3941" w:type="pct"/>
            <w:hideMark/>
          </w:tcPr>
          <w:p w14:paraId="0F1AFE60"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To provide the Macedon Ranges with secure, </w:t>
            </w:r>
            <w:proofErr w:type="gramStart"/>
            <w:r w:rsidRPr="00FD7ABD">
              <w:rPr>
                <w:sz w:val="16"/>
                <w:szCs w:val="16"/>
              </w:rPr>
              <w:t>reliable</w:t>
            </w:r>
            <w:proofErr w:type="gramEnd"/>
            <w:r w:rsidRPr="00FD7ABD">
              <w:rPr>
                <w:sz w:val="16"/>
                <w:szCs w:val="16"/>
              </w:rPr>
              <w:t xml:space="preserve"> and consistent potable water. The project includes: </w:t>
            </w:r>
          </w:p>
          <w:p w14:paraId="199D5BFB"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new inlet works into the </w:t>
            </w:r>
            <w:proofErr w:type="spellStart"/>
            <w:r w:rsidRPr="00FD7ABD">
              <w:rPr>
                <w:sz w:val="16"/>
                <w:szCs w:val="16"/>
              </w:rPr>
              <w:t>Rosslynne</w:t>
            </w:r>
            <w:proofErr w:type="spellEnd"/>
            <w:r w:rsidRPr="00FD7ABD">
              <w:rPr>
                <w:sz w:val="16"/>
                <w:szCs w:val="16"/>
              </w:rPr>
              <w:t xml:space="preserve"> Reservoir</w:t>
            </w:r>
          </w:p>
          <w:p w14:paraId="44DE5B04"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new pipelines between </w:t>
            </w:r>
            <w:proofErr w:type="spellStart"/>
            <w:r w:rsidRPr="00FD7ABD">
              <w:rPr>
                <w:sz w:val="16"/>
                <w:szCs w:val="16"/>
              </w:rPr>
              <w:t>Rosslynne</w:t>
            </w:r>
            <w:proofErr w:type="spellEnd"/>
            <w:r w:rsidRPr="00FD7ABD">
              <w:rPr>
                <w:sz w:val="16"/>
                <w:szCs w:val="16"/>
              </w:rPr>
              <w:t xml:space="preserve"> Reservoir, Magnet Hill Tanks and </w:t>
            </w:r>
            <w:proofErr w:type="spellStart"/>
            <w:r w:rsidRPr="00FD7ABD">
              <w:rPr>
                <w:sz w:val="16"/>
                <w:szCs w:val="16"/>
              </w:rPr>
              <w:t>Riddells</w:t>
            </w:r>
            <w:proofErr w:type="spellEnd"/>
            <w:r w:rsidRPr="00FD7ABD">
              <w:rPr>
                <w:sz w:val="16"/>
                <w:szCs w:val="16"/>
              </w:rPr>
              <w:t xml:space="preserve"> Creek</w:t>
            </w:r>
          </w:p>
          <w:p w14:paraId="21567016"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new tanks and pump infrastructure in Gisborne to enable the changes and future proof for growth in the </w:t>
            </w:r>
            <w:proofErr w:type="gramStart"/>
            <w:r w:rsidRPr="00FD7ABD">
              <w:rPr>
                <w:sz w:val="16"/>
                <w:szCs w:val="16"/>
              </w:rPr>
              <w:t>region</w:t>
            </w:r>
            <w:proofErr w:type="gramEnd"/>
          </w:p>
          <w:p w14:paraId="0C16C859"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minor works to prevent disruption to customers in the vicinity of the works</w:t>
            </w:r>
          </w:p>
        </w:tc>
      </w:tr>
      <w:tr w:rsidR="004603D3" w:rsidRPr="004603D3" w14:paraId="230A262D" w14:textId="77777777" w:rsidTr="00FD7ABD">
        <w:trPr>
          <w:trHeight w:val="692"/>
        </w:trPr>
        <w:tc>
          <w:tcPr>
            <w:cnfStyle w:val="001000000000" w:firstRow="0" w:lastRow="0" w:firstColumn="1" w:lastColumn="0" w:oddVBand="0" w:evenVBand="0" w:oddHBand="0" w:evenHBand="0" w:firstRowFirstColumn="0" w:firstRowLastColumn="0" w:lastRowFirstColumn="0" w:lastRowLastColumn="0"/>
            <w:tcW w:w="1059" w:type="pct"/>
            <w:hideMark/>
          </w:tcPr>
          <w:p w14:paraId="59093DCB" w14:textId="77777777" w:rsidR="004603D3" w:rsidRPr="00FD7ABD" w:rsidRDefault="004603D3" w:rsidP="004603D3">
            <w:pPr>
              <w:rPr>
                <w:b w:val="0"/>
                <w:sz w:val="16"/>
                <w:szCs w:val="16"/>
              </w:rPr>
            </w:pPr>
            <w:r w:rsidRPr="00FD7ABD">
              <w:rPr>
                <w:b w:val="0"/>
                <w:sz w:val="16"/>
                <w:szCs w:val="16"/>
              </w:rPr>
              <w:t>Customer outcome </w:t>
            </w:r>
          </w:p>
        </w:tc>
        <w:tc>
          <w:tcPr>
            <w:tcW w:w="3941" w:type="pct"/>
            <w:hideMark/>
          </w:tcPr>
          <w:p w14:paraId="52946C43"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project supports our customer outcome of your water is safe, </w:t>
            </w:r>
            <w:proofErr w:type="gramStart"/>
            <w:r w:rsidRPr="00FD7ABD">
              <w:rPr>
                <w:sz w:val="16"/>
                <w:szCs w:val="16"/>
              </w:rPr>
              <w:t>consistent</w:t>
            </w:r>
            <w:proofErr w:type="gramEnd"/>
            <w:r w:rsidRPr="00FD7ABD">
              <w:rPr>
                <w:sz w:val="16"/>
                <w:szCs w:val="16"/>
              </w:rPr>
              <w:t xml:space="preserve"> and resilient by improving water security in the Macedon Ranges.</w:t>
            </w:r>
          </w:p>
        </w:tc>
      </w:tr>
      <w:tr w:rsidR="004603D3" w:rsidRPr="004603D3" w14:paraId="6A96701B"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7674C09" w14:textId="77777777" w:rsidR="004603D3" w:rsidRPr="00FD7ABD" w:rsidRDefault="004603D3" w:rsidP="004603D3">
            <w:pPr>
              <w:rPr>
                <w:b w:val="0"/>
                <w:sz w:val="16"/>
                <w:szCs w:val="16"/>
              </w:rPr>
            </w:pPr>
            <w:r w:rsidRPr="00FD7ABD">
              <w:rPr>
                <w:b w:val="0"/>
                <w:sz w:val="16"/>
                <w:szCs w:val="16"/>
              </w:rPr>
              <w:t>Background </w:t>
            </w:r>
          </w:p>
        </w:tc>
        <w:tc>
          <w:tcPr>
            <w:tcW w:w="3941" w:type="pct"/>
            <w:hideMark/>
          </w:tcPr>
          <w:p w14:paraId="30DCDE3F" w14:textId="0A11F51A"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Macedon Ranges (including Woodend, Macedon, Mount Macedon, New Gisborne, Gisborne and </w:t>
            </w:r>
            <w:proofErr w:type="spellStart"/>
            <w:r w:rsidRPr="00FD7ABD">
              <w:rPr>
                <w:sz w:val="16"/>
                <w:szCs w:val="16"/>
              </w:rPr>
              <w:t>Riddells</w:t>
            </w:r>
            <w:proofErr w:type="spellEnd"/>
            <w:r w:rsidRPr="00FD7ABD">
              <w:rPr>
                <w:sz w:val="16"/>
                <w:szCs w:val="16"/>
              </w:rPr>
              <w:t xml:space="preserve"> Creek townships) is serviced by the </w:t>
            </w:r>
            <w:proofErr w:type="spellStart"/>
            <w:r w:rsidRPr="00FD7ABD">
              <w:rPr>
                <w:sz w:val="16"/>
                <w:szCs w:val="16"/>
              </w:rPr>
              <w:t>Rosslynne</w:t>
            </w:r>
            <w:proofErr w:type="spellEnd"/>
            <w:r w:rsidRPr="00FD7ABD">
              <w:rPr>
                <w:sz w:val="16"/>
                <w:szCs w:val="16"/>
              </w:rPr>
              <w:t xml:space="preserve"> Water Supply System.</w:t>
            </w:r>
            <w:r w:rsidR="00DB308C" w:rsidRPr="00FD7ABD">
              <w:rPr>
                <w:sz w:val="16"/>
                <w:szCs w:val="16"/>
              </w:rPr>
              <w:t xml:space="preserve"> </w:t>
            </w:r>
            <w:r w:rsidRPr="00FD7ABD">
              <w:rPr>
                <w:sz w:val="16"/>
                <w:szCs w:val="16"/>
              </w:rPr>
              <w:t xml:space="preserve">The 25GL </w:t>
            </w:r>
            <w:proofErr w:type="spellStart"/>
            <w:r w:rsidRPr="00FD7ABD">
              <w:rPr>
                <w:sz w:val="16"/>
                <w:szCs w:val="16"/>
              </w:rPr>
              <w:t>Rosslynne</w:t>
            </w:r>
            <w:proofErr w:type="spellEnd"/>
            <w:r w:rsidRPr="00FD7ABD">
              <w:rPr>
                <w:sz w:val="16"/>
                <w:szCs w:val="16"/>
              </w:rPr>
              <w:t xml:space="preserve"> Reservoir is the major regional storage for the </w:t>
            </w:r>
            <w:proofErr w:type="spellStart"/>
            <w:r w:rsidRPr="00FD7ABD">
              <w:rPr>
                <w:sz w:val="16"/>
                <w:szCs w:val="16"/>
              </w:rPr>
              <w:t>Rosslynne</w:t>
            </w:r>
            <w:proofErr w:type="spellEnd"/>
            <w:r w:rsidRPr="00FD7ABD">
              <w:rPr>
                <w:sz w:val="16"/>
                <w:szCs w:val="16"/>
              </w:rPr>
              <w:t xml:space="preserve"> Water Supply System. This project will enable </w:t>
            </w:r>
            <w:proofErr w:type="gramStart"/>
            <w:r w:rsidRPr="00FD7ABD">
              <w:rPr>
                <w:sz w:val="16"/>
                <w:szCs w:val="16"/>
              </w:rPr>
              <w:t>year round</w:t>
            </w:r>
            <w:proofErr w:type="gramEnd"/>
            <w:r w:rsidRPr="00FD7ABD">
              <w:rPr>
                <w:sz w:val="16"/>
                <w:szCs w:val="16"/>
              </w:rPr>
              <w:t xml:space="preserve"> filling of </w:t>
            </w:r>
            <w:proofErr w:type="spellStart"/>
            <w:r w:rsidRPr="00FD7ABD">
              <w:rPr>
                <w:sz w:val="16"/>
                <w:szCs w:val="16"/>
              </w:rPr>
              <w:t>Rosslynne</w:t>
            </w:r>
            <w:proofErr w:type="spellEnd"/>
            <w:r w:rsidRPr="00FD7ABD">
              <w:rPr>
                <w:sz w:val="16"/>
                <w:szCs w:val="16"/>
              </w:rPr>
              <w:t xml:space="preserve"> Reservoir from Melbourne, eliminate aesthetic water quality complaints and enable future works to increase the volume of flows that can be transferred into </w:t>
            </w:r>
            <w:proofErr w:type="spellStart"/>
            <w:r w:rsidRPr="00FD7ABD">
              <w:rPr>
                <w:sz w:val="16"/>
                <w:szCs w:val="16"/>
              </w:rPr>
              <w:t>Rosslynne</w:t>
            </w:r>
            <w:proofErr w:type="spellEnd"/>
            <w:r w:rsidRPr="00FD7ABD">
              <w:rPr>
                <w:sz w:val="16"/>
                <w:szCs w:val="16"/>
              </w:rPr>
              <w:t xml:space="preserve"> Reservoir. </w:t>
            </w:r>
          </w:p>
          <w:p w14:paraId="2446DCB9"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current operating regime fills </w:t>
            </w:r>
            <w:proofErr w:type="spellStart"/>
            <w:r w:rsidRPr="00FD7ABD">
              <w:rPr>
                <w:sz w:val="16"/>
                <w:szCs w:val="16"/>
              </w:rPr>
              <w:t>Rosslynne</w:t>
            </w:r>
            <w:proofErr w:type="spellEnd"/>
            <w:r w:rsidRPr="00FD7ABD">
              <w:rPr>
                <w:sz w:val="16"/>
                <w:szCs w:val="16"/>
              </w:rPr>
              <w:t xml:space="preserve"> Reservoir with water from Melbourne, via Sunbury, for approximately 9 months of the year. When </w:t>
            </w:r>
            <w:proofErr w:type="spellStart"/>
            <w:r w:rsidRPr="00FD7ABD">
              <w:rPr>
                <w:sz w:val="16"/>
                <w:szCs w:val="16"/>
              </w:rPr>
              <w:t>Rosslynne</w:t>
            </w:r>
            <w:proofErr w:type="spellEnd"/>
            <w:r w:rsidRPr="00FD7ABD">
              <w:rPr>
                <w:sz w:val="16"/>
                <w:szCs w:val="16"/>
              </w:rPr>
              <w:t xml:space="preserve"> is being filled with water from Melbourne, the Macedon Ranges also receive water from Melbourne. When </w:t>
            </w:r>
            <w:proofErr w:type="spellStart"/>
            <w:r w:rsidRPr="00FD7ABD">
              <w:rPr>
                <w:sz w:val="16"/>
                <w:szCs w:val="16"/>
              </w:rPr>
              <w:t>Rosslynne</w:t>
            </w:r>
            <w:proofErr w:type="spellEnd"/>
            <w:r w:rsidRPr="00FD7ABD">
              <w:rPr>
                <w:sz w:val="16"/>
                <w:szCs w:val="16"/>
              </w:rPr>
              <w:t xml:space="preserve"> is not being filled, the towns in the Macedon Ranges receive water from the reservoir via the </w:t>
            </w:r>
            <w:proofErr w:type="spellStart"/>
            <w:r w:rsidRPr="00FD7ABD">
              <w:rPr>
                <w:sz w:val="16"/>
                <w:szCs w:val="16"/>
              </w:rPr>
              <w:t>Rosslynne</w:t>
            </w:r>
            <w:proofErr w:type="spellEnd"/>
            <w:r w:rsidRPr="00FD7ABD">
              <w:rPr>
                <w:sz w:val="16"/>
                <w:szCs w:val="16"/>
              </w:rPr>
              <w:t xml:space="preserve"> Water Filtration Plant (WFP). Customers observe the aesthetic water changes from changing water sources and complaints are received.</w:t>
            </w:r>
          </w:p>
          <w:p w14:paraId="4D8E63C6"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filling of </w:t>
            </w:r>
            <w:proofErr w:type="spellStart"/>
            <w:r w:rsidRPr="00FD7ABD">
              <w:rPr>
                <w:sz w:val="16"/>
                <w:szCs w:val="16"/>
              </w:rPr>
              <w:t>Rosslynne</w:t>
            </w:r>
            <w:proofErr w:type="spellEnd"/>
            <w:r w:rsidRPr="00FD7ABD">
              <w:rPr>
                <w:sz w:val="16"/>
                <w:szCs w:val="16"/>
              </w:rPr>
              <w:t xml:space="preserve"> Reservoir cannot be maintained through summer due to capacity limitations through the Sunbury water network and due to a single transfer </w:t>
            </w:r>
            <w:proofErr w:type="gramStart"/>
            <w:r w:rsidRPr="00FD7ABD">
              <w:rPr>
                <w:sz w:val="16"/>
                <w:szCs w:val="16"/>
              </w:rPr>
              <w:t>main</w:t>
            </w:r>
            <w:proofErr w:type="gramEnd"/>
            <w:r w:rsidRPr="00FD7ABD">
              <w:rPr>
                <w:sz w:val="16"/>
                <w:szCs w:val="16"/>
              </w:rPr>
              <w:t xml:space="preserve"> that serves as both inlet and outlet from the </w:t>
            </w:r>
            <w:proofErr w:type="spellStart"/>
            <w:r w:rsidRPr="00FD7ABD">
              <w:rPr>
                <w:sz w:val="16"/>
                <w:szCs w:val="16"/>
              </w:rPr>
              <w:t>Rosslynne</w:t>
            </w:r>
            <w:proofErr w:type="spellEnd"/>
            <w:r w:rsidRPr="00FD7ABD">
              <w:rPr>
                <w:sz w:val="16"/>
                <w:szCs w:val="16"/>
              </w:rPr>
              <w:t xml:space="preserve"> WFP. </w:t>
            </w:r>
          </w:p>
        </w:tc>
      </w:tr>
      <w:tr w:rsidR="004603D3" w:rsidRPr="004603D3" w14:paraId="34CB3CA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455412B" w14:textId="77777777" w:rsidR="004603D3" w:rsidRPr="00FD7ABD" w:rsidRDefault="004603D3" w:rsidP="004603D3">
            <w:pPr>
              <w:rPr>
                <w:b w:val="0"/>
                <w:sz w:val="16"/>
                <w:szCs w:val="16"/>
              </w:rPr>
            </w:pPr>
            <w:r w:rsidRPr="00FD7ABD">
              <w:rPr>
                <w:b w:val="0"/>
                <w:sz w:val="16"/>
                <w:szCs w:val="16"/>
              </w:rPr>
              <w:t>Risk addressed </w:t>
            </w:r>
          </w:p>
        </w:tc>
        <w:tc>
          <w:tcPr>
            <w:tcW w:w="3941" w:type="pct"/>
            <w:hideMark/>
          </w:tcPr>
          <w:p w14:paraId="15B1F833" w14:textId="291F15E0"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Service delivery</w:t>
            </w:r>
            <w:r w:rsidR="007739DD" w:rsidRPr="00FD7ABD">
              <w:rPr>
                <w:sz w:val="16"/>
                <w:szCs w:val="16"/>
              </w:rPr>
              <w:t xml:space="preserve"> risk of</w:t>
            </w:r>
            <w:r w:rsidRPr="00FD7ABD">
              <w:rPr>
                <w:sz w:val="16"/>
                <w:szCs w:val="16"/>
              </w:rPr>
              <w:t>:</w:t>
            </w:r>
          </w:p>
          <w:p w14:paraId="678B6D61" w14:textId="5275E72D"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water restrictions </w:t>
            </w:r>
          </w:p>
          <w:p w14:paraId="6AF00C8F" w14:textId="77777777"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inconsistent water supply (quality and capacity)</w:t>
            </w:r>
          </w:p>
          <w:p w14:paraId="161EC07D" w14:textId="77777777"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low pressure events</w:t>
            </w:r>
          </w:p>
        </w:tc>
      </w:tr>
      <w:tr w:rsidR="004603D3" w:rsidRPr="004603D3" w14:paraId="42B9236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3E37456" w14:textId="77777777" w:rsidR="004603D3" w:rsidRPr="00FD7ABD" w:rsidRDefault="004603D3" w:rsidP="004603D3">
            <w:pPr>
              <w:rPr>
                <w:b w:val="0"/>
                <w:sz w:val="16"/>
                <w:szCs w:val="16"/>
              </w:rPr>
            </w:pPr>
            <w:r w:rsidRPr="00FD7ABD">
              <w:rPr>
                <w:b w:val="0"/>
                <w:sz w:val="16"/>
                <w:szCs w:val="16"/>
              </w:rPr>
              <w:t>Start year </w:t>
            </w:r>
          </w:p>
        </w:tc>
        <w:tc>
          <w:tcPr>
            <w:tcW w:w="3941" w:type="pct"/>
            <w:hideMark/>
          </w:tcPr>
          <w:p w14:paraId="77F30FFC" w14:textId="218A231F"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2023-</w:t>
            </w:r>
            <w:r w:rsidRPr="00FD7ABD">
              <w:rPr>
                <w:sz w:val="16"/>
                <w:szCs w:val="16"/>
              </w:rPr>
              <w:t>24</w:t>
            </w:r>
          </w:p>
        </w:tc>
      </w:tr>
      <w:tr w:rsidR="004603D3" w:rsidRPr="004603D3" w14:paraId="122EE2E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39096DD" w14:textId="77777777" w:rsidR="004603D3" w:rsidRPr="00FD7ABD" w:rsidRDefault="004603D3" w:rsidP="004603D3">
            <w:pPr>
              <w:rPr>
                <w:b w:val="0"/>
                <w:sz w:val="16"/>
                <w:szCs w:val="16"/>
              </w:rPr>
            </w:pPr>
            <w:r w:rsidRPr="00FD7ABD">
              <w:rPr>
                <w:b w:val="0"/>
                <w:sz w:val="16"/>
                <w:szCs w:val="16"/>
              </w:rPr>
              <w:t>Completion year </w:t>
            </w:r>
          </w:p>
        </w:tc>
        <w:tc>
          <w:tcPr>
            <w:tcW w:w="3941" w:type="pct"/>
            <w:hideMark/>
          </w:tcPr>
          <w:p w14:paraId="6CF871B3" w14:textId="668D50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2026-</w:t>
            </w:r>
            <w:r w:rsidRPr="00FD7ABD">
              <w:rPr>
                <w:sz w:val="16"/>
                <w:szCs w:val="16"/>
              </w:rPr>
              <w:t>27</w:t>
            </w:r>
          </w:p>
        </w:tc>
      </w:tr>
      <w:tr w:rsidR="004603D3" w:rsidRPr="004603D3" w14:paraId="49E865F1"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BC48487" w14:textId="07456014" w:rsidR="004603D3" w:rsidRPr="00FD7ABD" w:rsidRDefault="004603D3" w:rsidP="004603D3">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41" w:type="pct"/>
            <w:vAlign w:val="center"/>
            <w:hideMark/>
          </w:tcPr>
          <w:p w14:paraId="2D1CEE22" w14:textId="68BEED3C"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 $55.</w:t>
            </w:r>
            <w:r w:rsidR="009E239C" w:rsidRPr="00FD7ABD">
              <w:rPr>
                <w:b/>
                <w:sz w:val="16"/>
                <w:szCs w:val="16"/>
              </w:rPr>
              <w:t xml:space="preserve">87 </w:t>
            </w:r>
            <w:r w:rsidRPr="00FD7ABD">
              <w:rPr>
                <w:b/>
                <w:sz w:val="16"/>
                <w:szCs w:val="16"/>
              </w:rPr>
              <w:t>million</w:t>
            </w:r>
          </w:p>
        </w:tc>
      </w:tr>
      <w:tr w:rsidR="004603D3" w:rsidRPr="004603D3" w14:paraId="228F268D"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39BB559" w14:textId="1E331B4D" w:rsidR="004603D3" w:rsidRPr="00FD7ABD" w:rsidRDefault="004603D3" w:rsidP="004603D3">
            <w:pPr>
              <w:rPr>
                <w:sz w:val="16"/>
                <w:szCs w:val="16"/>
              </w:rPr>
            </w:pPr>
            <w:r w:rsidRPr="00FD7ABD">
              <w:rPr>
                <w:sz w:val="16"/>
                <w:szCs w:val="16"/>
              </w:rPr>
              <w:t>Total Project Cost</w:t>
            </w:r>
            <w:r w:rsidR="00F52300" w:rsidRPr="00FD7ABD">
              <w:rPr>
                <w:sz w:val="16"/>
                <w:szCs w:val="16"/>
              </w:rPr>
              <w:br/>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p>
        </w:tc>
        <w:tc>
          <w:tcPr>
            <w:tcW w:w="3941" w:type="pct"/>
            <w:vAlign w:val="center"/>
          </w:tcPr>
          <w:p w14:paraId="37891FA1" w14:textId="7329010A"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$58.</w:t>
            </w:r>
            <w:r w:rsidR="009E239C" w:rsidRPr="00FD7ABD">
              <w:rPr>
                <w:b/>
                <w:sz w:val="16"/>
                <w:szCs w:val="16"/>
              </w:rPr>
              <w:t>5</w:t>
            </w:r>
            <w:r w:rsidR="00D273EA">
              <w:rPr>
                <w:b/>
                <w:sz w:val="16"/>
                <w:szCs w:val="16"/>
              </w:rPr>
              <w:t>6</w:t>
            </w:r>
            <w:r w:rsidR="009E239C" w:rsidRPr="00FD7ABD">
              <w:rPr>
                <w:b/>
                <w:sz w:val="16"/>
                <w:szCs w:val="16"/>
              </w:rPr>
              <w:t xml:space="preserve"> </w:t>
            </w:r>
            <w:r w:rsidRPr="00FD7ABD">
              <w:rPr>
                <w:b/>
                <w:sz w:val="16"/>
                <w:szCs w:val="16"/>
              </w:rPr>
              <w:t>million</w:t>
            </w:r>
          </w:p>
        </w:tc>
      </w:tr>
    </w:tbl>
    <w:p w14:paraId="0380ED70" w14:textId="77777777" w:rsidR="004603D3" w:rsidRDefault="004603D3" w:rsidP="009C0F4E"/>
    <w:tbl>
      <w:tblPr>
        <w:tblStyle w:val="GWWDefaulttable"/>
        <w:tblW w:w="5000" w:type="pct"/>
        <w:tblLook w:val="04A0" w:firstRow="1" w:lastRow="0" w:firstColumn="1" w:lastColumn="0" w:noHBand="0" w:noVBand="1"/>
      </w:tblPr>
      <w:tblGrid>
        <w:gridCol w:w="2041"/>
        <w:gridCol w:w="7597"/>
      </w:tblGrid>
      <w:tr w:rsidR="008911D7" w:rsidRPr="008911D7" w14:paraId="3D67E8E1"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DDA9904" w14:textId="77777777" w:rsidR="008911D7" w:rsidRPr="00FD7ABD" w:rsidRDefault="008911D7" w:rsidP="008911D7">
            <w:pPr>
              <w:rPr>
                <w:sz w:val="16"/>
                <w:szCs w:val="16"/>
              </w:rPr>
            </w:pPr>
            <w:r w:rsidRPr="00FD7ABD">
              <w:rPr>
                <w:sz w:val="16"/>
                <w:szCs w:val="16"/>
              </w:rPr>
              <w:t>Project 3 </w:t>
            </w:r>
          </w:p>
        </w:tc>
        <w:tc>
          <w:tcPr>
            <w:tcW w:w="3941" w:type="pct"/>
            <w:hideMark/>
          </w:tcPr>
          <w:p w14:paraId="562D1B66" w14:textId="77777777" w:rsidR="008911D7" w:rsidRPr="00FD7ABD" w:rsidRDefault="008911D7" w:rsidP="008911D7">
            <w:pPr>
              <w:cnfStyle w:val="100000000000" w:firstRow="1" w:lastRow="0" w:firstColumn="0" w:lastColumn="0" w:oddVBand="0" w:evenVBand="0" w:oddHBand="0" w:evenHBand="0" w:firstRowFirstColumn="0" w:firstRowLastColumn="0" w:lastRowFirstColumn="0" w:lastRowLastColumn="0"/>
              <w:rPr>
                <w:sz w:val="16"/>
                <w:szCs w:val="16"/>
              </w:rPr>
            </w:pPr>
            <w:r w:rsidRPr="00FD7ABD">
              <w:rPr>
                <w:sz w:val="16"/>
                <w:szCs w:val="16"/>
              </w:rPr>
              <w:t>Supporting CBD growth with better sewer capacity</w:t>
            </w:r>
          </w:p>
          <w:p w14:paraId="1B80F5F1" w14:textId="77777777" w:rsidR="008911D7" w:rsidRPr="00FD7ABD" w:rsidRDefault="008911D7" w:rsidP="008911D7">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b w:val="0"/>
                <w:sz w:val="16"/>
                <w:szCs w:val="16"/>
              </w:rPr>
              <w:t xml:space="preserve">CBD Stage 4 – </w:t>
            </w:r>
            <w:proofErr w:type="spellStart"/>
            <w:r w:rsidRPr="00FD7ABD">
              <w:rPr>
                <w:b w:val="0"/>
                <w:sz w:val="16"/>
                <w:szCs w:val="16"/>
              </w:rPr>
              <w:t>Siddeley</w:t>
            </w:r>
            <w:proofErr w:type="spellEnd"/>
            <w:r w:rsidRPr="00FD7ABD">
              <w:rPr>
                <w:b w:val="0"/>
                <w:sz w:val="16"/>
                <w:szCs w:val="16"/>
              </w:rPr>
              <w:t xml:space="preserve"> Street </w:t>
            </w:r>
          </w:p>
        </w:tc>
      </w:tr>
      <w:tr w:rsidR="008911D7" w:rsidRPr="008911D7" w14:paraId="02FA5B9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65DE0C5" w14:textId="77777777" w:rsidR="008911D7" w:rsidRPr="00FD7ABD" w:rsidRDefault="008911D7" w:rsidP="008911D7">
            <w:pPr>
              <w:rPr>
                <w:b w:val="0"/>
                <w:sz w:val="16"/>
                <w:szCs w:val="16"/>
              </w:rPr>
            </w:pPr>
            <w:r w:rsidRPr="00FD7ABD">
              <w:rPr>
                <w:b w:val="0"/>
                <w:sz w:val="16"/>
                <w:szCs w:val="16"/>
              </w:rPr>
              <w:t>Service </w:t>
            </w:r>
          </w:p>
        </w:tc>
        <w:tc>
          <w:tcPr>
            <w:tcW w:w="3941" w:type="pct"/>
            <w:hideMark/>
          </w:tcPr>
          <w:p w14:paraId="6A84C805"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Sewer </w:t>
            </w:r>
          </w:p>
        </w:tc>
      </w:tr>
      <w:tr w:rsidR="008911D7" w:rsidRPr="008911D7" w14:paraId="5AF8410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982EF5" w14:textId="77777777" w:rsidR="008911D7" w:rsidRPr="00FD7ABD" w:rsidRDefault="008911D7" w:rsidP="008911D7">
            <w:pPr>
              <w:rPr>
                <w:b w:val="0"/>
                <w:sz w:val="16"/>
                <w:szCs w:val="16"/>
              </w:rPr>
            </w:pPr>
            <w:r w:rsidRPr="00FD7ABD">
              <w:rPr>
                <w:b w:val="0"/>
                <w:sz w:val="16"/>
                <w:szCs w:val="16"/>
              </w:rPr>
              <w:t>Asset category </w:t>
            </w:r>
          </w:p>
        </w:tc>
        <w:tc>
          <w:tcPr>
            <w:tcW w:w="3941" w:type="pct"/>
            <w:hideMark/>
          </w:tcPr>
          <w:p w14:paraId="3E4E3FF4"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Pipelines/Networks </w:t>
            </w:r>
          </w:p>
        </w:tc>
      </w:tr>
      <w:tr w:rsidR="008911D7" w:rsidRPr="008911D7" w14:paraId="1673D559"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0E40ED4" w14:textId="77777777" w:rsidR="008911D7" w:rsidRPr="00FD7ABD" w:rsidRDefault="008911D7" w:rsidP="008911D7">
            <w:pPr>
              <w:rPr>
                <w:b w:val="0"/>
                <w:sz w:val="16"/>
                <w:szCs w:val="16"/>
              </w:rPr>
            </w:pPr>
            <w:r w:rsidRPr="00FD7ABD">
              <w:rPr>
                <w:b w:val="0"/>
                <w:sz w:val="16"/>
                <w:szCs w:val="16"/>
              </w:rPr>
              <w:t>Cost driver </w:t>
            </w:r>
          </w:p>
        </w:tc>
        <w:tc>
          <w:tcPr>
            <w:tcW w:w="3941" w:type="pct"/>
            <w:hideMark/>
          </w:tcPr>
          <w:p w14:paraId="48198799"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Growth </w:t>
            </w:r>
          </w:p>
        </w:tc>
      </w:tr>
      <w:tr w:rsidR="008911D7" w:rsidRPr="008911D7" w14:paraId="2D2C2B28" w14:textId="77777777" w:rsidTr="00BD2857">
        <w:trPr>
          <w:trHeight w:val="916"/>
        </w:trPr>
        <w:tc>
          <w:tcPr>
            <w:cnfStyle w:val="001000000000" w:firstRow="0" w:lastRow="0" w:firstColumn="1" w:lastColumn="0" w:oddVBand="0" w:evenVBand="0" w:oddHBand="0" w:evenHBand="0" w:firstRowFirstColumn="0" w:firstRowLastColumn="0" w:lastRowFirstColumn="0" w:lastRowLastColumn="0"/>
            <w:tcW w:w="1059" w:type="pct"/>
            <w:hideMark/>
          </w:tcPr>
          <w:p w14:paraId="74CC7153" w14:textId="77777777" w:rsidR="008911D7" w:rsidRPr="00FD7ABD" w:rsidRDefault="008911D7" w:rsidP="008911D7">
            <w:pPr>
              <w:rPr>
                <w:b w:val="0"/>
                <w:sz w:val="16"/>
                <w:szCs w:val="16"/>
              </w:rPr>
            </w:pPr>
            <w:r w:rsidRPr="00FD7ABD">
              <w:rPr>
                <w:b w:val="0"/>
                <w:sz w:val="16"/>
                <w:szCs w:val="16"/>
              </w:rPr>
              <w:t>Description </w:t>
            </w:r>
          </w:p>
        </w:tc>
        <w:tc>
          <w:tcPr>
            <w:tcW w:w="3941" w:type="pct"/>
            <w:hideMark/>
          </w:tcPr>
          <w:p w14:paraId="62246D9E"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Provide for future population growth in Melbourne’s CBD and facilitate the rehabilitation of the existing Melbourne Main Sewer.</w:t>
            </w:r>
          </w:p>
          <w:p w14:paraId="2A8E38F7"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works include a new sewer in </w:t>
            </w:r>
            <w:proofErr w:type="spellStart"/>
            <w:r w:rsidRPr="00FD7ABD">
              <w:rPr>
                <w:sz w:val="16"/>
                <w:szCs w:val="16"/>
              </w:rPr>
              <w:t>Siddeley</w:t>
            </w:r>
            <w:proofErr w:type="spellEnd"/>
            <w:r w:rsidRPr="00FD7ABD">
              <w:rPr>
                <w:sz w:val="16"/>
                <w:szCs w:val="16"/>
              </w:rPr>
              <w:t xml:space="preserve"> Street to provide an outlet into Melbourne Water’s network </w:t>
            </w:r>
            <w:proofErr w:type="gramStart"/>
            <w:r w:rsidRPr="00FD7ABD">
              <w:rPr>
                <w:sz w:val="16"/>
                <w:szCs w:val="16"/>
              </w:rPr>
              <w:t>and also</w:t>
            </w:r>
            <w:proofErr w:type="gramEnd"/>
            <w:r w:rsidRPr="00FD7ABD">
              <w:rPr>
                <w:sz w:val="16"/>
                <w:szCs w:val="16"/>
              </w:rPr>
              <w:t xml:space="preserve"> connect to the previously constructed stages of the CBD Sewer Strategy.</w:t>
            </w:r>
          </w:p>
        </w:tc>
      </w:tr>
      <w:tr w:rsidR="008911D7" w:rsidRPr="008911D7" w14:paraId="5CE4D89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128065B1" w14:textId="77777777" w:rsidR="008911D7" w:rsidRPr="00FD7ABD" w:rsidRDefault="008911D7" w:rsidP="008911D7">
            <w:pPr>
              <w:rPr>
                <w:b w:val="0"/>
                <w:sz w:val="16"/>
                <w:szCs w:val="16"/>
              </w:rPr>
            </w:pPr>
            <w:r w:rsidRPr="00FD7ABD">
              <w:rPr>
                <w:b w:val="0"/>
                <w:sz w:val="16"/>
                <w:szCs w:val="16"/>
              </w:rPr>
              <w:t>Customer outcome </w:t>
            </w:r>
          </w:p>
        </w:tc>
        <w:tc>
          <w:tcPr>
            <w:tcW w:w="3941" w:type="pct"/>
            <w:hideMark/>
          </w:tcPr>
          <w:p w14:paraId="76CACB44" w14:textId="6D0BAAC4"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project supports our customer outcome of your water is safe, </w:t>
            </w:r>
            <w:proofErr w:type="gramStart"/>
            <w:r w:rsidRPr="00FD7ABD">
              <w:rPr>
                <w:sz w:val="16"/>
                <w:szCs w:val="16"/>
              </w:rPr>
              <w:t>consistent</w:t>
            </w:r>
            <w:proofErr w:type="gramEnd"/>
            <w:r w:rsidRPr="00FD7ABD">
              <w:rPr>
                <w:sz w:val="16"/>
                <w:szCs w:val="16"/>
              </w:rPr>
              <w:t xml:space="preserve"> and resilient by preventing possible damage and disruption by upgrading ag</w:t>
            </w:r>
            <w:r w:rsidR="00EC4D4B" w:rsidRPr="00FD7ABD">
              <w:rPr>
                <w:sz w:val="16"/>
                <w:szCs w:val="16"/>
              </w:rPr>
              <w:t>e</w:t>
            </w:r>
            <w:r w:rsidRPr="00FD7ABD">
              <w:rPr>
                <w:sz w:val="16"/>
                <w:szCs w:val="16"/>
              </w:rPr>
              <w:t xml:space="preserve">ing assets in the CBD and improving water security for future growth. </w:t>
            </w:r>
          </w:p>
        </w:tc>
      </w:tr>
      <w:tr w:rsidR="008911D7" w:rsidRPr="008911D7" w14:paraId="00F126E3"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256712C" w14:textId="77777777" w:rsidR="008911D7" w:rsidRPr="00FD7ABD" w:rsidRDefault="008911D7" w:rsidP="008911D7">
            <w:pPr>
              <w:rPr>
                <w:b w:val="0"/>
                <w:sz w:val="16"/>
                <w:szCs w:val="16"/>
              </w:rPr>
            </w:pPr>
            <w:r w:rsidRPr="00FD7ABD">
              <w:rPr>
                <w:b w:val="0"/>
                <w:sz w:val="16"/>
                <w:szCs w:val="16"/>
              </w:rPr>
              <w:t>Background </w:t>
            </w:r>
          </w:p>
        </w:tc>
        <w:tc>
          <w:tcPr>
            <w:tcW w:w="3941" w:type="pct"/>
            <w:hideMark/>
          </w:tcPr>
          <w:p w14:paraId="59408E08"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Melbourne CBD brick sewer network has been in service for more than 120 years and is reaching capacity due to strong population growth in the Melbourne CBD over the past three decades. Strong residential, retail and employment growth are forecast to continue to 2051 and beyond. </w:t>
            </w:r>
          </w:p>
          <w:p w14:paraId="1C95BC13"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Melbourne CBD Sewer Strategy was developed in 2015, to cater for growth and replace the 120-year-old Melbourne brick sewer over four key stages. Stages 1 (Spencer Street Sewer) and 2A (Lonsdale Street Sewer) were completed in December 2018 and November 2020 respectively. </w:t>
            </w:r>
          </w:p>
          <w:p w14:paraId="375CDF59"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Stage 3A (Elizabeth Street) is in construction, due to be completed in late 2023. Stage 3B will be a future stage and is an extension of Stage 3A, and the </w:t>
            </w:r>
            <w:proofErr w:type="spellStart"/>
            <w:r w:rsidRPr="00FD7ABD">
              <w:rPr>
                <w:sz w:val="16"/>
                <w:szCs w:val="16"/>
              </w:rPr>
              <w:t>Siddeley</w:t>
            </w:r>
            <w:proofErr w:type="spellEnd"/>
            <w:r w:rsidRPr="00FD7ABD">
              <w:rPr>
                <w:sz w:val="16"/>
                <w:szCs w:val="16"/>
              </w:rPr>
              <w:t xml:space="preserve"> Street Sewer is the fourth stage. Completion of this Strategy will increase the capacity of the Melbourne CBD Sewer Network by constructing a second sewer outlet. This project (Stage 4) is critical as it increases the capacity of the outlet for the sewer flows in the CBD.</w:t>
            </w:r>
          </w:p>
        </w:tc>
      </w:tr>
      <w:tr w:rsidR="008911D7" w:rsidRPr="008911D7" w14:paraId="4C2FD86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F039D51" w14:textId="77777777" w:rsidR="008911D7" w:rsidRPr="00FD7ABD" w:rsidRDefault="008911D7" w:rsidP="008911D7">
            <w:pPr>
              <w:rPr>
                <w:b w:val="0"/>
                <w:sz w:val="16"/>
                <w:szCs w:val="16"/>
              </w:rPr>
            </w:pPr>
            <w:r w:rsidRPr="00FD7ABD">
              <w:rPr>
                <w:b w:val="0"/>
                <w:sz w:val="16"/>
                <w:szCs w:val="16"/>
              </w:rPr>
              <w:t>Risk addressed </w:t>
            </w:r>
          </w:p>
        </w:tc>
        <w:tc>
          <w:tcPr>
            <w:tcW w:w="3941" w:type="pct"/>
            <w:hideMark/>
          </w:tcPr>
          <w:p w14:paraId="02219D3D" w14:textId="41AA5AC1" w:rsidR="008911D7" w:rsidRPr="00FD7ABD" w:rsidRDefault="008911D7">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Regulatory risk:</w:t>
            </w:r>
            <w:r w:rsidR="00F76567" w:rsidRPr="00FD7ABD">
              <w:rPr>
                <w:sz w:val="16"/>
                <w:szCs w:val="16"/>
              </w:rPr>
              <w:t xml:space="preserve"> </w:t>
            </w:r>
            <w:r w:rsidRPr="00FD7ABD">
              <w:rPr>
                <w:sz w:val="16"/>
                <w:szCs w:val="16"/>
              </w:rPr>
              <w:t>compliance of sewer network in the CBD</w:t>
            </w:r>
          </w:p>
          <w:p w14:paraId="5E99E415" w14:textId="77777777" w:rsidR="008911D7" w:rsidRPr="00FD7ABD" w:rsidRDefault="008911D7">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Service delivery and financial risk:</w:t>
            </w:r>
          </w:p>
          <w:p w14:paraId="50CFD8F0" w14:textId="77777777" w:rsidR="008911D7" w:rsidRPr="00FD7ABD" w:rsidRDefault="008911D7">
            <w:pPr>
              <w:pStyle w:val="ListParagraph"/>
              <w:numPr>
                <w:ilvl w:val="1"/>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inability to service growth and provide adequate sewerage </w:t>
            </w:r>
            <w:proofErr w:type="gramStart"/>
            <w:r w:rsidRPr="00FD7ABD">
              <w:rPr>
                <w:sz w:val="16"/>
                <w:szCs w:val="16"/>
              </w:rPr>
              <w:t>services</w:t>
            </w:r>
            <w:proofErr w:type="gramEnd"/>
          </w:p>
          <w:p w14:paraId="50C261D4" w14:textId="77777777" w:rsidR="008911D7" w:rsidRPr="00FD7ABD" w:rsidRDefault="008911D7">
            <w:pPr>
              <w:pStyle w:val="ListParagraph"/>
              <w:numPr>
                <w:ilvl w:val="1"/>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existing brick Melbourne Main Sewer is in poor structural condition. There is a risk of rapid deterioration of the existing </w:t>
            </w:r>
            <w:proofErr w:type="gramStart"/>
            <w:r w:rsidRPr="00FD7ABD">
              <w:rPr>
                <w:sz w:val="16"/>
                <w:szCs w:val="16"/>
              </w:rPr>
              <w:t>defects</w:t>
            </w:r>
            <w:proofErr w:type="gramEnd"/>
            <w:r w:rsidRPr="00FD7ABD">
              <w:rPr>
                <w:sz w:val="16"/>
                <w:szCs w:val="16"/>
              </w:rPr>
              <w:t xml:space="preserve"> and this presents an ongoing catastrophic risk.</w:t>
            </w:r>
          </w:p>
        </w:tc>
      </w:tr>
      <w:tr w:rsidR="008911D7" w:rsidRPr="008911D7" w14:paraId="18AA358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28DF82D" w14:textId="77777777" w:rsidR="008911D7" w:rsidRPr="00FD7ABD" w:rsidRDefault="008911D7" w:rsidP="008911D7">
            <w:pPr>
              <w:rPr>
                <w:b w:val="0"/>
                <w:sz w:val="16"/>
                <w:szCs w:val="16"/>
              </w:rPr>
            </w:pPr>
            <w:r w:rsidRPr="00FD7ABD">
              <w:rPr>
                <w:b w:val="0"/>
                <w:sz w:val="16"/>
                <w:szCs w:val="16"/>
              </w:rPr>
              <w:t>Start year </w:t>
            </w:r>
          </w:p>
        </w:tc>
        <w:tc>
          <w:tcPr>
            <w:tcW w:w="3941" w:type="pct"/>
            <w:hideMark/>
          </w:tcPr>
          <w:p w14:paraId="7B76D3D9" w14:textId="60ABE0D0"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2025-</w:t>
            </w:r>
            <w:r w:rsidRPr="00FD7ABD">
              <w:rPr>
                <w:sz w:val="16"/>
                <w:szCs w:val="16"/>
              </w:rPr>
              <w:t>26</w:t>
            </w:r>
          </w:p>
        </w:tc>
      </w:tr>
      <w:tr w:rsidR="008911D7" w:rsidRPr="008911D7" w14:paraId="7ABABD4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4D536AA" w14:textId="77777777" w:rsidR="008911D7" w:rsidRPr="00FD7ABD" w:rsidRDefault="008911D7" w:rsidP="008911D7">
            <w:pPr>
              <w:rPr>
                <w:b w:val="0"/>
                <w:sz w:val="16"/>
                <w:szCs w:val="16"/>
              </w:rPr>
            </w:pPr>
            <w:r w:rsidRPr="00FD7ABD">
              <w:rPr>
                <w:b w:val="0"/>
                <w:sz w:val="16"/>
                <w:szCs w:val="16"/>
              </w:rPr>
              <w:t>Completion year </w:t>
            </w:r>
          </w:p>
        </w:tc>
        <w:tc>
          <w:tcPr>
            <w:tcW w:w="3941" w:type="pct"/>
            <w:hideMark/>
          </w:tcPr>
          <w:p w14:paraId="129F0CCD" w14:textId="3CA38E51"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2027-</w:t>
            </w:r>
            <w:r w:rsidRPr="00FD7ABD">
              <w:rPr>
                <w:sz w:val="16"/>
                <w:szCs w:val="16"/>
              </w:rPr>
              <w:t>28</w:t>
            </w:r>
          </w:p>
        </w:tc>
      </w:tr>
      <w:tr w:rsidR="008911D7" w:rsidRPr="008911D7" w14:paraId="188E6842"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8FD5950" w14:textId="251D6025" w:rsidR="008911D7" w:rsidRPr="00FD7ABD" w:rsidRDefault="008911D7" w:rsidP="008911D7">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41" w:type="pct"/>
            <w:vAlign w:val="center"/>
            <w:hideMark/>
          </w:tcPr>
          <w:p w14:paraId="0BECDAB1" w14:textId="72A73D82" w:rsidR="008911D7" w:rsidRPr="00FD7ABD" w:rsidRDefault="008911D7" w:rsidP="00412BEC">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$46.4</w:t>
            </w:r>
            <w:r w:rsidR="009E239C" w:rsidRPr="00FD7ABD">
              <w:rPr>
                <w:b/>
                <w:sz w:val="16"/>
                <w:szCs w:val="16"/>
              </w:rPr>
              <w:t>5</w:t>
            </w:r>
            <w:r w:rsidRPr="00FD7ABD">
              <w:rPr>
                <w:b/>
                <w:sz w:val="16"/>
                <w:szCs w:val="16"/>
              </w:rPr>
              <w:t xml:space="preserve"> million</w:t>
            </w:r>
          </w:p>
        </w:tc>
      </w:tr>
      <w:tr w:rsidR="008911D7" w:rsidRPr="008911D7" w14:paraId="232B14F5"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2A42690B" w14:textId="23EEC597" w:rsidR="008911D7" w:rsidRPr="00FD7ABD" w:rsidRDefault="008911D7" w:rsidP="008911D7">
            <w:pPr>
              <w:rPr>
                <w:sz w:val="16"/>
                <w:szCs w:val="16"/>
              </w:rPr>
            </w:pPr>
            <w:r w:rsidRPr="00FD7ABD">
              <w:rPr>
                <w:sz w:val="16"/>
                <w:szCs w:val="16"/>
              </w:rPr>
              <w:t>Total Project Cost</w:t>
            </w:r>
            <w:r w:rsidR="00B564A1" w:rsidRPr="00FD7ABD">
              <w:rPr>
                <w:sz w:val="16"/>
                <w:szCs w:val="16"/>
              </w:rPr>
              <w:br/>
            </w:r>
            <w:r w:rsidR="00B564A1" w:rsidRPr="00FD7ABD">
              <w:rPr>
                <w:b w:val="0"/>
                <w:bCs/>
                <w:sz w:val="16"/>
                <w:szCs w:val="16"/>
              </w:rPr>
              <w:t>(Real $2023-24)</w:t>
            </w:r>
          </w:p>
        </w:tc>
        <w:tc>
          <w:tcPr>
            <w:tcW w:w="3941" w:type="pct"/>
            <w:vAlign w:val="center"/>
          </w:tcPr>
          <w:p w14:paraId="50C4A642" w14:textId="2BAD0362"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$48</w:t>
            </w:r>
            <w:r w:rsidR="009E239C" w:rsidRPr="00FD7ABD">
              <w:rPr>
                <w:b/>
                <w:sz w:val="16"/>
                <w:szCs w:val="16"/>
              </w:rPr>
              <w:t>.05</w:t>
            </w:r>
            <w:r w:rsidRPr="00FD7ABD">
              <w:rPr>
                <w:b/>
                <w:sz w:val="16"/>
                <w:szCs w:val="16"/>
              </w:rPr>
              <w:t xml:space="preserve"> million</w:t>
            </w:r>
          </w:p>
        </w:tc>
      </w:tr>
    </w:tbl>
    <w:p w14:paraId="0D8B2F68" w14:textId="77777777" w:rsidR="00B9320A" w:rsidRDefault="00B9320A">
      <w:pPr>
        <w:spacing w:before="0" w:after="160" w:line="259" w:lineRule="auto"/>
      </w:pPr>
      <w:r>
        <w:br w:type="page"/>
      </w:r>
    </w:p>
    <w:tbl>
      <w:tblPr>
        <w:tblStyle w:val="GWWDefaulttable"/>
        <w:tblW w:w="5000" w:type="pct"/>
        <w:tblLook w:val="04A0" w:firstRow="1" w:lastRow="0" w:firstColumn="1" w:lastColumn="0" w:noHBand="0" w:noVBand="1"/>
      </w:tblPr>
      <w:tblGrid>
        <w:gridCol w:w="1978"/>
        <w:gridCol w:w="7660"/>
      </w:tblGrid>
      <w:tr w:rsidR="006D39D4" w:rsidRPr="006D39D4" w14:paraId="0B195AB0"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7D5767D6" w14:textId="77777777" w:rsidR="006D39D4" w:rsidRPr="00FD7ABD" w:rsidRDefault="006D39D4" w:rsidP="006D39D4">
            <w:pPr>
              <w:rPr>
                <w:sz w:val="16"/>
                <w:szCs w:val="16"/>
              </w:rPr>
            </w:pPr>
            <w:r w:rsidRPr="00FD7ABD">
              <w:rPr>
                <w:sz w:val="16"/>
                <w:szCs w:val="16"/>
              </w:rPr>
              <w:lastRenderedPageBreak/>
              <w:t>Project 4</w:t>
            </w:r>
          </w:p>
        </w:tc>
        <w:tc>
          <w:tcPr>
            <w:tcW w:w="3974" w:type="pct"/>
            <w:hideMark/>
          </w:tcPr>
          <w:p w14:paraId="1D3770A9" w14:textId="77777777" w:rsidR="006D39D4" w:rsidRPr="00FD7ABD" w:rsidRDefault="006D39D4" w:rsidP="006D39D4">
            <w:pPr>
              <w:cnfStyle w:val="100000000000" w:firstRow="1" w:lastRow="0" w:firstColumn="0" w:lastColumn="0" w:oddVBand="0" w:evenVBand="0" w:oddHBand="0" w:evenHBand="0" w:firstRowFirstColumn="0" w:firstRowLastColumn="0" w:lastRowFirstColumn="0" w:lastRowLastColumn="0"/>
              <w:rPr>
                <w:sz w:val="16"/>
                <w:szCs w:val="16"/>
              </w:rPr>
            </w:pPr>
            <w:r w:rsidRPr="00FD7ABD">
              <w:rPr>
                <w:sz w:val="16"/>
                <w:szCs w:val="16"/>
              </w:rPr>
              <w:t>Modernisation of customer experience and data capability</w:t>
            </w:r>
          </w:p>
          <w:p w14:paraId="72E9B6DE" w14:textId="77777777" w:rsidR="006D39D4" w:rsidRPr="00FD7ABD" w:rsidRDefault="006D39D4" w:rsidP="006D39D4">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b w:val="0"/>
                <w:sz w:val="16"/>
                <w:szCs w:val="16"/>
              </w:rPr>
              <w:t>Platypus </w:t>
            </w:r>
          </w:p>
        </w:tc>
      </w:tr>
      <w:tr w:rsidR="006D39D4" w:rsidRPr="006D39D4" w14:paraId="09A3278B" w14:textId="77777777" w:rsidTr="008A18BA">
        <w:trPr>
          <w:trHeight w:val="347"/>
        </w:trPr>
        <w:tc>
          <w:tcPr>
            <w:cnfStyle w:val="001000000000" w:firstRow="0" w:lastRow="0" w:firstColumn="1" w:lastColumn="0" w:oddVBand="0" w:evenVBand="0" w:oddHBand="0" w:evenHBand="0" w:firstRowFirstColumn="0" w:firstRowLastColumn="0" w:lastRowFirstColumn="0" w:lastRowLastColumn="0"/>
            <w:tcW w:w="1026" w:type="pct"/>
            <w:hideMark/>
          </w:tcPr>
          <w:p w14:paraId="66B8C51D" w14:textId="77777777" w:rsidR="006D39D4" w:rsidRPr="00FD7ABD" w:rsidRDefault="006D39D4" w:rsidP="006D39D4">
            <w:pPr>
              <w:rPr>
                <w:b w:val="0"/>
                <w:sz w:val="16"/>
                <w:szCs w:val="16"/>
              </w:rPr>
            </w:pPr>
            <w:r w:rsidRPr="00FD7ABD">
              <w:rPr>
                <w:b w:val="0"/>
                <w:sz w:val="16"/>
                <w:szCs w:val="16"/>
              </w:rPr>
              <w:t>Service </w:t>
            </w:r>
          </w:p>
        </w:tc>
        <w:tc>
          <w:tcPr>
            <w:tcW w:w="3974" w:type="pct"/>
            <w:hideMark/>
          </w:tcPr>
          <w:p w14:paraId="596EC5B2"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N/A</w:t>
            </w:r>
          </w:p>
        </w:tc>
      </w:tr>
      <w:tr w:rsidR="006D39D4" w:rsidRPr="006D39D4" w14:paraId="1DD78484"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5330A5DC" w14:textId="77777777" w:rsidR="006D39D4" w:rsidRPr="00FD7ABD" w:rsidRDefault="006D39D4" w:rsidP="006D39D4">
            <w:pPr>
              <w:rPr>
                <w:b w:val="0"/>
                <w:sz w:val="16"/>
                <w:szCs w:val="16"/>
              </w:rPr>
            </w:pPr>
            <w:r w:rsidRPr="00FD7ABD">
              <w:rPr>
                <w:b w:val="0"/>
                <w:sz w:val="16"/>
                <w:szCs w:val="16"/>
              </w:rPr>
              <w:t>Asset category </w:t>
            </w:r>
          </w:p>
        </w:tc>
        <w:tc>
          <w:tcPr>
            <w:tcW w:w="3974" w:type="pct"/>
            <w:hideMark/>
          </w:tcPr>
          <w:p w14:paraId="0C57C2C4"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Corporate </w:t>
            </w:r>
          </w:p>
        </w:tc>
      </w:tr>
      <w:tr w:rsidR="006D39D4" w:rsidRPr="006D39D4" w14:paraId="0536C4E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70036EFA" w14:textId="77777777" w:rsidR="006D39D4" w:rsidRPr="00FD7ABD" w:rsidRDefault="006D39D4" w:rsidP="006D39D4">
            <w:pPr>
              <w:rPr>
                <w:b w:val="0"/>
                <w:sz w:val="16"/>
                <w:szCs w:val="16"/>
              </w:rPr>
            </w:pPr>
            <w:r w:rsidRPr="00FD7ABD">
              <w:rPr>
                <w:b w:val="0"/>
                <w:sz w:val="16"/>
                <w:szCs w:val="16"/>
              </w:rPr>
              <w:t>Cost driver </w:t>
            </w:r>
          </w:p>
        </w:tc>
        <w:tc>
          <w:tcPr>
            <w:tcW w:w="3974" w:type="pct"/>
            <w:hideMark/>
          </w:tcPr>
          <w:p w14:paraId="4EC56168"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Renewals </w:t>
            </w:r>
          </w:p>
        </w:tc>
      </w:tr>
      <w:tr w:rsidR="006D39D4" w:rsidRPr="006D39D4" w14:paraId="0EBD5468" w14:textId="77777777" w:rsidTr="008A18BA">
        <w:trPr>
          <w:trHeight w:val="686"/>
        </w:trPr>
        <w:tc>
          <w:tcPr>
            <w:cnfStyle w:val="001000000000" w:firstRow="0" w:lastRow="0" w:firstColumn="1" w:lastColumn="0" w:oddVBand="0" w:evenVBand="0" w:oddHBand="0" w:evenHBand="0" w:firstRowFirstColumn="0" w:firstRowLastColumn="0" w:lastRowFirstColumn="0" w:lastRowLastColumn="0"/>
            <w:tcW w:w="1026" w:type="pct"/>
            <w:hideMark/>
          </w:tcPr>
          <w:p w14:paraId="212C7789" w14:textId="77777777" w:rsidR="006D39D4" w:rsidRPr="00FD7ABD" w:rsidRDefault="006D39D4" w:rsidP="006D39D4">
            <w:pPr>
              <w:rPr>
                <w:b w:val="0"/>
                <w:sz w:val="16"/>
                <w:szCs w:val="16"/>
              </w:rPr>
            </w:pPr>
            <w:r w:rsidRPr="00FD7ABD">
              <w:rPr>
                <w:b w:val="0"/>
                <w:sz w:val="16"/>
                <w:szCs w:val="16"/>
              </w:rPr>
              <w:t>Description </w:t>
            </w:r>
          </w:p>
        </w:tc>
        <w:tc>
          <w:tcPr>
            <w:tcW w:w="3974" w:type="pct"/>
            <w:hideMark/>
          </w:tcPr>
          <w:p w14:paraId="41F27D4A" w14:textId="7BCADF90"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Replacement of existing, antiquated, and duplicated billing and collections systems with a single, consolidated, and modern fit-for-purpose solution.</w:t>
            </w:r>
          </w:p>
        </w:tc>
      </w:tr>
      <w:tr w:rsidR="006D39D4" w:rsidRPr="006D39D4" w14:paraId="434945D1" w14:textId="77777777" w:rsidTr="008A18BA">
        <w:trPr>
          <w:trHeight w:val="1081"/>
        </w:trPr>
        <w:tc>
          <w:tcPr>
            <w:cnfStyle w:val="001000000000" w:firstRow="0" w:lastRow="0" w:firstColumn="1" w:lastColumn="0" w:oddVBand="0" w:evenVBand="0" w:oddHBand="0" w:evenHBand="0" w:firstRowFirstColumn="0" w:firstRowLastColumn="0" w:lastRowFirstColumn="0" w:lastRowLastColumn="0"/>
            <w:tcW w:w="1026" w:type="pct"/>
            <w:hideMark/>
          </w:tcPr>
          <w:p w14:paraId="105BC910" w14:textId="77777777" w:rsidR="006D39D4" w:rsidRPr="00FD7ABD" w:rsidRDefault="006D39D4" w:rsidP="006D39D4">
            <w:pPr>
              <w:rPr>
                <w:b w:val="0"/>
                <w:sz w:val="16"/>
                <w:szCs w:val="16"/>
              </w:rPr>
            </w:pPr>
            <w:r w:rsidRPr="00FD7ABD">
              <w:rPr>
                <w:b w:val="0"/>
                <w:sz w:val="16"/>
                <w:szCs w:val="16"/>
              </w:rPr>
              <w:t>Customer outcome </w:t>
            </w:r>
          </w:p>
        </w:tc>
        <w:tc>
          <w:tcPr>
            <w:tcW w:w="3974" w:type="pct"/>
            <w:hideMark/>
          </w:tcPr>
          <w:p w14:paraId="2C3D35E4"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project supports our customer outcome of when things go wrong, we fix them by improving communication with our customers relating to system disruptions and billing information and allowing our customers to choose how they prefer to communicate with us (self-service online portal).  </w:t>
            </w:r>
          </w:p>
        </w:tc>
      </w:tr>
      <w:tr w:rsidR="006D39D4" w:rsidRPr="006D39D4" w14:paraId="24290059"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26" w:type="pct"/>
            <w:hideMark/>
          </w:tcPr>
          <w:p w14:paraId="6D084288" w14:textId="77777777" w:rsidR="006D39D4" w:rsidRPr="00FD7ABD" w:rsidRDefault="006D39D4" w:rsidP="006D39D4">
            <w:pPr>
              <w:rPr>
                <w:b w:val="0"/>
                <w:sz w:val="16"/>
                <w:szCs w:val="16"/>
              </w:rPr>
            </w:pPr>
            <w:r w:rsidRPr="00FD7ABD">
              <w:rPr>
                <w:b w:val="0"/>
                <w:sz w:val="16"/>
                <w:szCs w:val="16"/>
              </w:rPr>
              <w:t>Background </w:t>
            </w:r>
          </w:p>
        </w:tc>
        <w:tc>
          <w:tcPr>
            <w:tcW w:w="3974" w:type="pct"/>
            <w:hideMark/>
          </w:tcPr>
          <w:p w14:paraId="763C4514" w14:textId="2DC85AC7" w:rsidR="002B1B2A" w:rsidRDefault="00BB02EF" w:rsidP="006D39D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Existing b</w:t>
            </w:r>
            <w:r w:rsidR="00700BD2">
              <w:rPr>
                <w:sz w:val="16"/>
                <w:szCs w:val="16"/>
              </w:rPr>
              <w:t xml:space="preserve">illing </w:t>
            </w:r>
            <w:r w:rsidR="001F78B9">
              <w:rPr>
                <w:sz w:val="16"/>
                <w:szCs w:val="16"/>
              </w:rPr>
              <w:t>and collection</w:t>
            </w:r>
            <w:r w:rsidR="00F459A4">
              <w:rPr>
                <w:sz w:val="16"/>
                <w:szCs w:val="16"/>
              </w:rPr>
              <w:t>s</w:t>
            </w:r>
            <w:r w:rsidR="001F78B9">
              <w:rPr>
                <w:sz w:val="16"/>
                <w:szCs w:val="16"/>
              </w:rPr>
              <w:t xml:space="preserve"> </w:t>
            </w:r>
            <w:r w:rsidR="00700BD2">
              <w:rPr>
                <w:sz w:val="16"/>
                <w:szCs w:val="16"/>
              </w:rPr>
              <w:t>systems</w:t>
            </w:r>
            <w:r w:rsidR="00F459A4">
              <w:rPr>
                <w:sz w:val="16"/>
                <w:szCs w:val="16"/>
              </w:rPr>
              <w:t xml:space="preserve"> from </w:t>
            </w:r>
            <w:r w:rsidR="00892FE4">
              <w:rPr>
                <w:sz w:val="16"/>
                <w:szCs w:val="16"/>
              </w:rPr>
              <w:t xml:space="preserve">the two legacy businesses </w:t>
            </w:r>
            <w:r w:rsidR="00F06BA9">
              <w:rPr>
                <w:sz w:val="16"/>
                <w:szCs w:val="16"/>
              </w:rPr>
              <w:t xml:space="preserve">were outdated and </w:t>
            </w:r>
            <w:r w:rsidR="00EA6B62">
              <w:rPr>
                <w:sz w:val="16"/>
                <w:szCs w:val="16"/>
              </w:rPr>
              <w:t>becoming less able</w:t>
            </w:r>
            <w:r w:rsidR="00F06BA9">
              <w:rPr>
                <w:sz w:val="16"/>
                <w:szCs w:val="16"/>
              </w:rPr>
              <w:t xml:space="preserve"> to </w:t>
            </w:r>
            <w:r w:rsidR="00EA6B62">
              <w:rPr>
                <w:sz w:val="16"/>
                <w:szCs w:val="16"/>
              </w:rPr>
              <w:t>mee</w:t>
            </w:r>
            <w:r w:rsidR="00020063">
              <w:rPr>
                <w:sz w:val="16"/>
                <w:szCs w:val="16"/>
              </w:rPr>
              <w:t>t</w:t>
            </w:r>
            <w:r w:rsidR="00EA6B62">
              <w:rPr>
                <w:sz w:val="16"/>
                <w:szCs w:val="16"/>
              </w:rPr>
              <w:t xml:space="preserve"> </w:t>
            </w:r>
            <w:r w:rsidR="00020063">
              <w:rPr>
                <w:sz w:val="16"/>
                <w:szCs w:val="16"/>
              </w:rPr>
              <w:t>modern</w:t>
            </w:r>
            <w:r w:rsidR="00EA6B62">
              <w:rPr>
                <w:sz w:val="16"/>
                <w:szCs w:val="16"/>
              </w:rPr>
              <w:t xml:space="preserve"> requirements </w:t>
            </w:r>
            <w:r w:rsidR="00020063">
              <w:rPr>
                <w:sz w:val="16"/>
                <w:szCs w:val="16"/>
              </w:rPr>
              <w:t>for privacy</w:t>
            </w:r>
            <w:r w:rsidR="007E4A1D">
              <w:rPr>
                <w:sz w:val="16"/>
                <w:szCs w:val="16"/>
              </w:rPr>
              <w:t xml:space="preserve"> and </w:t>
            </w:r>
            <w:r w:rsidR="00020063">
              <w:rPr>
                <w:sz w:val="16"/>
                <w:szCs w:val="16"/>
              </w:rPr>
              <w:t>data security a</w:t>
            </w:r>
            <w:r w:rsidR="007E4A1D">
              <w:rPr>
                <w:sz w:val="16"/>
                <w:szCs w:val="16"/>
              </w:rPr>
              <w:t>s well as customer expectations of service and communication.</w:t>
            </w:r>
            <w:r w:rsidR="00020063">
              <w:rPr>
                <w:sz w:val="16"/>
                <w:szCs w:val="16"/>
              </w:rPr>
              <w:t xml:space="preserve"> </w:t>
            </w:r>
          </w:p>
          <w:p w14:paraId="70ED52EA" w14:textId="4774921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fundamental problems that this investment seeks to address stem from legacy capabilities inherent in the solutions and the consequent issues arising from the integration. The problem areas are as follows:</w:t>
            </w:r>
          </w:p>
          <w:p w14:paraId="23675971" w14:textId="55E801A9" w:rsidR="002920DC" w:rsidRDefault="00E603A8">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Increasing number of cybersecurity </w:t>
            </w:r>
            <w:r w:rsidR="00E84F56">
              <w:rPr>
                <w:sz w:val="16"/>
                <w:szCs w:val="16"/>
              </w:rPr>
              <w:t>threats</w:t>
            </w:r>
            <w:r w:rsidR="002D66A5">
              <w:rPr>
                <w:sz w:val="16"/>
                <w:szCs w:val="16"/>
              </w:rPr>
              <w:t xml:space="preserve">, requiring </w:t>
            </w:r>
            <w:r w:rsidR="003F7F14">
              <w:rPr>
                <w:sz w:val="16"/>
                <w:szCs w:val="16"/>
              </w:rPr>
              <w:t xml:space="preserve">modern system </w:t>
            </w:r>
            <w:r w:rsidR="00925C0B">
              <w:rPr>
                <w:sz w:val="16"/>
                <w:szCs w:val="16"/>
              </w:rPr>
              <w:t>architecture</w:t>
            </w:r>
            <w:r w:rsidR="003F7F14">
              <w:rPr>
                <w:sz w:val="16"/>
                <w:szCs w:val="16"/>
              </w:rPr>
              <w:t xml:space="preserve"> </w:t>
            </w:r>
            <w:r w:rsidR="00E84F56">
              <w:rPr>
                <w:sz w:val="16"/>
                <w:szCs w:val="16"/>
              </w:rPr>
              <w:t xml:space="preserve">that </w:t>
            </w:r>
            <w:proofErr w:type="gramStart"/>
            <w:r w:rsidR="003F7F14">
              <w:rPr>
                <w:sz w:val="16"/>
                <w:szCs w:val="16"/>
              </w:rPr>
              <w:t xml:space="preserve">is capable of </w:t>
            </w:r>
            <w:r w:rsidR="00925C0B">
              <w:rPr>
                <w:sz w:val="16"/>
                <w:szCs w:val="16"/>
              </w:rPr>
              <w:t>providing</w:t>
            </w:r>
            <w:proofErr w:type="gramEnd"/>
            <w:r w:rsidR="00925C0B">
              <w:rPr>
                <w:sz w:val="16"/>
                <w:szCs w:val="16"/>
              </w:rPr>
              <w:t xml:space="preserve"> better security into the future. </w:t>
            </w:r>
          </w:p>
          <w:p w14:paraId="5B92D06B" w14:textId="6039C5D5" w:rsidR="006D39D4" w:rsidRPr="00FD7ABD" w:rsidRDefault="006D39D4">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There is an absence of a comprehensive view of customer interactions. This is exacerbated by end-of-life technology platforms with limited features that support extending the solutions’ capabilities.</w:t>
            </w:r>
          </w:p>
          <w:p w14:paraId="2A528AFD" w14:textId="77777777" w:rsidR="006D39D4" w:rsidRPr="00FD7ABD" w:rsidRDefault="006D39D4">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GWW inherited two billing and collection solutions in addition to a fragmented integration of internal and external systems and multiple sources of truth.</w:t>
            </w:r>
          </w:p>
          <w:p w14:paraId="05BD195D" w14:textId="77777777" w:rsidR="006D39D4"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Independent assessments have identified that the billing and collections processes (supporting two billings &amp; collections solutions) and some systems-based controls are not fully adequate or effective. Also, essential components of Gentrack operate on out of support infrastructure (operating system software and servers), increasing security threats.</w:t>
            </w:r>
          </w:p>
          <w:p w14:paraId="3BAAD7E3" w14:textId="6B8EF695" w:rsidR="006D39D4" w:rsidRPr="00FD7ABD" w:rsidRDefault="00412BEC" w:rsidP="006D39D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This project</w:t>
            </w:r>
            <w:r w:rsidR="00662DD1">
              <w:rPr>
                <w:sz w:val="16"/>
                <w:szCs w:val="16"/>
              </w:rPr>
              <w:t xml:space="preserve"> will</w:t>
            </w:r>
            <w:r w:rsidR="00252EE3">
              <w:rPr>
                <w:sz w:val="16"/>
                <w:szCs w:val="16"/>
              </w:rPr>
              <w:t xml:space="preserve"> remove</w:t>
            </w:r>
            <w:r w:rsidR="00D53706" w:rsidRPr="00FD7ABD">
              <w:rPr>
                <w:sz w:val="16"/>
                <w:szCs w:val="16"/>
              </w:rPr>
              <w:t xml:space="preserve"> process complexities for customers and employees</w:t>
            </w:r>
            <w:r w:rsidR="004655D1">
              <w:rPr>
                <w:sz w:val="16"/>
                <w:szCs w:val="16"/>
              </w:rPr>
              <w:t xml:space="preserve">, </w:t>
            </w:r>
            <w:r w:rsidR="009626D4">
              <w:rPr>
                <w:sz w:val="16"/>
                <w:szCs w:val="16"/>
              </w:rPr>
              <w:t>reduce risk of cyber</w:t>
            </w:r>
            <w:r w:rsidR="00F40203">
              <w:rPr>
                <w:sz w:val="16"/>
                <w:szCs w:val="16"/>
              </w:rPr>
              <w:t xml:space="preserve">security incidents </w:t>
            </w:r>
            <w:r w:rsidR="00E84F56">
              <w:rPr>
                <w:sz w:val="16"/>
                <w:szCs w:val="16"/>
              </w:rPr>
              <w:t xml:space="preserve">created by having duplicate systems and </w:t>
            </w:r>
            <w:r w:rsidR="004655D1">
              <w:rPr>
                <w:sz w:val="16"/>
                <w:szCs w:val="16"/>
              </w:rPr>
              <w:t xml:space="preserve">improve data </w:t>
            </w:r>
            <w:r w:rsidR="00BB5F7A">
              <w:rPr>
                <w:sz w:val="16"/>
                <w:szCs w:val="16"/>
              </w:rPr>
              <w:t>collection</w:t>
            </w:r>
            <w:r w:rsidR="00273D42">
              <w:rPr>
                <w:sz w:val="16"/>
                <w:szCs w:val="16"/>
              </w:rPr>
              <w:t xml:space="preserve"> and analysis</w:t>
            </w:r>
            <w:r w:rsidR="006A1410">
              <w:rPr>
                <w:sz w:val="16"/>
                <w:szCs w:val="16"/>
              </w:rPr>
              <w:t xml:space="preserve">, supporting </w:t>
            </w:r>
            <w:r w:rsidR="009626D4">
              <w:rPr>
                <w:sz w:val="16"/>
                <w:szCs w:val="16"/>
              </w:rPr>
              <w:t>a range of improved processes and analysis across the business.</w:t>
            </w:r>
            <w:r w:rsidR="00273D42">
              <w:rPr>
                <w:sz w:val="16"/>
                <w:szCs w:val="16"/>
              </w:rPr>
              <w:t xml:space="preserve"> </w:t>
            </w:r>
            <w:r w:rsidR="00D53706" w:rsidRPr="00FD7ABD">
              <w:rPr>
                <w:sz w:val="16"/>
                <w:szCs w:val="16"/>
              </w:rPr>
              <w:t>.</w:t>
            </w:r>
          </w:p>
        </w:tc>
      </w:tr>
      <w:tr w:rsidR="006D39D4" w:rsidRPr="006D39D4" w14:paraId="396AC4B7" w14:textId="77777777" w:rsidTr="008A18BA">
        <w:trPr>
          <w:trHeight w:val="1131"/>
        </w:trPr>
        <w:tc>
          <w:tcPr>
            <w:cnfStyle w:val="001000000000" w:firstRow="0" w:lastRow="0" w:firstColumn="1" w:lastColumn="0" w:oddVBand="0" w:evenVBand="0" w:oddHBand="0" w:evenHBand="0" w:firstRowFirstColumn="0" w:firstRowLastColumn="0" w:lastRowFirstColumn="0" w:lastRowLastColumn="0"/>
            <w:tcW w:w="1026" w:type="pct"/>
            <w:hideMark/>
          </w:tcPr>
          <w:p w14:paraId="31E54E37" w14:textId="77777777" w:rsidR="006D39D4" w:rsidRPr="00FD7ABD" w:rsidRDefault="006D39D4" w:rsidP="006D39D4">
            <w:pPr>
              <w:rPr>
                <w:b w:val="0"/>
                <w:sz w:val="16"/>
                <w:szCs w:val="16"/>
              </w:rPr>
            </w:pPr>
            <w:r w:rsidRPr="00FD7ABD">
              <w:rPr>
                <w:b w:val="0"/>
                <w:sz w:val="16"/>
                <w:szCs w:val="16"/>
              </w:rPr>
              <w:t>Risk addressed </w:t>
            </w:r>
          </w:p>
        </w:tc>
        <w:tc>
          <w:tcPr>
            <w:tcW w:w="3974" w:type="pct"/>
            <w:hideMark/>
          </w:tcPr>
          <w:p w14:paraId="3A14232A" w14:textId="436CA276" w:rsidR="006D39D4" w:rsidRPr="00FD7ABD" w:rsidRDefault="006D39D4">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Customer risk:</w:t>
            </w:r>
            <w:r w:rsidR="006119C8" w:rsidRPr="00FD7ABD">
              <w:rPr>
                <w:sz w:val="16"/>
                <w:szCs w:val="16"/>
              </w:rPr>
              <w:t xml:space="preserve"> </w:t>
            </w:r>
            <w:r w:rsidRPr="00FD7ABD">
              <w:rPr>
                <w:sz w:val="16"/>
                <w:szCs w:val="16"/>
              </w:rPr>
              <w:t>Limited customer interaction capabilities</w:t>
            </w:r>
          </w:p>
          <w:p w14:paraId="3195D1FC" w14:textId="77777777" w:rsidR="006D39D4" w:rsidRPr="00FD7ABD" w:rsidRDefault="006D39D4">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Regulatory/compliance risk:</w:t>
            </w:r>
          </w:p>
          <w:p w14:paraId="5BA56E36" w14:textId="775DB983" w:rsidR="006D39D4" w:rsidRPr="00FD7ABD" w:rsidRDefault="006D39D4">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Fragmented and multiple billing solutions</w:t>
            </w:r>
          </w:p>
          <w:p w14:paraId="4BA11725" w14:textId="77777777" w:rsidR="006D39D4" w:rsidRDefault="006D39D4">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Inadequate and ineffective systems-based controls</w:t>
            </w:r>
          </w:p>
          <w:p w14:paraId="7481FA43" w14:textId="15D46130" w:rsidR="006D39D4" w:rsidRPr="00FD7ABD" w:rsidRDefault="00DB5609">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Risk of cybersecurity and privacy breaches</w:t>
            </w:r>
          </w:p>
        </w:tc>
      </w:tr>
      <w:tr w:rsidR="006D39D4" w:rsidRPr="006D39D4" w14:paraId="119BEBBB" w14:textId="77777777" w:rsidTr="008A18BA">
        <w:trPr>
          <w:trHeight w:val="330"/>
        </w:trPr>
        <w:tc>
          <w:tcPr>
            <w:cnfStyle w:val="001000000000" w:firstRow="0" w:lastRow="0" w:firstColumn="1" w:lastColumn="0" w:oddVBand="0" w:evenVBand="0" w:oddHBand="0" w:evenHBand="0" w:firstRowFirstColumn="0" w:firstRowLastColumn="0" w:lastRowFirstColumn="0" w:lastRowLastColumn="0"/>
            <w:tcW w:w="1026" w:type="pct"/>
            <w:hideMark/>
          </w:tcPr>
          <w:p w14:paraId="50097B5E" w14:textId="77777777" w:rsidR="006D39D4" w:rsidRPr="00FD7ABD" w:rsidRDefault="006D39D4" w:rsidP="006D39D4">
            <w:pPr>
              <w:rPr>
                <w:b w:val="0"/>
                <w:sz w:val="16"/>
                <w:szCs w:val="16"/>
              </w:rPr>
            </w:pPr>
            <w:r w:rsidRPr="00FD7ABD">
              <w:rPr>
                <w:b w:val="0"/>
                <w:sz w:val="16"/>
                <w:szCs w:val="16"/>
              </w:rPr>
              <w:t>Start year </w:t>
            </w:r>
          </w:p>
        </w:tc>
        <w:tc>
          <w:tcPr>
            <w:tcW w:w="3974" w:type="pct"/>
            <w:hideMark/>
          </w:tcPr>
          <w:p w14:paraId="16CEABA7" w14:textId="5CFEE1C6"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2019-</w:t>
            </w:r>
            <w:r w:rsidRPr="00FD7ABD">
              <w:rPr>
                <w:sz w:val="16"/>
                <w:szCs w:val="16"/>
              </w:rPr>
              <w:t>20</w:t>
            </w:r>
          </w:p>
        </w:tc>
      </w:tr>
      <w:tr w:rsidR="006D39D4" w:rsidRPr="006D39D4" w14:paraId="574A139C" w14:textId="77777777" w:rsidTr="008A18BA">
        <w:trPr>
          <w:trHeight w:val="410"/>
        </w:trPr>
        <w:tc>
          <w:tcPr>
            <w:cnfStyle w:val="001000000000" w:firstRow="0" w:lastRow="0" w:firstColumn="1" w:lastColumn="0" w:oddVBand="0" w:evenVBand="0" w:oddHBand="0" w:evenHBand="0" w:firstRowFirstColumn="0" w:firstRowLastColumn="0" w:lastRowFirstColumn="0" w:lastRowLastColumn="0"/>
            <w:tcW w:w="1026" w:type="pct"/>
            <w:hideMark/>
          </w:tcPr>
          <w:p w14:paraId="25AF120B" w14:textId="77777777" w:rsidR="006D39D4" w:rsidRPr="00FD7ABD" w:rsidRDefault="006D39D4" w:rsidP="006D39D4">
            <w:pPr>
              <w:rPr>
                <w:b w:val="0"/>
                <w:sz w:val="16"/>
                <w:szCs w:val="16"/>
              </w:rPr>
            </w:pPr>
            <w:r w:rsidRPr="00FD7ABD">
              <w:rPr>
                <w:b w:val="0"/>
                <w:sz w:val="16"/>
                <w:szCs w:val="16"/>
              </w:rPr>
              <w:t>Completion year </w:t>
            </w:r>
          </w:p>
        </w:tc>
        <w:tc>
          <w:tcPr>
            <w:tcW w:w="3974" w:type="pct"/>
            <w:hideMark/>
          </w:tcPr>
          <w:p w14:paraId="4853F0CF" w14:textId="0EA59F6E"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2023-</w:t>
            </w:r>
            <w:r w:rsidRPr="00FD7ABD">
              <w:rPr>
                <w:sz w:val="16"/>
                <w:szCs w:val="16"/>
              </w:rPr>
              <w:t>24</w:t>
            </w:r>
          </w:p>
        </w:tc>
      </w:tr>
      <w:tr w:rsidR="006D39D4" w:rsidRPr="006D39D4" w14:paraId="0CCC732B"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4FDF1C6A" w14:textId="5B605DBD" w:rsidR="006D39D4" w:rsidRPr="00FD7ABD" w:rsidRDefault="006D39D4" w:rsidP="006D39D4">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74" w:type="pct"/>
            <w:vAlign w:val="center"/>
            <w:hideMark/>
          </w:tcPr>
          <w:p w14:paraId="3D51F90E" w14:textId="32FDD390"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$37.</w:t>
            </w:r>
            <w:r w:rsidR="009E239C" w:rsidRPr="00FD7ABD">
              <w:rPr>
                <w:b/>
                <w:sz w:val="16"/>
                <w:szCs w:val="16"/>
              </w:rPr>
              <w:t xml:space="preserve">47 </w:t>
            </w:r>
            <w:r w:rsidRPr="00FD7ABD">
              <w:rPr>
                <w:b/>
                <w:sz w:val="16"/>
                <w:szCs w:val="16"/>
              </w:rPr>
              <w:t>million</w:t>
            </w:r>
          </w:p>
        </w:tc>
      </w:tr>
      <w:tr w:rsidR="006D39D4" w:rsidRPr="006D39D4" w14:paraId="7A6A69A4"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26" w:type="pct"/>
          </w:tcPr>
          <w:p w14:paraId="1A6AED60" w14:textId="29E79AC3" w:rsidR="006D39D4" w:rsidRPr="00FD7ABD" w:rsidRDefault="006D39D4" w:rsidP="006D39D4">
            <w:pPr>
              <w:rPr>
                <w:sz w:val="16"/>
                <w:szCs w:val="16"/>
              </w:rPr>
            </w:pPr>
            <w:r w:rsidRPr="00FD7ABD">
              <w:rPr>
                <w:sz w:val="16"/>
                <w:szCs w:val="16"/>
              </w:rPr>
              <w:lastRenderedPageBreak/>
              <w:t>Total Project Cost</w:t>
            </w:r>
            <w:r w:rsidRPr="00FD7ABD">
              <w:rPr>
                <w:sz w:val="16"/>
                <w:szCs w:val="16"/>
              </w:rPr>
              <w:br/>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p>
        </w:tc>
        <w:tc>
          <w:tcPr>
            <w:tcW w:w="3974" w:type="pct"/>
            <w:vAlign w:val="center"/>
          </w:tcPr>
          <w:p w14:paraId="13212A8F" w14:textId="6BE43D29"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$97.</w:t>
            </w:r>
            <w:r w:rsidR="009E239C" w:rsidRPr="00FD7ABD">
              <w:rPr>
                <w:b/>
                <w:sz w:val="16"/>
                <w:szCs w:val="16"/>
              </w:rPr>
              <w:t xml:space="preserve">58 </w:t>
            </w:r>
            <w:r w:rsidRPr="00FD7ABD">
              <w:rPr>
                <w:b/>
                <w:sz w:val="16"/>
                <w:szCs w:val="16"/>
              </w:rPr>
              <w:t>million</w:t>
            </w:r>
          </w:p>
        </w:tc>
      </w:tr>
    </w:tbl>
    <w:p w14:paraId="2DF1C711" w14:textId="5B117445" w:rsidR="00B2433C" w:rsidRDefault="00B2433C" w:rsidP="009C0F4E"/>
    <w:p w14:paraId="47A66098" w14:textId="77777777" w:rsidR="00B2433C" w:rsidRDefault="00B2433C">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F96B02" w:rsidRPr="00F96B02" w14:paraId="7700A52B"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A0C396A" w14:textId="77777777" w:rsidR="00F96B02" w:rsidRPr="00A30D06" w:rsidRDefault="00F96B02" w:rsidP="00F96B02">
            <w:pPr>
              <w:rPr>
                <w:sz w:val="16"/>
                <w:szCs w:val="16"/>
              </w:rPr>
            </w:pPr>
            <w:r w:rsidRPr="00A30D06">
              <w:rPr>
                <w:sz w:val="16"/>
                <w:szCs w:val="16"/>
              </w:rPr>
              <w:lastRenderedPageBreak/>
              <w:t>Project 5 </w:t>
            </w:r>
          </w:p>
        </w:tc>
        <w:tc>
          <w:tcPr>
            <w:tcW w:w="3941" w:type="pct"/>
            <w:hideMark/>
          </w:tcPr>
          <w:p w14:paraId="420391DE" w14:textId="77777777" w:rsidR="00F96B02" w:rsidRPr="00A30D06" w:rsidRDefault="00F96B02" w:rsidP="00F96B02">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Water security for Sunbury and the western region</w:t>
            </w:r>
          </w:p>
          <w:p w14:paraId="1DFFBCF4" w14:textId="77777777" w:rsidR="00F96B02" w:rsidRPr="00A30D06" w:rsidRDefault="00F96B02" w:rsidP="00F96B02">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Holden Tank Water Pumping Station &amp; Transfer Main </w:t>
            </w:r>
          </w:p>
        </w:tc>
      </w:tr>
      <w:tr w:rsidR="00F96B02" w:rsidRPr="00F96B02" w14:paraId="6948651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ECD5C3A" w14:textId="77777777" w:rsidR="00F96B02" w:rsidRPr="00A30D06" w:rsidRDefault="00F96B02" w:rsidP="00F96B02">
            <w:pPr>
              <w:rPr>
                <w:b w:val="0"/>
                <w:sz w:val="16"/>
                <w:szCs w:val="16"/>
              </w:rPr>
            </w:pPr>
            <w:r w:rsidRPr="00A30D06">
              <w:rPr>
                <w:b w:val="0"/>
                <w:sz w:val="16"/>
                <w:szCs w:val="16"/>
              </w:rPr>
              <w:t>Service </w:t>
            </w:r>
          </w:p>
        </w:tc>
        <w:tc>
          <w:tcPr>
            <w:tcW w:w="3941" w:type="pct"/>
            <w:hideMark/>
          </w:tcPr>
          <w:p w14:paraId="575815C7"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Water </w:t>
            </w:r>
          </w:p>
        </w:tc>
      </w:tr>
      <w:tr w:rsidR="00F96B02" w:rsidRPr="00F96B02" w14:paraId="2B438E2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95BB9A4" w14:textId="77777777" w:rsidR="00F96B02" w:rsidRPr="00A30D06" w:rsidRDefault="00F96B02" w:rsidP="00F96B02">
            <w:pPr>
              <w:rPr>
                <w:b w:val="0"/>
                <w:sz w:val="16"/>
                <w:szCs w:val="16"/>
              </w:rPr>
            </w:pPr>
            <w:r w:rsidRPr="00A30D06">
              <w:rPr>
                <w:b w:val="0"/>
                <w:sz w:val="16"/>
                <w:szCs w:val="16"/>
              </w:rPr>
              <w:t>Asset category </w:t>
            </w:r>
          </w:p>
        </w:tc>
        <w:tc>
          <w:tcPr>
            <w:tcW w:w="3941" w:type="pct"/>
            <w:hideMark/>
          </w:tcPr>
          <w:p w14:paraId="6EED9394"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 </w:t>
            </w:r>
          </w:p>
        </w:tc>
      </w:tr>
      <w:tr w:rsidR="00F96B02" w:rsidRPr="00F96B02" w14:paraId="372861F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B12B88" w14:textId="77777777" w:rsidR="00F96B02" w:rsidRPr="00A30D06" w:rsidRDefault="00F96B02" w:rsidP="00F96B02">
            <w:pPr>
              <w:rPr>
                <w:b w:val="0"/>
                <w:sz w:val="16"/>
                <w:szCs w:val="16"/>
              </w:rPr>
            </w:pPr>
            <w:r w:rsidRPr="00A30D06">
              <w:rPr>
                <w:b w:val="0"/>
                <w:sz w:val="16"/>
                <w:szCs w:val="16"/>
              </w:rPr>
              <w:t>Cost driver </w:t>
            </w:r>
          </w:p>
        </w:tc>
        <w:tc>
          <w:tcPr>
            <w:tcW w:w="3941" w:type="pct"/>
            <w:hideMark/>
          </w:tcPr>
          <w:p w14:paraId="7CDFF78A"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 </w:t>
            </w:r>
          </w:p>
        </w:tc>
      </w:tr>
      <w:tr w:rsidR="00F96B02" w:rsidRPr="00F96B02" w14:paraId="0134304E"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234426AA" w14:textId="77777777" w:rsidR="00F96B02" w:rsidRPr="00A30D06" w:rsidRDefault="00F96B02" w:rsidP="00F96B02">
            <w:pPr>
              <w:rPr>
                <w:b w:val="0"/>
                <w:sz w:val="16"/>
                <w:szCs w:val="16"/>
              </w:rPr>
            </w:pPr>
            <w:r w:rsidRPr="00A30D06">
              <w:rPr>
                <w:b w:val="0"/>
                <w:sz w:val="16"/>
                <w:szCs w:val="16"/>
              </w:rPr>
              <w:t>Description </w:t>
            </w:r>
          </w:p>
        </w:tc>
        <w:tc>
          <w:tcPr>
            <w:tcW w:w="3941" w:type="pct"/>
            <w:hideMark/>
          </w:tcPr>
          <w:p w14:paraId="088C15FD"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Holden Tank Water Pumping Station (WPS) and pipeline to supply water from the Holden Tank site to the Bald Hill Tank in Sunbury. The project will increase transfer capacity into the Sunbury Water Network to cater for the ongoing growth in the region as well as improving system resilience.</w:t>
            </w:r>
          </w:p>
        </w:tc>
      </w:tr>
      <w:tr w:rsidR="00F96B02" w:rsidRPr="00F96B02" w14:paraId="507DF0E1"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A2DC5F3" w14:textId="77777777" w:rsidR="00F96B02" w:rsidRPr="00A30D06" w:rsidRDefault="00F96B02" w:rsidP="00F96B02">
            <w:pPr>
              <w:rPr>
                <w:b w:val="0"/>
                <w:sz w:val="16"/>
                <w:szCs w:val="16"/>
              </w:rPr>
            </w:pPr>
            <w:r w:rsidRPr="00A30D06">
              <w:rPr>
                <w:b w:val="0"/>
                <w:sz w:val="16"/>
                <w:szCs w:val="16"/>
              </w:rPr>
              <w:t>Customer outcome </w:t>
            </w:r>
          </w:p>
        </w:tc>
        <w:tc>
          <w:tcPr>
            <w:tcW w:w="3941" w:type="pct"/>
            <w:hideMark/>
          </w:tcPr>
          <w:p w14:paraId="590FDC29"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project supports our customer outcome of your water is safe, </w:t>
            </w:r>
            <w:proofErr w:type="gramStart"/>
            <w:r w:rsidRPr="00A30D06">
              <w:rPr>
                <w:sz w:val="16"/>
                <w:szCs w:val="16"/>
              </w:rPr>
              <w:t>consistent</w:t>
            </w:r>
            <w:proofErr w:type="gramEnd"/>
            <w:r w:rsidRPr="00A30D06">
              <w:rPr>
                <w:sz w:val="16"/>
                <w:szCs w:val="16"/>
              </w:rPr>
              <w:t xml:space="preserve"> and resilient by improving water security in the Sunbury region.</w:t>
            </w:r>
          </w:p>
        </w:tc>
      </w:tr>
      <w:tr w:rsidR="00F96B02" w:rsidRPr="00F96B02" w14:paraId="75979270"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0A8EB55E" w14:textId="77777777" w:rsidR="00F96B02" w:rsidRPr="00A30D06" w:rsidRDefault="00F96B02" w:rsidP="00F96B02">
            <w:pPr>
              <w:rPr>
                <w:b w:val="0"/>
                <w:sz w:val="16"/>
                <w:szCs w:val="16"/>
              </w:rPr>
            </w:pPr>
            <w:r w:rsidRPr="00A30D06">
              <w:rPr>
                <w:b w:val="0"/>
                <w:sz w:val="16"/>
                <w:szCs w:val="16"/>
              </w:rPr>
              <w:t>Background </w:t>
            </w:r>
          </w:p>
        </w:tc>
        <w:tc>
          <w:tcPr>
            <w:tcW w:w="3941" w:type="pct"/>
            <w:hideMark/>
          </w:tcPr>
          <w:p w14:paraId="1FD09185"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Sunbury is experiencing rapid growth and is forecast to increase from 17,000 lots to 64,000 lots in the next 50 years. The Sunbury Water Network Master Plan (2020) identified the need to provide additional supply into Sunbury to cater for growth. Sunbury is currently supplied from a single source, through the Shepherds Lane WPS. This pump station is not conforming to GWW standards, as it is pumping more than the maximum 18 hours daily.</w:t>
            </w:r>
          </w:p>
          <w:p w14:paraId="1F6B61E7"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project will increase water supply capacity into Sunbury </w:t>
            </w:r>
            <w:proofErr w:type="gramStart"/>
            <w:r w:rsidRPr="00A30D06">
              <w:rPr>
                <w:sz w:val="16"/>
                <w:szCs w:val="16"/>
              </w:rPr>
              <w:t>and also</w:t>
            </w:r>
            <w:proofErr w:type="gramEnd"/>
            <w:r w:rsidRPr="00A30D06">
              <w:rPr>
                <w:sz w:val="16"/>
                <w:szCs w:val="16"/>
              </w:rPr>
              <w:t xml:space="preserve"> increase system resilience. </w:t>
            </w:r>
          </w:p>
        </w:tc>
      </w:tr>
      <w:tr w:rsidR="00F96B02" w:rsidRPr="00F96B02" w14:paraId="2236030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867A014" w14:textId="77777777" w:rsidR="00F96B02" w:rsidRPr="00A30D06" w:rsidRDefault="00F96B02" w:rsidP="00F96B02">
            <w:pPr>
              <w:rPr>
                <w:b w:val="0"/>
                <w:sz w:val="16"/>
                <w:szCs w:val="16"/>
              </w:rPr>
            </w:pPr>
            <w:r w:rsidRPr="00A30D06">
              <w:rPr>
                <w:b w:val="0"/>
                <w:sz w:val="16"/>
                <w:szCs w:val="16"/>
              </w:rPr>
              <w:t>Risk addressed </w:t>
            </w:r>
          </w:p>
        </w:tc>
        <w:tc>
          <w:tcPr>
            <w:tcW w:w="3941" w:type="pct"/>
            <w:hideMark/>
          </w:tcPr>
          <w:p w14:paraId="3A751175" w14:textId="77777777" w:rsidR="00F96B02" w:rsidRPr="00A30D06" w:rsidRDefault="00F96B02">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p>
          <w:p w14:paraId="791E8089" w14:textId="6D70D87B" w:rsidR="00F96B02" w:rsidRPr="00A30D06" w:rsidRDefault="00CC3267">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O</w:t>
            </w:r>
            <w:r w:rsidR="00F96B02" w:rsidRPr="00A30D06">
              <w:rPr>
                <w:sz w:val="16"/>
                <w:szCs w:val="16"/>
              </w:rPr>
              <w:t>perational resilience risk</w:t>
            </w:r>
            <w:r w:rsidRPr="00A30D06">
              <w:rPr>
                <w:sz w:val="16"/>
                <w:szCs w:val="16"/>
              </w:rPr>
              <w:t xml:space="preserve">: </w:t>
            </w:r>
            <w:r w:rsidR="00F96B02" w:rsidRPr="00A30D06">
              <w:rPr>
                <w:sz w:val="16"/>
                <w:szCs w:val="16"/>
              </w:rPr>
              <w:t>reliable and secure drinking water supply for Sunbury, Diggers Rest and Bulla.</w:t>
            </w:r>
          </w:p>
        </w:tc>
      </w:tr>
      <w:tr w:rsidR="00F96B02" w:rsidRPr="00F96B02" w14:paraId="0A4AA7F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D1EF5BE" w14:textId="77777777" w:rsidR="00F96B02" w:rsidRPr="00A30D06" w:rsidRDefault="00F96B02" w:rsidP="00F96B02">
            <w:pPr>
              <w:rPr>
                <w:b w:val="0"/>
                <w:sz w:val="16"/>
                <w:szCs w:val="16"/>
              </w:rPr>
            </w:pPr>
            <w:r w:rsidRPr="00A30D06">
              <w:rPr>
                <w:b w:val="0"/>
                <w:sz w:val="16"/>
                <w:szCs w:val="16"/>
              </w:rPr>
              <w:t>Start year </w:t>
            </w:r>
          </w:p>
        </w:tc>
        <w:tc>
          <w:tcPr>
            <w:tcW w:w="3941" w:type="pct"/>
            <w:hideMark/>
          </w:tcPr>
          <w:p w14:paraId="77C63776" w14:textId="350EE146"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2023-</w:t>
            </w:r>
            <w:r w:rsidRPr="00A30D06">
              <w:rPr>
                <w:sz w:val="16"/>
                <w:szCs w:val="16"/>
              </w:rPr>
              <w:t>24</w:t>
            </w:r>
          </w:p>
        </w:tc>
      </w:tr>
      <w:tr w:rsidR="00F96B02" w:rsidRPr="00F96B02" w14:paraId="7544425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D1AC9E8" w14:textId="77777777" w:rsidR="00F96B02" w:rsidRPr="00A30D06" w:rsidRDefault="00F96B02" w:rsidP="00F96B02">
            <w:pPr>
              <w:rPr>
                <w:b w:val="0"/>
                <w:sz w:val="16"/>
                <w:szCs w:val="16"/>
              </w:rPr>
            </w:pPr>
            <w:r w:rsidRPr="00A30D06">
              <w:rPr>
                <w:b w:val="0"/>
                <w:sz w:val="16"/>
                <w:szCs w:val="16"/>
              </w:rPr>
              <w:t>Completion year </w:t>
            </w:r>
          </w:p>
        </w:tc>
        <w:tc>
          <w:tcPr>
            <w:tcW w:w="3941" w:type="pct"/>
            <w:hideMark/>
          </w:tcPr>
          <w:p w14:paraId="37C0A9F1" w14:textId="53B58BF5"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2027-</w:t>
            </w:r>
            <w:r w:rsidRPr="00A30D06">
              <w:rPr>
                <w:sz w:val="16"/>
                <w:szCs w:val="16"/>
              </w:rPr>
              <w:t>28</w:t>
            </w:r>
          </w:p>
        </w:tc>
      </w:tr>
      <w:tr w:rsidR="00F96B02" w:rsidRPr="00F96B02" w14:paraId="6D0C9A8B"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6B0E701" w14:textId="61FD0A6D" w:rsidR="00F96B02" w:rsidRPr="00A30D06" w:rsidRDefault="00F96B02" w:rsidP="00F96B02">
            <w:pPr>
              <w:rPr>
                <w:sz w:val="16"/>
                <w:szCs w:val="16"/>
              </w:rPr>
            </w:pPr>
            <w:r w:rsidRPr="00A30D06">
              <w:rPr>
                <w:sz w:val="16"/>
                <w:szCs w:val="16"/>
              </w:rPr>
              <w:t xml:space="preserve">Total Capex over Regulatory Period </w:t>
            </w:r>
            <w:r w:rsidRPr="00A30D06">
              <w:rPr>
                <w:b w:val="0"/>
                <w:sz w:val="16"/>
                <w:szCs w:val="16"/>
              </w:rPr>
              <w:t>(Real $</w:t>
            </w:r>
            <w:r w:rsidR="005F3138" w:rsidRPr="00A30D06">
              <w:rPr>
                <w:b w:val="0"/>
                <w:sz w:val="16"/>
                <w:szCs w:val="16"/>
              </w:rPr>
              <w:t>20</w:t>
            </w:r>
            <w:r w:rsidRPr="00A30D06">
              <w:rPr>
                <w:b w:val="0"/>
                <w:sz w:val="16"/>
                <w:szCs w:val="16"/>
              </w:rPr>
              <w:t>23</w:t>
            </w:r>
            <w:r w:rsidR="005F3138"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56B807B5" w14:textId="37D9A8BA" w:rsidR="00F96B02" w:rsidRPr="00A30D06" w:rsidRDefault="00F96B02" w:rsidP="008232BD">
            <w:pPr>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A30D06">
              <w:rPr>
                <w:b/>
                <w:sz w:val="16"/>
                <w:szCs w:val="16"/>
              </w:rPr>
              <w:t>$36.3</w:t>
            </w:r>
            <w:r w:rsidR="00B729A0" w:rsidRPr="00A30D06">
              <w:rPr>
                <w:b/>
                <w:sz w:val="16"/>
                <w:szCs w:val="16"/>
              </w:rPr>
              <w:t>1</w:t>
            </w:r>
            <w:r w:rsidRPr="00A30D06">
              <w:rPr>
                <w:b/>
                <w:sz w:val="16"/>
                <w:szCs w:val="16"/>
              </w:rPr>
              <w:t xml:space="preserve"> million</w:t>
            </w:r>
          </w:p>
        </w:tc>
      </w:tr>
      <w:tr w:rsidR="00F96B02" w:rsidRPr="00F96B02" w14:paraId="6EA53DD9"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1791C700" w14:textId="7697C661" w:rsidR="00F96B02" w:rsidRPr="00A30D06" w:rsidRDefault="00F96B02" w:rsidP="00F96B02">
            <w:pPr>
              <w:rPr>
                <w:sz w:val="16"/>
                <w:szCs w:val="16"/>
              </w:rPr>
            </w:pPr>
            <w:r w:rsidRPr="00A30D06">
              <w:rPr>
                <w:sz w:val="16"/>
                <w:szCs w:val="16"/>
              </w:rPr>
              <w:t>Total Project Cost</w:t>
            </w:r>
            <w:r w:rsidR="00B564A1" w:rsidRPr="00A30D06">
              <w:rPr>
                <w:sz w:val="16"/>
                <w:szCs w:val="16"/>
              </w:rPr>
              <w:br/>
            </w:r>
            <w:r w:rsidRPr="00A30D06">
              <w:rPr>
                <w:b w:val="0"/>
                <w:sz w:val="16"/>
                <w:szCs w:val="16"/>
              </w:rPr>
              <w:t>(Real $</w:t>
            </w:r>
            <w:r w:rsidR="005F3138" w:rsidRPr="00A30D06">
              <w:rPr>
                <w:b w:val="0"/>
                <w:sz w:val="16"/>
                <w:szCs w:val="16"/>
              </w:rPr>
              <w:t>20</w:t>
            </w:r>
            <w:r w:rsidRPr="00A30D06">
              <w:rPr>
                <w:b w:val="0"/>
                <w:sz w:val="16"/>
                <w:szCs w:val="16"/>
              </w:rPr>
              <w:t>23</w:t>
            </w:r>
            <w:r w:rsidR="005F3138" w:rsidRPr="00A30D06">
              <w:rPr>
                <w:b w:val="0"/>
                <w:sz w:val="16"/>
                <w:szCs w:val="16"/>
              </w:rPr>
              <w:t>-</w:t>
            </w:r>
            <w:r w:rsidRPr="00A30D06">
              <w:rPr>
                <w:b w:val="0"/>
                <w:sz w:val="16"/>
                <w:szCs w:val="16"/>
              </w:rPr>
              <w:t>24)</w:t>
            </w:r>
          </w:p>
        </w:tc>
        <w:tc>
          <w:tcPr>
            <w:tcW w:w="3941" w:type="pct"/>
            <w:vAlign w:val="center"/>
          </w:tcPr>
          <w:p w14:paraId="4E8C1242" w14:textId="1D25BDA9"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$36.</w:t>
            </w:r>
            <w:r w:rsidR="00B729A0" w:rsidRPr="00A30D06">
              <w:rPr>
                <w:b/>
                <w:sz w:val="16"/>
                <w:szCs w:val="16"/>
              </w:rPr>
              <w:t xml:space="preserve">78 </w:t>
            </w:r>
            <w:r w:rsidRPr="00A30D06">
              <w:rPr>
                <w:b/>
                <w:sz w:val="16"/>
                <w:szCs w:val="16"/>
              </w:rPr>
              <w:t>million</w:t>
            </w:r>
          </w:p>
        </w:tc>
      </w:tr>
    </w:tbl>
    <w:p w14:paraId="2DED22A9" w14:textId="77777777" w:rsidR="006D39D4" w:rsidRDefault="006D39D4" w:rsidP="009C0F4E"/>
    <w:p w14:paraId="11A4EED2" w14:textId="614EFA46"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6B74AA" w:rsidRPr="006B74AA" w14:paraId="6F7C6659"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011ED90" w14:textId="77777777" w:rsidR="006B74AA" w:rsidRPr="00A30D06" w:rsidRDefault="006B74AA" w:rsidP="006B74AA">
            <w:pPr>
              <w:rPr>
                <w:sz w:val="16"/>
                <w:szCs w:val="16"/>
              </w:rPr>
            </w:pPr>
            <w:r w:rsidRPr="00A30D06">
              <w:rPr>
                <w:sz w:val="16"/>
                <w:szCs w:val="16"/>
              </w:rPr>
              <w:lastRenderedPageBreak/>
              <w:t>Project 6</w:t>
            </w:r>
          </w:p>
        </w:tc>
        <w:tc>
          <w:tcPr>
            <w:tcW w:w="3941" w:type="pct"/>
            <w:hideMark/>
          </w:tcPr>
          <w:p w14:paraId="7AD3A365" w14:textId="77777777" w:rsidR="006B74AA" w:rsidRPr="00A30D06" w:rsidRDefault="006B74AA" w:rsidP="006B74AA">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Providing sewer services to our growth regions</w:t>
            </w:r>
          </w:p>
          <w:p w14:paraId="24306416" w14:textId="77777777" w:rsidR="006B74AA" w:rsidRPr="00A30D06" w:rsidRDefault="006B74AA" w:rsidP="006B74AA">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Emu Creek Branch Sewerage Main </w:t>
            </w:r>
          </w:p>
        </w:tc>
      </w:tr>
      <w:tr w:rsidR="006B74AA" w:rsidRPr="006B74AA" w14:paraId="4FDD4FC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26F53AE" w14:textId="77777777" w:rsidR="006B74AA" w:rsidRPr="00A30D06" w:rsidRDefault="006B74AA" w:rsidP="006B74AA">
            <w:pPr>
              <w:rPr>
                <w:b w:val="0"/>
                <w:sz w:val="16"/>
                <w:szCs w:val="16"/>
              </w:rPr>
            </w:pPr>
            <w:r w:rsidRPr="00A30D06">
              <w:rPr>
                <w:b w:val="0"/>
                <w:sz w:val="16"/>
                <w:szCs w:val="16"/>
              </w:rPr>
              <w:t>Service </w:t>
            </w:r>
          </w:p>
        </w:tc>
        <w:tc>
          <w:tcPr>
            <w:tcW w:w="3941" w:type="pct"/>
            <w:hideMark/>
          </w:tcPr>
          <w:p w14:paraId="53E9EAB0"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Sewer </w:t>
            </w:r>
          </w:p>
        </w:tc>
      </w:tr>
      <w:tr w:rsidR="006B74AA" w:rsidRPr="006B74AA" w14:paraId="45CF84A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84A906F" w14:textId="77777777" w:rsidR="006B74AA" w:rsidRPr="00A30D06" w:rsidRDefault="006B74AA" w:rsidP="006B74AA">
            <w:pPr>
              <w:rPr>
                <w:b w:val="0"/>
                <w:sz w:val="16"/>
                <w:szCs w:val="16"/>
              </w:rPr>
            </w:pPr>
            <w:r w:rsidRPr="00A30D06">
              <w:rPr>
                <w:b w:val="0"/>
                <w:sz w:val="16"/>
                <w:szCs w:val="16"/>
              </w:rPr>
              <w:t>Asset category </w:t>
            </w:r>
          </w:p>
        </w:tc>
        <w:tc>
          <w:tcPr>
            <w:tcW w:w="3941" w:type="pct"/>
            <w:hideMark/>
          </w:tcPr>
          <w:p w14:paraId="5F93D7ED"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w:t>
            </w:r>
          </w:p>
        </w:tc>
      </w:tr>
      <w:tr w:rsidR="006B74AA" w:rsidRPr="006B74AA" w14:paraId="3A06F7E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51FCCAF" w14:textId="77777777" w:rsidR="006B74AA" w:rsidRPr="00A30D06" w:rsidRDefault="006B74AA" w:rsidP="006B74AA">
            <w:pPr>
              <w:rPr>
                <w:b w:val="0"/>
                <w:sz w:val="16"/>
                <w:szCs w:val="16"/>
              </w:rPr>
            </w:pPr>
            <w:r w:rsidRPr="00A30D06">
              <w:rPr>
                <w:b w:val="0"/>
                <w:sz w:val="16"/>
                <w:szCs w:val="16"/>
              </w:rPr>
              <w:t>Cost driver </w:t>
            </w:r>
          </w:p>
        </w:tc>
        <w:tc>
          <w:tcPr>
            <w:tcW w:w="3941" w:type="pct"/>
            <w:hideMark/>
          </w:tcPr>
          <w:p w14:paraId="6FFC3841"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 </w:t>
            </w:r>
          </w:p>
        </w:tc>
      </w:tr>
      <w:tr w:rsidR="006B74AA" w:rsidRPr="006B74AA" w14:paraId="24ADEFC8" w14:textId="77777777" w:rsidTr="00BD2857">
        <w:trPr>
          <w:trHeight w:val="916"/>
        </w:trPr>
        <w:tc>
          <w:tcPr>
            <w:cnfStyle w:val="001000000000" w:firstRow="0" w:lastRow="0" w:firstColumn="1" w:lastColumn="0" w:oddVBand="0" w:evenVBand="0" w:oddHBand="0" w:evenHBand="0" w:firstRowFirstColumn="0" w:firstRowLastColumn="0" w:lastRowFirstColumn="0" w:lastRowLastColumn="0"/>
            <w:tcW w:w="1059" w:type="pct"/>
            <w:hideMark/>
          </w:tcPr>
          <w:p w14:paraId="3861D833" w14:textId="77777777" w:rsidR="006B74AA" w:rsidRPr="00A30D06" w:rsidRDefault="006B74AA" w:rsidP="006B74AA">
            <w:pPr>
              <w:rPr>
                <w:b w:val="0"/>
                <w:sz w:val="16"/>
                <w:szCs w:val="16"/>
              </w:rPr>
            </w:pPr>
            <w:r w:rsidRPr="00A30D06">
              <w:rPr>
                <w:b w:val="0"/>
                <w:sz w:val="16"/>
                <w:szCs w:val="16"/>
              </w:rPr>
              <w:t>Description </w:t>
            </w:r>
          </w:p>
        </w:tc>
        <w:tc>
          <w:tcPr>
            <w:tcW w:w="3941" w:type="pct"/>
            <w:hideMark/>
          </w:tcPr>
          <w:p w14:paraId="1CAFF099"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Provide a new branch sewer to service future population growth in the Sunbury region associated with the Lancefield Road and Sunbury South Precinct Structure Plans.</w:t>
            </w:r>
          </w:p>
        </w:tc>
      </w:tr>
      <w:tr w:rsidR="006B74AA" w:rsidRPr="006B74AA" w14:paraId="247B7C08"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FD48919" w14:textId="77777777" w:rsidR="006B74AA" w:rsidRPr="00A30D06" w:rsidRDefault="006B74AA" w:rsidP="006B74AA">
            <w:pPr>
              <w:rPr>
                <w:b w:val="0"/>
                <w:sz w:val="16"/>
                <w:szCs w:val="16"/>
              </w:rPr>
            </w:pPr>
            <w:r w:rsidRPr="00A30D06">
              <w:rPr>
                <w:b w:val="0"/>
                <w:sz w:val="16"/>
                <w:szCs w:val="16"/>
              </w:rPr>
              <w:t>Customer outcome </w:t>
            </w:r>
          </w:p>
        </w:tc>
        <w:tc>
          <w:tcPr>
            <w:tcW w:w="3941" w:type="pct"/>
            <w:hideMark/>
          </w:tcPr>
          <w:p w14:paraId="579C5BD2"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project supports our customer outcome of your water is safe, </w:t>
            </w:r>
            <w:proofErr w:type="gramStart"/>
            <w:r w:rsidRPr="00A30D06">
              <w:rPr>
                <w:sz w:val="16"/>
                <w:szCs w:val="16"/>
              </w:rPr>
              <w:t>consistent</w:t>
            </w:r>
            <w:proofErr w:type="gramEnd"/>
            <w:r w:rsidRPr="00A30D06">
              <w:rPr>
                <w:sz w:val="16"/>
                <w:szCs w:val="16"/>
              </w:rPr>
              <w:t xml:space="preserve"> and resilient by improving water security in the Sunbury region.</w:t>
            </w:r>
          </w:p>
        </w:tc>
      </w:tr>
      <w:tr w:rsidR="006B74AA" w:rsidRPr="006B74AA" w14:paraId="2550E71C"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051F23C" w14:textId="77777777" w:rsidR="006B74AA" w:rsidRPr="00A30D06" w:rsidRDefault="006B74AA" w:rsidP="006B74AA">
            <w:pPr>
              <w:rPr>
                <w:b w:val="0"/>
                <w:sz w:val="16"/>
                <w:szCs w:val="16"/>
              </w:rPr>
            </w:pPr>
            <w:r w:rsidRPr="00A30D06">
              <w:rPr>
                <w:b w:val="0"/>
                <w:sz w:val="16"/>
                <w:szCs w:val="16"/>
              </w:rPr>
              <w:t>Background </w:t>
            </w:r>
          </w:p>
        </w:tc>
        <w:tc>
          <w:tcPr>
            <w:tcW w:w="3941" w:type="pct"/>
            <w:hideMark/>
          </w:tcPr>
          <w:p w14:paraId="52C6AB88"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This project is to service the growth that is forecast in the Lancefield Road and Sunbury South precincts and the future Sunbury North precinct – all part of the Sunbury Growth Area identified by the Victorian Planning Authority. GWW refers to the combined region as the Emu Creek Development precinct. With the infrastructure currently in place, Emu Creek population growth will exceed sewer network capacity from 2026, leading to sewage overflows that will create an environmental hazard. This project will provide a sewerage outlet for the Sunbury growth areas within the Emu Creek catchment and ensure GWW contains our sewage in accordance with our compliance obligations to protect the health, safety and environment to our customers and community.</w:t>
            </w:r>
          </w:p>
          <w:p w14:paraId="2AAF620A"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Due to some major roadworks, GWW has completed some early works that will enable the complete sewer construction in the future.</w:t>
            </w:r>
          </w:p>
        </w:tc>
      </w:tr>
      <w:tr w:rsidR="006B74AA" w:rsidRPr="006B74AA" w14:paraId="5C7D445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755F399" w14:textId="77777777" w:rsidR="006B74AA" w:rsidRPr="00A30D06" w:rsidRDefault="006B74AA" w:rsidP="006B74AA">
            <w:pPr>
              <w:rPr>
                <w:b w:val="0"/>
                <w:sz w:val="16"/>
                <w:szCs w:val="16"/>
              </w:rPr>
            </w:pPr>
            <w:r w:rsidRPr="00A30D06">
              <w:rPr>
                <w:b w:val="0"/>
                <w:sz w:val="16"/>
                <w:szCs w:val="16"/>
              </w:rPr>
              <w:t>Risks addressed </w:t>
            </w:r>
          </w:p>
        </w:tc>
        <w:tc>
          <w:tcPr>
            <w:tcW w:w="3941" w:type="pct"/>
            <w:hideMark/>
          </w:tcPr>
          <w:p w14:paraId="2C0A4594" w14:textId="4C4B6FD4" w:rsidR="006B74AA" w:rsidRPr="00A30D06" w:rsidRDefault="006B74AA">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Public health risk and environmental risk:</w:t>
            </w:r>
            <w:r w:rsidR="00CC3267" w:rsidRPr="00A30D06">
              <w:rPr>
                <w:sz w:val="16"/>
                <w:szCs w:val="16"/>
              </w:rPr>
              <w:t xml:space="preserve"> </w:t>
            </w:r>
            <w:r w:rsidRPr="00A30D06">
              <w:rPr>
                <w:sz w:val="16"/>
                <w:szCs w:val="16"/>
              </w:rPr>
              <w:t xml:space="preserve">protect public health and the environment our customers live in through responsible sewage transfer and </w:t>
            </w:r>
            <w:proofErr w:type="gramStart"/>
            <w:r w:rsidRPr="00A30D06">
              <w:rPr>
                <w:sz w:val="16"/>
                <w:szCs w:val="16"/>
              </w:rPr>
              <w:t>treatment</w:t>
            </w:r>
            <w:proofErr w:type="gramEnd"/>
          </w:p>
          <w:p w14:paraId="4B92DEE1" w14:textId="11E024E9" w:rsidR="006B74AA" w:rsidRPr="00A30D06" w:rsidRDefault="006B74AA">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r w:rsidRPr="00A30D06">
              <w:rPr>
                <w:sz w:val="16"/>
                <w:szCs w:val="16"/>
              </w:rPr>
              <w:t>our sewer network has the capacity to meet peak flows</w:t>
            </w:r>
          </w:p>
        </w:tc>
      </w:tr>
      <w:tr w:rsidR="006B74AA" w:rsidRPr="006B74AA" w14:paraId="67B433F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CB2A474" w14:textId="77777777" w:rsidR="006B74AA" w:rsidRPr="00A30D06" w:rsidRDefault="006B74AA" w:rsidP="006B74AA">
            <w:pPr>
              <w:rPr>
                <w:b w:val="0"/>
                <w:sz w:val="16"/>
                <w:szCs w:val="16"/>
              </w:rPr>
            </w:pPr>
            <w:r w:rsidRPr="00A30D06">
              <w:rPr>
                <w:b w:val="0"/>
                <w:sz w:val="16"/>
                <w:szCs w:val="16"/>
              </w:rPr>
              <w:t>Start year </w:t>
            </w:r>
          </w:p>
        </w:tc>
        <w:tc>
          <w:tcPr>
            <w:tcW w:w="3941" w:type="pct"/>
            <w:hideMark/>
          </w:tcPr>
          <w:p w14:paraId="7C5BC57D" w14:textId="2D5EE8DB"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2021-</w:t>
            </w:r>
            <w:r w:rsidRPr="00A30D06">
              <w:rPr>
                <w:sz w:val="16"/>
                <w:szCs w:val="16"/>
              </w:rPr>
              <w:t xml:space="preserve">22 (early works) </w:t>
            </w:r>
            <w:r w:rsidR="00EE31E7" w:rsidRPr="00A30D06">
              <w:rPr>
                <w:sz w:val="16"/>
                <w:szCs w:val="16"/>
              </w:rPr>
              <w:t>2025-</w:t>
            </w:r>
            <w:r w:rsidRPr="00A30D06">
              <w:rPr>
                <w:sz w:val="16"/>
                <w:szCs w:val="16"/>
              </w:rPr>
              <w:t>26 (balance of works)</w:t>
            </w:r>
          </w:p>
        </w:tc>
      </w:tr>
      <w:tr w:rsidR="006B74AA" w:rsidRPr="006B74AA" w14:paraId="596E23BD"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73A3F69" w14:textId="77777777" w:rsidR="006B74AA" w:rsidRPr="00A30D06" w:rsidRDefault="006B74AA" w:rsidP="006B74AA">
            <w:pPr>
              <w:rPr>
                <w:b w:val="0"/>
                <w:sz w:val="16"/>
                <w:szCs w:val="16"/>
              </w:rPr>
            </w:pPr>
            <w:r w:rsidRPr="00A30D06">
              <w:rPr>
                <w:b w:val="0"/>
                <w:sz w:val="16"/>
                <w:szCs w:val="16"/>
              </w:rPr>
              <w:t>Completion year </w:t>
            </w:r>
          </w:p>
        </w:tc>
        <w:tc>
          <w:tcPr>
            <w:tcW w:w="3941" w:type="pct"/>
            <w:hideMark/>
          </w:tcPr>
          <w:p w14:paraId="609F46DB" w14:textId="734EB36F"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2030-</w:t>
            </w:r>
            <w:r w:rsidRPr="00A30D06">
              <w:rPr>
                <w:sz w:val="16"/>
                <w:szCs w:val="16"/>
              </w:rPr>
              <w:t>31</w:t>
            </w:r>
          </w:p>
        </w:tc>
      </w:tr>
      <w:tr w:rsidR="006B74AA" w:rsidRPr="006B74AA" w14:paraId="1760A6A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15DDDE0" w14:textId="6F8B556F" w:rsidR="006B74AA" w:rsidRPr="00A30D06" w:rsidRDefault="006B74AA" w:rsidP="006B74AA">
            <w:pPr>
              <w:rPr>
                <w:sz w:val="16"/>
                <w:szCs w:val="16"/>
              </w:rPr>
            </w:pPr>
            <w:r w:rsidRPr="00A30D06">
              <w:rPr>
                <w:sz w:val="16"/>
                <w:szCs w:val="16"/>
              </w:rPr>
              <w:t xml:space="preserve">Total Capex over Regulatory Period </w:t>
            </w:r>
            <w:r w:rsidRPr="00A30D06">
              <w:rPr>
                <w:b w:val="0"/>
                <w:sz w:val="16"/>
                <w:szCs w:val="16"/>
              </w:rPr>
              <w:t>(Real $2</w:t>
            </w:r>
            <w:r w:rsidR="00F366A2" w:rsidRPr="00A30D06">
              <w:rPr>
                <w:b w:val="0"/>
                <w:sz w:val="16"/>
                <w:szCs w:val="16"/>
              </w:rPr>
              <w:t>02</w:t>
            </w:r>
            <w:r w:rsidRPr="00A30D06">
              <w:rPr>
                <w:b w:val="0"/>
                <w:sz w:val="16"/>
                <w:szCs w:val="16"/>
              </w:rPr>
              <w:t>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3915E0DF" w14:textId="7D9628FC"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$34.2</w:t>
            </w:r>
            <w:r w:rsidR="00B729A0" w:rsidRPr="00A30D06">
              <w:rPr>
                <w:b/>
                <w:sz w:val="16"/>
                <w:szCs w:val="16"/>
              </w:rPr>
              <w:t>5</w:t>
            </w:r>
            <w:r w:rsidRPr="00A30D06">
              <w:rPr>
                <w:b/>
                <w:sz w:val="16"/>
                <w:szCs w:val="16"/>
              </w:rPr>
              <w:t xml:space="preserve"> million</w:t>
            </w:r>
          </w:p>
        </w:tc>
      </w:tr>
      <w:tr w:rsidR="006B74AA" w:rsidRPr="006B74AA" w14:paraId="32B048CD"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1E60DC3" w14:textId="42C9E6C4" w:rsidR="006B74AA" w:rsidRPr="008232BD" w:rsidRDefault="006B74AA" w:rsidP="006B74AA">
            <w:pPr>
              <w:rPr>
                <w:sz w:val="16"/>
                <w:szCs w:val="20"/>
              </w:rPr>
            </w:pPr>
            <w:r w:rsidRPr="008232BD">
              <w:rPr>
                <w:sz w:val="16"/>
                <w:szCs w:val="20"/>
              </w:rPr>
              <w:t>Total Project Cost</w:t>
            </w:r>
            <w:r w:rsidRPr="008232BD">
              <w:rPr>
                <w:sz w:val="16"/>
                <w:szCs w:val="20"/>
              </w:rPr>
              <w:br/>
            </w:r>
            <w:r w:rsidRPr="008232BD">
              <w:rPr>
                <w:b w:val="0"/>
                <w:sz w:val="16"/>
                <w:szCs w:val="20"/>
              </w:rPr>
              <w:t>(Real $</w:t>
            </w:r>
            <w:r w:rsidR="00F366A2" w:rsidRPr="008232BD">
              <w:rPr>
                <w:b w:val="0"/>
                <w:sz w:val="16"/>
                <w:szCs w:val="20"/>
              </w:rPr>
              <w:t>20</w:t>
            </w:r>
            <w:r w:rsidRPr="008232BD">
              <w:rPr>
                <w:b w:val="0"/>
                <w:sz w:val="16"/>
                <w:szCs w:val="20"/>
              </w:rPr>
              <w:t>23</w:t>
            </w:r>
            <w:r w:rsidR="00F366A2" w:rsidRPr="008232BD">
              <w:rPr>
                <w:b w:val="0"/>
                <w:sz w:val="16"/>
                <w:szCs w:val="20"/>
              </w:rPr>
              <w:t>-</w:t>
            </w:r>
            <w:r w:rsidRPr="008232BD">
              <w:rPr>
                <w:b w:val="0"/>
                <w:sz w:val="16"/>
                <w:szCs w:val="20"/>
              </w:rPr>
              <w:t>24)</w:t>
            </w:r>
          </w:p>
        </w:tc>
        <w:tc>
          <w:tcPr>
            <w:tcW w:w="3941" w:type="pct"/>
            <w:vAlign w:val="center"/>
          </w:tcPr>
          <w:p w14:paraId="21AADB6A" w14:textId="4479FCAD" w:rsidR="006B74AA" w:rsidRPr="008232BD" w:rsidRDefault="006B74AA" w:rsidP="006B74AA">
            <w:pPr>
              <w:cnfStyle w:val="000000000000" w:firstRow="0" w:lastRow="0" w:firstColumn="0" w:lastColumn="0" w:oddVBand="0" w:evenVBand="0" w:oddHBand="0" w:evenHBand="0" w:firstRowFirstColumn="0" w:firstRowLastColumn="0" w:lastRowFirstColumn="0" w:lastRowLastColumn="0"/>
              <w:rPr>
                <w:b/>
                <w:sz w:val="16"/>
                <w:szCs w:val="20"/>
              </w:rPr>
            </w:pPr>
            <w:r w:rsidRPr="008232BD">
              <w:rPr>
                <w:b/>
                <w:sz w:val="16"/>
                <w:szCs w:val="20"/>
              </w:rPr>
              <w:t>$81.1</w:t>
            </w:r>
            <w:r w:rsidR="00B729A0" w:rsidRPr="008232BD">
              <w:rPr>
                <w:b/>
                <w:sz w:val="16"/>
                <w:szCs w:val="20"/>
              </w:rPr>
              <w:t>4</w:t>
            </w:r>
            <w:r w:rsidRPr="008232BD">
              <w:rPr>
                <w:b/>
                <w:sz w:val="16"/>
                <w:szCs w:val="20"/>
              </w:rPr>
              <w:t xml:space="preserve"> million</w:t>
            </w:r>
          </w:p>
        </w:tc>
      </w:tr>
    </w:tbl>
    <w:p w14:paraId="66809533" w14:textId="77777777" w:rsidR="00F22282" w:rsidRDefault="00F22282" w:rsidP="009C0F4E"/>
    <w:p w14:paraId="34803330" w14:textId="342AC382" w:rsidR="008232BD" w:rsidRDefault="008232BD">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476C9D" w:rsidRPr="00476C9D" w14:paraId="7B11D373"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854168B" w14:textId="77777777" w:rsidR="00476C9D" w:rsidRPr="00A30D06" w:rsidRDefault="00476C9D" w:rsidP="00476C9D">
            <w:pPr>
              <w:rPr>
                <w:sz w:val="16"/>
                <w:szCs w:val="16"/>
              </w:rPr>
            </w:pPr>
            <w:r w:rsidRPr="00A30D06">
              <w:rPr>
                <w:sz w:val="16"/>
                <w:szCs w:val="16"/>
              </w:rPr>
              <w:lastRenderedPageBreak/>
              <w:t>Project 7</w:t>
            </w:r>
          </w:p>
        </w:tc>
        <w:tc>
          <w:tcPr>
            <w:tcW w:w="3941" w:type="pct"/>
            <w:hideMark/>
          </w:tcPr>
          <w:p w14:paraId="0CF1A0A6" w14:textId="77777777" w:rsidR="00476C9D" w:rsidRPr="00A30D06" w:rsidRDefault="00476C9D" w:rsidP="00476C9D">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Supporting waterway health in Gisborne </w:t>
            </w:r>
          </w:p>
          <w:p w14:paraId="2CACC517" w14:textId="77777777" w:rsidR="00476C9D" w:rsidRPr="00A30D06" w:rsidRDefault="00476C9D" w:rsidP="00476C9D">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Gisborne Recycled Water Plant Upgrade </w:t>
            </w:r>
          </w:p>
        </w:tc>
      </w:tr>
      <w:tr w:rsidR="00476C9D" w:rsidRPr="00476C9D" w14:paraId="2DCAE34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5E9E9A5" w14:textId="77777777" w:rsidR="00476C9D" w:rsidRPr="00A30D06" w:rsidRDefault="00476C9D" w:rsidP="00476C9D">
            <w:pPr>
              <w:rPr>
                <w:b w:val="0"/>
                <w:sz w:val="16"/>
                <w:szCs w:val="16"/>
              </w:rPr>
            </w:pPr>
            <w:r w:rsidRPr="00A30D06">
              <w:rPr>
                <w:b w:val="0"/>
                <w:sz w:val="16"/>
                <w:szCs w:val="16"/>
              </w:rPr>
              <w:t>Service </w:t>
            </w:r>
          </w:p>
        </w:tc>
        <w:tc>
          <w:tcPr>
            <w:tcW w:w="3941" w:type="pct"/>
            <w:hideMark/>
          </w:tcPr>
          <w:p w14:paraId="29B55D59"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Sewer</w:t>
            </w:r>
          </w:p>
        </w:tc>
      </w:tr>
      <w:tr w:rsidR="00476C9D" w:rsidRPr="00476C9D" w14:paraId="7A06FE4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B7E846B" w14:textId="77777777" w:rsidR="00476C9D" w:rsidRPr="00A30D06" w:rsidRDefault="00476C9D" w:rsidP="00476C9D">
            <w:pPr>
              <w:rPr>
                <w:b w:val="0"/>
                <w:sz w:val="16"/>
                <w:szCs w:val="16"/>
              </w:rPr>
            </w:pPr>
            <w:r w:rsidRPr="00A30D06">
              <w:rPr>
                <w:b w:val="0"/>
                <w:sz w:val="16"/>
                <w:szCs w:val="16"/>
              </w:rPr>
              <w:t>Asset category </w:t>
            </w:r>
          </w:p>
        </w:tc>
        <w:tc>
          <w:tcPr>
            <w:tcW w:w="3941" w:type="pct"/>
            <w:hideMark/>
          </w:tcPr>
          <w:p w14:paraId="1FAAE459"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Treatment </w:t>
            </w:r>
          </w:p>
        </w:tc>
      </w:tr>
      <w:tr w:rsidR="00476C9D" w:rsidRPr="00476C9D" w14:paraId="2F4CD063"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954C7DF" w14:textId="77777777" w:rsidR="00476C9D" w:rsidRPr="00A30D06" w:rsidRDefault="00476C9D" w:rsidP="00476C9D">
            <w:pPr>
              <w:rPr>
                <w:b w:val="0"/>
                <w:sz w:val="16"/>
                <w:szCs w:val="16"/>
              </w:rPr>
            </w:pPr>
            <w:r w:rsidRPr="00A30D06">
              <w:rPr>
                <w:b w:val="0"/>
                <w:sz w:val="16"/>
                <w:szCs w:val="16"/>
              </w:rPr>
              <w:t>Cost driver </w:t>
            </w:r>
          </w:p>
        </w:tc>
        <w:tc>
          <w:tcPr>
            <w:tcW w:w="3941" w:type="pct"/>
            <w:hideMark/>
          </w:tcPr>
          <w:p w14:paraId="4484A222"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w:t>
            </w:r>
          </w:p>
        </w:tc>
      </w:tr>
      <w:tr w:rsidR="00476C9D" w:rsidRPr="00476C9D" w14:paraId="13480BEA"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30E33E3B" w14:textId="77777777" w:rsidR="00476C9D" w:rsidRPr="00A30D06" w:rsidRDefault="00476C9D" w:rsidP="00476C9D">
            <w:pPr>
              <w:rPr>
                <w:b w:val="0"/>
                <w:sz w:val="16"/>
                <w:szCs w:val="16"/>
              </w:rPr>
            </w:pPr>
            <w:r w:rsidRPr="00A30D06">
              <w:rPr>
                <w:b w:val="0"/>
                <w:sz w:val="16"/>
                <w:szCs w:val="16"/>
              </w:rPr>
              <w:t>Description </w:t>
            </w:r>
          </w:p>
        </w:tc>
        <w:tc>
          <w:tcPr>
            <w:tcW w:w="3941" w:type="pct"/>
            <w:hideMark/>
          </w:tcPr>
          <w:p w14:paraId="18D7363A"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Gisborne Recycled Water Plant Upgrade Project is the design and construction of a new 3.65 megalitre per day recycled water plant, based on Membrane Bioreactor (MBR) technology, including a two-year operation and maintenance period. This treatment plant is to replace the existing plant which was designed for sewerage inflows up to 1.5ML/d of Average Dry Weather Flow in the 1980s and has reached the end of its life and is unable to cater for the growth in the region. </w:t>
            </w:r>
          </w:p>
        </w:tc>
      </w:tr>
      <w:tr w:rsidR="00476C9D" w:rsidRPr="00476C9D" w14:paraId="3E39D1AE"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DFDD65D" w14:textId="77777777" w:rsidR="00476C9D" w:rsidRPr="00A30D06" w:rsidRDefault="00476C9D" w:rsidP="00476C9D">
            <w:pPr>
              <w:rPr>
                <w:b w:val="0"/>
                <w:sz w:val="16"/>
                <w:szCs w:val="16"/>
              </w:rPr>
            </w:pPr>
            <w:r w:rsidRPr="00A30D06">
              <w:rPr>
                <w:b w:val="0"/>
                <w:sz w:val="16"/>
                <w:szCs w:val="16"/>
              </w:rPr>
              <w:t>Customer outcome </w:t>
            </w:r>
          </w:p>
        </w:tc>
        <w:tc>
          <w:tcPr>
            <w:tcW w:w="3941" w:type="pct"/>
            <w:hideMark/>
          </w:tcPr>
          <w:p w14:paraId="1E159D22"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project supports our customer outcome of healing and caring for Country by improving water quality.</w:t>
            </w:r>
          </w:p>
        </w:tc>
      </w:tr>
      <w:tr w:rsidR="00476C9D" w:rsidRPr="00476C9D" w14:paraId="0BCADB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B2DE01E" w14:textId="77777777" w:rsidR="00476C9D" w:rsidRPr="00A30D06" w:rsidRDefault="00476C9D" w:rsidP="00476C9D">
            <w:pPr>
              <w:rPr>
                <w:b w:val="0"/>
                <w:sz w:val="16"/>
                <w:szCs w:val="16"/>
              </w:rPr>
            </w:pPr>
            <w:r w:rsidRPr="00A30D06">
              <w:rPr>
                <w:b w:val="0"/>
                <w:sz w:val="16"/>
                <w:szCs w:val="16"/>
              </w:rPr>
              <w:t>Background </w:t>
            </w:r>
          </w:p>
        </w:tc>
        <w:tc>
          <w:tcPr>
            <w:tcW w:w="3941" w:type="pct"/>
            <w:hideMark/>
          </w:tcPr>
          <w:p w14:paraId="39FBCBEB"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business case comparison document completed in 2021 identified that population forecasts driven by urban land development meant that the service need was urgent. The project is unavoidable due to the rate of population growth in the Macedon Ranges region. Gisborne RWP is operating above its design capacity, which has led to instances of discharge to Jacksons Creek exceeding water quality limits. The ageing plant and equipment and site layout present safety risks to the operational staff. Managing these risks require controls that cannot be sustained permanently.</w:t>
            </w:r>
          </w:p>
        </w:tc>
      </w:tr>
      <w:tr w:rsidR="00476C9D" w:rsidRPr="00476C9D" w14:paraId="1AB4ECA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AC9BE67" w14:textId="77777777" w:rsidR="00476C9D" w:rsidRPr="00A30D06" w:rsidRDefault="00476C9D" w:rsidP="00476C9D">
            <w:pPr>
              <w:rPr>
                <w:b w:val="0"/>
                <w:sz w:val="16"/>
                <w:szCs w:val="16"/>
              </w:rPr>
            </w:pPr>
            <w:r w:rsidRPr="00A30D06">
              <w:rPr>
                <w:b w:val="0"/>
                <w:sz w:val="16"/>
                <w:szCs w:val="16"/>
              </w:rPr>
              <w:t>Risk addressed </w:t>
            </w:r>
          </w:p>
        </w:tc>
        <w:tc>
          <w:tcPr>
            <w:tcW w:w="3941" w:type="pct"/>
            <w:hideMark/>
          </w:tcPr>
          <w:p w14:paraId="23CC3202" w14:textId="7E23C521"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Environmental and regulatory/compliance risk:</w:t>
            </w:r>
            <w:r w:rsidR="00CC3267" w:rsidRPr="00A30D06">
              <w:rPr>
                <w:sz w:val="16"/>
                <w:szCs w:val="16"/>
              </w:rPr>
              <w:t xml:space="preserve"> </w:t>
            </w:r>
            <w:r w:rsidRPr="00A30D06">
              <w:rPr>
                <w:sz w:val="16"/>
                <w:szCs w:val="16"/>
              </w:rPr>
              <w:t xml:space="preserve">environmental risk, inability to meet </w:t>
            </w:r>
            <w:proofErr w:type="gramStart"/>
            <w:r w:rsidRPr="00A30D06">
              <w:rPr>
                <w:sz w:val="16"/>
                <w:szCs w:val="16"/>
              </w:rPr>
              <w:t>GED</w:t>
            </w:r>
            <w:proofErr w:type="gramEnd"/>
          </w:p>
          <w:p w14:paraId="07F973D5" w14:textId="3B12EC3A"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r w:rsidRPr="00A30D06">
              <w:rPr>
                <w:sz w:val="16"/>
                <w:szCs w:val="16"/>
              </w:rPr>
              <w:t>inability to service growth</w:t>
            </w:r>
          </w:p>
          <w:p w14:paraId="54068F51" w14:textId="256EE3E7"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Health, </w:t>
            </w:r>
            <w:proofErr w:type="gramStart"/>
            <w:r w:rsidRPr="00A30D06">
              <w:rPr>
                <w:sz w:val="16"/>
                <w:szCs w:val="16"/>
              </w:rPr>
              <w:t>safety</w:t>
            </w:r>
            <w:proofErr w:type="gramEnd"/>
            <w:r w:rsidRPr="00A30D06">
              <w:rPr>
                <w:sz w:val="16"/>
                <w:szCs w:val="16"/>
              </w:rPr>
              <w:t xml:space="preserve"> and wellbeing risk</w:t>
            </w:r>
            <w:r w:rsidR="00CC3267" w:rsidRPr="00A30D06">
              <w:rPr>
                <w:sz w:val="16"/>
                <w:szCs w:val="16"/>
              </w:rPr>
              <w:t xml:space="preserve">: </w:t>
            </w:r>
            <w:r w:rsidRPr="00A30D06">
              <w:rPr>
                <w:sz w:val="16"/>
                <w:szCs w:val="16"/>
              </w:rPr>
              <w:t>staff operational health and safety</w:t>
            </w:r>
          </w:p>
        </w:tc>
      </w:tr>
      <w:tr w:rsidR="00476C9D" w:rsidRPr="00476C9D" w14:paraId="51280332"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9E83896" w14:textId="77777777" w:rsidR="00476C9D" w:rsidRPr="00A30D06" w:rsidRDefault="00476C9D" w:rsidP="00476C9D">
            <w:pPr>
              <w:rPr>
                <w:b w:val="0"/>
                <w:sz w:val="16"/>
                <w:szCs w:val="16"/>
              </w:rPr>
            </w:pPr>
            <w:r w:rsidRPr="00A30D06">
              <w:rPr>
                <w:b w:val="0"/>
                <w:sz w:val="16"/>
                <w:szCs w:val="16"/>
              </w:rPr>
              <w:t>Start year </w:t>
            </w:r>
          </w:p>
        </w:tc>
        <w:tc>
          <w:tcPr>
            <w:tcW w:w="3941" w:type="pct"/>
            <w:hideMark/>
          </w:tcPr>
          <w:p w14:paraId="4CCF8B83" w14:textId="032D5CF9"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2021-</w:t>
            </w:r>
            <w:r w:rsidRPr="00A30D06">
              <w:rPr>
                <w:sz w:val="16"/>
                <w:szCs w:val="16"/>
              </w:rPr>
              <w:t>22</w:t>
            </w:r>
          </w:p>
        </w:tc>
      </w:tr>
      <w:tr w:rsidR="00476C9D" w:rsidRPr="00476C9D" w14:paraId="3A25B779"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70F7081" w14:textId="77777777" w:rsidR="00476C9D" w:rsidRPr="00A30D06" w:rsidRDefault="00476C9D" w:rsidP="00476C9D">
            <w:pPr>
              <w:rPr>
                <w:b w:val="0"/>
                <w:sz w:val="16"/>
                <w:szCs w:val="16"/>
              </w:rPr>
            </w:pPr>
            <w:r w:rsidRPr="00A30D06">
              <w:rPr>
                <w:b w:val="0"/>
                <w:sz w:val="16"/>
                <w:szCs w:val="16"/>
              </w:rPr>
              <w:t>Completion year </w:t>
            </w:r>
          </w:p>
        </w:tc>
        <w:tc>
          <w:tcPr>
            <w:tcW w:w="3941" w:type="pct"/>
            <w:hideMark/>
          </w:tcPr>
          <w:p w14:paraId="765BC872" w14:textId="0412E9F9"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2024-</w:t>
            </w:r>
            <w:r w:rsidRPr="00A30D06">
              <w:rPr>
                <w:sz w:val="16"/>
                <w:szCs w:val="16"/>
              </w:rPr>
              <w:t>25</w:t>
            </w:r>
          </w:p>
        </w:tc>
      </w:tr>
      <w:tr w:rsidR="00476C9D" w:rsidRPr="00476C9D" w14:paraId="061C18F4"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3FC72C0" w14:textId="4FBF15E0" w:rsidR="00476C9D" w:rsidRPr="00A30D06" w:rsidRDefault="00476C9D" w:rsidP="00476C9D">
            <w:pPr>
              <w:rPr>
                <w:sz w:val="16"/>
                <w:szCs w:val="16"/>
              </w:rPr>
            </w:pPr>
            <w:r w:rsidRPr="00A30D06">
              <w:rPr>
                <w:sz w:val="16"/>
                <w:szCs w:val="16"/>
              </w:rPr>
              <w:t xml:space="preserve">Total Capex over Regulatory Period </w:t>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16CB08C5" w14:textId="398AA575"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$29.9</w:t>
            </w:r>
            <w:r w:rsidR="00B729A0" w:rsidRPr="00A30D06">
              <w:rPr>
                <w:b/>
                <w:sz w:val="16"/>
                <w:szCs w:val="16"/>
              </w:rPr>
              <w:t>0</w:t>
            </w:r>
            <w:r w:rsidRPr="00A30D06">
              <w:rPr>
                <w:b/>
                <w:sz w:val="16"/>
                <w:szCs w:val="16"/>
              </w:rPr>
              <w:t xml:space="preserve"> million</w:t>
            </w:r>
          </w:p>
        </w:tc>
      </w:tr>
      <w:tr w:rsidR="00476C9D" w:rsidRPr="00476C9D" w14:paraId="4A69A2FE"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EF602A2" w14:textId="472C9FB5" w:rsidR="00476C9D" w:rsidRPr="00A30D06" w:rsidRDefault="00476C9D" w:rsidP="00476C9D">
            <w:pPr>
              <w:rPr>
                <w:sz w:val="16"/>
                <w:szCs w:val="16"/>
              </w:rPr>
            </w:pPr>
            <w:r w:rsidRPr="00A30D06">
              <w:rPr>
                <w:sz w:val="16"/>
                <w:szCs w:val="16"/>
              </w:rPr>
              <w:t>Total Project Cost</w:t>
            </w:r>
            <w:r w:rsidRPr="00A30D06">
              <w:rPr>
                <w:sz w:val="16"/>
                <w:szCs w:val="16"/>
              </w:rPr>
              <w:br/>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p>
        </w:tc>
        <w:tc>
          <w:tcPr>
            <w:tcW w:w="3941" w:type="pct"/>
            <w:vAlign w:val="center"/>
          </w:tcPr>
          <w:p w14:paraId="3ECFF152" w14:textId="6314EE80"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$54.5</w:t>
            </w:r>
            <w:r w:rsidR="00B729A0" w:rsidRPr="00A30D06">
              <w:rPr>
                <w:b/>
                <w:sz w:val="16"/>
                <w:szCs w:val="16"/>
              </w:rPr>
              <w:t>2</w:t>
            </w:r>
            <w:r w:rsidRPr="00A30D06">
              <w:rPr>
                <w:b/>
                <w:sz w:val="16"/>
                <w:szCs w:val="16"/>
              </w:rPr>
              <w:t xml:space="preserve"> million</w:t>
            </w:r>
          </w:p>
        </w:tc>
      </w:tr>
    </w:tbl>
    <w:p w14:paraId="521AFABC" w14:textId="77777777" w:rsidR="006B74AA" w:rsidRDefault="006B74AA" w:rsidP="009C0F4E"/>
    <w:p w14:paraId="57B9B087" w14:textId="77777777" w:rsidR="00A829FF" w:rsidRDefault="00A829FF" w:rsidP="009C0F4E"/>
    <w:p w14:paraId="61948D07" w14:textId="77777777" w:rsidR="00A30D06" w:rsidRDefault="00A30D06" w:rsidP="009C0F4E"/>
    <w:tbl>
      <w:tblPr>
        <w:tblStyle w:val="GWWDefaulttable"/>
        <w:tblW w:w="5000" w:type="pct"/>
        <w:tblLook w:val="04A0" w:firstRow="1" w:lastRow="0" w:firstColumn="1" w:lastColumn="0" w:noHBand="0" w:noVBand="1"/>
      </w:tblPr>
      <w:tblGrid>
        <w:gridCol w:w="2041"/>
        <w:gridCol w:w="7597"/>
      </w:tblGrid>
      <w:tr w:rsidR="009B53C5" w:rsidRPr="009B53C5" w14:paraId="02EB8462"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A7E650" w14:textId="77777777" w:rsidR="009B53C5" w:rsidRPr="00A30D06" w:rsidRDefault="009B53C5" w:rsidP="009B53C5">
            <w:pPr>
              <w:rPr>
                <w:sz w:val="16"/>
                <w:szCs w:val="16"/>
              </w:rPr>
            </w:pPr>
            <w:r w:rsidRPr="00A30D06">
              <w:rPr>
                <w:sz w:val="16"/>
                <w:szCs w:val="16"/>
              </w:rPr>
              <w:lastRenderedPageBreak/>
              <w:t>Project 8</w:t>
            </w:r>
          </w:p>
        </w:tc>
        <w:tc>
          <w:tcPr>
            <w:tcW w:w="3941" w:type="pct"/>
            <w:hideMark/>
          </w:tcPr>
          <w:p w14:paraId="193B78AF" w14:textId="77777777" w:rsidR="009B53C5" w:rsidRPr="00A30D06" w:rsidRDefault="009B53C5" w:rsidP="009B53C5">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Water supply reliability for Sunbury</w:t>
            </w:r>
          </w:p>
          <w:p w14:paraId="1991A173" w14:textId="77777777" w:rsidR="009B53C5" w:rsidRPr="00A30D06" w:rsidRDefault="009B53C5" w:rsidP="009B53C5">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Bald Hill Tank Construction </w:t>
            </w:r>
          </w:p>
        </w:tc>
      </w:tr>
      <w:tr w:rsidR="009B53C5" w:rsidRPr="009B53C5" w14:paraId="3CE9192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04261A5" w14:textId="77777777" w:rsidR="009B53C5" w:rsidRPr="00A30D06" w:rsidRDefault="009B53C5" w:rsidP="009B53C5">
            <w:pPr>
              <w:rPr>
                <w:b w:val="0"/>
                <w:sz w:val="16"/>
                <w:szCs w:val="16"/>
              </w:rPr>
            </w:pPr>
            <w:r w:rsidRPr="00A30D06">
              <w:rPr>
                <w:b w:val="0"/>
                <w:sz w:val="16"/>
                <w:szCs w:val="16"/>
              </w:rPr>
              <w:t>Service </w:t>
            </w:r>
          </w:p>
        </w:tc>
        <w:tc>
          <w:tcPr>
            <w:tcW w:w="3941" w:type="pct"/>
            <w:hideMark/>
          </w:tcPr>
          <w:p w14:paraId="2DA8B9B5"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Water </w:t>
            </w:r>
          </w:p>
        </w:tc>
      </w:tr>
      <w:tr w:rsidR="009B53C5" w:rsidRPr="009B53C5" w14:paraId="0B284A9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57733E0" w14:textId="77777777" w:rsidR="009B53C5" w:rsidRPr="00A30D06" w:rsidRDefault="009B53C5" w:rsidP="009B53C5">
            <w:pPr>
              <w:rPr>
                <w:b w:val="0"/>
                <w:sz w:val="16"/>
                <w:szCs w:val="16"/>
              </w:rPr>
            </w:pPr>
            <w:r w:rsidRPr="00A30D06">
              <w:rPr>
                <w:b w:val="0"/>
                <w:sz w:val="16"/>
                <w:szCs w:val="16"/>
              </w:rPr>
              <w:t>Asset category </w:t>
            </w:r>
          </w:p>
        </w:tc>
        <w:tc>
          <w:tcPr>
            <w:tcW w:w="3941" w:type="pct"/>
            <w:hideMark/>
          </w:tcPr>
          <w:p w14:paraId="590E0D7D"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 </w:t>
            </w:r>
          </w:p>
        </w:tc>
      </w:tr>
      <w:tr w:rsidR="009B53C5" w:rsidRPr="009B53C5" w14:paraId="683D68E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3C1E543" w14:textId="77777777" w:rsidR="009B53C5" w:rsidRPr="00A30D06" w:rsidRDefault="009B53C5" w:rsidP="009B53C5">
            <w:pPr>
              <w:rPr>
                <w:b w:val="0"/>
                <w:sz w:val="16"/>
                <w:szCs w:val="16"/>
              </w:rPr>
            </w:pPr>
            <w:r w:rsidRPr="00A30D06">
              <w:rPr>
                <w:b w:val="0"/>
                <w:sz w:val="16"/>
                <w:szCs w:val="16"/>
              </w:rPr>
              <w:t>Cost driver </w:t>
            </w:r>
          </w:p>
        </w:tc>
        <w:tc>
          <w:tcPr>
            <w:tcW w:w="3941" w:type="pct"/>
            <w:hideMark/>
          </w:tcPr>
          <w:p w14:paraId="6084F87B"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w:t>
            </w:r>
          </w:p>
        </w:tc>
      </w:tr>
      <w:tr w:rsidR="009B53C5" w:rsidRPr="009B53C5" w14:paraId="1A9DE4EE"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16EEB7DF" w14:textId="77777777" w:rsidR="009B53C5" w:rsidRPr="00A30D06" w:rsidRDefault="009B53C5" w:rsidP="009B53C5">
            <w:pPr>
              <w:rPr>
                <w:b w:val="0"/>
                <w:sz w:val="16"/>
                <w:szCs w:val="16"/>
              </w:rPr>
            </w:pPr>
            <w:r w:rsidRPr="00A30D06">
              <w:rPr>
                <w:b w:val="0"/>
                <w:sz w:val="16"/>
                <w:szCs w:val="16"/>
              </w:rPr>
              <w:t>Description </w:t>
            </w:r>
          </w:p>
        </w:tc>
        <w:tc>
          <w:tcPr>
            <w:tcW w:w="3941" w:type="pct"/>
            <w:hideMark/>
          </w:tcPr>
          <w:p w14:paraId="5F1097D6"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To meet growth requirements, two new 10 ML steel welded water tanks are to be constructed at the Bald Hill site, Sunbury. The works include chlorine booster and inlet/outlet pipework.</w:t>
            </w:r>
          </w:p>
        </w:tc>
      </w:tr>
      <w:tr w:rsidR="009B53C5" w:rsidRPr="009B53C5" w14:paraId="7EF066A1"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6643F6D" w14:textId="77777777" w:rsidR="009B53C5" w:rsidRPr="00A30D06" w:rsidRDefault="009B53C5" w:rsidP="009B53C5">
            <w:pPr>
              <w:rPr>
                <w:b w:val="0"/>
                <w:sz w:val="16"/>
                <w:szCs w:val="16"/>
              </w:rPr>
            </w:pPr>
            <w:r w:rsidRPr="00A30D06">
              <w:rPr>
                <w:b w:val="0"/>
                <w:sz w:val="16"/>
                <w:szCs w:val="16"/>
              </w:rPr>
              <w:t>Customer outcome </w:t>
            </w:r>
          </w:p>
        </w:tc>
        <w:tc>
          <w:tcPr>
            <w:tcW w:w="3941" w:type="pct"/>
            <w:hideMark/>
          </w:tcPr>
          <w:p w14:paraId="3EE1FE95"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project supports our customer outcome of your water is safe, </w:t>
            </w:r>
            <w:proofErr w:type="gramStart"/>
            <w:r w:rsidRPr="00A30D06">
              <w:rPr>
                <w:sz w:val="16"/>
                <w:szCs w:val="16"/>
              </w:rPr>
              <w:t>consistent</w:t>
            </w:r>
            <w:proofErr w:type="gramEnd"/>
            <w:r w:rsidRPr="00A30D06">
              <w:rPr>
                <w:sz w:val="16"/>
                <w:szCs w:val="16"/>
              </w:rPr>
              <w:t xml:space="preserve"> and resilient by increasing our water storage capacity to improve water security.  </w:t>
            </w:r>
          </w:p>
        </w:tc>
      </w:tr>
      <w:tr w:rsidR="009B53C5" w:rsidRPr="009B53C5" w14:paraId="2076047D"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679E19C9" w14:textId="77777777" w:rsidR="009B53C5" w:rsidRPr="00A30D06" w:rsidRDefault="009B53C5" w:rsidP="009B53C5">
            <w:pPr>
              <w:rPr>
                <w:b w:val="0"/>
                <w:sz w:val="16"/>
                <w:szCs w:val="16"/>
              </w:rPr>
            </w:pPr>
            <w:r w:rsidRPr="00A30D06">
              <w:rPr>
                <w:b w:val="0"/>
                <w:sz w:val="16"/>
                <w:szCs w:val="16"/>
              </w:rPr>
              <w:t>Background </w:t>
            </w:r>
          </w:p>
        </w:tc>
        <w:tc>
          <w:tcPr>
            <w:tcW w:w="3941" w:type="pct"/>
            <w:hideMark/>
          </w:tcPr>
          <w:p w14:paraId="3750120E"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Sunbury Water Network Master Plan (2020) identifies the need for additional water storage capacity to be added in the Sunbury Water Network to meet demand. The Sunbury Water Network services the township of Sunbury, Diggers Rest and Bulla.</w:t>
            </w:r>
            <w:r w:rsidRPr="00A30D06">
              <w:rPr>
                <w:sz w:val="16"/>
                <w:szCs w:val="16"/>
              </w:rPr>
              <w:br/>
              <w:t>Demand for water from the growing population within the Sunbury Water Network is forecast to exceed the existing supply capacity (conveyance and storage) by 2026.</w:t>
            </w:r>
          </w:p>
          <w:p w14:paraId="15D17B5B"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tanks allow additional peak day balancing storage using the existing Sunbury water network. Project 4 (Holden Tank WPS and Transfer Main) will provide a future dedicated pipeline inlet to these tanks and maximise the benefit it provides to Sunbury. </w:t>
            </w:r>
          </w:p>
        </w:tc>
      </w:tr>
      <w:tr w:rsidR="009B53C5" w:rsidRPr="009B53C5" w14:paraId="1EC8969F"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DBD2B62" w14:textId="77777777" w:rsidR="009B53C5" w:rsidRPr="00A30D06" w:rsidRDefault="009B53C5" w:rsidP="009B53C5">
            <w:pPr>
              <w:rPr>
                <w:b w:val="0"/>
                <w:sz w:val="16"/>
                <w:szCs w:val="16"/>
              </w:rPr>
            </w:pPr>
            <w:r w:rsidRPr="00A30D06">
              <w:rPr>
                <w:b w:val="0"/>
                <w:sz w:val="16"/>
                <w:szCs w:val="16"/>
              </w:rPr>
              <w:t>Risk addressed </w:t>
            </w:r>
          </w:p>
        </w:tc>
        <w:tc>
          <w:tcPr>
            <w:tcW w:w="3941" w:type="pct"/>
            <w:hideMark/>
          </w:tcPr>
          <w:p w14:paraId="25CE396D" w14:textId="77777777" w:rsidR="00CC3267" w:rsidRPr="00A30D06" w:rsidRDefault="009B53C5">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p>
          <w:p w14:paraId="0CE64056" w14:textId="77777777" w:rsidR="009B53C5" w:rsidRPr="00A30D06" w:rsidRDefault="009B53C5">
            <w:pPr>
              <w:pStyle w:val="ListParagraph"/>
              <w:numPr>
                <w:ilvl w:val="1"/>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reliable and secure drinking water supply for Sunbury, Digger Rest and Bulla</w:t>
            </w:r>
          </w:p>
          <w:p w14:paraId="783EDD9C" w14:textId="77777777" w:rsidR="009B53C5" w:rsidRPr="00A30D06" w:rsidRDefault="009B53C5">
            <w:pPr>
              <w:pStyle w:val="ListParagraph"/>
              <w:numPr>
                <w:ilvl w:val="1"/>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increase network capacity to support future growth in the Sunbury Water Network.</w:t>
            </w:r>
          </w:p>
        </w:tc>
      </w:tr>
      <w:tr w:rsidR="009B53C5" w:rsidRPr="009B53C5" w14:paraId="455FDCA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0470970" w14:textId="77777777" w:rsidR="009B53C5" w:rsidRPr="00A30D06" w:rsidRDefault="009B53C5" w:rsidP="009B53C5">
            <w:pPr>
              <w:rPr>
                <w:b w:val="0"/>
                <w:sz w:val="16"/>
                <w:szCs w:val="16"/>
              </w:rPr>
            </w:pPr>
            <w:r w:rsidRPr="00A30D06">
              <w:rPr>
                <w:b w:val="0"/>
                <w:sz w:val="16"/>
                <w:szCs w:val="16"/>
              </w:rPr>
              <w:t>Start year </w:t>
            </w:r>
          </w:p>
        </w:tc>
        <w:tc>
          <w:tcPr>
            <w:tcW w:w="3941" w:type="pct"/>
            <w:hideMark/>
          </w:tcPr>
          <w:p w14:paraId="1041BF98" w14:textId="14D69AF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2023-</w:t>
            </w:r>
            <w:r w:rsidRPr="00A30D06">
              <w:rPr>
                <w:sz w:val="16"/>
                <w:szCs w:val="16"/>
              </w:rPr>
              <w:t>24</w:t>
            </w:r>
          </w:p>
        </w:tc>
      </w:tr>
      <w:tr w:rsidR="009B53C5" w:rsidRPr="009B53C5" w14:paraId="79C93D3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9A08926" w14:textId="77777777" w:rsidR="009B53C5" w:rsidRPr="00A30D06" w:rsidRDefault="009B53C5" w:rsidP="009B53C5">
            <w:pPr>
              <w:rPr>
                <w:b w:val="0"/>
                <w:sz w:val="16"/>
                <w:szCs w:val="16"/>
              </w:rPr>
            </w:pPr>
            <w:r w:rsidRPr="00A30D06">
              <w:rPr>
                <w:b w:val="0"/>
                <w:sz w:val="16"/>
                <w:szCs w:val="16"/>
              </w:rPr>
              <w:t>Completion year </w:t>
            </w:r>
          </w:p>
        </w:tc>
        <w:tc>
          <w:tcPr>
            <w:tcW w:w="3941" w:type="pct"/>
            <w:hideMark/>
          </w:tcPr>
          <w:p w14:paraId="6EBA3D29" w14:textId="2F209126"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2024-</w:t>
            </w:r>
            <w:r w:rsidRPr="00A30D06">
              <w:rPr>
                <w:sz w:val="16"/>
                <w:szCs w:val="16"/>
              </w:rPr>
              <w:t>25</w:t>
            </w:r>
          </w:p>
        </w:tc>
      </w:tr>
      <w:tr w:rsidR="009B53C5" w:rsidRPr="009B53C5" w14:paraId="4EBECF3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83F2401" w14:textId="5AEB2FF0" w:rsidR="009B53C5" w:rsidRPr="00A30D06" w:rsidRDefault="009B53C5" w:rsidP="009B53C5">
            <w:pPr>
              <w:rPr>
                <w:sz w:val="16"/>
                <w:szCs w:val="16"/>
              </w:rPr>
            </w:pPr>
            <w:r w:rsidRPr="00A30D06">
              <w:rPr>
                <w:sz w:val="16"/>
                <w:szCs w:val="16"/>
              </w:rPr>
              <w:t xml:space="preserve">Total Capex over Regulatory Period </w:t>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553AE061" w14:textId="464507F4" w:rsidR="009B53C5" w:rsidRPr="00A30D06" w:rsidRDefault="009B53C5" w:rsidP="001F4EE9">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$29</w:t>
            </w:r>
            <w:r w:rsidR="00B729A0" w:rsidRPr="00A30D06">
              <w:rPr>
                <w:b/>
                <w:sz w:val="16"/>
                <w:szCs w:val="16"/>
              </w:rPr>
              <w:t>.04</w:t>
            </w:r>
            <w:r w:rsidRPr="00A30D06">
              <w:rPr>
                <w:b/>
                <w:sz w:val="16"/>
                <w:szCs w:val="16"/>
              </w:rPr>
              <w:t xml:space="preserve"> million</w:t>
            </w:r>
          </w:p>
        </w:tc>
      </w:tr>
      <w:tr w:rsidR="009B53C5" w:rsidRPr="009B53C5" w14:paraId="38156BD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092052FE" w14:textId="42B29EAA" w:rsidR="009B53C5" w:rsidRPr="00A30D06" w:rsidRDefault="009B53C5" w:rsidP="009B53C5">
            <w:pPr>
              <w:rPr>
                <w:sz w:val="16"/>
                <w:szCs w:val="16"/>
              </w:rPr>
            </w:pPr>
            <w:r w:rsidRPr="00A30D06">
              <w:rPr>
                <w:sz w:val="16"/>
                <w:szCs w:val="16"/>
              </w:rPr>
              <w:t>Total Project Cost</w:t>
            </w:r>
            <w:r w:rsidRPr="00A30D06">
              <w:rPr>
                <w:sz w:val="16"/>
                <w:szCs w:val="16"/>
              </w:rPr>
              <w:br/>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p>
        </w:tc>
        <w:tc>
          <w:tcPr>
            <w:tcW w:w="3941" w:type="pct"/>
            <w:vAlign w:val="center"/>
          </w:tcPr>
          <w:p w14:paraId="381C7DDD" w14:textId="03DA0B30"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w:t>
            </w:r>
            <w:r w:rsidR="00B729A0" w:rsidRPr="00A30D06">
              <w:rPr>
                <w:b/>
                <w:sz w:val="16"/>
                <w:szCs w:val="16"/>
              </w:rPr>
              <w:t>29.98</w:t>
            </w:r>
            <w:r w:rsidRPr="00A30D06">
              <w:rPr>
                <w:b/>
                <w:sz w:val="16"/>
                <w:szCs w:val="16"/>
              </w:rPr>
              <w:t xml:space="preserve"> million</w:t>
            </w:r>
          </w:p>
        </w:tc>
      </w:tr>
    </w:tbl>
    <w:p w14:paraId="0068FF80" w14:textId="666CD805" w:rsidR="001F4EE9" w:rsidRDefault="001F4EE9" w:rsidP="009C0F4E"/>
    <w:p w14:paraId="78A81673" w14:textId="77777777"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3C7D6B" w:rsidRPr="003C7D6B" w14:paraId="702D231F"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F38E2CD" w14:textId="77777777" w:rsidR="003C7D6B" w:rsidRPr="003C7D6B" w:rsidRDefault="003C7D6B" w:rsidP="003C7D6B">
            <w:r w:rsidRPr="003C7D6B">
              <w:lastRenderedPageBreak/>
              <w:t>Project 9</w:t>
            </w:r>
          </w:p>
        </w:tc>
        <w:tc>
          <w:tcPr>
            <w:tcW w:w="3941" w:type="pct"/>
            <w:hideMark/>
          </w:tcPr>
          <w:p w14:paraId="34618FEA" w14:textId="77777777" w:rsidR="003C7D6B" w:rsidRPr="003C7D6B" w:rsidRDefault="003C7D6B" w:rsidP="003C7D6B">
            <w:pPr>
              <w:cnfStyle w:val="100000000000" w:firstRow="1" w:lastRow="0" w:firstColumn="0" w:lastColumn="0" w:oddVBand="0" w:evenVBand="0" w:oddHBand="0" w:evenHBand="0" w:firstRowFirstColumn="0" w:firstRowLastColumn="0" w:lastRowFirstColumn="0" w:lastRowLastColumn="0"/>
            </w:pPr>
            <w:r w:rsidRPr="003C7D6B">
              <w:t>Safe drinking water in Romsey</w:t>
            </w:r>
          </w:p>
          <w:p w14:paraId="1DDADBC0" w14:textId="77777777" w:rsidR="003C7D6B" w:rsidRPr="00CA17F0" w:rsidRDefault="003C7D6B" w:rsidP="003C7D6B">
            <w:pPr>
              <w:cnfStyle w:val="100000000000" w:firstRow="1" w:lastRow="0" w:firstColumn="0" w:lastColumn="0" w:oddVBand="0" w:evenVBand="0" w:oddHBand="0" w:evenHBand="0" w:firstRowFirstColumn="0" w:firstRowLastColumn="0" w:lastRowFirstColumn="0" w:lastRowLastColumn="0"/>
              <w:rPr>
                <w:b w:val="0"/>
              </w:rPr>
            </w:pPr>
            <w:r w:rsidRPr="00CA17F0">
              <w:rPr>
                <w:b w:val="0"/>
              </w:rPr>
              <w:t>Romsey WFP – New Filtration Plant </w:t>
            </w:r>
          </w:p>
        </w:tc>
      </w:tr>
      <w:tr w:rsidR="003C7D6B" w:rsidRPr="003C7D6B" w14:paraId="55510D6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EA95C51" w14:textId="77777777" w:rsidR="003C7D6B" w:rsidRPr="00BD2857" w:rsidRDefault="003C7D6B" w:rsidP="003C7D6B">
            <w:pPr>
              <w:rPr>
                <w:b w:val="0"/>
              </w:rPr>
            </w:pPr>
            <w:r w:rsidRPr="00BD2857">
              <w:rPr>
                <w:b w:val="0"/>
              </w:rPr>
              <w:t>Service </w:t>
            </w:r>
          </w:p>
        </w:tc>
        <w:tc>
          <w:tcPr>
            <w:tcW w:w="3941" w:type="pct"/>
            <w:hideMark/>
          </w:tcPr>
          <w:p w14:paraId="1247533D"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Water </w:t>
            </w:r>
          </w:p>
        </w:tc>
      </w:tr>
      <w:tr w:rsidR="003C7D6B" w:rsidRPr="003C7D6B" w14:paraId="55C444B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17BCB69" w14:textId="77777777" w:rsidR="003C7D6B" w:rsidRPr="00BD2857" w:rsidRDefault="003C7D6B" w:rsidP="003C7D6B">
            <w:pPr>
              <w:rPr>
                <w:b w:val="0"/>
              </w:rPr>
            </w:pPr>
            <w:r w:rsidRPr="00BD2857">
              <w:rPr>
                <w:b w:val="0"/>
              </w:rPr>
              <w:t>Asset category </w:t>
            </w:r>
          </w:p>
        </w:tc>
        <w:tc>
          <w:tcPr>
            <w:tcW w:w="3941" w:type="pct"/>
            <w:hideMark/>
          </w:tcPr>
          <w:p w14:paraId="25374E51"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Treatment </w:t>
            </w:r>
          </w:p>
        </w:tc>
      </w:tr>
      <w:tr w:rsidR="003C7D6B" w:rsidRPr="003C7D6B" w14:paraId="3547349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58D8276" w14:textId="77777777" w:rsidR="003C7D6B" w:rsidRPr="00BD2857" w:rsidRDefault="003C7D6B" w:rsidP="003C7D6B">
            <w:pPr>
              <w:rPr>
                <w:b w:val="0"/>
              </w:rPr>
            </w:pPr>
            <w:r w:rsidRPr="00BD2857">
              <w:rPr>
                <w:b w:val="0"/>
              </w:rPr>
              <w:t>Cost driver </w:t>
            </w:r>
          </w:p>
        </w:tc>
        <w:tc>
          <w:tcPr>
            <w:tcW w:w="3941" w:type="pct"/>
            <w:hideMark/>
          </w:tcPr>
          <w:p w14:paraId="00D2E27B"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Growth </w:t>
            </w:r>
          </w:p>
        </w:tc>
      </w:tr>
      <w:tr w:rsidR="003C7D6B" w:rsidRPr="003C7D6B" w14:paraId="3DFA0812"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07B96FA2" w14:textId="77777777" w:rsidR="003C7D6B" w:rsidRPr="00BD2857" w:rsidRDefault="003C7D6B" w:rsidP="003C7D6B">
            <w:pPr>
              <w:rPr>
                <w:b w:val="0"/>
              </w:rPr>
            </w:pPr>
            <w:r w:rsidRPr="00BD2857">
              <w:rPr>
                <w:b w:val="0"/>
              </w:rPr>
              <w:t>Description </w:t>
            </w:r>
          </w:p>
        </w:tc>
        <w:tc>
          <w:tcPr>
            <w:tcW w:w="3941" w:type="pct"/>
            <w:hideMark/>
          </w:tcPr>
          <w:p w14:paraId="6FFC529B"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Upgrade the Romsey Water Filtration Plant (WFP) to increase capacity and improve the water treatment process to comply with health-based targets. The upgrade includes the replacement of the existing Ultrafiltration (UF) Treatment Process with a Dissolved Air Flotation and Filtration (DAFF) based treatment system meeting future growth requirements.</w:t>
            </w:r>
          </w:p>
        </w:tc>
      </w:tr>
      <w:tr w:rsidR="003C7D6B" w:rsidRPr="003C7D6B" w14:paraId="3DA12AA0"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C14713B" w14:textId="77777777" w:rsidR="003C7D6B" w:rsidRPr="00BD2857" w:rsidRDefault="003C7D6B" w:rsidP="003C7D6B">
            <w:pPr>
              <w:rPr>
                <w:b w:val="0"/>
              </w:rPr>
            </w:pPr>
            <w:r w:rsidRPr="00BD2857">
              <w:rPr>
                <w:b w:val="0"/>
              </w:rPr>
              <w:t>Customer outcome </w:t>
            </w:r>
          </w:p>
        </w:tc>
        <w:tc>
          <w:tcPr>
            <w:tcW w:w="3941" w:type="pct"/>
            <w:hideMark/>
          </w:tcPr>
          <w:p w14:paraId="7748C457"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 xml:space="preserve">The project supports our customer outcomes of healing and caring for Country and your water is safe, </w:t>
            </w:r>
            <w:proofErr w:type="gramStart"/>
            <w:r w:rsidRPr="003C7D6B">
              <w:t>consistent</w:t>
            </w:r>
            <w:proofErr w:type="gramEnd"/>
            <w:r w:rsidRPr="003C7D6B">
              <w:t xml:space="preserve"> and resilient by improving water quality and security. </w:t>
            </w:r>
          </w:p>
        </w:tc>
      </w:tr>
      <w:tr w:rsidR="003C7D6B" w:rsidRPr="003C7D6B" w14:paraId="7D93FD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6AED210D" w14:textId="77777777" w:rsidR="003C7D6B" w:rsidRPr="00BD2857" w:rsidRDefault="003C7D6B" w:rsidP="003C7D6B">
            <w:pPr>
              <w:rPr>
                <w:b w:val="0"/>
              </w:rPr>
            </w:pPr>
            <w:r w:rsidRPr="00BD2857">
              <w:rPr>
                <w:b w:val="0"/>
              </w:rPr>
              <w:t>Background </w:t>
            </w:r>
          </w:p>
        </w:tc>
        <w:tc>
          <w:tcPr>
            <w:tcW w:w="3941" w:type="pct"/>
            <w:hideMark/>
          </w:tcPr>
          <w:p w14:paraId="2619E344"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Romsey WFP supplies the township of Romsey, servicing approximately 2000 lots, and is located approximately 61 km north-west of Melbourne. Raw water that feeds the plant is sourced from a combination of bores and surface water sources, each with its own unique water quality characteristics.</w:t>
            </w:r>
          </w:p>
          <w:p w14:paraId="4A305EC6"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 xml:space="preserve">A combined Master Plan was developed for Romsey and Lancefield WFPs in 2020. This plan highlighted the requirement for the delivery of a new WFP to meet regulatory and customer objectives for the subsequent </w:t>
            </w:r>
            <w:proofErr w:type="gramStart"/>
            <w:r w:rsidRPr="003C7D6B">
              <w:t>50 year</w:t>
            </w:r>
            <w:proofErr w:type="gramEnd"/>
            <w:r w:rsidRPr="003C7D6B">
              <w:t xml:space="preserve"> period (to 2067). </w:t>
            </w:r>
          </w:p>
          <w:p w14:paraId="63A2F4BE" w14:textId="595295FF" w:rsidR="003C7D6B" w:rsidRPr="003C7D6B" w:rsidRDefault="003C7D6B" w:rsidP="008232BD">
            <w:pPr>
              <w:cnfStyle w:val="000000000000" w:firstRow="0" w:lastRow="0" w:firstColumn="0" w:lastColumn="0" w:oddVBand="0" w:evenVBand="0" w:oddHBand="0" w:evenHBand="0" w:firstRowFirstColumn="0" w:firstRowLastColumn="0" w:lastRowFirstColumn="0" w:lastRowLastColumn="0"/>
            </w:pPr>
            <w:r w:rsidRPr="003C7D6B">
              <w:t xml:space="preserve">Romsey WFP does not have the water treatment capacity to meet existing peak demand. Interim controls put in place to manage this risk cannot be sustained long-term meaning that GWW would not be able to meet water quality guidelines in the future without this project. </w:t>
            </w:r>
          </w:p>
        </w:tc>
      </w:tr>
      <w:tr w:rsidR="003C7D6B" w:rsidRPr="003C7D6B" w14:paraId="7C48C5C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241B061" w14:textId="77777777" w:rsidR="003C7D6B" w:rsidRPr="00BD2857" w:rsidRDefault="003C7D6B" w:rsidP="003C7D6B">
            <w:pPr>
              <w:rPr>
                <w:b w:val="0"/>
              </w:rPr>
            </w:pPr>
            <w:r w:rsidRPr="00BD2857">
              <w:rPr>
                <w:b w:val="0"/>
              </w:rPr>
              <w:t>Risk addressed </w:t>
            </w:r>
          </w:p>
        </w:tc>
        <w:tc>
          <w:tcPr>
            <w:tcW w:w="3941" w:type="pct"/>
            <w:hideMark/>
          </w:tcPr>
          <w:p w14:paraId="692F5853" w14:textId="069A458A" w:rsidR="003C7D6B" w:rsidRPr="003C7D6B" w:rsidRDefault="003C7D6B">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3C7D6B">
              <w:t>Public health risk:</w:t>
            </w:r>
            <w:r w:rsidR="00CC3267" w:rsidRPr="00CC3267">
              <w:t xml:space="preserve"> </w:t>
            </w:r>
            <w:r w:rsidRPr="003C7D6B">
              <w:t>water quality</w:t>
            </w:r>
          </w:p>
          <w:p w14:paraId="585C4DE7" w14:textId="77777777" w:rsidR="003C7D6B" w:rsidRPr="003C7D6B" w:rsidRDefault="003C7D6B">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3C7D6B">
              <w:t>Service delivery risk:</w:t>
            </w:r>
          </w:p>
          <w:p w14:paraId="68258A61" w14:textId="77777777" w:rsidR="003C7D6B" w:rsidRPr="003C7D6B" w:rsidRDefault="003C7D6B">
            <w:pPr>
              <w:pStyle w:val="ListParagraph"/>
              <w:numPr>
                <w:ilvl w:val="1"/>
                <w:numId w:val="60"/>
              </w:numPr>
              <w:cnfStyle w:val="000000000000" w:firstRow="0" w:lastRow="0" w:firstColumn="0" w:lastColumn="0" w:oddVBand="0" w:evenVBand="0" w:oddHBand="0" w:evenHBand="0" w:firstRowFirstColumn="0" w:firstRowLastColumn="0" w:lastRowFirstColumn="0" w:lastRowLastColumn="0"/>
            </w:pPr>
            <w:r w:rsidRPr="003C7D6B">
              <w:t xml:space="preserve">ability to meet peak </w:t>
            </w:r>
            <w:proofErr w:type="gramStart"/>
            <w:r w:rsidRPr="003C7D6B">
              <w:t>demand</w:t>
            </w:r>
            <w:proofErr w:type="gramEnd"/>
          </w:p>
          <w:p w14:paraId="033AA7EC" w14:textId="77777777" w:rsidR="003C7D6B" w:rsidRPr="003C7D6B" w:rsidRDefault="003C7D6B">
            <w:pPr>
              <w:pStyle w:val="ListParagraph"/>
              <w:numPr>
                <w:ilvl w:val="1"/>
                <w:numId w:val="60"/>
              </w:numPr>
              <w:cnfStyle w:val="000000000000" w:firstRow="0" w:lastRow="0" w:firstColumn="0" w:lastColumn="0" w:oddVBand="0" w:evenVBand="0" w:oddHBand="0" w:evenHBand="0" w:firstRowFirstColumn="0" w:firstRowLastColumn="0" w:lastRowFirstColumn="0" w:lastRowLastColumn="0"/>
            </w:pPr>
            <w:r w:rsidRPr="003C7D6B">
              <w:t>ability to service growth</w:t>
            </w:r>
          </w:p>
        </w:tc>
      </w:tr>
      <w:tr w:rsidR="003C7D6B" w:rsidRPr="003C7D6B" w14:paraId="68C28AC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ED924BE" w14:textId="77777777" w:rsidR="003C7D6B" w:rsidRPr="003C7D6B" w:rsidRDefault="003C7D6B" w:rsidP="003C7D6B">
            <w:r w:rsidRPr="003C7D6B">
              <w:t>Start year </w:t>
            </w:r>
          </w:p>
        </w:tc>
        <w:tc>
          <w:tcPr>
            <w:tcW w:w="3941" w:type="pct"/>
            <w:hideMark/>
          </w:tcPr>
          <w:p w14:paraId="3B633A5B" w14:textId="55E5C6CF" w:rsidR="003C7D6B" w:rsidRPr="003C7D6B" w:rsidRDefault="00EE31E7" w:rsidP="003C7D6B">
            <w:pPr>
              <w:cnfStyle w:val="000000000000" w:firstRow="0" w:lastRow="0" w:firstColumn="0" w:lastColumn="0" w:oddVBand="0" w:evenVBand="0" w:oddHBand="0" w:evenHBand="0" w:firstRowFirstColumn="0" w:firstRowLastColumn="0" w:lastRowFirstColumn="0" w:lastRowLastColumn="0"/>
            </w:pPr>
            <w:r>
              <w:t>2023-</w:t>
            </w:r>
            <w:r w:rsidR="003C7D6B" w:rsidRPr="003C7D6B">
              <w:t>24</w:t>
            </w:r>
          </w:p>
        </w:tc>
      </w:tr>
      <w:tr w:rsidR="003C7D6B" w:rsidRPr="003C7D6B" w14:paraId="3BCA7AF1"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A52C658" w14:textId="77777777" w:rsidR="003C7D6B" w:rsidRPr="003C7D6B" w:rsidRDefault="003C7D6B" w:rsidP="003C7D6B">
            <w:r w:rsidRPr="003C7D6B">
              <w:t>Completion year </w:t>
            </w:r>
          </w:p>
        </w:tc>
        <w:tc>
          <w:tcPr>
            <w:tcW w:w="3941" w:type="pct"/>
            <w:hideMark/>
          </w:tcPr>
          <w:p w14:paraId="248FCD7A" w14:textId="19AEB15B" w:rsidR="003C7D6B" w:rsidRPr="003C7D6B" w:rsidRDefault="00EE31E7" w:rsidP="003C7D6B">
            <w:pPr>
              <w:cnfStyle w:val="000000000000" w:firstRow="0" w:lastRow="0" w:firstColumn="0" w:lastColumn="0" w:oddVBand="0" w:evenVBand="0" w:oddHBand="0" w:evenHBand="0" w:firstRowFirstColumn="0" w:firstRowLastColumn="0" w:lastRowFirstColumn="0" w:lastRowLastColumn="0"/>
            </w:pPr>
            <w:r>
              <w:t>2026-27</w:t>
            </w:r>
          </w:p>
        </w:tc>
      </w:tr>
      <w:tr w:rsidR="003C7D6B" w:rsidRPr="003C7D6B" w14:paraId="24A0B981"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1DB3D2D" w14:textId="3A0FF4CA" w:rsidR="003C7D6B" w:rsidRPr="003C7D6B" w:rsidRDefault="003C7D6B" w:rsidP="003C7D6B">
            <w:r w:rsidRPr="003C7D6B">
              <w:t xml:space="preserve">Total Capex over Regulatory Period </w:t>
            </w:r>
            <w:r w:rsidRPr="00B564A1">
              <w:rPr>
                <w:b w:val="0"/>
              </w:rPr>
              <w:t>(Real $</w:t>
            </w:r>
            <w:r w:rsidR="00AD108E" w:rsidRPr="00B564A1">
              <w:rPr>
                <w:b w:val="0"/>
              </w:rPr>
              <w:t>20</w:t>
            </w:r>
            <w:r w:rsidRPr="00B564A1">
              <w:rPr>
                <w:b w:val="0"/>
              </w:rPr>
              <w:t>23</w:t>
            </w:r>
            <w:r w:rsidR="00AD108E" w:rsidRPr="00B564A1">
              <w:rPr>
                <w:b w:val="0"/>
              </w:rPr>
              <w:t>-</w:t>
            </w:r>
            <w:r w:rsidRPr="00B564A1">
              <w:rPr>
                <w:b w:val="0"/>
              </w:rPr>
              <w:t>24)</w:t>
            </w:r>
            <w:r w:rsidRPr="003C7D6B">
              <w:t> </w:t>
            </w:r>
          </w:p>
        </w:tc>
        <w:tc>
          <w:tcPr>
            <w:tcW w:w="3941" w:type="pct"/>
            <w:vAlign w:val="center"/>
            <w:hideMark/>
          </w:tcPr>
          <w:p w14:paraId="0EF69437" w14:textId="1EFA1FB3" w:rsidR="003C7D6B" w:rsidRPr="002415A5" w:rsidRDefault="003C7D6B" w:rsidP="008232BD">
            <w:pPr>
              <w:cnfStyle w:val="000000000000" w:firstRow="0" w:lastRow="0" w:firstColumn="0" w:lastColumn="0" w:oddVBand="0" w:evenVBand="0" w:oddHBand="0" w:evenHBand="0" w:firstRowFirstColumn="0" w:firstRowLastColumn="0" w:lastRowFirstColumn="0" w:lastRowLastColumn="0"/>
              <w:rPr>
                <w:b/>
              </w:rPr>
            </w:pPr>
            <w:r w:rsidRPr="002415A5">
              <w:rPr>
                <w:b/>
              </w:rPr>
              <w:t>$27.8</w:t>
            </w:r>
            <w:r w:rsidR="00B729A0">
              <w:rPr>
                <w:b/>
              </w:rPr>
              <w:t>3</w:t>
            </w:r>
            <w:r w:rsidRPr="002415A5">
              <w:rPr>
                <w:b/>
              </w:rPr>
              <w:t xml:space="preserve"> million</w:t>
            </w:r>
          </w:p>
        </w:tc>
      </w:tr>
      <w:tr w:rsidR="003C7D6B" w:rsidRPr="003C7D6B" w:rsidDel="000B0991" w14:paraId="589C19D5"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44F95431" w14:textId="31CE6F2F" w:rsidR="003C7D6B" w:rsidRPr="003C7D6B" w:rsidRDefault="003C7D6B" w:rsidP="003C7D6B">
            <w:r w:rsidRPr="003C7D6B">
              <w:t>Total Project Cost</w:t>
            </w:r>
            <w:r w:rsidRPr="003C7D6B">
              <w:br/>
            </w:r>
            <w:r w:rsidRPr="00B564A1">
              <w:rPr>
                <w:b w:val="0"/>
              </w:rPr>
              <w:t>(Real $</w:t>
            </w:r>
            <w:r w:rsidR="00AD108E" w:rsidRPr="00B564A1">
              <w:rPr>
                <w:b w:val="0"/>
              </w:rPr>
              <w:t>20</w:t>
            </w:r>
            <w:r w:rsidRPr="00B564A1">
              <w:rPr>
                <w:b w:val="0"/>
              </w:rPr>
              <w:t>23</w:t>
            </w:r>
            <w:r w:rsidR="00AD108E" w:rsidRPr="00B564A1">
              <w:rPr>
                <w:b w:val="0"/>
              </w:rPr>
              <w:t>-</w:t>
            </w:r>
            <w:r w:rsidRPr="00B564A1">
              <w:rPr>
                <w:b w:val="0"/>
              </w:rPr>
              <w:t>24)</w:t>
            </w:r>
          </w:p>
        </w:tc>
        <w:tc>
          <w:tcPr>
            <w:tcW w:w="3941" w:type="pct"/>
            <w:vAlign w:val="center"/>
          </w:tcPr>
          <w:p w14:paraId="2C1FBCD6" w14:textId="55CE819A" w:rsidR="003C7D6B" w:rsidRPr="002415A5" w:rsidDel="000B0991" w:rsidRDefault="003C7D6B" w:rsidP="003C7D6B">
            <w:pPr>
              <w:cnfStyle w:val="000000000000" w:firstRow="0" w:lastRow="0" w:firstColumn="0" w:lastColumn="0" w:oddVBand="0" w:evenVBand="0" w:oddHBand="0" w:evenHBand="0" w:firstRowFirstColumn="0" w:firstRowLastColumn="0" w:lastRowFirstColumn="0" w:lastRowLastColumn="0"/>
              <w:rPr>
                <w:b/>
              </w:rPr>
            </w:pPr>
            <w:r w:rsidRPr="002415A5">
              <w:rPr>
                <w:b/>
              </w:rPr>
              <w:t>$27.8</w:t>
            </w:r>
            <w:r w:rsidR="00B729A0">
              <w:rPr>
                <w:b/>
              </w:rPr>
              <w:t>3</w:t>
            </w:r>
            <w:r w:rsidRPr="002415A5">
              <w:rPr>
                <w:b/>
              </w:rPr>
              <w:t xml:space="preserve"> million</w:t>
            </w:r>
          </w:p>
        </w:tc>
      </w:tr>
    </w:tbl>
    <w:p w14:paraId="25E75F59" w14:textId="0711DF65" w:rsidR="001F4EE9" w:rsidRDefault="001F4EE9" w:rsidP="009C0F4E"/>
    <w:p w14:paraId="53B3ED06" w14:textId="77777777"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FC6E4F" w:rsidRPr="00FC6E4F" w14:paraId="11F118A9"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9B07C45" w14:textId="77777777" w:rsidR="00FC6E4F" w:rsidRPr="00FC6E4F" w:rsidRDefault="00FC6E4F" w:rsidP="00FC6E4F">
            <w:r w:rsidRPr="00FC6E4F">
              <w:lastRenderedPageBreak/>
              <w:t>Project 10</w:t>
            </w:r>
          </w:p>
        </w:tc>
        <w:tc>
          <w:tcPr>
            <w:tcW w:w="3941" w:type="pct"/>
            <w:hideMark/>
          </w:tcPr>
          <w:p w14:paraId="029C6B97" w14:textId="77777777" w:rsidR="00FC6E4F" w:rsidRPr="00FC6E4F" w:rsidRDefault="00FC6E4F" w:rsidP="00FC6E4F">
            <w:pPr>
              <w:cnfStyle w:val="100000000000" w:firstRow="1" w:lastRow="0" w:firstColumn="0" w:lastColumn="0" w:oddVBand="0" w:evenVBand="0" w:oddHBand="0" w:evenHBand="0" w:firstRowFirstColumn="0" w:firstRowLastColumn="0" w:lastRowFirstColumn="0" w:lastRowLastColumn="0"/>
            </w:pPr>
            <w:r w:rsidRPr="00FC6E4F">
              <w:t>Supporting waterway health and growth in Romsey</w:t>
            </w:r>
          </w:p>
          <w:p w14:paraId="45D83188" w14:textId="77777777" w:rsidR="00FC6E4F" w:rsidRPr="00CA17F0" w:rsidRDefault="00FC6E4F" w:rsidP="00FC6E4F">
            <w:pPr>
              <w:cnfStyle w:val="100000000000" w:firstRow="1" w:lastRow="0" w:firstColumn="0" w:lastColumn="0" w:oddVBand="0" w:evenVBand="0" w:oddHBand="0" w:evenHBand="0" w:firstRowFirstColumn="0" w:firstRowLastColumn="0" w:lastRowFirstColumn="0" w:lastRowLastColumn="0"/>
              <w:rPr>
                <w:b w:val="0"/>
              </w:rPr>
            </w:pPr>
            <w:r w:rsidRPr="00CA17F0">
              <w:rPr>
                <w:b w:val="0"/>
              </w:rPr>
              <w:t>Romsey Recycled Water Plant </w:t>
            </w:r>
          </w:p>
        </w:tc>
      </w:tr>
      <w:tr w:rsidR="00FC6E4F" w:rsidRPr="00FC6E4F" w14:paraId="4EFA35A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94BC53D" w14:textId="77777777" w:rsidR="00FC6E4F" w:rsidRPr="00BD2857" w:rsidRDefault="00FC6E4F" w:rsidP="00FC6E4F">
            <w:pPr>
              <w:rPr>
                <w:b w:val="0"/>
              </w:rPr>
            </w:pPr>
            <w:r w:rsidRPr="00BD2857">
              <w:rPr>
                <w:b w:val="0"/>
              </w:rPr>
              <w:t>Service </w:t>
            </w:r>
          </w:p>
        </w:tc>
        <w:tc>
          <w:tcPr>
            <w:tcW w:w="3941" w:type="pct"/>
            <w:hideMark/>
          </w:tcPr>
          <w:p w14:paraId="1ADA97B2"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Sewer </w:t>
            </w:r>
          </w:p>
        </w:tc>
      </w:tr>
      <w:tr w:rsidR="00FC6E4F" w:rsidRPr="00FC6E4F" w14:paraId="5D2DA48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FE9CF30" w14:textId="77777777" w:rsidR="00FC6E4F" w:rsidRPr="00BD2857" w:rsidRDefault="00FC6E4F" w:rsidP="00FC6E4F">
            <w:pPr>
              <w:rPr>
                <w:b w:val="0"/>
              </w:rPr>
            </w:pPr>
            <w:r w:rsidRPr="00BD2857">
              <w:rPr>
                <w:b w:val="0"/>
              </w:rPr>
              <w:t>Asset category </w:t>
            </w:r>
          </w:p>
        </w:tc>
        <w:tc>
          <w:tcPr>
            <w:tcW w:w="3941" w:type="pct"/>
            <w:hideMark/>
          </w:tcPr>
          <w:p w14:paraId="77BE5E1E"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Treatment </w:t>
            </w:r>
          </w:p>
        </w:tc>
      </w:tr>
      <w:tr w:rsidR="00FC6E4F" w:rsidRPr="00FC6E4F" w14:paraId="715FAD6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B0CA93A" w14:textId="77777777" w:rsidR="00FC6E4F" w:rsidRPr="00BD2857" w:rsidRDefault="00FC6E4F" w:rsidP="00FC6E4F">
            <w:pPr>
              <w:rPr>
                <w:b w:val="0"/>
              </w:rPr>
            </w:pPr>
            <w:r w:rsidRPr="00BD2857">
              <w:rPr>
                <w:b w:val="0"/>
              </w:rPr>
              <w:t>Cost driver </w:t>
            </w:r>
          </w:p>
        </w:tc>
        <w:tc>
          <w:tcPr>
            <w:tcW w:w="3941" w:type="pct"/>
            <w:hideMark/>
          </w:tcPr>
          <w:p w14:paraId="6FC4F108"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Growth </w:t>
            </w:r>
          </w:p>
        </w:tc>
      </w:tr>
      <w:tr w:rsidR="00FC6E4F" w:rsidRPr="00FC6E4F" w14:paraId="37F8D34B" w14:textId="77777777" w:rsidTr="00EE31E7">
        <w:trPr>
          <w:trHeight w:val="850"/>
        </w:trPr>
        <w:tc>
          <w:tcPr>
            <w:cnfStyle w:val="001000000000" w:firstRow="0" w:lastRow="0" w:firstColumn="1" w:lastColumn="0" w:oddVBand="0" w:evenVBand="0" w:oddHBand="0" w:evenHBand="0" w:firstRowFirstColumn="0" w:firstRowLastColumn="0" w:lastRowFirstColumn="0" w:lastRowLastColumn="0"/>
            <w:tcW w:w="1059" w:type="pct"/>
            <w:hideMark/>
          </w:tcPr>
          <w:p w14:paraId="7E8B243F" w14:textId="77777777" w:rsidR="00FC6E4F" w:rsidRPr="00BD2857" w:rsidRDefault="00FC6E4F" w:rsidP="00FC6E4F">
            <w:pPr>
              <w:rPr>
                <w:b w:val="0"/>
              </w:rPr>
            </w:pPr>
            <w:r w:rsidRPr="00BD2857">
              <w:rPr>
                <w:b w:val="0"/>
              </w:rPr>
              <w:t>Description </w:t>
            </w:r>
          </w:p>
        </w:tc>
        <w:tc>
          <w:tcPr>
            <w:tcW w:w="3941" w:type="pct"/>
            <w:hideMark/>
          </w:tcPr>
          <w:p w14:paraId="3AFA8623"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Stage 1 plant upgrade of Romsey RWP to improve plant reliability and capacity. The upgrade includes new inlet works, expansion of the lagoon system and additional piping and pumping facilities to address hydraulic constraints.</w:t>
            </w:r>
          </w:p>
        </w:tc>
      </w:tr>
      <w:tr w:rsidR="00FC6E4F" w:rsidRPr="00FC6E4F" w14:paraId="48DF4ED8"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FCEB145" w14:textId="77777777" w:rsidR="00FC6E4F" w:rsidRPr="00BD2857" w:rsidRDefault="00FC6E4F" w:rsidP="00FC6E4F">
            <w:pPr>
              <w:rPr>
                <w:b w:val="0"/>
              </w:rPr>
            </w:pPr>
            <w:r w:rsidRPr="00BD2857">
              <w:rPr>
                <w:b w:val="0"/>
              </w:rPr>
              <w:t>Customer outcome </w:t>
            </w:r>
          </w:p>
        </w:tc>
        <w:tc>
          <w:tcPr>
            <w:tcW w:w="3941" w:type="pct"/>
            <w:hideMark/>
          </w:tcPr>
          <w:p w14:paraId="177399C8"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xml:space="preserve">The project supports our customer outcomes of healing and caring for Country and your water is safe, </w:t>
            </w:r>
            <w:proofErr w:type="gramStart"/>
            <w:r w:rsidRPr="00FC6E4F">
              <w:t>consistent</w:t>
            </w:r>
            <w:proofErr w:type="gramEnd"/>
            <w:r w:rsidRPr="00FC6E4F">
              <w:t xml:space="preserve"> and resilient by improving water quality and security in the western region. </w:t>
            </w:r>
          </w:p>
        </w:tc>
      </w:tr>
      <w:tr w:rsidR="00FC6E4F" w:rsidRPr="00FC6E4F" w14:paraId="7018ED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9E08F5C" w14:textId="77777777" w:rsidR="00FC6E4F" w:rsidRPr="00BD2857" w:rsidRDefault="00FC6E4F" w:rsidP="00FC6E4F">
            <w:pPr>
              <w:rPr>
                <w:b w:val="0"/>
              </w:rPr>
            </w:pPr>
            <w:r w:rsidRPr="00BD2857">
              <w:rPr>
                <w:b w:val="0"/>
              </w:rPr>
              <w:t>Background </w:t>
            </w:r>
          </w:p>
        </w:tc>
        <w:tc>
          <w:tcPr>
            <w:tcW w:w="3941" w:type="pct"/>
            <w:hideMark/>
          </w:tcPr>
          <w:p w14:paraId="76E87C8F"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xml:space="preserve">The Romsey RWP was commissioned in 1978, with the last major upgrade being performed in 2002. The existing system is a lagoon-based plant. The Romsey RWP consists of inlet works, an aerated facultative pond followed by a facultative pond, 3 maturation ponds (arranged in series), 3 winter storages, and a system for disposing of the effluent by irrigation (Class C effluent). </w:t>
            </w:r>
          </w:p>
          <w:p w14:paraId="14071E0F" w14:textId="39280161" w:rsidR="00FC6E4F" w:rsidRPr="00FC6E4F" w:rsidRDefault="00FC6E4F" w:rsidP="001F4EE9">
            <w:pPr>
              <w:cnfStyle w:val="000000000000" w:firstRow="0" w:lastRow="0" w:firstColumn="0" w:lastColumn="0" w:oddVBand="0" w:evenVBand="0" w:oddHBand="0" w:evenHBand="0" w:firstRowFirstColumn="0" w:firstRowLastColumn="0" w:lastRowFirstColumn="0" w:lastRowLastColumn="0"/>
            </w:pPr>
            <w:r w:rsidRPr="00FC6E4F">
              <w:t xml:space="preserve">A Master Plan was developed for Romsey RWP in 2017. This plan highlighted the upgrade requirements for the plant to meet regulatory and customer objectives for the subsequent </w:t>
            </w:r>
            <w:proofErr w:type="gramStart"/>
            <w:r w:rsidRPr="00FC6E4F">
              <w:t>50 year</w:t>
            </w:r>
            <w:proofErr w:type="gramEnd"/>
            <w:r w:rsidRPr="00FC6E4F">
              <w:t xml:space="preserve"> period (to 2066). A staged approach was proposed to meet these requirements, and this formed the basis for the Stage 1 Upgrade Project. </w:t>
            </w:r>
          </w:p>
        </w:tc>
      </w:tr>
      <w:tr w:rsidR="00FC6E4F" w:rsidRPr="00FC6E4F" w14:paraId="32CF961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28F2A13" w14:textId="77777777" w:rsidR="00FC6E4F" w:rsidRPr="00BD2857" w:rsidRDefault="00FC6E4F" w:rsidP="00FC6E4F">
            <w:pPr>
              <w:rPr>
                <w:b w:val="0"/>
              </w:rPr>
            </w:pPr>
            <w:r w:rsidRPr="00BD2857">
              <w:rPr>
                <w:b w:val="0"/>
              </w:rPr>
              <w:t>Risk addressed </w:t>
            </w:r>
          </w:p>
        </w:tc>
        <w:tc>
          <w:tcPr>
            <w:tcW w:w="3941" w:type="pct"/>
            <w:hideMark/>
          </w:tcPr>
          <w:p w14:paraId="2F3A089E" w14:textId="24DA4FE6"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Environmental and regulatory/compliance risk: meeting GED compliance obligations</w:t>
            </w:r>
          </w:p>
          <w:p w14:paraId="47842CD7" w14:textId="68CA0628"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Service delivery risk:</w:t>
            </w:r>
            <w:r w:rsidR="00F76CD0">
              <w:t xml:space="preserve"> i</w:t>
            </w:r>
            <w:r w:rsidRPr="00F76CD0">
              <w:t>nability</w:t>
            </w:r>
            <w:r w:rsidRPr="00FC6E4F">
              <w:t xml:space="preserve"> to meet </w:t>
            </w:r>
            <w:proofErr w:type="gramStart"/>
            <w:r w:rsidRPr="00FC6E4F">
              <w:t>growth</w:t>
            </w:r>
            <w:proofErr w:type="gramEnd"/>
            <w:r w:rsidRPr="00FC6E4F">
              <w:t xml:space="preserve"> </w:t>
            </w:r>
          </w:p>
          <w:p w14:paraId="3C2D5982" w14:textId="3CB4AEF0"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 xml:space="preserve">Health, </w:t>
            </w:r>
            <w:proofErr w:type="gramStart"/>
            <w:r w:rsidRPr="00FC6E4F">
              <w:t>safety</w:t>
            </w:r>
            <w:proofErr w:type="gramEnd"/>
            <w:r w:rsidRPr="00FC6E4F">
              <w:t xml:space="preserve"> and wellbeing risk:</w:t>
            </w:r>
            <w:r w:rsidR="00F76CD0">
              <w:t xml:space="preserve"> p</w:t>
            </w:r>
            <w:r w:rsidRPr="00F76CD0">
              <w:t>lant</w:t>
            </w:r>
            <w:r w:rsidRPr="00FC6E4F">
              <w:t xml:space="preserve"> operability</w:t>
            </w:r>
          </w:p>
        </w:tc>
      </w:tr>
      <w:tr w:rsidR="00FC6E4F" w:rsidRPr="00FC6E4F" w14:paraId="18842FC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0BCA260" w14:textId="77777777" w:rsidR="00FC6E4F" w:rsidRPr="00BD2857" w:rsidRDefault="00FC6E4F" w:rsidP="00FC6E4F">
            <w:pPr>
              <w:rPr>
                <w:b w:val="0"/>
              </w:rPr>
            </w:pPr>
            <w:r w:rsidRPr="00BD2857">
              <w:rPr>
                <w:b w:val="0"/>
              </w:rPr>
              <w:t>Start year </w:t>
            </w:r>
          </w:p>
        </w:tc>
        <w:tc>
          <w:tcPr>
            <w:tcW w:w="3941" w:type="pct"/>
            <w:hideMark/>
          </w:tcPr>
          <w:p w14:paraId="3FAE306A" w14:textId="5111C965"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w:t>
            </w:r>
            <w:r w:rsidR="00EE31E7">
              <w:t>2023-</w:t>
            </w:r>
            <w:r w:rsidRPr="00FC6E4F">
              <w:t>24</w:t>
            </w:r>
          </w:p>
        </w:tc>
      </w:tr>
      <w:tr w:rsidR="00FC6E4F" w:rsidRPr="00FC6E4F" w14:paraId="64790AA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22A5E0F" w14:textId="77777777" w:rsidR="00FC6E4F" w:rsidRPr="00BD2857" w:rsidRDefault="00FC6E4F" w:rsidP="00FC6E4F">
            <w:pPr>
              <w:rPr>
                <w:b w:val="0"/>
              </w:rPr>
            </w:pPr>
            <w:r w:rsidRPr="00BD2857">
              <w:rPr>
                <w:b w:val="0"/>
              </w:rPr>
              <w:t>Completion year </w:t>
            </w:r>
          </w:p>
        </w:tc>
        <w:tc>
          <w:tcPr>
            <w:tcW w:w="3941" w:type="pct"/>
            <w:hideMark/>
          </w:tcPr>
          <w:p w14:paraId="4E671AB9" w14:textId="1B2957C5"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w:t>
            </w:r>
            <w:r w:rsidR="00F76CD0">
              <w:t>2026-</w:t>
            </w:r>
            <w:r w:rsidRPr="00FC6E4F">
              <w:t>27</w:t>
            </w:r>
          </w:p>
        </w:tc>
      </w:tr>
      <w:tr w:rsidR="00FC6E4F" w:rsidRPr="00FC6E4F" w14:paraId="10C85A2C"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29B0556" w14:textId="258528DA" w:rsidR="00FC6E4F" w:rsidRPr="00FC6E4F" w:rsidRDefault="00FC6E4F" w:rsidP="00FC6E4F">
            <w:r w:rsidRPr="00FC6E4F">
              <w:t xml:space="preserve">Total Capex over Regulatory Period </w:t>
            </w:r>
            <w:r w:rsidRPr="00B564A1">
              <w:rPr>
                <w:b w:val="0"/>
              </w:rPr>
              <w:t>(Real $</w:t>
            </w:r>
            <w:r w:rsidR="00F96F03" w:rsidRPr="00B564A1">
              <w:rPr>
                <w:b w:val="0"/>
              </w:rPr>
              <w:t>2023-</w:t>
            </w:r>
            <w:r w:rsidRPr="00B564A1">
              <w:rPr>
                <w:b w:val="0"/>
              </w:rPr>
              <w:t>24)</w:t>
            </w:r>
            <w:r w:rsidRPr="00FC6E4F">
              <w:t> </w:t>
            </w:r>
          </w:p>
        </w:tc>
        <w:tc>
          <w:tcPr>
            <w:tcW w:w="3941" w:type="pct"/>
            <w:vAlign w:val="center"/>
            <w:hideMark/>
          </w:tcPr>
          <w:p w14:paraId="08BB340C" w14:textId="3BC351A0" w:rsidR="00FC6E4F" w:rsidRPr="002415A5" w:rsidRDefault="00FC6E4F" w:rsidP="008232BD">
            <w:pPr>
              <w:cnfStyle w:val="000000000000" w:firstRow="0" w:lastRow="0" w:firstColumn="0" w:lastColumn="0" w:oddVBand="0" w:evenVBand="0" w:oddHBand="0" w:evenHBand="0" w:firstRowFirstColumn="0" w:firstRowLastColumn="0" w:lastRowFirstColumn="0" w:lastRowLastColumn="0"/>
              <w:rPr>
                <w:b/>
              </w:rPr>
            </w:pPr>
            <w:r w:rsidRPr="002415A5">
              <w:rPr>
                <w:b/>
              </w:rPr>
              <w:t>$23.</w:t>
            </w:r>
            <w:r w:rsidR="00B729A0">
              <w:rPr>
                <w:b/>
              </w:rPr>
              <w:t>87</w:t>
            </w:r>
            <w:r w:rsidR="00B729A0" w:rsidRPr="002415A5">
              <w:rPr>
                <w:b/>
              </w:rPr>
              <w:t xml:space="preserve"> </w:t>
            </w:r>
            <w:r w:rsidR="00B564A1" w:rsidRPr="002415A5">
              <w:rPr>
                <w:b/>
              </w:rPr>
              <w:t>million</w:t>
            </w:r>
          </w:p>
        </w:tc>
      </w:tr>
      <w:tr w:rsidR="00FC6E4F" w:rsidRPr="00FC6E4F" w14:paraId="6003F49F"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1380B18" w14:textId="3D0A05D9" w:rsidR="00FC6E4F" w:rsidRPr="00FC6E4F" w:rsidRDefault="00FC6E4F" w:rsidP="00FC6E4F">
            <w:r w:rsidRPr="00FC6E4F">
              <w:t>Total Project Cost</w:t>
            </w:r>
            <w:r w:rsidRPr="00FC6E4F">
              <w:br/>
            </w:r>
            <w:r w:rsidRPr="00B564A1">
              <w:rPr>
                <w:b w:val="0"/>
              </w:rPr>
              <w:t>(Real $</w:t>
            </w:r>
            <w:r w:rsidR="00F96F03" w:rsidRPr="00B564A1">
              <w:rPr>
                <w:b w:val="0"/>
              </w:rPr>
              <w:t>20</w:t>
            </w:r>
            <w:r w:rsidRPr="00B564A1">
              <w:rPr>
                <w:b w:val="0"/>
              </w:rPr>
              <w:t>23</w:t>
            </w:r>
            <w:r w:rsidR="00F96F03" w:rsidRPr="00B564A1">
              <w:rPr>
                <w:b w:val="0"/>
              </w:rPr>
              <w:t>-</w:t>
            </w:r>
            <w:r w:rsidRPr="00B564A1">
              <w:rPr>
                <w:b w:val="0"/>
              </w:rPr>
              <w:t>24)</w:t>
            </w:r>
          </w:p>
        </w:tc>
        <w:tc>
          <w:tcPr>
            <w:tcW w:w="3941" w:type="pct"/>
            <w:vAlign w:val="center"/>
          </w:tcPr>
          <w:p w14:paraId="0E0E9201" w14:textId="78AEC368" w:rsidR="00FC6E4F" w:rsidRPr="002415A5" w:rsidRDefault="00FC6E4F" w:rsidP="00FC6E4F">
            <w:pPr>
              <w:cnfStyle w:val="000000000000" w:firstRow="0" w:lastRow="0" w:firstColumn="0" w:lastColumn="0" w:oddVBand="0" w:evenVBand="0" w:oddHBand="0" w:evenHBand="0" w:firstRowFirstColumn="0" w:firstRowLastColumn="0" w:lastRowFirstColumn="0" w:lastRowLastColumn="0"/>
              <w:rPr>
                <w:b/>
              </w:rPr>
            </w:pPr>
            <w:r w:rsidRPr="002415A5">
              <w:rPr>
                <w:b/>
              </w:rPr>
              <w:t>$23.</w:t>
            </w:r>
            <w:r w:rsidR="00B34391">
              <w:rPr>
                <w:b/>
              </w:rPr>
              <w:t>87</w:t>
            </w:r>
            <w:r w:rsidR="00B34391" w:rsidRPr="002415A5">
              <w:rPr>
                <w:b/>
              </w:rPr>
              <w:t xml:space="preserve"> </w:t>
            </w:r>
            <w:r w:rsidR="00B564A1" w:rsidRPr="002415A5">
              <w:rPr>
                <w:b/>
              </w:rPr>
              <w:t>million</w:t>
            </w:r>
          </w:p>
        </w:tc>
      </w:tr>
    </w:tbl>
    <w:p w14:paraId="7B0A5878" w14:textId="77777777" w:rsidR="00F23AC2" w:rsidRDefault="00F23AC2" w:rsidP="009C0F4E">
      <w:pPr>
        <w:sectPr w:rsidR="00F23AC2" w:rsidSect="008C1A38">
          <w:headerReference w:type="default" r:id="rId97"/>
          <w:pgSz w:w="11906" w:h="16838" w:code="9"/>
          <w:pgMar w:top="1134" w:right="1134" w:bottom="1134" w:left="1134" w:header="709" w:footer="652" w:gutter="0"/>
          <w:cols w:space="708"/>
          <w:docGrid w:linePitch="360"/>
        </w:sectPr>
      </w:pPr>
    </w:p>
    <w:p w14:paraId="70DB35F3" w14:textId="3D5B9679" w:rsidR="00407A1B" w:rsidRPr="00407A1B" w:rsidRDefault="00EA2D62" w:rsidP="0067458D">
      <w:pPr>
        <w:pStyle w:val="AppendixL1LPcreated"/>
      </w:pPr>
      <w:bookmarkStart w:id="383" w:name="_Toc146004916"/>
      <w:bookmarkStart w:id="384" w:name="_Toc146004804"/>
      <w:bookmarkStart w:id="385" w:name="_Toc146746750"/>
      <w:r>
        <w:lastRenderedPageBreak/>
        <w:t xml:space="preserve">Capital </w:t>
      </w:r>
      <w:proofErr w:type="gramStart"/>
      <w:r>
        <w:t>programs</w:t>
      </w:r>
      <w:bookmarkEnd w:id="383"/>
      <w:bookmarkEnd w:id="384"/>
      <w:bookmarkEnd w:id="385"/>
      <w:proofErr w:type="gramEnd"/>
    </w:p>
    <w:p w14:paraId="0B4C48BC" w14:textId="6F16FF80" w:rsidR="00C2420E" w:rsidRPr="00C2420E" w:rsidRDefault="004938F7" w:rsidP="00016B15">
      <w:r w:rsidRPr="004938F7">
        <w:t>Programs of works outside of top 10 major projects</w:t>
      </w:r>
      <w:r w:rsidR="002559F2">
        <w:t xml:space="preserve"> ($, 2023-24)</w:t>
      </w:r>
      <w:r w:rsidRPr="004938F7">
        <w:t>.</w:t>
      </w:r>
    </w:p>
    <w:tbl>
      <w:tblPr>
        <w:tblStyle w:val="GWWDefaulttable"/>
        <w:tblW w:w="5000" w:type="pct"/>
        <w:tblLook w:val="04A0" w:firstRow="1" w:lastRow="0" w:firstColumn="1" w:lastColumn="0" w:noHBand="0" w:noVBand="1"/>
      </w:tblPr>
      <w:tblGrid>
        <w:gridCol w:w="1528"/>
        <w:gridCol w:w="2378"/>
        <w:gridCol w:w="2194"/>
        <w:gridCol w:w="1797"/>
        <w:gridCol w:w="1741"/>
      </w:tblGrid>
      <w:tr w:rsidR="002C0854" w:rsidRPr="00F25565" w14:paraId="28DBF246" w14:textId="77777777" w:rsidTr="00C52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vAlign w:val="center"/>
          </w:tcPr>
          <w:p w14:paraId="36935838" w14:textId="77777777" w:rsidR="002C0854" w:rsidRPr="00F25565" w:rsidRDefault="002C0854" w:rsidP="00F25565">
            <w:r w:rsidRPr="00F25565">
              <w:t>Service</w:t>
            </w:r>
          </w:p>
        </w:tc>
        <w:tc>
          <w:tcPr>
            <w:tcW w:w="1234" w:type="pct"/>
            <w:vAlign w:val="center"/>
          </w:tcPr>
          <w:p w14:paraId="4DAC3941"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Program</w:t>
            </w:r>
          </w:p>
        </w:tc>
        <w:tc>
          <w:tcPr>
            <w:tcW w:w="1138" w:type="pct"/>
            <w:vAlign w:val="center"/>
          </w:tcPr>
          <w:p w14:paraId="631D5571"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Objectives of the program</w:t>
            </w:r>
          </w:p>
        </w:tc>
        <w:tc>
          <w:tcPr>
            <w:tcW w:w="932" w:type="pct"/>
            <w:vAlign w:val="center"/>
          </w:tcPr>
          <w:p w14:paraId="7763C04A"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Customer outcomes</w:t>
            </w:r>
            <w:r w:rsidRPr="00F25565">
              <w:br/>
              <w:t>supported</w:t>
            </w:r>
          </w:p>
        </w:tc>
        <w:tc>
          <w:tcPr>
            <w:tcW w:w="903" w:type="pct"/>
            <w:vAlign w:val="center"/>
          </w:tcPr>
          <w:p w14:paraId="48D4DAD5" w14:textId="41DB7071"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 xml:space="preserve">Capital </w:t>
            </w:r>
            <w:r w:rsidR="00741613">
              <w:t xml:space="preserve">Expenditure </w:t>
            </w:r>
          </w:p>
        </w:tc>
      </w:tr>
      <w:tr w:rsidR="002C0854" w:rsidRPr="00F25565" w14:paraId="0FD9197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18EA398E" w14:textId="0BE516F4" w:rsidR="002C0854" w:rsidRPr="00A705D1" w:rsidRDefault="002C0854" w:rsidP="00F25565">
            <w:pPr>
              <w:rPr>
                <w:b w:val="0"/>
              </w:rPr>
            </w:pPr>
            <w:r w:rsidRPr="00A705D1">
              <w:rPr>
                <w:b w:val="0"/>
              </w:rPr>
              <w:t>Water</w:t>
            </w:r>
          </w:p>
        </w:tc>
        <w:tc>
          <w:tcPr>
            <w:tcW w:w="1234" w:type="pct"/>
          </w:tcPr>
          <w:p w14:paraId="6CAEB30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Main Performance Renewals</w:t>
            </w:r>
          </w:p>
        </w:tc>
        <w:tc>
          <w:tcPr>
            <w:tcW w:w="1138" w:type="pct"/>
          </w:tcPr>
          <w:p w14:paraId="0518225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Provide a reliable water service to customers by: </w:t>
            </w:r>
          </w:p>
          <w:p w14:paraId="09E9253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Preventing customers from exceeding &gt;5 interruptions in a rolling 12-month period</w:t>
            </w:r>
          </w:p>
          <w:p w14:paraId="504573C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Stabilising water main failure rate at current levels in the PS5 period</w:t>
            </w:r>
          </w:p>
        </w:tc>
        <w:tc>
          <w:tcPr>
            <w:tcW w:w="932" w:type="pct"/>
          </w:tcPr>
          <w:p w14:paraId="1376F6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55D3C87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38BEEEBA" w14:textId="19918FF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197.</w:t>
            </w:r>
            <w:r w:rsidR="00266C73">
              <w:t>66</w:t>
            </w:r>
          </w:p>
        </w:tc>
      </w:tr>
      <w:tr w:rsidR="002C0854" w:rsidRPr="00F25565" w14:paraId="48F18D8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6B266B6" w14:textId="77777777" w:rsidR="002C0854" w:rsidRPr="00A705D1" w:rsidRDefault="002C0854" w:rsidP="00F25565">
            <w:pPr>
              <w:rPr>
                <w:b w:val="0"/>
              </w:rPr>
            </w:pPr>
          </w:p>
        </w:tc>
        <w:tc>
          <w:tcPr>
            <w:tcW w:w="1234" w:type="pct"/>
          </w:tcPr>
          <w:p w14:paraId="551B195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Main Risk Renewals</w:t>
            </w:r>
          </w:p>
        </w:tc>
        <w:tc>
          <w:tcPr>
            <w:tcW w:w="1138" w:type="pct"/>
          </w:tcPr>
          <w:p w14:paraId="0BA8653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critical asset failures that occur on water service assets where the potential consequence of the failure poses an unacceptable risk.</w:t>
            </w:r>
          </w:p>
        </w:tc>
        <w:tc>
          <w:tcPr>
            <w:tcW w:w="932" w:type="pct"/>
          </w:tcPr>
          <w:p w14:paraId="5640C3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0D9161A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1D5B0C3F" w14:textId="39142A68"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101.8</w:t>
            </w:r>
            <w:r w:rsidR="00173A74">
              <w:t>3</w:t>
            </w:r>
          </w:p>
        </w:tc>
      </w:tr>
      <w:tr w:rsidR="002C0854" w:rsidRPr="00F25565" w14:paraId="114421E0"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5D02AB1" w14:textId="77777777" w:rsidR="002C0854" w:rsidRPr="00A705D1" w:rsidRDefault="002C0854" w:rsidP="00F25565">
            <w:pPr>
              <w:rPr>
                <w:b w:val="0"/>
              </w:rPr>
            </w:pPr>
          </w:p>
        </w:tc>
        <w:tc>
          <w:tcPr>
            <w:tcW w:w="1234" w:type="pct"/>
          </w:tcPr>
          <w:p w14:paraId="4E02CBA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Growth</w:t>
            </w:r>
          </w:p>
        </w:tc>
        <w:tc>
          <w:tcPr>
            <w:tcW w:w="1138" w:type="pct"/>
          </w:tcPr>
          <w:p w14:paraId="5C4B892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New customers are provided with an affordable, reliable service from the day they require it.</w:t>
            </w:r>
          </w:p>
        </w:tc>
        <w:tc>
          <w:tcPr>
            <w:tcW w:w="932" w:type="pct"/>
          </w:tcPr>
          <w:p w14:paraId="58DA767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customers and communities.</w:t>
            </w:r>
          </w:p>
          <w:p w14:paraId="4FFE808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71958CB6" w14:textId="5CE7241C"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8</w:t>
            </w:r>
            <w:r w:rsidR="00173A74">
              <w:t>7.98</w:t>
            </w:r>
          </w:p>
        </w:tc>
      </w:tr>
      <w:tr w:rsidR="002C0854" w:rsidRPr="00F25565" w14:paraId="4ED4FEBF"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DD4364F" w14:textId="77777777" w:rsidR="002C0854" w:rsidRPr="00A705D1" w:rsidRDefault="002C0854" w:rsidP="00F25565">
            <w:pPr>
              <w:rPr>
                <w:b w:val="0"/>
              </w:rPr>
            </w:pPr>
          </w:p>
        </w:tc>
        <w:tc>
          <w:tcPr>
            <w:tcW w:w="1234" w:type="pct"/>
          </w:tcPr>
          <w:p w14:paraId="51346DC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Metering Program</w:t>
            </w:r>
          </w:p>
        </w:tc>
        <w:tc>
          <w:tcPr>
            <w:tcW w:w="1138" w:type="pct"/>
          </w:tcPr>
          <w:p w14:paraId="63647FE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To enable GWW to measure water usage and accurately bill customers for the water they use</w:t>
            </w:r>
          </w:p>
        </w:tc>
        <w:tc>
          <w:tcPr>
            <w:tcW w:w="932" w:type="pct"/>
          </w:tcPr>
          <w:p w14:paraId="218A95A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5C9B38D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49E0C43C" w14:textId="558BABCA"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57.3</w:t>
            </w:r>
            <w:r w:rsidR="00173A74">
              <w:t>4</w:t>
            </w:r>
          </w:p>
        </w:tc>
      </w:tr>
      <w:tr w:rsidR="002C0854" w:rsidRPr="00F25565" w14:paraId="0DF9401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C3DD421" w14:textId="77777777" w:rsidR="002C0854" w:rsidRPr="00A705D1" w:rsidRDefault="002C0854" w:rsidP="00F25565">
            <w:pPr>
              <w:rPr>
                <w:b w:val="0"/>
              </w:rPr>
            </w:pPr>
          </w:p>
        </w:tc>
        <w:tc>
          <w:tcPr>
            <w:tcW w:w="1234" w:type="pct"/>
          </w:tcPr>
          <w:p w14:paraId="4AFFE1A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Treatment Growth</w:t>
            </w:r>
          </w:p>
        </w:tc>
        <w:tc>
          <w:tcPr>
            <w:tcW w:w="1138" w:type="pct"/>
          </w:tcPr>
          <w:p w14:paraId="5580EAE8" w14:textId="1DF00C9F"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Filtration Plants have the capacity to meet future water demand requirements</w:t>
            </w:r>
          </w:p>
        </w:tc>
        <w:tc>
          <w:tcPr>
            <w:tcW w:w="932" w:type="pct"/>
          </w:tcPr>
          <w:p w14:paraId="4DC0B0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Your water is safe, </w:t>
            </w:r>
            <w:proofErr w:type="gramStart"/>
            <w:r w:rsidRPr="00F25565">
              <w:t>consistent</w:t>
            </w:r>
            <w:proofErr w:type="gramEnd"/>
            <w:r w:rsidRPr="00F25565">
              <w:t xml:space="preserve"> and resilient.</w:t>
            </w:r>
          </w:p>
          <w:p w14:paraId="74387AF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enable growth and help </w:t>
            </w:r>
            <w:r w:rsidRPr="00F25565">
              <w:lastRenderedPageBreak/>
              <w:t>businesses to thrive</w:t>
            </w:r>
          </w:p>
        </w:tc>
        <w:tc>
          <w:tcPr>
            <w:tcW w:w="903" w:type="pct"/>
          </w:tcPr>
          <w:p w14:paraId="35D38099" w14:textId="19302A5A"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lastRenderedPageBreak/>
              <w:t>46.</w:t>
            </w:r>
            <w:r w:rsidR="00173A74">
              <w:t>77</w:t>
            </w:r>
          </w:p>
        </w:tc>
      </w:tr>
      <w:tr w:rsidR="002C0854" w:rsidRPr="00F25565" w14:paraId="326D2AC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E1C1895" w14:textId="77777777" w:rsidR="002C0854" w:rsidRPr="00A705D1" w:rsidRDefault="002C0854" w:rsidP="00F25565">
            <w:pPr>
              <w:rPr>
                <w:b w:val="0"/>
              </w:rPr>
            </w:pPr>
          </w:p>
        </w:tc>
        <w:tc>
          <w:tcPr>
            <w:tcW w:w="1234" w:type="pct"/>
          </w:tcPr>
          <w:p w14:paraId="06E7D36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Dams Works</w:t>
            </w:r>
          </w:p>
        </w:tc>
        <w:tc>
          <w:tcPr>
            <w:tcW w:w="1138" w:type="pct"/>
          </w:tcPr>
          <w:p w14:paraId="06A54CD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Ensures health and safety risks associated with these assets are managed, and to maintain our compliance with ANCOLD obligations</w:t>
            </w:r>
          </w:p>
        </w:tc>
        <w:tc>
          <w:tcPr>
            <w:tcW w:w="932" w:type="pct"/>
          </w:tcPr>
          <w:p w14:paraId="0E819FB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1DD8C72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205D32A8" w14:textId="20692C5F"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21.</w:t>
            </w:r>
            <w:r w:rsidR="00173A74">
              <w:t>26</w:t>
            </w:r>
          </w:p>
        </w:tc>
      </w:tr>
      <w:tr w:rsidR="002C0854" w:rsidRPr="00F25565" w14:paraId="15B5CA6B"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10FD729" w14:textId="77777777" w:rsidR="002C0854" w:rsidRPr="00A705D1" w:rsidRDefault="002C0854" w:rsidP="00F25565">
            <w:pPr>
              <w:rPr>
                <w:b w:val="0"/>
              </w:rPr>
            </w:pPr>
          </w:p>
        </w:tc>
        <w:tc>
          <w:tcPr>
            <w:tcW w:w="1234" w:type="pct"/>
          </w:tcPr>
          <w:p w14:paraId="77BE0DD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Compliance</w:t>
            </w:r>
          </w:p>
        </w:tc>
        <w:tc>
          <w:tcPr>
            <w:tcW w:w="1138" w:type="pct"/>
          </w:tcPr>
          <w:p w14:paraId="5125078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Maintain compliance with minimum flow and water quality requirements </w:t>
            </w:r>
          </w:p>
        </w:tc>
        <w:tc>
          <w:tcPr>
            <w:tcW w:w="932" w:type="pct"/>
          </w:tcPr>
          <w:p w14:paraId="149EC8F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64C29B67" w14:textId="7B2A86EB"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18D09A22" w14:textId="0F29C3E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20.7</w:t>
            </w:r>
            <w:r w:rsidR="00026538">
              <w:t>0</w:t>
            </w:r>
          </w:p>
        </w:tc>
      </w:tr>
      <w:tr w:rsidR="002C0854" w:rsidRPr="00F25565" w14:paraId="4CDD3C1A"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A2329F5" w14:textId="77777777" w:rsidR="002C0854" w:rsidRPr="00A705D1" w:rsidRDefault="002C0854" w:rsidP="00F25565">
            <w:pPr>
              <w:rPr>
                <w:b w:val="0"/>
              </w:rPr>
            </w:pPr>
          </w:p>
        </w:tc>
        <w:tc>
          <w:tcPr>
            <w:tcW w:w="1234" w:type="pct"/>
          </w:tcPr>
          <w:p w14:paraId="320D99F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Tank Renewals</w:t>
            </w:r>
          </w:p>
        </w:tc>
        <w:tc>
          <w:tcPr>
            <w:tcW w:w="1138" w:type="pct"/>
          </w:tcPr>
          <w:p w14:paraId="4ED832E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failures on GWW’s critical water tanks to reduce unacceptable risks to customers, community, and the environment</w:t>
            </w:r>
          </w:p>
        </w:tc>
        <w:tc>
          <w:tcPr>
            <w:tcW w:w="932" w:type="pct"/>
          </w:tcPr>
          <w:p w14:paraId="5724CAA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tc>
        <w:tc>
          <w:tcPr>
            <w:tcW w:w="903" w:type="pct"/>
          </w:tcPr>
          <w:p w14:paraId="397EB472" w14:textId="5CA1B56F"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15.3</w:t>
            </w:r>
            <w:r w:rsidR="00173A74">
              <w:t>2</w:t>
            </w:r>
          </w:p>
        </w:tc>
      </w:tr>
      <w:tr w:rsidR="002C0854" w:rsidRPr="00F25565" w14:paraId="40EA2B48"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E577E3F" w14:textId="77777777" w:rsidR="002C0854" w:rsidRPr="00A705D1" w:rsidRDefault="002C0854" w:rsidP="00F25565">
            <w:pPr>
              <w:rPr>
                <w:b w:val="0"/>
              </w:rPr>
            </w:pPr>
          </w:p>
        </w:tc>
        <w:tc>
          <w:tcPr>
            <w:tcW w:w="1234" w:type="pct"/>
          </w:tcPr>
          <w:p w14:paraId="5D9317B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Treatment Renewals</w:t>
            </w:r>
          </w:p>
        </w:tc>
        <w:tc>
          <w:tcPr>
            <w:tcW w:w="1138" w:type="pct"/>
          </w:tcPr>
          <w:p w14:paraId="6F00D53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Renewals required at Water Filtration Plants to ensure plants </w:t>
            </w:r>
            <w:proofErr w:type="gramStart"/>
            <w:r w:rsidRPr="00F25565">
              <w:t>are able to</w:t>
            </w:r>
            <w:proofErr w:type="gramEnd"/>
            <w:r w:rsidRPr="00F25565">
              <w:t xml:space="preserve"> maintain their reliability of service</w:t>
            </w:r>
          </w:p>
        </w:tc>
        <w:tc>
          <w:tcPr>
            <w:tcW w:w="932" w:type="pct"/>
          </w:tcPr>
          <w:p w14:paraId="0E0078B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Your water is safe, </w:t>
            </w:r>
            <w:proofErr w:type="gramStart"/>
            <w:r w:rsidRPr="00F25565">
              <w:t>consistent</w:t>
            </w:r>
            <w:proofErr w:type="gramEnd"/>
            <w:r w:rsidRPr="00F25565">
              <w:t xml:space="preserve"> and resilient.</w:t>
            </w:r>
          </w:p>
          <w:p w14:paraId="4325023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7DD3C99B" w14:textId="717829ED"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w:t>
            </w:r>
            <w:r w:rsidR="00173A74">
              <w:t>79</w:t>
            </w:r>
          </w:p>
        </w:tc>
      </w:tr>
      <w:tr w:rsidR="002C0854" w:rsidRPr="00F25565" w14:paraId="03CD2F13"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728B3940" w14:textId="796ACFB1" w:rsidR="002C0854" w:rsidRPr="00A705D1" w:rsidRDefault="002C0854" w:rsidP="00F25565">
            <w:pPr>
              <w:rPr>
                <w:b w:val="0"/>
              </w:rPr>
            </w:pPr>
            <w:r w:rsidRPr="00A705D1">
              <w:rPr>
                <w:b w:val="0"/>
              </w:rPr>
              <w:t>Sewer</w:t>
            </w:r>
          </w:p>
        </w:tc>
        <w:tc>
          <w:tcPr>
            <w:tcW w:w="1234" w:type="pct"/>
          </w:tcPr>
          <w:p w14:paraId="6220531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Growth</w:t>
            </w:r>
          </w:p>
        </w:tc>
        <w:tc>
          <w:tcPr>
            <w:tcW w:w="1138" w:type="pct"/>
          </w:tcPr>
          <w:p w14:paraId="0D21A4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New customers are provided with sewerage services from the day they require it.</w:t>
            </w:r>
          </w:p>
        </w:tc>
        <w:tc>
          <w:tcPr>
            <w:tcW w:w="932" w:type="pct"/>
          </w:tcPr>
          <w:p w14:paraId="5EA9083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p w14:paraId="15AD3BE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customers and communities</w:t>
            </w:r>
          </w:p>
        </w:tc>
        <w:tc>
          <w:tcPr>
            <w:tcW w:w="903" w:type="pct"/>
          </w:tcPr>
          <w:p w14:paraId="31E0453E" w14:textId="0B95C1D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157.8</w:t>
            </w:r>
            <w:r w:rsidR="00C86E39">
              <w:t>5</w:t>
            </w:r>
          </w:p>
        </w:tc>
      </w:tr>
      <w:tr w:rsidR="002C0854" w:rsidRPr="00F25565" w14:paraId="76395ADC"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1938D51" w14:textId="77777777" w:rsidR="002C0854" w:rsidRPr="00A705D1" w:rsidRDefault="002C0854" w:rsidP="00F25565">
            <w:pPr>
              <w:rPr>
                <w:b w:val="0"/>
              </w:rPr>
            </w:pPr>
          </w:p>
        </w:tc>
        <w:tc>
          <w:tcPr>
            <w:tcW w:w="1234" w:type="pct"/>
          </w:tcPr>
          <w:p w14:paraId="44A15D1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Treatment Growth</w:t>
            </w:r>
          </w:p>
        </w:tc>
        <w:tc>
          <w:tcPr>
            <w:tcW w:w="1138" w:type="pct"/>
          </w:tcPr>
          <w:p w14:paraId="7D7C9D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Upgrade RWP’s to ensure plants have the capability to meet inflow requirements and achieve compliance with GED.</w:t>
            </w:r>
          </w:p>
        </w:tc>
        <w:tc>
          <w:tcPr>
            <w:tcW w:w="932" w:type="pct"/>
          </w:tcPr>
          <w:p w14:paraId="30B17F8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24751DD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3C07118E" w14:textId="7EFEAC6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122.</w:t>
            </w:r>
            <w:r w:rsidR="00C86E39">
              <w:t>59</w:t>
            </w:r>
          </w:p>
        </w:tc>
      </w:tr>
      <w:tr w:rsidR="002C0854" w:rsidRPr="00F25565" w14:paraId="249FEED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15FA7CE" w14:textId="77777777" w:rsidR="002C0854" w:rsidRPr="00A705D1" w:rsidRDefault="002C0854" w:rsidP="00F25565">
            <w:pPr>
              <w:rPr>
                <w:b w:val="0"/>
              </w:rPr>
            </w:pPr>
          </w:p>
        </w:tc>
        <w:tc>
          <w:tcPr>
            <w:tcW w:w="1234" w:type="pct"/>
          </w:tcPr>
          <w:p w14:paraId="1DB5434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Performance Renewals</w:t>
            </w:r>
          </w:p>
        </w:tc>
        <w:tc>
          <w:tcPr>
            <w:tcW w:w="1138" w:type="pct"/>
          </w:tcPr>
          <w:p w14:paraId="4DE3ED6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Provide reliable sewerage services to customers through:</w:t>
            </w:r>
          </w:p>
          <w:p w14:paraId="3C16D7F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Preventing customers from exceeding &gt;3 interruptions in a rolling 12-month period</w:t>
            </w:r>
          </w:p>
          <w:p w14:paraId="5366FE6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Stabilising sewer main failure rate at current levels in the PS5 period</w:t>
            </w:r>
          </w:p>
        </w:tc>
        <w:tc>
          <w:tcPr>
            <w:tcW w:w="932" w:type="pct"/>
          </w:tcPr>
          <w:p w14:paraId="3139DA8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1381609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6563116A" w14:textId="3747BAE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79.4</w:t>
            </w:r>
            <w:r w:rsidR="00C86E39">
              <w:t>3</w:t>
            </w:r>
          </w:p>
        </w:tc>
      </w:tr>
      <w:tr w:rsidR="002C0854" w:rsidRPr="00F25565" w14:paraId="7A9EB20E"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699A391" w14:textId="77777777" w:rsidR="002C0854" w:rsidRPr="00A705D1" w:rsidRDefault="002C0854" w:rsidP="00F25565">
            <w:pPr>
              <w:rPr>
                <w:b w:val="0"/>
              </w:rPr>
            </w:pPr>
          </w:p>
        </w:tc>
        <w:tc>
          <w:tcPr>
            <w:tcW w:w="1234" w:type="pct"/>
          </w:tcPr>
          <w:p w14:paraId="6F24AAC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Risk Renewals</w:t>
            </w:r>
          </w:p>
        </w:tc>
        <w:tc>
          <w:tcPr>
            <w:tcW w:w="1138" w:type="pct"/>
          </w:tcPr>
          <w:p w14:paraId="6CB8312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critical asset failures that occur on sewer service assets where the potential consequence of the failure poses an unacceptable risk.</w:t>
            </w:r>
          </w:p>
        </w:tc>
        <w:tc>
          <w:tcPr>
            <w:tcW w:w="932" w:type="pct"/>
          </w:tcPr>
          <w:p w14:paraId="7142095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0D6E4C8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5B7A370C" w14:textId="15A86B2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55.</w:t>
            </w:r>
            <w:r w:rsidR="00C86E39">
              <w:t>05</w:t>
            </w:r>
          </w:p>
        </w:tc>
      </w:tr>
      <w:tr w:rsidR="002C0854" w:rsidRPr="00F25565" w14:paraId="625F6231"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521B61A" w14:textId="77777777" w:rsidR="002C0854" w:rsidRPr="00A705D1" w:rsidRDefault="002C0854" w:rsidP="00F25565">
            <w:pPr>
              <w:rPr>
                <w:b w:val="0"/>
              </w:rPr>
            </w:pPr>
          </w:p>
        </w:tc>
        <w:tc>
          <w:tcPr>
            <w:tcW w:w="1234" w:type="pct"/>
          </w:tcPr>
          <w:p w14:paraId="6953D66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Hydraulic Compliance</w:t>
            </w:r>
          </w:p>
        </w:tc>
        <w:tc>
          <w:tcPr>
            <w:tcW w:w="1138" w:type="pct"/>
          </w:tcPr>
          <w:p w14:paraId="5054971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Upgrade pipelines and storages to contain one-in-</w:t>
            </w:r>
            <w:proofErr w:type="gramStart"/>
            <w:r w:rsidRPr="00F25565">
              <w:t>five year</w:t>
            </w:r>
            <w:proofErr w:type="gramEnd"/>
            <w:r w:rsidRPr="00F25565">
              <w:t xml:space="preserve"> flow rates within the sewerage network and minimise the risk of spills into the local waterways.</w:t>
            </w:r>
          </w:p>
        </w:tc>
        <w:tc>
          <w:tcPr>
            <w:tcW w:w="932" w:type="pct"/>
          </w:tcPr>
          <w:p w14:paraId="5835224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p w14:paraId="7F514D47"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heal and care for </w:t>
            </w:r>
            <w:proofErr w:type="gramStart"/>
            <w:r w:rsidRPr="00F25565">
              <w:t>Country</w:t>
            </w:r>
            <w:proofErr w:type="gramEnd"/>
          </w:p>
          <w:p w14:paraId="096FC360" w14:textId="252DA4C8" w:rsidR="002C0854" w:rsidRPr="00F25565" w:rsidRDefault="00275528" w:rsidP="00F25565">
            <w:pPr>
              <w:cnfStyle w:val="000000000000" w:firstRow="0" w:lastRow="0" w:firstColumn="0" w:lastColumn="0" w:oddVBand="0" w:evenVBand="0" w:oddHBand="0" w:evenHBand="0" w:firstRowFirstColumn="0" w:firstRowLastColumn="0" w:lastRowFirstColumn="0" w:lastRowLastColumn="0"/>
            </w:pPr>
            <w:r>
              <w:t>When things go wrong, we fix them</w:t>
            </w:r>
          </w:p>
        </w:tc>
        <w:tc>
          <w:tcPr>
            <w:tcW w:w="903" w:type="pct"/>
          </w:tcPr>
          <w:p w14:paraId="1FA6F05A" w14:textId="46C779BA" w:rsidR="002C0854" w:rsidRPr="00F25565" w:rsidRDefault="00C86E39" w:rsidP="00DB36B4">
            <w:pPr>
              <w:jc w:val="right"/>
              <w:cnfStyle w:val="000000000000" w:firstRow="0" w:lastRow="0" w:firstColumn="0" w:lastColumn="0" w:oddVBand="0" w:evenVBand="0" w:oddHBand="0" w:evenHBand="0" w:firstRowFirstColumn="0" w:firstRowLastColumn="0" w:lastRowFirstColumn="0" w:lastRowLastColumn="0"/>
            </w:pPr>
            <w:r>
              <w:t>17.98</w:t>
            </w:r>
          </w:p>
        </w:tc>
      </w:tr>
      <w:tr w:rsidR="002C0854" w:rsidRPr="00F25565" w14:paraId="7C289B7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0046E62B" w14:textId="77777777" w:rsidR="002C0854" w:rsidRPr="00A705D1" w:rsidRDefault="002C0854" w:rsidP="00F25565">
            <w:pPr>
              <w:rPr>
                <w:b w:val="0"/>
              </w:rPr>
            </w:pPr>
          </w:p>
        </w:tc>
        <w:tc>
          <w:tcPr>
            <w:tcW w:w="1234" w:type="pct"/>
          </w:tcPr>
          <w:p w14:paraId="3AF8B67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Treatment Renewals</w:t>
            </w:r>
          </w:p>
        </w:tc>
        <w:tc>
          <w:tcPr>
            <w:tcW w:w="1138" w:type="pct"/>
          </w:tcPr>
          <w:p w14:paraId="727CF1E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Critical renewals at Recycled Water Plants to ensure plants can maintain their reliability of service</w:t>
            </w:r>
          </w:p>
        </w:tc>
        <w:tc>
          <w:tcPr>
            <w:tcW w:w="932" w:type="pct"/>
          </w:tcPr>
          <w:p w14:paraId="7B5D4EF7"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3E5A4BF8" w14:textId="780AA178"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29214389" w14:textId="208CB96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10.</w:t>
            </w:r>
            <w:r w:rsidR="000131A0">
              <w:t>17</w:t>
            </w:r>
          </w:p>
        </w:tc>
      </w:tr>
      <w:tr w:rsidR="002C0854" w:rsidRPr="00F25565" w14:paraId="1DD3F606"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3CE0DCA7" w14:textId="281434CC" w:rsidR="002C0854" w:rsidRPr="00A705D1" w:rsidRDefault="002C0854" w:rsidP="00F25565">
            <w:pPr>
              <w:rPr>
                <w:b w:val="0"/>
              </w:rPr>
            </w:pPr>
            <w:r w:rsidRPr="00A705D1">
              <w:rPr>
                <w:b w:val="0"/>
              </w:rPr>
              <w:t>Recycled Water</w:t>
            </w:r>
          </w:p>
        </w:tc>
        <w:tc>
          <w:tcPr>
            <w:tcW w:w="1234" w:type="pct"/>
          </w:tcPr>
          <w:p w14:paraId="197DC3F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Western Irrigation Network</w:t>
            </w:r>
          </w:p>
        </w:tc>
        <w:tc>
          <w:tcPr>
            <w:tcW w:w="1138" w:type="pct"/>
          </w:tcPr>
          <w:p w14:paraId="08D3B7A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Ensure GWW is meeting its EPA and GED obligations while managing increased recycled water volumes to service a new irrigation district in the Parwan region in accordance with the Commonwealth funding agreement.</w:t>
            </w:r>
          </w:p>
        </w:tc>
        <w:tc>
          <w:tcPr>
            <w:tcW w:w="932" w:type="pct"/>
          </w:tcPr>
          <w:p w14:paraId="3D38F16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heal and care for </w:t>
            </w:r>
            <w:proofErr w:type="gramStart"/>
            <w:r w:rsidRPr="00F25565">
              <w:t>Country</w:t>
            </w:r>
            <w:proofErr w:type="gramEnd"/>
          </w:p>
          <w:p w14:paraId="4C92130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1AF0AAC5" w14:textId="6DB1256E" w:rsidR="002C0854" w:rsidRPr="00F25565" w:rsidRDefault="000131A0" w:rsidP="00DB36B4">
            <w:pPr>
              <w:jc w:val="right"/>
              <w:cnfStyle w:val="000000000000" w:firstRow="0" w:lastRow="0" w:firstColumn="0" w:lastColumn="0" w:oddVBand="0" w:evenVBand="0" w:oddHBand="0" w:evenHBand="0" w:firstRowFirstColumn="0" w:firstRowLastColumn="0" w:lastRowFirstColumn="0" w:lastRowLastColumn="0"/>
            </w:pPr>
            <w:r>
              <w:t>29.95</w:t>
            </w:r>
          </w:p>
        </w:tc>
      </w:tr>
      <w:tr w:rsidR="002C0854" w:rsidRPr="00F25565" w14:paraId="5A34C854"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67920F55" w14:textId="77777777" w:rsidR="002C0854" w:rsidRPr="00A705D1" w:rsidRDefault="002C0854" w:rsidP="00F25565">
            <w:pPr>
              <w:rPr>
                <w:b w:val="0"/>
              </w:rPr>
            </w:pPr>
          </w:p>
        </w:tc>
        <w:tc>
          <w:tcPr>
            <w:tcW w:w="1234" w:type="pct"/>
          </w:tcPr>
          <w:p w14:paraId="696310D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Recycled Water Growth</w:t>
            </w:r>
          </w:p>
        </w:tc>
        <w:tc>
          <w:tcPr>
            <w:tcW w:w="1138" w:type="pct"/>
          </w:tcPr>
          <w:p w14:paraId="1889BD3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Ensuring new customers are provided with an affordable, reliable service from the day they require it</w:t>
            </w:r>
          </w:p>
        </w:tc>
        <w:tc>
          <w:tcPr>
            <w:tcW w:w="932" w:type="pct"/>
          </w:tcPr>
          <w:p w14:paraId="772D51F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20ADEF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4BC8320C" w14:textId="259E9C3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14.</w:t>
            </w:r>
            <w:r w:rsidR="000131A0">
              <w:t>29</w:t>
            </w:r>
          </w:p>
        </w:tc>
      </w:tr>
      <w:tr w:rsidR="002C0854" w:rsidRPr="00F25565" w14:paraId="6423E598"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5F633C8" w14:textId="77777777" w:rsidR="002C0854" w:rsidRPr="00A705D1" w:rsidRDefault="002C0854" w:rsidP="00F25565">
            <w:pPr>
              <w:rPr>
                <w:b w:val="0"/>
              </w:rPr>
            </w:pPr>
          </w:p>
        </w:tc>
        <w:tc>
          <w:tcPr>
            <w:tcW w:w="1234" w:type="pct"/>
          </w:tcPr>
          <w:p w14:paraId="412D3D6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Stormwater Harvesting</w:t>
            </w:r>
          </w:p>
        </w:tc>
        <w:tc>
          <w:tcPr>
            <w:tcW w:w="1138" w:type="pct"/>
          </w:tcPr>
          <w:p w14:paraId="7F993F4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This program will include a competitive, merit-based funding model which will ensure funded stormwater harvesting projects can provide the greatest liveability and environmental benefits at the lowest cost.</w:t>
            </w:r>
          </w:p>
        </w:tc>
        <w:tc>
          <w:tcPr>
            <w:tcW w:w="932" w:type="pct"/>
          </w:tcPr>
          <w:p w14:paraId="351E779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support our diverse communities and </w:t>
            </w:r>
            <w:proofErr w:type="gramStart"/>
            <w:r w:rsidRPr="00F25565">
              <w:t>customers</w:t>
            </w:r>
            <w:proofErr w:type="gramEnd"/>
          </w:p>
          <w:p w14:paraId="6CDEB73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 and care for Country</w:t>
            </w:r>
          </w:p>
        </w:tc>
        <w:tc>
          <w:tcPr>
            <w:tcW w:w="903" w:type="pct"/>
          </w:tcPr>
          <w:p w14:paraId="3726BCC0" w14:textId="539DD03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12.8</w:t>
            </w:r>
            <w:r w:rsidR="000131A0">
              <w:t>4</w:t>
            </w:r>
          </w:p>
        </w:tc>
      </w:tr>
      <w:tr w:rsidR="002C0854" w:rsidRPr="00F25565" w14:paraId="2C300FF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02BDBDF" w14:textId="77777777" w:rsidR="002C0854" w:rsidRPr="00A705D1" w:rsidRDefault="002C0854" w:rsidP="00F25565">
            <w:pPr>
              <w:rPr>
                <w:b w:val="0"/>
              </w:rPr>
            </w:pPr>
          </w:p>
        </w:tc>
        <w:tc>
          <w:tcPr>
            <w:tcW w:w="1234" w:type="pct"/>
          </w:tcPr>
          <w:p w14:paraId="3D9EEA2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Recycled Water Renewals</w:t>
            </w:r>
          </w:p>
        </w:tc>
        <w:tc>
          <w:tcPr>
            <w:tcW w:w="1138" w:type="pct"/>
          </w:tcPr>
          <w:p w14:paraId="148ABD55" w14:textId="5163F559"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Proactively manage critical Recycled Water tanks </w:t>
            </w:r>
            <w:r w:rsidR="00164F3D">
              <w:t xml:space="preserve">to </w:t>
            </w:r>
            <w:r w:rsidRPr="00F25565">
              <w:t>reduce</w:t>
            </w:r>
            <w:r w:rsidR="00164F3D">
              <w:t xml:space="preserve"> or potentially </w:t>
            </w:r>
            <w:r w:rsidRPr="00F25565">
              <w:t>eliminate unacceptable risks to customers and the environment.</w:t>
            </w:r>
          </w:p>
          <w:p w14:paraId="298E18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32" w:type="pct"/>
          </w:tcPr>
          <w:p w14:paraId="4B4D0B4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When things go </w:t>
            </w:r>
            <w:proofErr w:type="gramStart"/>
            <w:r w:rsidRPr="00F25565">
              <w:t>wrong</w:t>
            </w:r>
            <w:proofErr w:type="gramEnd"/>
            <w:r w:rsidRPr="00F25565">
              <w:t xml:space="preserve"> we fix them</w:t>
            </w:r>
          </w:p>
        </w:tc>
        <w:tc>
          <w:tcPr>
            <w:tcW w:w="903" w:type="pct"/>
          </w:tcPr>
          <w:p w14:paraId="65B6ADA2" w14:textId="1FBBBE2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6.8</w:t>
            </w:r>
            <w:r w:rsidR="000131A0">
              <w:t>4</w:t>
            </w:r>
          </w:p>
        </w:tc>
      </w:tr>
      <w:tr w:rsidR="002C0854" w:rsidRPr="00F25565" w14:paraId="076A286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4AE08690" w14:textId="77777777" w:rsidR="002C0854" w:rsidRPr="00A705D1" w:rsidRDefault="002C0854" w:rsidP="00F25565">
            <w:pPr>
              <w:rPr>
                <w:b w:val="0"/>
              </w:rPr>
            </w:pPr>
          </w:p>
        </w:tc>
        <w:tc>
          <w:tcPr>
            <w:tcW w:w="1234" w:type="pct"/>
          </w:tcPr>
          <w:p w14:paraId="22971F6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Other – Recycled Water</w:t>
            </w:r>
          </w:p>
        </w:tc>
        <w:tc>
          <w:tcPr>
            <w:tcW w:w="1138" w:type="pct"/>
          </w:tcPr>
          <w:p w14:paraId="1A9B704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Renewal of irrigation infrastructure critical for supplying Recycled Water customers and minimising the discharge of recycled water to local waterways.</w:t>
            </w:r>
          </w:p>
        </w:tc>
        <w:tc>
          <w:tcPr>
            <w:tcW w:w="932" w:type="pct"/>
          </w:tcPr>
          <w:p w14:paraId="582F3BC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2715B915" w14:textId="176B3265"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w:t>
            </w:r>
            <w:r w:rsidR="000131A0">
              <w:t>68</w:t>
            </w:r>
          </w:p>
        </w:tc>
      </w:tr>
      <w:tr w:rsidR="002C0854" w:rsidRPr="00F25565" w14:paraId="27667E7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0E9CE617" w14:textId="5F2816CB" w:rsidR="002C0854" w:rsidRPr="00A705D1" w:rsidRDefault="002C0854" w:rsidP="00F25565">
            <w:pPr>
              <w:rPr>
                <w:b w:val="0"/>
              </w:rPr>
            </w:pPr>
            <w:r w:rsidRPr="00A705D1">
              <w:rPr>
                <w:b w:val="0"/>
              </w:rPr>
              <w:t>Corporate</w:t>
            </w:r>
          </w:p>
        </w:tc>
        <w:tc>
          <w:tcPr>
            <w:tcW w:w="1234" w:type="pct"/>
          </w:tcPr>
          <w:p w14:paraId="3433BEB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Core Enabling Services</w:t>
            </w:r>
          </w:p>
        </w:tc>
        <w:tc>
          <w:tcPr>
            <w:tcW w:w="1138" w:type="pct"/>
          </w:tcPr>
          <w:p w14:paraId="4027914C"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Works to support key technology infrastructure and underlying business enabling services.</w:t>
            </w:r>
          </w:p>
          <w:p w14:paraId="48FDFA4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32" w:type="pct"/>
          </w:tcPr>
          <w:p w14:paraId="5276942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2A1ECF1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7AFBC2A0" w14:textId="25CAF67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70.</w:t>
            </w:r>
            <w:r w:rsidR="000131A0">
              <w:t>06</w:t>
            </w:r>
          </w:p>
        </w:tc>
      </w:tr>
      <w:tr w:rsidR="002C0854" w:rsidRPr="00F25565" w14:paraId="5FF7A56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20D9AE1" w14:textId="77777777" w:rsidR="002C0854" w:rsidRPr="00A705D1" w:rsidRDefault="002C0854" w:rsidP="00F25565">
            <w:pPr>
              <w:rPr>
                <w:b w:val="0"/>
              </w:rPr>
            </w:pPr>
          </w:p>
        </w:tc>
        <w:tc>
          <w:tcPr>
            <w:tcW w:w="1234" w:type="pct"/>
          </w:tcPr>
          <w:p w14:paraId="7EFB7DC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Asset</w:t>
            </w:r>
          </w:p>
        </w:tc>
        <w:tc>
          <w:tcPr>
            <w:tcW w:w="1138" w:type="pct"/>
          </w:tcPr>
          <w:p w14:paraId="11164066" w14:textId="5762CFDB"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Establishing foundational, fit for purpose systems and technology to support </w:t>
            </w:r>
            <w:r w:rsidRPr="00F25565">
              <w:lastRenderedPageBreak/>
              <w:t>improved strategic and tactical decision making</w:t>
            </w:r>
          </w:p>
        </w:tc>
        <w:tc>
          <w:tcPr>
            <w:tcW w:w="932" w:type="pct"/>
          </w:tcPr>
          <w:p w14:paraId="1DB1469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lastRenderedPageBreak/>
              <w:t>Your water is safe, consistent, and resilient.</w:t>
            </w:r>
          </w:p>
          <w:p w14:paraId="34ED2DC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lastRenderedPageBreak/>
              <w:t>When things go wrong, we fix them</w:t>
            </w:r>
          </w:p>
        </w:tc>
        <w:tc>
          <w:tcPr>
            <w:tcW w:w="903" w:type="pct"/>
          </w:tcPr>
          <w:p w14:paraId="0A00E902" w14:textId="03F223DD"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lastRenderedPageBreak/>
              <w:t>68.1</w:t>
            </w:r>
            <w:r w:rsidR="00084483">
              <w:t>3</w:t>
            </w:r>
          </w:p>
        </w:tc>
      </w:tr>
      <w:tr w:rsidR="002C0854" w:rsidRPr="00F25565" w14:paraId="40583B9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A922D2D" w14:textId="77777777" w:rsidR="002C0854" w:rsidRPr="00A705D1" w:rsidRDefault="002C0854" w:rsidP="00F25565">
            <w:pPr>
              <w:rPr>
                <w:b w:val="0"/>
              </w:rPr>
            </w:pPr>
          </w:p>
        </w:tc>
        <w:tc>
          <w:tcPr>
            <w:tcW w:w="1234" w:type="pct"/>
          </w:tcPr>
          <w:p w14:paraId="14DBE46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Core Business Development</w:t>
            </w:r>
          </w:p>
        </w:tc>
        <w:tc>
          <w:tcPr>
            <w:tcW w:w="1138" w:type="pct"/>
          </w:tcPr>
          <w:p w14:paraId="52D5063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Consolidation, development, and uplift of key platforms supporting our people, internal </w:t>
            </w:r>
            <w:proofErr w:type="gramStart"/>
            <w:r w:rsidRPr="00F25565">
              <w:t>processes</w:t>
            </w:r>
            <w:proofErr w:type="gramEnd"/>
            <w:r w:rsidRPr="00F25565">
              <w:t xml:space="preserve"> and capabilities to support our business services. </w:t>
            </w:r>
          </w:p>
        </w:tc>
        <w:tc>
          <w:tcPr>
            <w:tcW w:w="932" w:type="pct"/>
          </w:tcPr>
          <w:p w14:paraId="515CA04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When things go </w:t>
            </w:r>
            <w:proofErr w:type="gramStart"/>
            <w:r w:rsidRPr="00F25565">
              <w:t>wrong</w:t>
            </w:r>
            <w:proofErr w:type="gramEnd"/>
            <w:r w:rsidRPr="00F25565">
              <w:t xml:space="preserve"> we fix them</w:t>
            </w:r>
          </w:p>
          <w:p w14:paraId="697CDED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support our diverse communities and </w:t>
            </w:r>
            <w:proofErr w:type="gramStart"/>
            <w:r w:rsidRPr="00F25565">
              <w:t>customers</w:t>
            </w:r>
            <w:proofErr w:type="gramEnd"/>
          </w:p>
          <w:p w14:paraId="767EAAC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746ACD70" w14:textId="15DA5BC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36.9</w:t>
            </w:r>
            <w:r w:rsidR="00084483">
              <w:t>5</w:t>
            </w:r>
          </w:p>
        </w:tc>
      </w:tr>
      <w:tr w:rsidR="002C0854" w:rsidRPr="00F25565" w14:paraId="349DB217"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3F32471" w14:textId="77777777" w:rsidR="002C0854" w:rsidRPr="00A705D1" w:rsidRDefault="002C0854" w:rsidP="00F25565">
            <w:pPr>
              <w:rPr>
                <w:b w:val="0"/>
              </w:rPr>
            </w:pPr>
          </w:p>
        </w:tc>
        <w:tc>
          <w:tcPr>
            <w:tcW w:w="1234" w:type="pct"/>
          </w:tcPr>
          <w:p w14:paraId="71C9BDF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Asset Monitoring</w:t>
            </w:r>
          </w:p>
        </w:tc>
        <w:tc>
          <w:tcPr>
            <w:tcW w:w="1138" w:type="pct"/>
          </w:tcPr>
          <w:p w14:paraId="6388BDE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Enable greater visibility of the operational performance of GWW’s physical infrastructure, allowing for improved real time monitoring and control.</w:t>
            </w:r>
          </w:p>
        </w:tc>
        <w:tc>
          <w:tcPr>
            <w:tcW w:w="932" w:type="pct"/>
          </w:tcPr>
          <w:p w14:paraId="0FEA7B2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Your water is safe, </w:t>
            </w:r>
            <w:proofErr w:type="gramStart"/>
            <w:r w:rsidRPr="00F25565">
              <w:t>consistent</w:t>
            </w:r>
            <w:proofErr w:type="gramEnd"/>
            <w:r w:rsidRPr="00F25565">
              <w:t xml:space="preserve"> and resilient.</w:t>
            </w:r>
          </w:p>
          <w:p w14:paraId="3182282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When things go </w:t>
            </w:r>
            <w:proofErr w:type="gramStart"/>
            <w:r w:rsidRPr="00F25565">
              <w:t>wrong</w:t>
            </w:r>
            <w:proofErr w:type="gramEnd"/>
            <w:r w:rsidRPr="00F25565">
              <w:t xml:space="preserve"> we fix them</w:t>
            </w:r>
          </w:p>
          <w:p w14:paraId="694C575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tc>
        <w:tc>
          <w:tcPr>
            <w:tcW w:w="903" w:type="pct"/>
          </w:tcPr>
          <w:p w14:paraId="30BF43ED" w14:textId="377F422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36.8</w:t>
            </w:r>
            <w:r w:rsidR="00084483">
              <w:t>3</w:t>
            </w:r>
          </w:p>
        </w:tc>
      </w:tr>
      <w:tr w:rsidR="002C0854" w:rsidRPr="00F25565" w14:paraId="07A8D3E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0C5F1C7" w14:textId="77777777" w:rsidR="002C0854" w:rsidRPr="00A705D1" w:rsidRDefault="002C0854" w:rsidP="00F25565">
            <w:pPr>
              <w:rPr>
                <w:b w:val="0"/>
              </w:rPr>
            </w:pPr>
          </w:p>
        </w:tc>
        <w:tc>
          <w:tcPr>
            <w:tcW w:w="1234" w:type="pct"/>
          </w:tcPr>
          <w:p w14:paraId="64D9157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Corporate Works</w:t>
            </w:r>
          </w:p>
        </w:tc>
        <w:tc>
          <w:tcPr>
            <w:tcW w:w="1138" w:type="pct"/>
          </w:tcPr>
          <w:p w14:paraId="77195C9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Funding to replace motor vehicle </w:t>
            </w:r>
            <w:proofErr w:type="gramStart"/>
            <w:r w:rsidRPr="00F25565">
              <w:t>fleet</w:t>
            </w:r>
            <w:proofErr w:type="gramEnd"/>
          </w:p>
          <w:p w14:paraId="23019E9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Provide funding for replacement assets that are either end of life or no longer comply with relevant legislation</w:t>
            </w:r>
          </w:p>
        </w:tc>
        <w:tc>
          <w:tcPr>
            <w:tcW w:w="932" w:type="pct"/>
          </w:tcPr>
          <w:p w14:paraId="102EC8D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6DDB0DAF" w14:textId="6D4A9DCB"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24.</w:t>
            </w:r>
            <w:r w:rsidR="00084483">
              <w:t>75</w:t>
            </w:r>
          </w:p>
        </w:tc>
      </w:tr>
      <w:tr w:rsidR="002C0854" w:rsidRPr="00F25565" w14:paraId="1F91115B"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2D64352" w14:textId="77777777" w:rsidR="002C0854" w:rsidRPr="00A705D1" w:rsidRDefault="002C0854" w:rsidP="00F25565">
            <w:pPr>
              <w:rPr>
                <w:b w:val="0"/>
              </w:rPr>
            </w:pPr>
          </w:p>
        </w:tc>
        <w:tc>
          <w:tcPr>
            <w:tcW w:w="1234" w:type="pct"/>
          </w:tcPr>
          <w:p w14:paraId="20E18B0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Billing &amp; Customer</w:t>
            </w:r>
          </w:p>
        </w:tc>
        <w:tc>
          <w:tcPr>
            <w:tcW w:w="1138" w:type="pct"/>
          </w:tcPr>
          <w:p w14:paraId="079FC7FE" w14:textId="70AC7F14"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Work focusing on the completion of the billings and collections program, directly accessible customer and business facing solution</w:t>
            </w:r>
            <w:r w:rsidR="00084483">
              <w:t>s</w:t>
            </w:r>
            <w:r w:rsidRPr="00F25565">
              <w:t xml:space="preserve"> along with customer service communication and engagement channel improvements</w:t>
            </w:r>
          </w:p>
        </w:tc>
        <w:tc>
          <w:tcPr>
            <w:tcW w:w="932" w:type="pct"/>
          </w:tcPr>
          <w:p w14:paraId="321D9EDF"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We support our diverse customers and </w:t>
            </w:r>
            <w:proofErr w:type="gramStart"/>
            <w:r w:rsidRPr="00F25565">
              <w:t>communities</w:t>
            </w:r>
            <w:proofErr w:type="gramEnd"/>
          </w:p>
          <w:p w14:paraId="17C80815" w14:textId="7930DF30" w:rsidR="002C0854" w:rsidRPr="00F25565" w:rsidRDefault="00275528" w:rsidP="00F25565">
            <w:pPr>
              <w:cnfStyle w:val="000000000000" w:firstRow="0" w:lastRow="0" w:firstColumn="0" w:lastColumn="0" w:oddVBand="0" w:evenVBand="0" w:oddHBand="0" w:evenHBand="0" w:firstRowFirstColumn="0" w:firstRowLastColumn="0" w:lastRowFirstColumn="0" w:lastRowLastColumn="0"/>
            </w:pPr>
            <w:r>
              <w:t>We enable growth and help business to thrive</w:t>
            </w:r>
          </w:p>
        </w:tc>
        <w:tc>
          <w:tcPr>
            <w:tcW w:w="903" w:type="pct"/>
          </w:tcPr>
          <w:p w14:paraId="6FEAD8EE" w14:textId="06B75C76" w:rsidR="002C0854" w:rsidRPr="00F25565" w:rsidRDefault="00084483" w:rsidP="00DB36B4">
            <w:pPr>
              <w:jc w:val="right"/>
              <w:cnfStyle w:val="000000000000" w:firstRow="0" w:lastRow="0" w:firstColumn="0" w:lastColumn="0" w:oddVBand="0" w:evenVBand="0" w:oddHBand="0" w:evenHBand="0" w:firstRowFirstColumn="0" w:firstRowLastColumn="0" w:lastRowFirstColumn="0" w:lastRowLastColumn="0"/>
            </w:pPr>
            <w:r>
              <w:t>21.99</w:t>
            </w:r>
          </w:p>
        </w:tc>
      </w:tr>
      <w:tr w:rsidR="002C0854" w:rsidRPr="00F25565" w14:paraId="06089110"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B53A34E" w14:textId="77777777" w:rsidR="002C0854" w:rsidRPr="00A705D1" w:rsidRDefault="002C0854" w:rsidP="00F25565">
            <w:pPr>
              <w:rPr>
                <w:b w:val="0"/>
              </w:rPr>
            </w:pPr>
          </w:p>
        </w:tc>
        <w:tc>
          <w:tcPr>
            <w:tcW w:w="1234" w:type="pct"/>
          </w:tcPr>
          <w:p w14:paraId="72ACB99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Emissions Reduction</w:t>
            </w:r>
          </w:p>
        </w:tc>
        <w:tc>
          <w:tcPr>
            <w:tcW w:w="1138" w:type="pct"/>
          </w:tcPr>
          <w:p w14:paraId="67595A14" w14:textId="73FC1989"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Support GWW’s progress towards reaching its 2030 net zero emissions target in our S</w:t>
            </w:r>
            <w:r w:rsidR="0046198F">
              <w:t xml:space="preserve">tatement of </w:t>
            </w:r>
            <w:r w:rsidRPr="00F25565">
              <w:t>O</w:t>
            </w:r>
            <w:r w:rsidR="0046198F">
              <w:t>bligation.</w:t>
            </w:r>
          </w:p>
        </w:tc>
        <w:tc>
          <w:tcPr>
            <w:tcW w:w="932" w:type="pct"/>
          </w:tcPr>
          <w:p w14:paraId="69E1AB5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117664E0" w14:textId="4E90529B" w:rsidR="002C0854" w:rsidRPr="00F25565" w:rsidRDefault="00A15842" w:rsidP="00DB36B4">
            <w:pPr>
              <w:jc w:val="right"/>
              <w:cnfStyle w:val="000000000000" w:firstRow="0" w:lastRow="0" w:firstColumn="0" w:lastColumn="0" w:oddVBand="0" w:evenVBand="0" w:oddHBand="0" w:evenHBand="0" w:firstRowFirstColumn="0" w:firstRowLastColumn="0" w:lastRowFirstColumn="0" w:lastRowLastColumn="0"/>
            </w:pPr>
            <w:r>
              <w:t>11.19</w:t>
            </w:r>
          </w:p>
        </w:tc>
      </w:tr>
      <w:tr w:rsidR="002C0854" w:rsidRPr="00F25565" w14:paraId="5871BD4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1B1C252" w14:textId="77777777" w:rsidR="002C0854" w:rsidRPr="00A705D1" w:rsidRDefault="002C0854" w:rsidP="00F25565">
            <w:pPr>
              <w:rPr>
                <w:b w:val="0"/>
              </w:rPr>
            </w:pPr>
          </w:p>
        </w:tc>
        <w:tc>
          <w:tcPr>
            <w:tcW w:w="1234" w:type="pct"/>
          </w:tcPr>
          <w:p w14:paraId="6B787D6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ADOR capitalisation</w:t>
            </w:r>
          </w:p>
        </w:tc>
        <w:tc>
          <w:tcPr>
            <w:tcW w:w="1138" w:type="pct"/>
          </w:tcPr>
          <w:p w14:paraId="086FF2C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Addressing the deliverability of our capital plan throughout the 2023-24 to 2027-28 period and into the future</w:t>
            </w:r>
          </w:p>
        </w:tc>
        <w:tc>
          <w:tcPr>
            <w:tcW w:w="932" w:type="pct"/>
          </w:tcPr>
          <w:p w14:paraId="49C1504C"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When things go wrong, we fix </w:t>
            </w:r>
            <w:proofErr w:type="gramStart"/>
            <w:r w:rsidRPr="00F25565">
              <w:t>them</w:t>
            </w:r>
            <w:proofErr w:type="gramEnd"/>
          </w:p>
          <w:p w14:paraId="1832608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5FAF0578" w14:textId="08CA4572" w:rsidR="002C0854" w:rsidRPr="00F25565" w:rsidRDefault="00A15842" w:rsidP="00DB36B4">
            <w:pPr>
              <w:jc w:val="right"/>
              <w:cnfStyle w:val="000000000000" w:firstRow="0" w:lastRow="0" w:firstColumn="0" w:lastColumn="0" w:oddVBand="0" w:evenVBand="0" w:oddHBand="0" w:evenHBand="0" w:firstRowFirstColumn="0" w:firstRowLastColumn="0" w:lastRowFirstColumn="0" w:lastRowLastColumn="0"/>
            </w:pPr>
            <w:r>
              <w:t>5.82</w:t>
            </w:r>
          </w:p>
        </w:tc>
      </w:tr>
    </w:tbl>
    <w:p w14:paraId="278FD7DE" w14:textId="77777777" w:rsidR="00534C12" w:rsidRPr="00736243" w:rsidRDefault="00534C12" w:rsidP="00534C12"/>
    <w:p w14:paraId="6D717CCB" w14:textId="77777777" w:rsidR="008840C1" w:rsidRPr="002B1AE7" w:rsidRDefault="008840C1" w:rsidP="00534C12">
      <w:pPr>
        <w:shd w:val="clear" w:color="auto" w:fill="FFFFFF"/>
        <w:spacing w:after="0" w:line="240" w:lineRule="auto"/>
        <w:textAlignment w:val="baseline"/>
        <w:rPr>
          <w:rFonts w:ascii="Segoe UI" w:hAnsi="Segoe UI"/>
          <w:sz w:val="18"/>
          <w:szCs w:val="18"/>
          <w:lang w:eastAsia="en-AU"/>
        </w:rPr>
      </w:pPr>
      <w:r>
        <w:rPr>
          <w:lang w:eastAsia="en-AU"/>
        </w:rPr>
        <w:t xml:space="preserve"> </w:t>
      </w:r>
    </w:p>
    <w:p w14:paraId="435C147B" w14:textId="77777777" w:rsidR="00595F07" w:rsidRDefault="00595F07" w:rsidP="008840C1">
      <w:pPr>
        <w:sectPr w:rsidR="00595F07" w:rsidSect="008C1A38">
          <w:headerReference w:type="default" r:id="rId98"/>
          <w:pgSz w:w="11906" w:h="16838" w:code="9"/>
          <w:pgMar w:top="1134" w:right="1134" w:bottom="1134" w:left="1134" w:header="709" w:footer="652" w:gutter="0"/>
          <w:cols w:space="708"/>
          <w:docGrid w:linePitch="360"/>
        </w:sectPr>
      </w:pPr>
    </w:p>
    <w:p w14:paraId="6891CB67" w14:textId="1F9BAFFC" w:rsidR="00566DA5" w:rsidRDefault="00595F07" w:rsidP="0067458D">
      <w:pPr>
        <w:pStyle w:val="AppendixL1LPcreated"/>
      </w:pPr>
      <w:bookmarkStart w:id="386" w:name="_Ref145922772"/>
      <w:bookmarkStart w:id="387" w:name="_Ref145923095"/>
      <w:bookmarkStart w:id="388" w:name="_Ref145923251"/>
      <w:bookmarkStart w:id="389" w:name="_Ref145923446"/>
      <w:bookmarkStart w:id="390" w:name="_Toc146004917"/>
      <w:bookmarkStart w:id="391" w:name="_Toc146004805"/>
      <w:bookmarkStart w:id="392" w:name="_Toc146746751"/>
      <w:r>
        <w:lastRenderedPageBreak/>
        <w:t>Operating expenditure</w:t>
      </w:r>
      <w:bookmarkEnd w:id="386"/>
      <w:bookmarkEnd w:id="387"/>
      <w:bookmarkEnd w:id="388"/>
      <w:bookmarkEnd w:id="389"/>
      <w:bookmarkEnd w:id="390"/>
      <w:bookmarkEnd w:id="391"/>
      <w:bookmarkEnd w:id="392"/>
    </w:p>
    <w:p w14:paraId="4D1402BD" w14:textId="77777777" w:rsidR="0009176D" w:rsidRDefault="0009176D" w:rsidP="0009176D">
      <w:r>
        <w:t>This appendix discusses in detail the operating expenditure performance over the current period, the justification of the base year, and all components that comprise of the operating expenditure forecast.</w:t>
      </w:r>
    </w:p>
    <w:p w14:paraId="13B9F244" w14:textId="77777777" w:rsidR="0009176D" w:rsidRDefault="0009176D" w:rsidP="0009176D">
      <w:r>
        <w:t xml:space="preserve">Throughout this appendix, GWW discusses the difference between actual operating expenditure incurred over the current regulatory period and operating expenditure that was used by the ESC to develop prices in the 2018 CWW determination and 2020 WW Determination. GWW is not a simple aggregation of the two pre-existing businesses, and costs have not been ring fenced to the prior organisations post-integration. The integration has fundamentally changed the </w:t>
      </w:r>
      <w:proofErr w:type="gramStart"/>
      <w:r>
        <w:t>manner in which</w:t>
      </w:r>
      <w:proofErr w:type="gramEnd"/>
      <w:r>
        <w:t xml:space="preserve"> we conduct our operations. Neither the 2018 CWW determination or the 2020 WW determination considered the cost impact of integration, as such the operating expenditure associated with integration was not incorporated into CWW or WW prices over the regulatory period. The considerable change to business structure and operation, as well as the lack of cost ring fencing needs to be </w:t>
      </w:r>
      <w:proofErr w:type="gramStart"/>
      <w:r>
        <w:t>taken into account</w:t>
      </w:r>
      <w:proofErr w:type="gramEnd"/>
      <w:r>
        <w:t xml:space="preserve"> in comparison between historical determination forecasts of operating expenditure and actual expenditure. </w:t>
      </w:r>
    </w:p>
    <w:p w14:paraId="5F8FD9DE" w14:textId="77777777" w:rsidR="0009176D" w:rsidRDefault="0009176D" w:rsidP="001C3516">
      <w:pPr>
        <w:pStyle w:val="appendixHlevel2LPcreated"/>
      </w:pPr>
      <w:bookmarkStart w:id="393" w:name="_Toc146004918"/>
      <w:bookmarkStart w:id="394" w:name="_Toc146004806"/>
      <w:bookmarkStart w:id="395" w:name="_Toc146746752"/>
      <w:r>
        <w:t>Current period performance</w:t>
      </w:r>
      <w:bookmarkEnd w:id="393"/>
      <w:bookmarkEnd w:id="394"/>
      <w:bookmarkEnd w:id="395"/>
      <w:r>
        <w:t xml:space="preserve"> </w:t>
      </w:r>
    </w:p>
    <w:p w14:paraId="2CA5F836" w14:textId="60D5B95D" w:rsidR="0009176D" w:rsidRDefault="0009176D" w:rsidP="0009176D">
      <w:r>
        <w:t>GWW’s operating expenditure over the current regulatory period exceeded the ESC’s 2018 determination for CWW and 2020 determination for WW by 7.9% or $71.5</w:t>
      </w:r>
      <w:r w:rsidR="008A07EC">
        <w:t xml:space="preserve"> million</w:t>
      </w:r>
      <w:r>
        <w:t>. This is the result of integration expenses, transformation programs, external cost drivers and changes in obligations.</w:t>
      </w:r>
    </w:p>
    <w:p w14:paraId="277B1222" w14:textId="18B23C58" w:rsidR="0009176D" w:rsidRDefault="0009176D" w:rsidP="0009176D">
      <w:r>
        <w:t>Operating expenditure per connection has increased over the regulatory period. A combined operating expenditure per connection for CWW and WW was forecast to decline from $326 per connection in 2018-19 to $303 in 2022-23 from the 2018 and 2020 determinations. Actual costs increased from $326 per connections in 2018</w:t>
      </w:r>
      <w:r w:rsidR="00390B23">
        <w:t>-19</w:t>
      </w:r>
      <w:r>
        <w:t xml:space="preserve"> to $341 in 2022-23 for GWW. Note this is based on operating expenditure that excludes one-off adjustments in the 2022-23 year. </w:t>
      </w:r>
    </w:p>
    <w:p w14:paraId="1197438F" w14:textId="045ED538" w:rsidR="00026538" w:rsidRPr="003F5828" w:rsidRDefault="0009176D" w:rsidP="003F5828">
      <w:r>
        <w:t>Customer connections have grown over the current regulatory period to be 1.32% higher in 2022-23 (relative to the 2018 CWW determination and the 2020 WW determinations). This is equivalent to 8,048 new water customers.</w:t>
      </w:r>
    </w:p>
    <w:p w14:paraId="07C7AC12" w14:textId="2D2D3295" w:rsidR="00F27485" w:rsidRDefault="00F27485" w:rsidP="001F3B0D">
      <w:pPr>
        <w:pStyle w:val="Caption"/>
        <w:rPr>
          <w:b/>
        </w:rPr>
      </w:pPr>
      <w:r>
        <w:rPr>
          <w:b/>
          <w:noProof/>
        </w:rPr>
        <w:lastRenderedPageBreak/>
        <w:drawing>
          <wp:inline distT="0" distB="0" distL="0" distR="0" wp14:anchorId="341D4773" wp14:editId="23B578FF">
            <wp:extent cx="6120765" cy="3535680"/>
            <wp:effectExtent l="0" t="0" r="0" b="7620"/>
            <wp:docPr id="72" name="Picture 72" descr="Line graph with 6 data sets (3 actual, 3 against determination). X-axis title “Controllable opex per connection ($) shows values 0 to 900, increasing in intervals of 100. X axis shows years from 2017-18 to 2027-28. Datasets show CWW Actual aligns with determinations from years 2017-18 to 2020-21 and then increases from $268 to $344 in year 2022-23. WW actual aligns with determination from years 2017-18 to 2019-20 and then increases in years 2020-21 from $751 to $785.  &#10;&#10;Datasets for WW and CWW align to GWW Actual/forecast from year 2022-23 starting at $344 and steadily declines to $310 by 2027-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ine graph with 6 data sets (3 actual, 3 against determination). X-axis title “Controllable opex per connection ($) shows values 0 to 900, increasing in intervals of 100. X axis shows years from 2017-18 to 2027-28. Datasets show CWW Actual aligns with determinations from years 2017-18 to 2020-21 and then increases from $268 to $344 in year 2022-23. WW actual aligns with determination from years 2017-18 to 2019-20 and then increases in years 2020-21 from $751 to $785.  &#10;&#10;Datasets for WW and CWW align to GWW Actual/forecast from year 2022-23 starting at $344 and steadily declines to $310 by 2027-28.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765" cy="3535680"/>
                    </a:xfrm>
                    <a:prstGeom prst="rect">
                      <a:avLst/>
                    </a:prstGeom>
                    <a:noFill/>
                  </pic:spPr>
                </pic:pic>
              </a:graphicData>
            </a:graphic>
          </wp:inline>
        </w:drawing>
      </w:r>
    </w:p>
    <w:p w14:paraId="4CA5D6E2" w14:textId="365C236C" w:rsidR="001F3B0D" w:rsidRDefault="001F3B0D" w:rsidP="001F3B0D">
      <w:pPr>
        <w:pStyle w:val="Caption"/>
      </w:pPr>
      <w:r w:rsidRPr="000574A4">
        <w:rPr>
          <w:b/>
        </w:rPr>
        <w:t xml:space="preserve">Figure </w:t>
      </w:r>
      <w:r w:rsidR="001F7221" w:rsidRPr="000574A4">
        <w:rPr>
          <w:b/>
        </w:rPr>
        <w:fldChar w:fldCharType="begin"/>
      </w:r>
      <w:r w:rsidR="001F7221" w:rsidRPr="000574A4">
        <w:rPr>
          <w:b/>
        </w:rPr>
        <w:instrText xml:space="preserve"> SEQ Figure \* ARABIC </w:instrText>
      </w:r>
      <w:r w:rsidR="001F7221" w:rsidRPr="000574A4">
        <w:rPr>
          <w:b/>
        </w:rPr>
        <w:fldChar w:fldCharType="separate"/>
      </w:r>
      <w:r w:rsidR="003B42C6">
        <w:rPr>
          <w:b/>
          <w:noProof/>
        </w:rPr>
        <w:t>47</w:t>
      </w:r>
      <w:r w:rsidR="001F7221" w:rsidRPr="000574A4">
        <w:rPr>
          <w:b/>
        </w:rPr>
        <w:fldChar w:fldCharType="end"/>
      </w:r>
      <w:r w:rsidRPr="000574A4">
        <w:rPr>
          <w:b/>
        </w:rPr>
        <w:t xml:space="preserve"> </w:t>
      </w:r>
      <w:r>
        <w:t xml:space="preserve">Controllable </w:t>
      </w:r>
      <w:proofErr w:type="spellStart"/>
      <w:r w:rsidR="002E24BD">
        <w:t>o</w:t>
      </w:r>
      <w:r>
        <w:t>pex</w:t>
      </w:r>
      <w:proofErr w:type="spellEnd"/>
      <w:r>
        <w:t xml:space="preserve"> per connection ($, 2023-24)</w:t>
      </w:r>
    </w:p>
    <w:p w14:paraId="7B9B6C55" w14:textId="77777777" w:rsidR="00C94830" w:rsidRPr="00C94830" w:rsidRDefault="00C94830" w:rsidP="00C94830">
      <w:r w:rsidRPr="00C94830">
        <w:t>GWW’s operating expenditure over the current regulatory period (2018-19 to 2022-23) and our forecasts for next regulatory period(s) is driven by four broad programs of works:</w:t>
      </w:r>
    </w:p>
    <w:p w14:paraId="149803F3" w14:textId="5816D92D" w:rsidR="00C94830" w:rsidRPr="00C94830" w:rsidRDefault="00C94830" w:rsidP="00C94830">
      <w:pPr>
        <w:pStyle w:val="ListBullet"/>
      </w:pPr>
      <w:r w:rsidRPr="00C94830">
        <w:rPr>
          <w:b/>
          <w:bCs/>
        </w:rPr>
        <w:t xml:space="preserve">Costs associated with </w:t>
      </w:r>
      <w:r w:rsidR="00E31495" w:rsidRPr="00C94830">
        <w:rPr>
          <w:b/>
          <w:bCs/>
        </w:rPr>
        <w:t>integr</w:t>
      </w:r>
      <w:r w:rsidR="00E31495">
        <w:rPr>
          <w:b/>
          <w:bCs/>
        </w:rPr>
        <w:t>ation of</w:t>
      </w:r>
      <w:r w:rsidRPr="00C94830">
        <w:rPr>
          <w:b/>
          <w:bCs/>
        </w:rPr>
        <w:t xml:space="preserve"> CWW and WW</w:t>
      </w:r>
      <w:r w:rsidRPr="00C94830">
        <w:t xml:space="preserve">: These are the core operating costs needed to consolidate the systems, </w:t>
      </w:r>
      <w:proofErr w:type="gramStart"/>
      <w:r w:rsidRPr="00C94830">
        <w:t>people</w:t>
      </w:r>
      <w:proofErr w:type="gramEnd"/>
      <w:r w:rsidRPr="00C94830">
        <w:t xml:space="preserve"> and processes of the two entities to enable delivery of the new integration </w:t>
      </w:r>
      <w:r w:rsidR="00FC636B">
        <w:t xml:space="preserve">to </w:t>
      </w:r>
      <w:r w:rsidRPr="00C94830">
        <w:t>maintain CWWs and WWs level of service and water security.</w:t>
      </w:r>
    </w:p>
    <w:p w14:paraId="26DC398D" w14:textId="77777777" w:rsidR="00C94830" w:rsidRPr="00C94830" w:rsidRDefault="00C94830" w:rsidP="00C94830">
      <w:pPr>
        <w:pStyle w:val="ListBullet"/>
      </w:pPr>
      <w:r w:rsidRPr="00C94830">
        <w:rPr>
          <w:b/>
          <w:bCs/>
        </w:rPr>
        <w:t>Costs associated with adding value and transforming our operating expenditure programs</w:t>
      </w:r>
      <w:r w:rsidRPr="00C94830">
        <w:t>: integration provides a unique opportunity to transform our business to deliver services differently and meet legislative and regulatory requirements more efficiently, for example:</w:t>
      </w:r>
    </w:p>
    <w:p w14:paraId="69989982" w14:textId="77777777" w:rsidR="00C94830" w:rsidRPr="00C94830" w:rsidRDefault="00C94830">
      <w:pPr>
        <w:pStyle w:val="ListBullet"/>
        <w:numPr>
          <w:ilvl w:val="1"/>
          <w:numId w:val="40"/>
        </w:numPr>
      </w:pPr>
      <w:r w:rsidRPr="00C94830">
        <w:t xml:space="preserve">increased investment in </w:t>
      </w:r>
      <w:r w:rsidRPr="00C94830">
        <w:rPr>
          <w:b/>
          <w:bCs/>
        </w:rPr>
        <w:t>safety</w:t>
      </w:r>
      <w:r w:rsidRPr="00C94830">
        <w:t xml:space="preserve"> transformation program and systems and processes to support our people in the field, which was identified as a key risk through the integration </w:t>
      </w:r>
      <w:proofErr w:type="gramStart"/>
      <w:r w:rsidRPr="00C94830">
        <w:t>program</w:t>
      </w:r>
      <w:proofErr w:type="gramEnd"/>
    </w:p>
    <w:p w14:paraId="1E45EE6A" w14:textId="77777777" w:rsidR="00C94830" w:rsidRPr="00C94830" w:rsidRDefault="00C94830">
      <w:pPr>
        <w:pStyle w:val="ListBullet"/>
        <w:numPr>
          <w:ilvl w:val="1"/>
          <w:numId w:val="40"/>
        </w:numPr>
      </w:pPr>
      <w:r w:rsidRPr="00C94830">
        <w:t xml:space="preserve">transforming </w:t>
      </w:r>
      <w:r w:rsidRPr="00C94830">
        <w:rPr>
          <w:b/>
          <w:bCs/>
        </w:rPr>
        <w:t>customer services</w:t>
      </w:r>
      <w:r w:rsidRPr="00C94830">
        <w:t xml:space="preserve"> through COVID and as we transform service delivery to increase digital transactions.</w:t>
      </w:r>
    </w:p>
    <w:p w14:paraId="7BD81858" w14:textId="77777777" w:rsidR="00C94830" w:rsidRPr="00C94830" w:rsidRDefault="00C94830">
      <w:pPr>
        <w:pStyle w:val="ListBullet"/>
        <w:numPr>
          <w:ilvl w:val="1"/>
          <w:numId w:val="40"/>
        </w:numPr>
      </w:pPr>
      <w:r w:rsidRPr="00C94830">
        <w:t xml:space="preserve">maintaining, </w:t>
      </w:r>
      <w:proofErr w:type="gramStart"/>
      <w:r w:rsidRPr="00C94830">
        <w:t>transforming</w:t>
      </w:r>
      <w:proofErr w:type="gramEnd"/>
      <w:r w:rsidRPr="00C94830">
        <w:t xml:space="preserve"> and optimising our </w:t>
      </w:r>
      <w:r w:rsidRPr="00C94830">
        <w:rPr>
          <w:b/>
          <w:bCs/>
        </w:rPr>
        <w:t>asset delivery</w:t>
      </w:r>
      <w:r w:rsidRPr="00C94830">
        <w:t xml:space="preserve"> processes (ADOR) to lower long term operating costs.  </w:t>
      </w:r>
    </w:p>
    <w:p w14:paraId="2C2ADEE2" w14:textId="77777777" w:rsidR="00C94830" w:rsidRPr="00C94830" w:rsidRDefault="00C94830">
      <w:pPr>
        <w:pStyle w:val="ListBullet"/>
        <w:numPr>
          <w:ilvl w:val="1"/>
          <w:numId w:val="40"/>
        </w:numPr>
      </w:pPr>
      <w:r w:rsidRPr="00C94830">
        <w:t xml:space="preserve">exploring long-term solutions to manage </w:t>
      </w:r>
      <w:r w:rsidRPr="00C94830">
        <w:rPr>
          <w:b/>
          <w:bCs/>
        </w:rPr>
        <w:t>compliance</w:t>
      </w:r>
      <w:r w:rsidRPr="00C94830">
        <w:t xml:space="preserve"> with our EPA licence and Drinking Water Standards</w:t>
      </w:r>
    </w:p>
    <w:p w14:paraId="03B541C6" w14:textId="77777777" w:rsidR="00C94830" w:rsidRPr="00C94830" w:rsidRDefault="00C94830">
      <w:pPr>
        <w:pStyle w:val="ListBullet"/>
        <w:numPr>
          <w:ilvl w:val="1"/>
          <w:numId w:val="40"/>
        </w:numPr>
      </w:pPr>
      <w:r w:rsidRPr="00C94830">
        <w:t xml:space="preserve">streamlining key </w:t>
      </w:r>
      <w:r w:rsidRPr="00C94830">
        <w:rPr>
          <w:b/>
          <w:bCs/>
        </w:rPr>
        <w:t>corporate functions</w:t>
      </w:r>
      <w:r w:rsidRPr="00C94830">
        <w:t xml:space="preserve"> to the new business model. </w:t>
      </w:r>
    </w:p>
    <w:p w14:paraId="5BA8E8D9" w14:textId="77777777" w:rsidR="00C94830" w:rsidRPr="00C94830" w:rsidRDefault="00C94830" w:rsidP="00C94830">
      <w:pPr>
        <w:pStyle w:val="ListBullet"/>
      </w:pPr>
      <w:r w:rsidRPr="00C94830">
        <w:rPr>
          <w:b/>
          <w:bCs/>
        </w:rPr>
        <w:t>Changes in obligations</w:t>
      </w:r>
      <w:r w:rsidRPr="00C94830">
        <w:t>: these are costs that are not directly related to integration and are due to regulatory, policy and legislative changes.</w:t>
      </w:r>
    </w:p>
    <w:p w14:paraId="79F9B534" w14:textId="77777777" w:rsidR="00C94830" w:rsidRPr="00C94830" w:rsidRDefault="00C94830" w:rsidP="00C94830">
      <w:pPr>
        <w:pStyle w:val="ListBullet"/>
      </w:pPr>
      <w:r w:rsidRPr="00C94830">
        <w:rPr>
          <w:b/>
          <w:bCs/>
        </w:rPr>
        <w:t>External cost drivers</w:t>
      </w:r>
      <w:r w:rsidRPr="00C94830">
        <w:t>:</w:t>
      </w:r>
      <w:r w:rsidRPr="00C94830" w:rsidDel="004A5882">
        <w:t xml:space="preserve"> </w:t>
      </w:r>
      <w:r w:rsidRPr="00C94830">
        <w:t xml:space="preserve">these are costs that are not directly related to integration but are driven by changes in our external operating environment that have resulted in additional costs across operations and maintenance, </w:t>
      </w:r>
      <w:proofErr w:type="gramStart"/>
      <w:r w:rsidRPr="00C94830">
        <w:t>IT</w:t>
      </w:r>
      <w:proofErr w:type="gramEnd"/>
      <w:r w:rsidRPr="00C94830">
        <w:t xml:space="preserve"> and energy.</w:t>
      </w:r>
    </w:p>
    <w:p w14:paraId="3295A4B6" w14:textId="564DA8B8" w:rsidR="00C94830" w:rsidRPr="00343AF5" w:rsidRDefault="00C94830" w:rsidP="00C94830">
      <w:r w:rsidRPr="00C94830">
        <w:lastRenderedPageBreak/>
        <w:t>The remainder of this section discusses our current period performance through these four broad programs of works, and show the additional expenditure, or savings, compared to the 2018 CWW determination and 2020 WW Determination.</w:t>
      </w:r>
      <w:r w:rsidR="00DB308C">
        <w:t xml:space="preserve"> </w:t>
      </w:r>
      <w:r w:rsidRPr="00C94830">
        <w:t>These four programs explain almost 90% of the above determination costs. The remainder are presented in the section on ‘</w:t>
      </w:r>
      <w:r w:rsidRPr="00C94830">
        <w:fldChar w:fldCharType="begin"/>
      </w:r>
      <w:r w:rsidRPr="00C94830">
        <w:instrText xml:space="preserve"> REF _Ref144473052 \h  \* MERGEFORMAT </w:instrText>
      </w:r>
      <w:r w:rsidRPr="00C94830">
        <w:fldChar w:fldCharType="separate"/>
      </w:r>
      <w:r w:rsidR="003B42C6" w:rsidRPr="00C704F8">
        <w:t>Efficiency of the base year</w:t>
      </w:r>
      <w:r w:rsidRPr="00C94830">
        <w:fldChar w:fldCharType="end"/>
      </w:r>
      <w:r w:rsidRPr="00C94830">
        <w:t xml:space="preserve">.’ </w:t>
      </w:r>
    </w:p>
    <w:p w14:paraId="49702020" w14:textId="1C3CC532" w:rsidR="00E6153C" w:rsidRPr="00E6153C" w:rsidRDefault="00E6153C" w:rsidP="004D1DF6">
      <w:pPr>
        <w:pStyle w:val="apph1xLP"/>
      </w:pPr>
      <w:r w:rsidRPr="00E6153C">
        <w:t xml:space="preserve">Current period performance: </w:t>
      </w:r>
      <w:r w:rsidR="00437EBB">
        <w:t>I</w:t>
      </w:r>
      <w:r w:rsidRPr="00E6153C">
        <w:t>ntegration</w:t>
      </w:r>
    </w:p>
    <w:p w14:paraId="6D8D4610" w14:textId="77777777" w:rsidR="00E6153C" w:rsidRPr="00E6153C" w:rsidRDefault="00E6153C" w:rsidP="00E6153C">
      <w:r w:rsidRPr="00E6153C">
        <w:t>Integration costs are mostly administrative in nature such as:</w:t>
      </w:r>
    </w:p>
    <w:p w14:paraId="3F054195" w14:textId="7432CF26" w:rsidR="00E6153C" w:rsidRPr="00E6153C" w:rsidRDefault="00E6153C" w:rsidP="00E6153C">
      <w:pPr>
        <w:pStyle w:val="ListBullet"/>
      </w:pPr>
      <w:r w:rsidRPr="00E6153C">
        <w:t>Consolidation of back-end systems: Both businesses had two sets of systems and a process was used for several back-end systems (such as payroll, HR, finance) to choose the most fit for purpose system going forward, import data and retire the un-used system.</w:t>
      </w:r>
    </w:p>
    <w:p w14:paraId="47B1D04A" w14:textId="65C1FDA5" w:rsidR="00E6153C" w:rsidRPr="00E6153C" w:rsidRDefault="00E6153C" w:rsidP="00E6153C">
      <w:pPr>
        <w:pStyle w:val="ListBullet"/>
      </w:pPr>
      <w:r w:rsidRPr="00E6153C">
        <w:t>Workforce management: As the predecessor businesses both had executive management and a board, savings were able to be achieved almost immediately and through natural attrition.</w:t>
      </w:r>
    </w:p>
    <w:p w14:paraId="3FD55FD4" w14:textId="15CA406B" w:rsidR="00E6153C" w:rsidRPr="00E6153C" w:rsidRDefault="00E6153C" w:rsidP="00E6153C">
      <w:r w:rsidRPr="00E6153C">
        <w:t xml:space="preserve">The restructure of City West Water and Western Water was formalised by the acting Minister for Water in February 2021 through two ministerial determinations made under the </w:t>
      </w:r>
      <w:r w:rsidRPr="002B3A66">
        <w:rPr>
          <w:i/>
        </w:rPr>
        <w:t>Water Act 1989</w:t>
      </w:r>
      <w:r w:rsidRPr="00E6153C">
        <w:t>.</w:t>
      </w:r>
      <w:r w:rsidR="0084356A" w:rsidRPr="00343AF5">
        <w:rPr>
          <w:vertAlign w:val="superscript"/>
        </w:rPr>
        <w:endnoteReference w:id="27"/>
      </w:r>
      <w:r w:rsidR="0084356A">
        <w:t xml:space="preserve"> </w:t>
      </w:r>
      <w:r w:rsidRPr="00E6153C">
        <w:t>These two ministerial determinations along with the Minister’s announcement placed obligations on the new entity (GWW) and its integration of CWW and WW. These included:</w:t>
      </w:r>
    </w:p>
    <w:p w14:paraId="77CA30D6" w14:textId="055C62F2" w:rsidR="00E6153C" w:rsidRPr="00E6153C" w:rsidRDefault="003F1DA4" w:rsidP="00E6153C">
      <w:pPr>
        <w:pStyle w:val="ListBullet"/>
      </w:pPr>
      <w:r>
        <w:t>a</w:t>
      </w:r>
      <w:r w:rsidR="00E6153C" w:rsidRPr="00E6153C">
        <w:t xml:space="preserve">ll existing staff (executive and non-executive) would be transferred to the new </w:t>
      </w:r>
      <w:proofErr w:type="gramStart"/>
      <w:r w:rsidR="00E6153C" w:rsidRPr="00E6153C">
        <w:t>entity</w:t>
      </w:r>
      <w:proofErr w:type="gramEnd"/>
      <w:r w:rsidR="00E6153C" w:rsidRPr="00E6153C">
        <w:t> </w:t>
      </w:r>
    </w:p>
    <w:p w14:paraId="22C0865E" w14:textId="6156C9D7" w:rsidR="00E6153C" w:rsidRPr="00E6153C" w:rsidRDefault="003F1DA4" w:rsidP="00E6153C">
      <w:pPr>
        <w:pStyle w:val="ListBullet"/>
      </w:pPr>
      <w:r>
        <w:t>a</w:t>
      </w:r>
      <w:r w:rsidR="00E6153C" w:rsidRPr="00E6153C">
        <w:t xml:space="preserve">ll depots and offices would </w:t>
      </w:r>
      <w:proofErr w:type="gramStart"/>
      <w:r w:rsidR="00E6153C" w:rsidRPr="00E6153C">
        <w:t>remain</w:t>
      </w:r>
      <w:proofErr w:type="gramEnd"/>
    </w:p>
    <w:p w14:paraId="4EEF8B1B" w14:textId="312437CA" w:rsidR="00E6153C" w:rsidRPr="00E6153C" w:rsidRDefault="003F1DA4" w:rsidP="00E6153C">
      <w:pPr>
        <w:pStyle w:val="ListBullet"/>
      </w:pPr>
      <w:r>
        <w:t>i</w:t>
      </w:r>
      <w:r w:rsidR="00E6153C" w:rsidRPr="00E6153C">
        <w:t>nvestment in upgrading the Sunbury office to increase capacity. </w:t>
      </w:r>
    </w:p>
    <w:p w14:paraId="56B8652C" w14:textId="77777777" w:rsidR="00E6153C" w:rsidRPr="00E6153C" w:rsidRDefault="00E6153C" w:rsidP="00E6153C">
      <w:pPr>
        <w:pStyle w:val="ListBullet"/>
      </w:pPr>
      <w:r w:rsidRPr="00E6153C">
        <w:t xml:space="preserve">In effect these determinations required GWW to integrate CWW and WW without rationalising our workforce, our </w:t>
      </w:r>
      <w:proofErr w:type="gramStart"/>
      <w:r w:rsidRPr="00E6153C">
        <w:t>depots</w:t>
      </w:r>
      <w:proofErr w:type="gramEnd"/>
      <w:r w:rsidRPr="00E6153C">
        <w:t xml:space="preserve"> or our offices. </w:t>
      </w:r>
    </w:p>
    <w:p w14:paraId="1928AA79" w14:textId="77777777" w:rsidR="00F60A0D" w:rsidRPr="003F5828" w:rsidRDefault="00F60A0D" w:rsidP="003F5828"/>
    <w:p w14:paraId="3BE58ED8" w14:textId="46218FD9" w:rsidR="00AC46DB" w:rsidRPr="00AC46DB" w:rsidRDefault="002222F2" w:rsidP="00AC46DB">
      <w:pPr>
        <w:pStyle w:val="Caption"/>
      </w:pPr>
      <w:bookmarkStart w:id="396" w:name="_Ref146031265"/>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63</w:t>
      </w:r>
      <w:r w:rsidR="001F7221" w:rsidRPr="00A6049B">
        <w:rPr>
          <w:b/>
        </w:rPr>
        <w:fldChar w:fldCharType="end"/>
      </w:r>
      <w:bookmarkEnd w:id="396"/>
      <w:r w:rsidR="00AC46DB" w:rsidRPr="00AC46DB">
        <w:t xml:space="preserve"> Integration </w:t>
      </w:r>
      <w:proofErr w:type="spellStart"/>
      <w:r w:rsidR="00AC46DB" w:rsidRPr="00AC46DB">
        <w:t>opex</w:t>
      </w:r>
      <w:proofErr w:type="spellEnd"/>
      <w:r w:rsidR="00AC46DB" w:rsidRPr="00AC46DB">
        <w:t xml:space="preserve"> and efficiencies over 2018-28 ($million, 2023-24)</w:t>
      </w:r>
    </w:p>
    <w:tbl>
      <w:tblPr>
        <w:tblStyle w:val="GWWDefaulttable"/>
        <w:tblW w:w="0" w:type="auto"/>
        <w:tblLook w:val="04A0" w:firstRow="1" w:lastRow="0" w:firstColumn="1" w:lastColumn="0" w:noHBand="0" w:noVBand="1"/>
      </w:tblPr>
      <w:tblGrid>
        <w:gridCol w:w="882"/>
        <w:gridCol w:w="881"/>
        <w:gridCol w:w="441"/>
        <w:gridCol w:w="105"/>
        <w:gridCol w:w="806"/>
        <w:gridCol w:w="807"/>
        <w:gridCol w:w="807"/>
        <w:gridCol w:w="807"/>
        <w:gridCol w:w="807"/>
        <w:gridCol w:w="807"/>
        <w:gridCol w:w="807"/>
        <w:gridCol w:w="807"/>
        <w:gridCol w:w="874"/>
      </w:tblGrid>
      <w:tr w:rsidR="00DD17AD" w:rsidRPr="00EF1490" w14:paraId="6B3856A4" w14:textId="77777777" w:rsidTr="000574A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auto"/>
          </w:tcPr>
          <w:p w14:paraId="6D2BCB3B" w14:textId="77777777" w:rsidR="00C861E6" w:rsidRPr="00EF1490" w:rsidRDefault="00C861E6" w:rsidP="00C861E6">
            <w:pPr>
              <w:rPr>
                <w:szCs w:val="20"/>
              </w:rPr>
            </w:pPr>
          </w:p>
        </w:tc>
        <w:tc>
          <w:tcPr>
            <w:tcW w:w="0" w:type="auto"/>
          </w:tcPr>
          <w:p w14:paraId="44208687" w14:textId="77777777" w:rsidR="00C861E6" w:rsidRPr="00EF1490" w:rsidRDefault="00C861E6" w:rsidP="00C861E6">
            <w:pPr>
              <w:cnfStyle w:val="100000000000" w:firstRow="1" w:lastRow="0" w:firstColumn="0" w:lastColumn="0" w:oddVBand="0" w:evenVBand="0" w:oddHBand="0" w:evenHBand="0" w:firstRowFirstColumn="0" w:firstRowLastColumn="0" w:lastRowFirstColumn="0" w:lastRowLastColumn="0"/>
              <w:rPr>
                <w:szCs w:val="20"/>
              </w:rPr>
            </w:pPr>
          </w:p>
        </w:tc>
        <w:tc>
          <w:tcPr>
            <w:tcW w:w="0" w:type="auto"/>
            <w:gridSpan w:val="2"/>
          </w:tcPr>
          <w:p w14:paraId="2ED5B8B1" w14:textId="77777777" w:rsidR="00C861E6" w:rsidRPr="00EF1490" w:rsidRDefault="00C861E6" w:rsidP="00C861E6">
            <w:pPr>
              <w:cnfStyle w:val="100000000000" w:firstRow="1" w:lastRow="0" w:firstColumn="0" w:lastColumn="0" w:oddVBand="0" w:evenVBand="0" w:oddHBand="0" w:evenHBand="0" w:firstRowFirstColumn="0" w:firstRowLastColumn="0" w:lastRowFirstColumn="0" w:lastRowLastColumn="0"/>
              <w:rPr>
                <w:szCs w:val="20"/>
              </w:rPr>
            </w:pPr>
          </w:p>
        </w:tc>
        <w:tc>
          <w:tcPr>
            <w:tcW w:w="0" w:type="auto"/>
            <w:vAlign w:val="center"/>
          </w:tcPr>
          <w:p w14:paraId="581B3B5C"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2020-21</w:t>
            </w:r>
          </w:p>
        </w:tc>
        <w:tc>
          <w:tcPr>
            <w:tcW w:w="0" w:type="auto"/>
            <w:vAlign w:val="center"/>
          </w:tcPr>
          <w:p w14:paraId="27C12931"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2021-22</w:t>
            </w:r>
          </w:p>
        </w:tc>
        <w:tc>
          <w:tcPr>
            <w:tcW w:w="0" w:type="auto"/>
            <w:vAlign w:val="center"/>
          </w:tcPr>
          <w:p w14:paraId="3855FE70"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2022-23</w:t>
            </w:r>
          </w:p>
        </w:tc>
        <w:tc>
          <w:tcPr>
            <w:tcW w:w="0" w:type="auto"/>
            <w:vAlign w:val="center"/>
          </w:tcPr>
          <w:p w14:paraId="560EED05"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2023-24</w:t>
            </w:r>
          </w:p>
        </w:tc>
        <w:tc>
          <w:tcPr>
            <w:tcW w:w="0" w:type="auto"/>
            <w:vAlign w:val="center"/>
          </w:tcPr>
          <w:p w14:paraId="15A7CCF5"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2024-25</w:t>
            </w:r>
          </w:p>
        </w:tc>
        <w:tc>
          <w:tcPr>
            <w:tcW w:w="0" w:type="auto"/>
            <w:vAlign w:val="center"/>
          </w:tcPr>
          <w:p w14:paraId="616E9B4F"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2025-26</w:t>
            </w:r>
          </w:p>
        </w:tc>
        <w:tc>
          <w:tcPr>
            <w:tcW w:w="0" w:type="auto"/>
            <w:vAlign w:val="center"/>
          </w:tcPr>
          <w:p w14:paraId="6B490A67"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2026-27</w:t>
            </w:r>
          </w:p>
        </w:tc>
        <w:tc>
          <w:tcPr>
            <w:tcW w:w="0" w:type="auto"/>
            <w:vAlign w:val="center"/>
          </w:tcPr>
          <w:p w14:paraId="6C20F00D"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2027-28</w:t>
            </w:r>
          </w:p>
        </w:tc>
        <w:tc>
          <w:tcPr>
            <w:tcW w:w="0" w:type="auto"/>
            <w:vAlign w:val="center"/>
          </w:tcPr>
          <w:p w14:paraId="46A60C72" w14:textId="41531898" w:rsidR="00C861E6" w:rsidRPr="00EF1490" w:rsidRDefault="00EC53B8"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10-year</w:t>
            </w:r>
            <w:r w:rsidR="00C861E6" w:rsidRPr="00EF1490">
              <w:rPr>
                <w:szCs w:val="20"/>
              </w:rPr>
              <w:t xml:space="preserve"> total</w:t>
            </w:r>
          </w:p>
        </w:tc>
      </w:tr>
      <w:tr w:rsidR="00DD17AD" w:rsidRPr="00EF1490" w14:paraId="2F216013" w14:textId="77777777" w:rsidTr="000574A4">
        <w:trPr>
          <w:trHeight w:val="154"/>
        </w:trPr>
        <w:tc>
          <w:tcPr>
            <w:cnfStyle w:val="001000000000" w:firstRow="0" w:lastRow="0" w:firstColumn="1" w:lastColumn="0" w:oddVBand="0" w:evenVBand="0" w:oddHBand="0" w:evenHBand="0" w:firstRowFirstColumn="0" w:firstRowLastColumn="0" w:lastRowFirstColumn="0" w:lastRowLastColumn="0"/>
            <w:tcW w:w="0" w:type="auto"/>
            <w:gridSpan w:val="4"/>
          </w:tcPr>
          <w:p w14:paraId="70F9DA81" w14:textId="3A345DF2" w:rsidR="00DD17AD" w:rsidRPr="00EF1490" w:rsidRDefault="00DD17AD" w:rsidP="00DD17AD">
            <w:pPr>
              <w:rPr>
                <w:b w:val="0"/>
                <w:bCs/>
                <w:szCs w:val="20"/>
              </w:rPr>
            </w:pPr>
            <w:proofErr w:type="spellStart"/>
            <w:r w:rsidRPr="00263BDC">
              <w:rPr>
                <w:b w:val="0"/>
                <w:szCs w:val="20"/>
              </w:rPr>
              <w:t>Opex</w:t>
            </w:r>
            <w:proofErr w:type="spellEnd"/>
          </w:p>
        </w:tc>
        <w:tc>
          <w:tcPr>
            <w:tcW w:w="0" w:type="auto"/>
            <w:vAlign w:val="center"/>
          </w:tcPr>
          <w:p w14:paraId="3C407994" w14:textId="36CF1A0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4.64</w:t>
            </w:r>
          </w:p>
        </w:tc>
        <w:tc>
          <w:tcPr>
            <w:tcW w:w="0" w:type="auto"/>
            <w:vAlign w:val="center"/>
          </w:tcPr>
          <w:p w14:paraId="10850034" w14:textId="04A63BE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7.30</w:t>
            </w:r>
          </w:p>
        </w:tc>
        <w:tc>
          <w:tcPr>
            <w:tcW w:w="0" w:type="auto"/>
            <w:vAlign w:val="center"/>
          </w:tcPr>
          <w:p w14:paraId="596591C6" w14:textId="3E0EBC2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6.98</w:t>
            </w:r>
          </w:p>
        </w:tc>
        <w:tc>
          <w:tcPr>
            <w:tcW w:w="0" w:type="auto"/>
            <w:vAlign w:val="center"/>
          </w:tcPr>
          <w:p w14:paraId="28962C54" w14:textId="2EC092E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242F4C5D" w14:textId="2CD10F3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459147F4" w14:textId="6B41CCF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71823002" w14:textId="566199C4"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2A78AACC" w14:textId="7954D3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723D2780" w14:textId="1A9F14A4"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b/>
                <w:szCs w:val="20"/>
              </w:rPr>
              <w:t>39.44</w:t>
            </w:r>
          </w:p>
        </w:tc>
      </w:tr>
      <w:tr w:rsidR="00DD17AD" w:rsidRPr="00EF1490" w14:paraId="6EDF7535" w14:textId="77777777" w:rsidTr="000574A4">
        <w:trPr>
          <w:trHeight w:val="355"/>
        </w:trPr>
        <w:tc>
          <w:tcPr>
            <w:cnfStyle w:val="001000000000" w:firstRow="0" w:lastRow="0" w:firstColumn="1" w:lastColumn="0" w:oddVBand="0" w:evenVBand="0" w:oddHBand="0" w:evenHBand="0" w:firstRowFirstColumn="0" w:firstRowLastColumn="0" w:lastRowFirstColumn="0" w:lastRowLastColumn="0"/>
            <w:tcW w:w="0" w:type="auto"/>
            <w:gridSpan w:val="3"/>
          </w:tcPr>
          <w:p w14:paraId="479B3D5A" w14:textId="11627827" w:rsidR="00DD17AD" w:rsidRPr="00EF1490" w:rsidRDefault="00DD17AD" w:rsidP="00DD17AD">
            <w:pPr>
              <w:rPr>
                <w:b w:val="0"/>
                <w:bCs/>
                <w:szCs w:val="20"/>
              </w:rPr>
            </w:pPr>
            <w:r w:rsidRPr="00263BDC">
              <w:rPr>
                <w:b w:val="0"/>
                <w:szCs w:val="20"/>
              </w:rPr>
              <w:t>Efficiencies achieved</w:t>
            </w:r>
          </w:p>
        </w:tc>
        <w:tc>
          <w:tcPr>
            <w:tcW w:w="0" w:type="auto"/>
            <w:gridSpan w:val="2"/>
            <w:vAlign w:val="center"/>
          </w:tcPr>
          <w:p w14:paraId="298D7904" w14:textId="13B3F3E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-0.82</w:t>
            </w:r>
          </w:p>
        </w:tc>
        <w:tc>
          <w:tcPr>
            <w:tcW w:w="0" w:type="auto"/>
            <w:vAlign w:val="center"/>
          </w:tcPr>
          <w:p w14:paraId="336867B2" w14:textId="77498CE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-2.23</w:t>
            </w:r>
          </w:p>
        </w:tc>
        <w:tc>
          <w:tcPr>
            <w:tcW w:w="0" w:type="auto"/>
            <w:vAlign w:val="center"/>
          </w:tcPr>
          <w:p w14:paraId="475ED7F4" w14:textId="24E7ABE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-2.93</w:t>
            </w:r>
          </w:p>
        </w:tc>
        <w:tc>
          <w:tcPr>
            <w:tcW w:w="0" w:type="auto"/>
            <w:vAlign w:val="center"/>
          </w:tcPr>
          <w:p w14:paraId="1C8F7FA3" w14:textId="2915107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-3.16</w:t>
            </w:r>
          </w:p>
        </w:tc>
        <w:tc>
          <w:tcPr>
            <w:tcW w:w="0" w:type="auto"/>
            <w:vAlign w:val="center"/>
          </w:tcPr>
          <w:p w14:paraId="48205B71" w14:textId="4A871F9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1C60E5FB" w14:textId="4FCBB95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4C637F30" w14:textId="099728B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-4.62</w:t>
            </w:r>
          </w:p>
        </w:tc>
        <w:tc>
          <w:tcPr>
            <w:tcW w:w="0" w:type="auto"/>
            <w:vAlign w:val="center"/>
          </w:tcPr>
          <w:p w14:paraId="20132656" w14:textId="7E4637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-4.62</w:t>
            </w:r>
          </w:p>
        </w:tc>
        <w:tc>
          <w:tcPr>
            <w:tcW w:w="0" w:type="auto"/>
            <w:vAlign w:val="center"/>
          </w:tcPr>
          <w:p w14:paraId="19B2792D" w14:textId="552B161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b/>
                <w:szCs w:val="20"/>
              </w:rPr>
              <w:t>-26.5</w:t>
            </w:r>
            <w:r w:rsidR="00CB50C7" w:rsidRPr="00EF1490">
              <w:rPr>
                <w:rFonts w:cs="Arial"/>
                <w:b/>
                <w:bCs/>
                <w:szCs w:val="20"/>
              </w:rPr>
              <w:t>7</w:t>
            </w:r>
          </w:p>
        </w:tc>
      </w:tr>
      <w:tr w:rsidR="00DD17AD" w:rsidRPr="00EF1490" w14:paraId="5FD545A6"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2609FC65" w14:textId="12D7F388" w:rsidR="00DD17AD" w:rsidRPr="00EF1490" w:rsidRDefault="00DD17AD" w:rsidP="00DD17AD">
            <w:pPr>
              <w:rPr>
                <w:szCs w:val="20"/>
              </w:rPr>
            </w:pPr>
            <w:r w:rsidRPr="00EF1490">
              <w:rPr>
                <w:szCs w:val="20"/>
              </w:rPr>
              <w:t xml:space="preserve">Net </w:t>
            </w:r>
            <w:proofErr w:type="spellStart"/>
            <w:r w:rsidRPr="00EF1490">
              <w:rPr>
                <w:szCs w:val="20"/>
              </w:rPr>
              <w:t>opex</w:t>
            </w:r>
            <w:proofErr w:type="spellEnd"/>
          </w:p>
        </w:tc>
        <w:tc>
          <w:tcPr>
            <w:tcW w:w="0" w:type="auto"/>
            <w:gridSpan w:val="2"/>
            <w:vAlign w:val="center"/>
          </w:tcPr>
          <w:p w14:paraId="68248096" w14:textId="66399D9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3.82</w:t>
            </w:r>
          </w:p>
        </w:tc>
        <w:tc>
          <w:tcPr>
            <w:tcW w:w="0" w:type="auto"/>
            <w:vAlign w:val="center"/>
          </w:tcPr>
          <w:p w14:paraId="5B65E8C9" w14:textId="472A744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5.07</w:t>
            </w:r>
          </w:p>
        </w:tc>
        <w:tc>
          <w:tcPr>
            <w:tcW w:w="0" w:type="auto"/>
            <w:vAlign w:val="center"/>
          </w:tcPr>
          <w:p w14:paraId="6FA04F3E" w14:textId="5922A0A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4.05</w:t>
            </w:r>
          </w:p>
        </w:tc>
        <w:tc>
          <w:tcPr>
            <w:tcW w:w="0" w:type="auto"/>
            <w:vAlign w:val="center"/>
          </w:tcPr>
          <w:p w14:paraId="740CF0C3" w14:textId="0F9E40B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0.94</w:t>
            </w:r>
          </w:p>
        </w:tc>
        <w:tc>
          <w:tcPr>
            <w:tcW w:w="0" w:type="auto"/>
            <w:vAlign w:val="center"/>
          </w:tcPr>
          <w:p w14:paraId="2F7D50C4" w14:textId="433E69F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0.00</w:t>
            </w:r>
          </w:p>
        </w:tc>
        <w:tc>
          <w:tcPr>
            <w:tcW w:w="0" w:type="auto"/>
            <w:vAlign w:val="center"/>
          </w:tcPr>
          <w:p w14:paraId="759046A4" w14:textId="720D33E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0.00</w:t>
            </w:r>
          </w:p>
        </w:tc>
        <w:tc>
          <w:tcPr>
            <w:tcW w:w="0" w:type="auto"/>
            <w:vAlign w:val="center"/>
          </w:tcPr>
          <w:p w14:paraId="3AF300CF" w14:textId="5FC4B2F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-0.52</w:t>
            </w:r>
            <w:r w:rsidRPr="00EF1490" w:rsidDel="00070705">
              <w:rPr>
                <w:szCs w:val="20"/>
              </w:rPr>
              <w:t xml:space="preserve"> </w:t>
            </w:r>
          </w:p>
        </w:tc>
        <w:tc>
          <w:tcPr>
            <w:tcW w:w="0" w:type="auto"/>
            <w:vAlign w:val="center"/>
          </w:tcPr>
          <w:p w14:paraId="1772C929" w14:textId="275882E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-0.52</w:t>
            </w:r>
          </w:p>
        </w:tc>
        <w:tc>
          <w:tcPr>
            <w:tcW w:w="0" w:type="auto"/>
            <w:vAlign w:val="center"/>
          </w:tcPr>
          <w:p w14:paraId="299BFA12" w14:textId="254FBF9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12.8</w:t>
            </w:r>
            <w:r w:rsidR="00F40763" w:rsidRPr="00EF1490">
              <w:rPr>
                <w:rFonts w:cs="Arial"/>
                <w:b/>
                <w:szCs w:val="20"/>
              </w:rPr>
              <w:t>7</w:t>
            </w:r>
          </w:p>
        </w:tc>
      </w:tr>
      <w:tr w:rsidR="00DD17AD" w:rsidRPr="00EF1490" w14:paraId="40E2DB9C"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13DDEB97" w14:textId="77777777" w:rsidR="00DD17AD" w:rsidRPr="00EF1490" w:rsidRDefault="00DD17AD" w:rsidP="00DD17AD">
            <w:pPr>
              <w:rPr>
                <w:b w:val="0"/>
                <w:bCs/>
                <w:szCs w:val="20"/>
              </w:rPr>
            </w:pPr>
            <w:r w:rsidRPr="00263BDC">
              <w:rPr>
                <w:b w:val="0"/>
                <w:szCs w:val="20"/>
              </w:rPr>
              <w:t xml:space="preserve">Net integration </w:t>
            </w:r>
            <w:proofErr w:type="spellStart"/>
            <w:r w:rsidRPr="00263BDC">
              <w:rPr>
                <w:b w:val="0"/>
                <w:szCs w:val="20"/>
              </w:rPr>
              <w:t>opex</w:t>
            </w:r>
            <w:proofErr w:type="spellEnd"/>
            <w:r w:rsidRPr="00263BDC">
              <w:rPr>
                <w:b w:val="0"/>
                <w:szCs w:val="20"/>
              </w:rPr>
              <w:t xml:space="preserve"> in the base (net </w:t>
            </w:r>
            <w:proofErr w:type="spellStart"/>
            <w:r w:rsidRPr="00263BDC">
              <w:rPr>
                <w:b w:val="0"/>
                <w:szCs w:val="20"/>
              </w:rPr>
              <w:t>opex</w:t>
            </w:r>
            <w:proofErr w:type="spellEnd"/>
            <w:r w:rsidRPr="00263BDC">
              <w:rPr>
                <w:b w:val="0"/>
                <w:szCs w:val="20"/>
              </w:rPr>
              <w:t xml:space="preserve"> less non-recurring)</w:t>
            </w:r>
          </w:p>
        </w:tc>
        <w:tc>
          <w:tcPr>
            <w:tcW w:w="0" w:type="auto"/>
            <w:gridSpan w:val="2"/>
            <w:vAlign w:val="center"/>
          </w:tcPr>
          <w:p w14:paraId="43A3C41E" w14:textId="7F75862D"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7CA77894" w14:textId="5AA95E63"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3FC9C31F" w14:textId="6E3B72F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1.19</w:t>
            </w:r>
          </w:p>
        </w:tc>
        <w:tc>
          <w:tcPr>
            <w:tcW w:w="0" w:type="auto"/>
            <w:vAlign w:val="center"/>
          </w:tcPr>
          <w:p w14:paraId="3A4F51C1" w14:textId="79B71FC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10003C9F" w14:textId="014C488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74225BA0" w14:textId="10962467"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65220E58" w14:textId="6AFF335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668D44AC" w14:textId="5B62A6F1"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54905A3E" w14:textId="72AB46E3"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r w:rsidR="00DD17AD" w:rsidRPr="00EF1490" w14:paraId="0E9F4269"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5A0FB667" w14:textId="77777777" w:rsidR="00DD17AD" w:rsidRPr="00EF1490" w:rsidRDefault="00DD17AD" w:rsidP="00DD17AD">
            <w:pPr>
              <w:rPr>
                <w:b w:val="0"/>
                <w:bCs/>
                <w:szCs w:val="20"/>
              </w:rPr>
            </w:pPr>
            <w:r w:rsidRPr="00263BDC">
              <w:rPr>
                <w:b w:val="0"/>
                <w:szCs w:val="20"/>
              </w:rPr>
              <w:t xml:space="preserve">Additional integration </w:t>
            </w:r>
            <w:proofErr w:type="spellStart"/>
            <w:r w:rsidRPr="00263BDC">
              <w:rPr>
                <w:b w:val="0"/>
                <w:szCs w:val="20"/>
              </w:rPr>
              <w:t>opex</w:t>
            </w:r>
            <w:proofErr w:type="spellEnd"/>
            <w:r w:rsidRPr="00263BDC">
              <w:rPr>
                <w:b w:val="0"/>
                <w:szCs w:val="20"/>
              </w:rPr>
              <w:t xml:space="preserve"> in the forecast</w:t>
            </w:r>
          </w:p>
        </w:tc>
        <w:tc>
          <w:tcPr>
            <w:tcW w:w="0" w:type="auto"/>
            <w:gridSpan w:val="2"/>
            <w:vAlign w:val="center"/>
          </w:tcPr>
          <w:p w14:paraId="27D5793E" w14:textId="5FF791E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4399019C" w14:textId="37A64B6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5FDF9F74" w14:textId="2FCB5C6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20F5008E" w14:textId="27A5225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72231223" w14:textId="0523BA5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467BBEA7" w14:textId="46B0D88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144DE2EA" w14:textId="096E7D1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0B06E11C" w14:textId="6EC2C0D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21F6A832" w14:textId="2BB519A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r w:rsidR="00DD17AD" w:rsidRPr="00EF1490" w14:paraId="22862B19"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0EC36B1F" w14:textId="77777777" w:rsidR="00DD17AD" w:rsidRPr="00EF1490" w:rsidRDefault="00DD17AD" w:rsidP="00DD17AD">
            <w:pPr>
              <w:rPr>
                <w:b w:val="0"/>
                <w:bCs/>
                <w:szCs w:val="20"/>
              </w:rPr>
            </w:pPr>
            <w:r w:rsidRPr="00263BDC">
              <w:rPr>
                <w:b w:val="0"/>
                <w:szCs w:val="20"/>
              </w:rPr>
              <w:lastRenderedPageBreak/>
              <w:t>Integration efficiency from the base (new efficiencies and costs removed)</w:t>
            </w:r>
          </w:p>
        </w:tc>
        <w:tc>
          <w:tcPr>
            <w:tcW w:w="0" w:type="auto"/>
            <w:gridSpan w:val="2"/>
            <w:vAlign w:val="center"/>
          </w:tcPr>
          <w:p w14:paraId="79F147D8" w14:textId="5DA64EF8"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385E2387" w14:textId="5030737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0E85C7D7" w14:textId="6DCB2B6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3D5035C2" w14:textId="277D3CB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-0.23</w:t>
            </w:r>
          </w:p>
        </w:tc>
        <w:tc>
          <w:tcPr>
            <w:tcW w:w="0" w:type="auto"/>
            <w:vAlign w:val="center"/>
          </w:tcPr>
          <w:p w14:paraId="492B2539" w14:textId="446A405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w:t>
            </w:r>
            <w:r w:rsidR="00F40763" w:rsidRPr="00EF1490">
              <w:rPr>
                <w:rFonts w:cs="Arial"/>
                <w:szCs w:val="20"/>
              </w:rPr>
              <w:t>7</w:t>
            </w:r>
          </w:p>
        </w:tc>
        <w:tc>
          <w:tcPr>
            <w:tcW w:w="0" w:type="auto"/>
            <w:vAlign w:val="center"/>
          </w:tcPr>
          <w:p w14:paraId="173FDC11" w14:textId="45BB309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w:t>
            </w:r>
            <w:r w:rsidR="00F40763" w:rsidRPr="00EF1490">
              <w:rPr>
                <w:rFonts w:cs="Arial"/>
                <w:szCs w:val="20"/>
              </w:rPr>
              <w:t>7</w:t>
            </w:r>
          </w:p>
        </w:tc>
        <w:tc>
          <w:tcPr>
            <w:tcW w:w="0" w:type="auto"/>
            <w:vAlign w:val="center"/>
          </w:tcPr>
          <w:p w14:paraId="07EA4249" w14:textId="7981CF0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-1.69</w:t>
            </w:r>
          </w:p>
        </w:tc>
        <w:tc>
          <w:tcPr>
            <w:tcW w:w="0" w:type="auto"/>
            <w:vAlign w:val="center"/>
          </w:tcPr>
          <w:p w14:paraId="40FD9049" w14:textId="25F4C7E1"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-1.69</w:t>
            </w:r>
          </w:p>
        </w:tc>
        <w:tc>
          <w:tcPr>
            <w:tcW w:w="0" w:type="auto"/>
            <w:vAlign w:val="center"/>
          </w:tcPr>
          <w:p w14:paraId="5A9508F9" w14:textId="11201B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bl>
    <w:p w14:paraId="4F25E3A7" w14:textId="77777777" w:rsidR="00C94830" w:rsidRPr="003F5828" w:rsidRDefault="00C94830" w:rsidP="003F5828"/>
    <w:p w14:paraId="5F747D0C" w14:textId="77777777" w:rsidR="00DE5487" w:rsidRDefault="00DE5487" w:rsidP="00DE5487">
      <w:r>
        <w:t xml:space="preserve">Initial costs were incurred in 2020-21 in preparation for the integration. To support the changes in policy and obligations on the newly formed business a dedicated integration team was established. The primary function of this team was to enable GWW to legally function on 1 July 2021. The integration team operated until 2022-23 resulted in direct additional non-recuring operating expenditure of $12.2 million over the current regulatory period. </w:t>
      </w:r>
    </w:p>
    <w:p w14:paraId="12EE24A2" w14:textId="5E2B4B66" w:rsidR="00DE5487" w:rsidRDefault="00DE5487" w:rsidP="00DE5487">
      <w:r>
        <w:t xml:space="preserve">The integration team’s program of works focused on consolidation of core systems, </w:t>
      </w:r>
      <w:proofErr w:type="gramStart"/>
      <w:r>
        <w:t>people</w:t>
      </w:r>
      <w:proofErr w:type="gramEnd"/>
      <w:r>
        <w:t xml:space="preserve"> and processes. The breakdown of integration costs since 2020-21 is shown in </w:t>
      </w:r>
      <w:r w:rsidR="00B1204C">
        <w:fldChar w:fldCharType="begin"/>
      </w:r>
      <w:r w:rsidR="00B1204C">
        <w:instrText xml:space="preserve"> REF _Ref145978045 \h </w:instrText>
      </w:r>
      <w:r w:rsidR="00B1204C">
        <w:fldChar w:fldCharType="separate"/>
      </w:r>
      <w:r w:rsidR="003B42C6" w:rsidRPr="00A6049B">
        <w:rPr>
          <w:b/>
        </w:rPr>
        <w:t xml:space="preserve">Table </w:t>
      </w:r>
      <w:r w:rsidR="003B42C6">
        <w:rPr>
          <w:b/>
          <w:noProof/>
        </w:rPr>
        <w:t>64</w:t>
      </w:r>
      <w:r w:rsidR="00B1204C">
        <w:fldChar w:fldCharType="end"/>
      </w:r>
      <w:r w:rsidR="00E438D9">
        <w:t>.</w:t>
      </w:r>
      <w:r>
        <w:t xml:space="preserve"> These costs do not include transformation costs.</w:t>
      </w:r>
    </w:p>
    <w:p w14:paraId="33AEF974" w14:textId="36B6D497" w:rsidR="00332708" w:rsidRDefault="00DE5487" w:rsidP="00DE5487">
      <w:r>
        <w:t xml:space="preserve">In total, the program cost $12.9 million in net operating expenditure (operating expenditure less efficiencies) over the current regulatory period. A summary of all consolidation costs and savings from integration is presented </w:t>
      </w:r>
      <w:r w:rsidRPr="00B34005">
        <w:t>in</w:t>
      </w:r>
      <w:r w:rsidR="000F60D6">
        <w:t xml:space="preserve"> </w:t>
      </w:r>
      <w:r w:rsidR="000F60D6">
        <w:fldChar w:fldCharType="begin"/>
      </w:r>
      <w:r w:rsidR="000F60D6">
        <w:instrText xml:space="preserve"> REF _Ref145978045 \h </w:instrText>
      </w:r>
      <w:r w:rsidR="000F60D6">
        <w:fldChar w:fldCharType="separate"/>
      </w:r>
      <w:r w:rsidR="003B42C6" w:rsidRPr="00A6049B">
        <w:rPr>
          <w:b/>
        </w:rPr>
        <w:t xml:space="preserve">Table </w:t>
      </w:r>
      <w:r w:rsidR="003B42C6">
        <w:rPr>
          <w:b/>
          <w:noProof/>
        </w:rPr>
        <w:t>64</w:t>
      </w:r>
      <w:r w:rsidR="000F60D6">
        <w:fldChar w:fldCharType="end"/>
      </w:r>
      <w:r w:rsidRPr="00B34005">
        <w:t>.</w:t>
      </w:r>
    </w:p>
    <w:p w14:paraId="6A08FE59" w14:textId="23E5DF53" w:rsidR="000C20F4" w:rsidRPr="000C20F4" w:rsidRDefault="00EE25E1" w:rsidP="000C20F4">
      <w:pPr>
        <w:pStyle w:val="Caption"/>
      </w:pPr>
      <w:bookmarkStart w:id="397" w:name="_Ref145978045"/>
      <w:bookmarkStart w:id="398" w:name="_Ref145977993"/>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64</w:t>
      </w:r>
      <w:r w:rsidR="001F7221" w:rsidRPr="00A6049B">
        <w:rPr>
          <w:b/>
        </w:rPr>
        <w:fldChar w:fldCharType="end"/>
      </w:r>
      <w:bookmarkEnd w:id="397"/>
      <w:r w:rsidR="00B34005">
        <w:t xml:space="preserve"> </w:t>
      </w:r>
      <w:r w:rsidR="000C20F4" w:rsidRPr="000C20F4">
        <w:t xml:space="preserve">Consolidation </w:t>
      </w:r>
      <w:proofErr w:type="spellStart"/>
      <w:r w:rsidR="000C20F4" w:rsidRPr="000C20F4">
        <w:t>opex</w:t>
      </w:r>
      <w:proofErr w:type="spellEnd"/>
      <w:r w:rsidR="000C20F4" w:rsidRPr="000C20F4">
        <w:t xml:space="preserve"> and savings over 2020-23 ($million, 2023-24)</w:t>
      </w:r>
      <w:bookmarkEnd w:id="398"/>
      <w:r w:rsidR="000C20F4" w:rsidRPr="000C20F4">
        <w:t> </w:t>
      </w:r>
    </w:p>
    <w:tbl>
      <w:tblPr>
        <w:tblStyle w:val="GWWDefaulttable"/>
        <w:tblW w:w="5000" w:type="pct"/>
        <w:tblLook w:val="04A0" w:firstRow="1" w:lastRow="0" w:firstColumn="1" w:lastColumn="0" w:noHBand="0" w:noVBand="1"/>
      </w:tblPr>
      <w:tblGrid>
        <w:gridCol w:w="1447"/>
        <w:gridCol w:w="5821"/>
        <w:gridCol w:w="790"/>
        <w:gridCol w:w="790"/>
        <w:gridCol w:w="790"/>
      </w:tblGrid>
      <w:tr w:rsidR="000C20F4" w:rsidRPr="000C20F4" w14:paraId="223EC3BB"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vAlign w:val="center"/>
          </w:tcPr>
          <w:p w14:paraId="761290C5" w14:textId="77777777" w:rsidR="000C20F4" w:rsidRPr="00501816" w:rsidRDefault="000C20F4" w:rsidP="000C20F4">
            <w:pPr>
              <w:rPr>
                <w:szCs w:val="18"/>
              </w:rPr>
            </w:pPr>
            <w:r w:rsidRPr="00501816">
              <w:rPr>
                <w:szCs w:val="18"/>
              </w:rPr>
              <w:t xml:space="preserve">Item </w:t>
            </w:r>
          </w:p>
        </w:tc>
        <w:tc>
          <w:tcPr>
            <w:tcW w:w="3020" w:type="pct"/>
            <w:vAlign w:val="center"/>
          </w:tcPr>
          <w:p w14:paraId="4148B9BF" w14:textId="77777777" w:rsidR="000C20F4" w:rsidRPr="00501816" w:rsidRDefault="000C20F4" w:rsidP="000C20F4">
            <w:pPr>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Description </w:t>
            </w:r>
          </w:p>
        </w:tc>
        <w:tc>
          <w:tcPr>
            <w:tcW w:w="410" w:type="pct"/>
          </w:tcPr>
          <w:p w14:paraId="1E0AA8AF"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2020-21</w:t>
            </w:r>
          </w:p>
        </w:tc>
        <w:tc>
          <w:tcPr>
            <w:tcW w:w="410" w:type="pct"/>
          </w:tcPr>
          <w:p w14:paraId="19F60251"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2021-22 </w:t>
            </w:r>
          </w:p>
        </w:tc>
        <w:tc>
          <w:tcPr>
            <w:tcW w:w="410" w:type="pct"/>
          </w:tcPr>
          <w:p w14:paraId="0DC38E82"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2022-23 </w:t>
            </w:r>
          </w:p>
        </w:tc>
      </w:tr>
      <w:tr w:rsidR="000C20F4" w:rsidRPr="000C20F4" w14:paraId="65427B8E"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5CE7A0BE" w14:textId="77777777" w:rsidR="000C20F4" w:rsidRPr="00501816" w:rsidRDefault="000C20F4" w:rsidP="000C20F4">
            <w:pPr>
              <w:rPr>
                <w:b w:val="0"/>
                <w:szCs w:val="18"/>
              </w:rPr>
            </w:pPr>
            <w:r w:rsidRPr="00501816">
              <w:rPr>
                <w:b w:val="0"/>
                <w:szCs w:val="18"/>
              </w:rPr>
              <w:t>Assets </w:t>
            </w:r>
          </w:p>
        </w:tc>
        <w:tc>
          <w:tcPr>
            <w:tcW w:w="3020" w:type="pct"/>
            <w:hideMark/>
          </w:tcPr>
          <w:p w14:paraId="3D0E81A0"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GWW currently operates two GIS systems and two operations and maintenance systems (Clarity and Kern). The alignment of the operations and maintenance systems is expected to occur in 2023-24 and will result in a small labour cost and licence saving ($0.15 million). The alignment of GIS systems is proposed as a capital expenditure in the upcoming regulatory period and its alignment in 2026-27 will result in a small labour saving as well (&lt;$0.1 million). Furthermore, consolidation of CCTV contracts and as many as 200 procedures and processes for asset maintenance, repairs and general instructions/guidelines for contractors are being re-written to ensure a consistent level of service across the entire GWW region.  </w:t>
            </w:r>
          </w:p>
        </w:tc>
        <w:tc>
          <w:tcPr>
            <w:tcW w:w="410" w:type="pct"/>
          </w:tcPr>
          <w:p w14:paraId="708FA07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510C61D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6312DA02"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0.95 </w:t>
            </w:r>
          </w:p>
        </w:tc>
      </w:tr>
      <w:tr w:rsidR="000C20F4" w:rsidRPr="000C20F4" w14:paraId="0D78C648"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428AE7F4" w14:textId="77777777" w:rsidR="000C20F4" w:rsidRPr="00501816" w:rsidRDefault="000C20F4" w:rsidP="000C20F4">
            <w:pPr>
              <w:rPr>
                <w:b w:val="0"/>
                <w:szCs w:val="18"/>
              </w:rPr>
            </w:pPr>
            <w:r w:rsidRPr="00501816">
              <w:rPr>
                <w:b w:val="0"/>
                <w:szCs w:val="18"/>
              </w:rPr>
              <w:t>Customer services </w:t>
            </w:r>
          </w:p>
        </w:tc>
        <w:tc>
          <w:tcPr>
            <w:tcW w:w="3020" w:type="pct"/>
            <w:hideMark/>
          </w:tcPr>
          <w:p w14:paraId="65F14EA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With two different billing systems and two different call centres, there were activities undertaken to consolidate the processes. This included changes to the way the call centre operated and resulted in a short-term cost of $0.4 million that will remain until the new billing system is implemented. This is offset by a small saving achieved by retiring old legacy communications. </w:t>
            </w:r>
          </w:p>
        </w:tc>
        <w:tc>
          <w:tcPr>
            <w:tcW w:w="410" w:type="pct"/>
          </w:tcPr>
          <w:p w14:paraId="75638D1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0729D56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0.20 </w:t>
            </w:r>
          </w:p>
        </w:tc>
        <w:tc>
          <w:tcPr>
            <w:tcW w:w="410" w:type="pct"/>
            <w:hideMark/>
          </w:tcPr>
          <w:p w14:paraId="6AEC7CB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0.40 </w:t>
            </w:r>
          </w:p>
        </w:tc>
      </w:tr>
      <w:tr w:rsidR="000C20F4" w:rsidRPr="000C20F4" w14:paraId="2D0EF7CB"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6D5B7752" w14:textId="77777777" w:rsidR="000C20F4" w:rsidRPr="00501816" w:rsidRDefault="000C20F4" w:rsidP="000C20F4">
            <w:pPr>
              <w:rPr>
                <w:b w:val="0"/>
                <w:szCs w:val="18"/>
              </w:rPr>
            </w:pPr>
            <w:r w:rsidRPr="00501816">
              <w:rPr>
                <w:b w:val="0"/>
                <w:szCs w:val="18"/>
              </w:rPr>
              <w:lastRenderedPageBreak/>
              <w:t>Enterprise Agreements </w:t>
            </w:r>
          </w:p>
        </w:tc>
        <w:tc>
          <w:tcPr>
            <w:tcW w:w="3020" w:type="pct"/>
            <w:hideMark/>
          </w:tcPr>
          <w:p w14:paraId="68FD635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GWW underwent a process to align the previously Western Water employees to the City West Water Enterprise Agreement (the prevailing agreement for GWW). This resulted in an additional $1.9 million step change in labour expenses from 1 July 2021. </w:t>
            </w:r>
          </w:p>
        </w:tc>
        <w:tc>
          <w:tcPr>
            <w:tcW w:w="410" w:type="pct"/>
          </w:tcPr>
          <w:p w14:paraId="5BD93029"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3619852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1.86 </w:t>
            </w:r>
          </w:p>
        </w:tc>
        <w:tc>
          <w:tcPr>
            <w:tcW w:w="410" w:type="pct"/>
            <w:hideMark/>
          </w:tcPr>
          <w:p w14:paraId="0C156D4E"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1.86 </w:t>
            </w:r>
          </w:p>
        </w:tc>
      </w:tr>
      <w:tr w:rsidR="000C20F4" w:rsidRPr="000C20F4" w14:paraId="21546E36"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3244F1E6" w14:textId="77777777" w:rsidR="000C20F4" w:rsidRPr="00501816" w:rsidRDefault="000C20F4" w:rsidP="000C20F4">
            <w:pPr>
              <w:rPr>
                <w:b w:val="0"/>
                <w:szCs w:val="18"/>
              </w:rPr>
            </w:pPr>
            <w:r w:rsidRPr="00501816">
              <w:rPr>
                <w:b w:val="0"/>
                <w:szCs w:val="18"/>
              </w:rPr>
              <w:t>Finance </w:t>
            </w:r>
          </w:p>
        </w:tc>
        <w:tc>
          <w:tcPr>
            <w:tcW w:w="3020" w:type="pct"/>
            <w:hideMark/>
          </w:tcPr>
          <w:p w14:paraId="1A00E584"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The previously City West Water finance system, Oracle, was chosen as the preferred finance system over the Western Water system. Whilst Oracle licence fees in total were more expensive than the legacy Western Water system, it provided greater functionality through its ability to track more cost centres and increased potential for upgrades rather than replacement. The net increase was an additional $0.8 million. </w:t>
            </w:r>
          </w:p>
        </w:tc>
        <w:tc>
          <w:tcPr>
            <w:tcW w:w="410" w:type="pct"/>
          </w:tcPr>
          <w:p w14:paraId="2F71AE14"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373006C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0.79 </w:t>
            </w:r>
          </w:p>
        </w:tc>
        <w:tc>
          <w:tcPr>
            <w:tcW w:w="410" w:type="pct"/>
            <w:hideMark/>
          </w:tcPr>
          <w:p w14:paraId="48813ED6"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0.79 </w:t>
            </w:r>
          </w:p>
        </w:tc>
      </w:tr>
      <w:tr w:rsidR="000C20F4" w:rsidRPr="000C20F4" w14:paraId="25242897"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3F14D89F" w14:textId="77777777" w:rsidR="000C20F4" w:rsidRPr="00501816" w:rsidRDefault="000C20F4" w:rsidP="000C20F4">
            <w:pPr>
              <w:rPr>
                <w:b w:val="0"/>
                <w:szCs w:val="18"/>
              </w:rPr>
            </w:pPr>
            <w:r w:rsidRPr="00501816">
              <w:rPr>
                <w:b w:val="0"/>
                <w:szCs w:val="18"/>
              </w:rPr>
              <w:t>HR and payroll systems </w:t>
            </w:r>
          </w:p>
        </w:tc>
        <w:tc>
          <w:tcPr>
            <w:tcW w:w="3020" w:type="pct"/>
            <w:hideMark/>
          </w:tcPr>
          <w:p w14:paraId="1DC71EC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In 2021-22, GWW aligned its HR system for managing leave, performance plans, and recruitment, and its payroll system. CWW had recently invested in a new HR system across 2018 to 2020, and this was chosen to replace the WW system which had reduced functionality and was approaching its end of life.  </w:t>
            </w:r>
          </w:p>
        </w:tc>
        <w:tc>
          <w:tcPr>
            <w:tcW w:w="410" w:type="pct"/>
          </w:tcPr>
          <w:p w14:paraId="7AF4C262"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1AD220BD"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-0.03 </w:t>
            </w:r>
          </w:p>
        </w:tc>
        <w:tc>
          <w:tcPr>
            <w:tcW w:w="410" w:type="pct"/>
            <w:hideMark/>
          </w:tcPr>
          <w:p w14:paraId="0A3EC54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-0.03 </w:t>
            </w:r>
          </w:p>
        </w:tc>
      </w:tr>
      <w:tr w:rsidR="000C20F4" w:rsidRPr="000C20F4" w14:paraId="2C519B4A"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7735E7DE" w14:textId="77777777" w:rsidR="000C20F4" w:rsidRPr="00501816" w:rsidRDefault="000C20F4" w:rsidP="000C20F4">
            <w:pPr>
              <w:rPr>
                <w:b w:val="0"/>
                <w:szCs w:val="18"/>
              </w:rPr>
            </w:pPr>
            <w:r w:rsidRPr="00501816">
              <w:rPr>
                <w:b w:val="0"/>
                <w:szCs w:val="18"/>
              </w:rPr>
              <w:t>IT </w:t>
            </w:r>
          </w:p>
        </w:tc>
        <w:tc>
          <w:tcPr>
            <w:tcW w:w="3020" w:type="pct"/>
            <w:hideMark/>
          </w:tcPr>
          <w:p w14:paraId="6A0D26A2"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In the lead-up to integration and during the first year of integration, there was significant effort placed on consolidating and rationalising IT systems. Throughout this process several duplicate systems were amalgamated onto one of the legacy systems. This has resulted in a realised efficiency and more than offset the increases in testing requirements across the remaining two legacy systems.  </w:t>
            </w:r>
          </w:p>
        </w:tc>
        <w:tc>
          <w:tcPr>
            <w:tcW w:w="410" w:type="pct"/>
          </w:tcPr>
          <w:p w14:paraId="158FFFC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5054307C"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-0.72 </w:t>
            </w:r>
          </w:p>
        </w:tc>
        <w:tc>
          <w:tcPr>
            <w:tcW w:w="410" w:type="pct"/>
            <w:hideMark/>
          </w:tcPr>
          <w:p w14:paraId="48D4F1EB"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-0.62 </w:t>
            </w:r>
          </w:p>
        </w:tc>
      </w:tr>
      <w:tr w:rsidR="000C20F4" w:rsidRPr="000C20F4" w14:paraId="4A3C157F"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51BF3455" w14:textId="77777777" w:rsidR="000C20F4" w:rsidRPr="00501816" w:rsidRDefault="000C20F4" w:rsidP="000C20F4">
            <w:pPr>
              <w:rPr>
                <w:b w:val="0"/>
                <w:szCs w:val="18"/>
              </w:rPr>
            </w:pPr>
            <w:r w:rsidRPr="00501816">
              <w:rPr>
                <w:b w:val="0"/>
                <w:szCs w:val="18"/>
              </w:rPr>
              <w:t>Integration office </w:t>
            </w:r>
          </w:p>
        </w:tc>
        <w:tc>
          <w:tcPr>
            <w:tcW w:w="3020" w:type="pct"/>
            <w:hideMark/>
          </w:tcPr>
          <w:p w14:paraId="2F47818A"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A dedicated team was established to manage the first couple of years of integration. This team created a work-program and delivered against it. </w:t>
            </w:r>
          </w:p>
        </w:tc>
        <w:tc>
          <w:tcPr>
            <w:tcW w:w="410" w:type="pct"/>
          </w:tcPr>
          <w:p w14:paraId="65414AB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4.64</w:t>
            </w:r>
          </w:p>
        </w:tc>
        <w:tc>
          <w:tcPr>
            <w:tcW w:w="410" w:type="pct"/>
            <w:hideMark/>
          </w:tcPr>
          <w:p w14:paraId="14DD6365"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4.39 </w:t>
            </w:r>
          </w:p>
        </w:tc>
        <w:tc>
          <w:tcPr>
            <w:tcW w:w="410" w:type="pct"/>
            <w:hideMark/>
          </w:tcPr>
          <w:p w14:paraId="0C3AE3A6"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2.87 </w:t>
            </w:r>
          </w:p>
        </w:tc>
      </w:tr>
      <w:tr w:rsidR="000C20F4" w:rsidRPr="000C20F4" w14:paraId="553EB005"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7E1179D5" w14:textId="09E95D58" w:rsidR="000C20F4" w:rsidRPr="00501816" w:rsidRDefault="000C20F4" w:rsidP="000C20F4">
            <w:pPr>
              <w:rPr>
                <w:b w:val="0"/>
                <w:szCs w:val="18"/>
              </w:rPr>
            </w:pPr>
            <w:r w:rsidRPr="00501816">
              <w:rPr>
                <w:b w:val="0"/>
                <w:szCs w:val="18"/>
              </w:rPr>
              <w:t xml:space="preserve">Management and </w:t>
            </w:r>
            <w:r w:rsidR="006A393C" w:rsidRPr="00501816">
              <w:rPr>
                <w:b w:val="0"/>
                <w:szCs w:val="18"/>
              </w:rPr>
              <w:t>b</w:t>
            </w:r>
            <w:r w:rsidRPr="00501816">
              <w:rPr>
                <w:b w:val="0"/>
                <w:szCs w:val="18"/>
              </w:rPr>
              <w:t>oard </w:t>
            </w:r>
          </w:p>
        </w:tc>
        <w:tc>
          <w:tcPr>
            <w:tcW w:w="3020" w:type="pct"/>
            <w:hideMark/>
          </w:tcPr>
          <w:p w14:paraId="7F7BD244"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An efficiency, through natural attrition of senior managers has been slowly achieved from the three years following integration with the evolution of our new operating model. This has resulted in a reduction in labour costs that will be maintained across the upcoming regulatory period.  </w:t>
            </w:r>
          </w:p>
          <w:p w14:paraId="4C3E7E80"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The two legacy businesses had two boards of Directors. With the formation of GWW, the Minister appointed a new board which resulted in direct savings in 2021-22. </w:t>
            </w:r>
          </w:p>
        </w:tc>
        <w:tc>
          <w:tcPr>
            <w:tcW w:w="410" w:type="pct"/>
          </w:tcPr>
          <w:p w14:paraId="1487E1D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-0.82</w:t>
            </w:r>
          </w:p>
        </w:tc>
        <w:tc>
          <w:tcPr>
            <w:tcW w:w="410" w:type="pct"/>
            <w:hideMark/>
          </w:tcPr>
          <w:p w14:paraId="3BEF0FA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-1.44 </w:t>
            </w:r>
          </w:p>
        </w:tc>
        <w:tc>
          <w:tcPr>
            <w:tcW w:w="410" w:type="pct"/>
            <w:hideMark/>
          </w:tcPr>
          <w:p w14:paraId="5D3855C1"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-2.16</w:t>
            </w:r>
          </w:p>
        </w:tc>
      </w:tr>
      <w:tr w:rsidR="000C20F4" w:rsidRPr="000C20F4" w14:paraId="2E70D2A8"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60F380AA" w14:textId="77777777" w:rsidR="000C20F4" w:rsidRPr="00501816" w:rsidRDefault="000C20F4" w:rsidP="000C20F4">
            <w:pPr>
              <w:rPr>
                <w:szCs w:val="18"/>
              </w:rPr>
            </w:pPr>
            <w:r w:rsidRPr="00501816">
              <w:rPr>
                <w:szCs w:val="18"/>
              </w:rPr>
              <w:t xml:space="preserve">Net </w:t>
            </w:r>
            <w:proofErr w:type="spellStart"/>
            <w:r w:rsidRPr="00501816">
              <w:rPr>
                <w:szCs w:val="18"/>
              </w:rPr>
              <w:t>opex</w:t>
            </w:r>
            <w:proofErr w:type="spellEnd"/>
          </w:p>
        </w:tc>
        <w:tc>
          <w:tcPr>
            <w:tcW w:w="3020" w:type="pct"/>
            <w:hideMark/>
          </w:tcPr>
          <w:p w14:paraId="789BD338"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tcPr>
          <w:p w14:paraId="0D0306E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3.82</w:t>
            </w:r>
          </w:p>
        </w:tc>
        <w:tc>
          <w:tcPr>
            <w:tcW w:w="410" w:type="pct"/>
            <w:hideMark/>
          </w:tcPr>
          <w:p w14:paraId="482C93A0"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5.07</w:t>
            </w:r>
          </w:p>
        </w:tc>
        <w:tc>
          <w:tcPr>
            <w:tcW w:w="410" w:type="pct"/>
            <w:hideMark/>
          </w:tcPr>
          <w:p w14:paraId="71283471"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4.05</w:t>
            </w:r>
          </w:p>
        </w:tc>
      </w:tr>
    </w:tbl>
    <w:p w14:paraId="686894F5" w14:textId="77777777" w:rsidR="009875AF" w:rsidRPr="003F5828" w:rsidRDefault="009875AF" w:rsidP="003F5828"/>
    <w:p w14:paraId="4BD56C27" w14:textId="77777777" w:rsidR="002B1C7D" w:rsidRDefault="002B1C7D" w:rsidP="0027541D">
      <w:pPr>
        <w:pStyle w:val="apph1xLP"/>
      </w:pPr>
      <w:r>
        <w:t>Current period performance: Transformation</w:t>
      </w:r>
    </w:p>
    <w:p w14:paraId="68D63A46" w14:textId="2ACE4726" w:rsidR="002B1C7D" w:rsidRDefault="002B1C7D" w:rsidP="002B1C7D">
      <w:r>
        <w:t xml:space="preserve">This section details the additional costs and benefits of the transformation programs initiated during the current regulatory period.  </w:t>
      </w:r>
    </w:p>
    <w:p w14:paraId="7D86745B" w14:textId="77777777" w:rsidR="002B1C7D" w:rsidRDefault="002B1C7D" w:rsidP="000F60D6">
      <w:pPr>
        <w:pStyle w:val="Heading4-nonumber"/>
      </w:pPr>
      <w:r>
        <w:lastRenderedPageBreak/>
        <w:t>Safety uplift transformation program</w:t>
      </w:r>
    </w:p>
    <w:p w14:paraId="2A2ABA9A" w14:textId="079CF6A6" w:rsidR="002B1C7D" w:rsidRDefault="002B1C7D" w:rsidP="002B1C7D">
      <w:r>
        <w:t xml:space="preserve">Our performance in relation to safety is driven by the development of our Health, Safety, Environment and Quality (HSEQ) system. Neither CWW or WW had a suitable health and safety system capable of complying with safety regulations and obligations, including the General Environmental Duty. The development of our system has resulted in additional operating expenditure over the current regulatory period of $0.3 million in labour. </w:t>
      </w:r>
    </w:p>
    <w:p w14:paraId="340E4FB3" w14:textId="7AC211A2" w:rsidR="002B1C7D" w:rsidRDefault="002B1C7D" w:rsidP="002B1C7D">
      <w:r>
        <w:t>This program will result in future labour efficiencies when it comes into effect.</w:t>
      </w:r>
      <w:r w:rsidR="00B54859">
        <w:t xml:space="preserve"> </w:t>
      </w:r>
    </w:p>
    <w:p w14:paraId="70DC3F97" w14:textId="1EB860D3" w:rsidR="00C9794B" w:rsidRDefault="004B4EB0" w:rsidP="004C4614">
      <w:pPr>
        <w:pStyle w:val="Caption"/>
      </w:pPr>
      <w:bookmarkStart w:id="399" w:name="_Ref146633571"/>
      <w:bookmarkStart w:id="400" w:name="_Ref146633545"/>
      <w:r w:rsidRPr="000574A4">
        <w:rPr>
          <w:b/>
        </w:rPr>
        <w:t xml:space="preserve">Table </w:t>
      </w:r>
      <w:r w:rsidR="001F7221" w:rsidRPr="000574A4">
        <w:rPr>
          <w:b/>
        </w:rPr>
        <w:fldChar w:fldCharType="begin"/>
      </w:r>
      <w:r w:rsidR="001F7221" w:rsidRPr="000574A4">
        <w:rPr>
          <w:b/>
        </w:rPr>
        <w:instrText xml:space="preserve"> SEQ Table \* ARABIC </w:instrText>
      </w:r>
      <w:r w:rsidR="001F7221" w:rsidRPr="000574A4">
        <w:rPr>
          <w:b/>
        </w:rPr>
        <w:fldChar w:fldCharType="separate"/>
      </w:r>
      <w:r w:rsidR="003B42C6">
        <w:rPr>
          <w:b/>
          <w:noProof/>
        </w:rPr>
        <w:t>65</w:t>
      </w:r>
      <w:r w:rsidR="001F7221" w:rsidRPr="000574A4">
        <w:rPr>
          <w:b/>
        </w:rPr>
        <w:fldChar w:fldCharType="end"/>
      </w:r>
      <w:bookmarkEnd w:id="399"/>
      <w:r w:rsidR="00062CE6">
        <w:t xml:space="preserve"> </w:t>
      </w:r>
      <w:r w:rsidR="004C4614" w:rsidRPr="004C4614">
        <w:t xml:space="preserve">Safety </w:t>
      </w:r>
      <w:proofErr w:type="spellStart"/>
      <w:r w:rsidR="004C4614" w:rsidRPr="004C4614">
        <w:t>opex</w:t>
      </w:r>
      <w:proofErr w:type="spellEnd"/>
      <w:r w:rsidR="004C4614" w:rsidRPr="004C4614">
        <w:t xml:space="preserve"> ($million, 2023-24)</w:t>
      </w:r>
      <w:bookmarkEnd w:id="400"/>
    </w:p>
    <w:tbl>
      <w:tblPr>
        <w:tblStyle w:val="GWWDefaulttable"/>
        <w:tblW w:w="5000" w:type="pct"/>
        <w:tblLook w:val="04A0" w:firstRow="1" w:lastRow="0" w:firstColumn="1" w:lastColumn="0" w:noHBand="0" w:noVBand="1"/>
      </w:tblPr>
      <w:tblGrid>
        <w:gridCol w:w="1250"/>
        <w:gridCol w:w="1398"/>
        <w:gridCol w:w="1398"/>
        <w:gridCol w:w="1398"/>
        <w:gridCol w:w="1398"/>
        <w:gridCol w:w="1398"/>
        <w:gridCol w:w="1398"/>
      </w:tblGrid>
      <w:tr w:rsidR="00552F88" w:rsidRPr="00552F88" w14:paraId="18A57230" w14:textId="77777777" w:rsidTr="000365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 w:type="pct"/>
            <w:hideMark/>
          </w:tcPr>
          <w:p w14:paraId="07CADB45" w14:textId="77777777" w:rsidR="00552F88" w:rsidRPr="00552F88" w:rsidRDefault="00552F88" w:rsidP="00552F88">
            <w:r w:rsidRPr="00552F88">
              <w:t> </w:t>
            </w:r>
          </w:p>
        </w:tc>
        <w:tc>
          <w:tcPr>
            <w:tcW w:w="725" w:type="pct"/>
            <w:vAlign w:val="center"/>
          </w:tcPr>
          <w:p w14:paraId="0C4A974C"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2018-19 </w:t>
            </w:r>
          </w:p>
        </w:tc>
        <w:tc>
          <w:tcPr>
            <w:tcW w:w="725" w:type="pct"/>
            <w:vAlign w:val="center"/>
          </w:tcPr>
          <w:p w14:paraId="249AFF0D"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2019-20 </w:t>
            </w:r>
          </w:p>
        </w:tc>
        <w:tc>
          <w:tcPr>
            <w:tcW w:w="725" w:type="pct"/>
            <w:vAlign w:val="center"/>
          </w:tcPr>
          <w:p w14:paraId="6937514A"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2020-21 </w:t>
            </w:r>
          </w:p>
        </w:tc>
        <w:tc>
          <w:tcPr>
            <w:tcW w:w="725" w:type="pct"/>
            <w:vAlign w:val="center"/>
          </w:tcPr>
          <w:p w14:paraId="0A366D3C"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2021-22 </w:t>
            </w:r>
          </w:p>
        </w:tc>
        <w:tc>
          <w:tcPr>
            <w:tcW w:w="725" w:type="pct"/>
            <w:vAlign w:val="center"/>
          </w:tcPr>
          <w:p w14:paraId="6509591B"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2022-23 </w:t>
            </w:r>
          </w:p>
        </w:tc>
        <w:tc>
          <w:tcPr>
            <w:tcW w:w="725" w:type="pct"/>
            <w:vAlign w:val="center"/>
          </w:tcPr>
          <w:p w14:paraId="32AC577F"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2023-24 </w:t>
            </w:r>
          </w:p>
        </w:tc>
      </w:tr>
      <w:tr w:rsidR="00552F88" w:rsidRPr="00552F88" w14:paraId="17865B0B" w14:textId="77777777" w:rsidTr="00036506">
        <w:trPr>
          <w:trHeight w:val="24"/>
        </w:trPr>
        <w:tc>
          <w:tcPr>
            <w:cnfStyle w:val="001000000000" w:firstRow="0" w:lastRow="0" w:firstColumn="1" w:lastColumn="0" w:oddVBand="0" w:evenVBand="0" w:oddHBand="0" w:evenHBand="0" w:firstRowFirstColumn="0" w:firstRowLastColumn="0" w:lastRowFirstColumn="0" w:lastRowLastColumn="0"/>
            <w:tcW w:w="648" w:type="pct"/>
            <w:hideMark/>
          </w:tcPr>
          <w:p w14:paraId="1E1A671E" w14:textId="77777777" w:rsidR="00552F88" w:rsidRPr="000574A4" w:rsidRDefault="00552F88" w:rsidP="00552F88">
            <w:pPr>
              <w:rPr>
                <w:b w:val="0"/>
              </w:rPr>
            </w:pPr>
            <w:proofErr w:type="spellStart"/>
            <w:r w:rsidRPr="000574A4">
              <w:rPr>
                <w:b w:val="0"/>
              </w:rPr>
              <w:t>Opex</w:t>
            </w:r>
            <w:proofErr w:type="spellEnd"/>
          </w:p>
        </w:tc>
        <w:tc>
          <w:tcPr>
            <w:tcW w:w="725" w:type="pct"/>
            <w:vAlign w:val="center"/>
            <w:hideMark/>
          </w:tcPr>
          <w:p w14:paraId="75F2AEE8"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7A2CDF48"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267EC7AA"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68BE9DFF"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73C02649"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0.29 </w:t>
            </w:r>
          </w:p>
        </w:tc>
        <w:tc>
          <w:tcPr>
            <w:tcW w:w="725" w:type="pct"/>
            <w:vAlign w:val="center"/>
            <w:hideMark/>
          </w:tcPr>
          <w:p w14:paraId="2D89B8E1"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0.29 </w:t>
            </w:r>
          </w:p>
        </w:tc>
      </w:tr>
    </w:tbl>
    <w:p w14:paraId="11CD4DA0" w14:textId="77777777" w:rsidR="004C4614" w:rsidRDefault="004C4614" w:rsidP="003F5828"/>
    <w:p w14:paraId="3C172789" w14:textId="77777777" w:rsidR="005843D9" w:rsidRPr="005843D9" w:rsidRDefault="005843D9" w:rsidP="000F60D6">
      <w:pPr>
        <w:pStyle w:val="Heading4-nonumber"/>
      </w:pPr>
      <w:r w:rsidRPr="005843D9">
        <w:t>Customer services transformation program </w:t>
      </w:r>
    </w:p>
    <w:p w14:paraId="5F549479" w14:textId="77777777" w:rsidR="005843D9" w:rsidRPr="005843D9" w:rsidRDefault="005843D9" w:rsidP="005843D9">
      <w:r w:rsidRPr="005843D9">
        <w:t xml:space="preserve">Over the regulatory period, GWW underwent a program to uplift its customer and community engagement program. We re-examined how our ongoing engagement can support price submission, strategy, corporate plan and general community and consumer sentiment work. The outcome was that the engagement program required additional resources to support the engagement activities as well as build productive working relationship with key partners in the region. The engagement team also supported the delivery of major capital works that were capitalised. The total </w:t>
      </w:r>
      <w:proofErr w:type="spellStart"/>
      <w:r w:rsidRPr="005843D9">
        <w:t>opex</w:t>
      </w:r>
      <w:proofErr w:type="spellEnd"/>
      <w:r w:rsidRPr="005843D9">
        <w:t xml:space="preserve"> cost of this uplift, including partnerships, is $1.2 million per annum from 2022-23 and remains an ongoing expense. </w:t>
      </w:r>
    </w:p>
    <w:p w14:paraId="4A4B8DE1" w14:textId="6197F616" w:rsidR="005843D9" w:rsidRPr="005843D9" w:rsidRDefault="005843D9" w:rsidP="005843D9">
      <w:r w:rsidRPr="005843D9">
        <w:t xml:space="preserve">A summary of the additional </w:t>
      </w:r>
      <w:proofErr w:type="spellStart"/>
      <w:r w:rsidRPr="005843D9">
        <w:t>opex</w:t>
      </w:r>
      <w:proofErr w:type="spellEnd"/>
      <w:r w:rsidRPr="005843D9">
        <w:t xml:space="preserve"> is presented in</w:t>
      </w:r>
      <w:r w:rsidR="00293B9F">
        <w:t xml:space="preserve"> </w:t>
      </w:r>
      <w:r w:rsidR="00640E61">
        <w:fldChar w:fldCharType="begin"/>
      </w:r>
      <w:r w:rsidR="00640E61">
        <w:instrText xml:space="preserve"> REF _Ref145978247 \h </w:instrText>
      </w:r>
      <w:r w:rsidR="00640E61">
        <w:fldChar w:fldCharType="separate"/>
      </w:r>
      <w:r w:rsidR="003B42C6" w:rsidRPr="00A6049B">
        <w:rPr>
          <w:b/>
        </w:rPr>
        <w:t xml:space="preserve">Table </w:t>
      </w:r>
      <w:r w:rsidR="003B42C6">
        <w:rPr>
          <w:b/>
          <w:noProof/>
        </w:rPr>
        <w:t>66</w:t>
      </w:r>
      <w:r w:rsidR="00640E61">
        <w:fldChar w:fldCharType="end"/>
      </w:r>
      <w:r w:rsidRPr="005843D9">
        <w:t xml:space="preserve">. </w:t>
      </w:r>
    </w:p>
    <w:p w14:paraId="0CD1C673" w14:textId="54DA3023" w:rsidR="00640E61" w:rsidRDefault="00640E61" w:rsidP="00640E61">
      <w:pPr>
        <w:pStyle w:val="Caption"/>
      </w:pPr>
      <w:bookmarkStart w:id="401" w:name="_Ref145978247"/>
      <w:bookmarkStart w:id="402" w:name="_Ref146029805"/>
      <w:r w:rsidRPr="00A6049B">
        <w:rPr>
          <w:b/>
        </w:rPr>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66</w:t>
      </w:r>
      <w:r w:rsidR="001F7221" w:rsidRPr="006805F5">
        <w:rPr>
          <w:b/>
        </w:rPr>
        <w:fldChar w:fldCharType="end"/>
      </w:r>
      <w:bookmarkEnd w:id="401"/>
      <w:r>
        <w:t xml:space="preserve"> Customer services </w:t>
      </w:r>
      <w:proofErr w:type="spellStart"/>
      <w:r>
        <w:t>opex</w:t>
      </w:r>
      <w:proofErr w:type="spellEnd"/>
      <w:r>
        <w:t xml:space="preserve"> ($million, 2023-24)</w:t>
      </w:r>
      <w:bookmarkEnd w:id="402"/>
    </w:p>
    <w:tbl>
      <w:tblPr>
        <w:tblStyle w:val="GWWDefaulttable"/>
        <w:tblW w:w="5000" w:type="pct"/>
        <w:tblLook w:val="04A0" w:firstRow="1" w:lastRow="0" w:firstColumn="1" w:lastColumn="0" w:noHBand="0" w:noVBand="1"/>
      </w:tblPr>
      <w:tblGrid>
        <w:gridCol w:w="1348"/>
        <w:gridCol w:w="1380"/>
        <w:gridCol w:w="1382"/>
        <w:gridCol w:w="1382"/>
        <w:gridCol w:w="1382"/>
        <w:gridCol w:w="1382"/>
        <w:gridCol w:w="1382"/>
      </w:tblGrid>
      <w:tr w:rsidR="005843D9" w:rsidRPr="00D5114A" w14:paraId="70D61D52"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15DE229B" w14:textId="77777777" w:rsidR="005843D9" w:rsidRPr="00D5114A" w:rsidRDefault="005843D9" w:rsidP="00D5114A">
            <w:r w:rsidRPr="00D5114A">
              <w:t> </w:t>
            </w:r>
          </w:p>
        </w:tc>
        <w:tc>
          <w:tcPr>
            <w:tcW w:w="716" w:type="pct"/>
            <w:vAlign w:val="center"/>
          </w:tcPr>
          <w:p w14:paraId="05E253B4"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2018-19 </w:t>
            </w:r>
          </w:p>
        </w:tc>
        <w:tc>
          <w:tcPr>
            <w:tcW w:w="717" w:type="pct"/>
            <w:vAlign w:val="center"/>
          </w:tcPr>
          <w:p w14:paraId="56B1C721"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2019-20 </w:t>
            </w:r>
          </w:p>
        </w:tc>
        <w:tc>
          <w:tcPr>
            <w:tcW w:w="717" w:type="pct"/>
            <w:vAlign w:val="center"/>
          </w:tcPr>
          <w:p w14:paraId="7D31134D"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2020-21 </w:t>
            </w:r>
          </w:p>
        </w:tc>
        <w:tc>
          <w:tcPr>
            <w:tcW w:w="717" w:type="pct"/>
            <w:vAlign w:val="center"/>
          </w:tcPr>
          <w:p w14:paraId="5EBE7AC4"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2021-22 </w:t>
            </w:r>
          </w:p>
        </w:tc>
        <w:tc>
          <w:tcPr>
            <w:tcW w:w="717" w:type="pct"/>
            <w:vAlign w:val="center"/>
          </w:tcPr>
          <w:p w14:paraId="4C788C8A"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2022-23 </w:t>
            </w:r>
          </w:p>
        </w:tc>
        <w:tc>
          <w:tcPr>
            <w:tcW w:w="717" w:type="pct"/>
            <w:vAlign w:val="center"/>
          </w:tcPr>
          <w:p w14:paraId="47B47415"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2023-24 </w:t>
            </w:r>
          </w:p>
        </w:tc>
      </w:tr>
      <w:tr w:rsidR="005843D9" w:rsidRPr="00D5114A" w14:paraId="1624A577"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699" w:type="pct"/>
            <w:tcBorders>
              <w:bottom w:val="single" w:sz="4" w:space="0" w:color="1A206C"/>
            </w:tcBorders>
            <w:hideMark/>
          </w:tcPr>
          <w:p w14:paraId="612FCEDE" w14:textId="77777777" w:rsidR="005843D9" w:rsidRPr="00A6049B" w:rsidRDefault="005843D9" w:rsidP="00977BA7">
            <w:pPr>
              <w:rPr>
                <w:b w:val="0"/>
              </w:rPr>
            </w:pPr>
            <w:proofErr w:type="spellStart"/>
            <w:r w:rsidRPr="00A6049B">
              <w:rPr>
                <w:b w:val="0"/>
              </w:rPr>
              <w:t>Opex</w:t>
            </w:r>
            <w:proofErr w:type="spellEnd"/>
            <w:r w:rsidRPr="00A6049B">
              <w:rPr>
                <w:b w:val="0"/>
              </w:rPr>
              <w:t> </w:t>
            </w:r>
          </w:p>
        </w:tc>
        <w:tc>
          <w:tcPr>
            <w:tcW w:w="716" w:type="pct"/>
            <w:tcBorders>
              <w:bottom w:val="single" w:sz="4" w:space="0" w:color="1A206C"/>
            </w:tcBorders>
            <w:vAlign w:val="center"/>
            <w:hideMark/>
          </w:tcPr>
          <w:p w14:paraId="02201310" w14:textId="04190985"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 </w:t>
            </w:r>
            <w:r w:rsidR="00977BA7" w:rsidRPr="00A6049B">
              <w:t>-</w:t>
            </w:r>
          </w:p>
        </w:tc>
        <w:tc>
          <w:tcPr>
            <w:tcW w:w="717" w:type="pct"/>
            <w:tcBorders>
              <w:bottom w:val="single" w:sz="4" w:space="0" w:color="1A206C"/>
            </w:tcBorders>
            <w:vAlign w:val="center"/>
            <w:hideMark/>
          </w:tcPr>
          <w:p w14:paraId="2387FC52" w14:textId="264D5963" w:rsidR="005843D9" w:rsidRPr="00A6049B" w:rsidRDefault="00977BA7"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32E78F6A" w14:textId="62672E7E" w:rsidR="005843D9" w:rsidRPr="00A6049B" w:rsidRDefault="0032152F"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787593C5" w14:textId="2B6F82B3" w:rsidR="005843D9" w:rsidRPr="00A6049B" w:rsidRDefault="0032152F"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51B2EA98" w14:textId="77777777"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1.17 </w:t>
            </w:r>
          </w:p>
        </w:tc>
        <w:tc>
          <w:tcPr>
            <w:tcW w:w="717" w:type="pct"/>
            <w:tcBorders>
              <w:bottom w:val="single" w:sz="4" w:space="0" w:color="1A206C"/>
            </w:tcBorders>
            <w:vAlign w:val="center"/>
            <w:hideMark/>
          </w:tcPr>
          <w:p w14:paraId="57DEB723" w14:textId="77777777"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1.17 </w:t>
            </w:r>
          </w:p>
        </w:tc>
      </w:tr>
    </w:tbl>
    <w:p w14:paraId="3273EDD6" w14:textId="77777777" w:rsidR="005843D9" w:rsidRPr="005843D9" w:rsidRDefault="005843D9" w:rsidP="00640E61">
      <w:pPr>
        <w:pStyle w:val="Heading4-nonumber"/>
      </w:pPr>
      <w:r w:rsidRPr="005843D9">
        <w:t>Managing compliance transformation program</w:t>
      </w:r>
    </w:p>
    <w:p w14:paraId="29914E1B" w14:textId="338578CE" w:rsidR="005843D9" w:rsidRPr="005843D9" w:rsidRDefault="005843D9" w:rsidP="005843D9">
      <w:r w:rsidRPr="005843D9">
        <w:t xml:space="preserve">Over the course of the regulatory period, GWW has experienced an increase in managing both water and sewer existing compliance obligations of $10.4 million in total. These challenges have been driven by financial constraints over the last regulatory period leading to under-investment coupled with high growth, higher rainfall, and changes in treatment plant flows resulting from the shift to working from home. </w:t>
      </w:r>
    </w:p>
    <w:p w14:paraId="466E3607" w14:textId="22A96645" w:rsidR="005843D9" w:rsidRPr="005843D9" w:rsidRDefault="00293B9F" w:rsidP="00293B9F">
      <w:pPr>
        <w:pStyle w:val="Caption"/>
      </w:pPr>
      <w:bookmarkStart w:id="403" w:name="_Ref146031099"/>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67</w:t>
      </w:r>
      <w:r w:rsidR="001F7221" w:rsidRPr="00A6049B">
        <w:rPr>
          <w:b/>
        </w:rPr>
        <w:fldChar w:fldCharType="end"/>
      </w:r>
      <w:bookmarkEnd w:id="403"/>
      <w:r w:rsidRPr="00293B9F">
        <w:t xml:space="preserve"> </w:t>
      </w:r>
      <w:r w:rsidR="005843D9" w:rsidRPr="00293B9F">
        <w:t xml:space="preserve">Compliance </w:t>
      </w:r>
      <w:proofErr w:type="spellStart"/>
      <w:r w:rsidR="005843D9" w:rsidRPr="00293B9F">
        <w:t>opex</w:t>
      </w:r>
      <w:proofErr w:type="spellEnd"/>
      <w:r w:rsidR="005843D9" w:rsidRPr="00293B9F">
        <w:t xml:space="preserve"> ($million, 2023-24)</w:t>
      </w:r>
      <w:r w:rsidR="005843D9" w:rsidRPr="005843D9">
        <w:t> </w:t>
      </w:r>
    </w:p>
    <w:tbl>
      <w:tblPr>
        <w:tblStyle w:val="GWWDefaulttable"/>
        <w:tblW w:w="5000" w:type="pct"/>
        <w:tblLook w:val="04A0" w:firstRow="1" w:lastRow="0" w:firstColumn="1" w:lastColumn="0" w:noHBand="0" w:noVBand="1"/>
      </w:tblPr>
      <w:tblGrid>
        <w:gridCol w:w="1348"/>
        <w:gridCol w:w="1380"/>
        <w:gridCol w:w="1382"/>
        <w:gridCol w:w="1382"/>
        <w:gridCol w:w="1382"/>
        <w:gridCol w:w="1382"/>
        <w:gridCol w:w="1382"/>
      </w:tblGrid>
      <w:tr w:rsidR="005843D9" w:rsidRPr="00D5114A" w14:paraId="75D1E9FD"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vAlign w:val="center"/>
          </w:tcPr>
          <w:p w14:paraId="0D1B8AAE" w14:textId="77777777" w:rsidR="005843D9" w:rsidRPr="00D5114A" w:rsidRDefault="005843D9" w:rsidP="00A6049B">
            <w:pPr>
              <w:jc w:val="right"/>
            </w:pPr>
            <w:r w:rsidRPr="00D5114A">
              <w:t xml:space="preserve"> </w:t>
            </w:r>
          </w:p>
        </w:tc>
        <w:tc>
          <w:tcPr>
            <w:tcW w:w="716" w:type="pct"/>
            <w:vAlign w:val="center"/>
          </w:tcPr>
          <w:p w14:paraId="74A3EA68"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2018-19 </w:t>
            </w:r>
          </w:p>
        </w:tc>
        <w:tc>
          <w:tcPr>
            <w:tcW w:w="717" w:type="pct"/>
            <w:vAlign w:val="center"/>
          </w:tcPr>
          <w:p w14:paraId="4F6496A2"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2019-20 </w:t>
            </w:r>
          </w:p>
        </w:tc>
        <w:tc>
          <w:tcPr>
            <w:tcW w:w="717" w:type="pct"/>
            <w:vAlign w:val="center"/>
          </w:tcPr>
          <w:p w14:paraId="60F3B29F"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2020-21 </w:t>
            </w:r>
          </w:p>
        </w:tc>
        <w:tc>
          <w:tcPr>
            <w:tcW w:w="717" w:type="pct"/>
            <w:vAlign w:val="center"/>
          </w:tcPr>
          <w:p w14:paraId="00185B93"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2021-22 </w:t>
            </w:r>
          </w:p>
        </w:tc>
        <w:tc>
          <w:tcPr>
            <w:tcW w:w="717" w:type="pct"/>
            <w:vAlign w:val="center"/>
          </w:tcPr>
          <w:p w14:paraId="417DD9C3"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2022-23 </w:t>
            </w:r>
          </w:p>
        </w:tc>
        <w:tc>
          <w:tcPr>
            <w:tcW w:w="717" w:type="pct"/>
            <w:vAlign w:val="center"/>
          </w:tcPr>
          <w:p w14:paraId="1417F2FF"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2023-24 </w:t>
            </w:r>
          </w:p>
        </w:tc>
      </w:tr>
      <w:tr w:rsidR="005843D9" w:rsidRPr="00D5114A" w14:paraId="132E3FF1"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110A8872" w14:textId="77777777" w:rsidR="005843D9" w:rsidRPr="00A6049B" w:rsidRDefault="005843D9" w:rsidP="00D5114A">
            <w:pPr>
              <w:rPr>
                <w:b w:val="0"/>
              </w:rPr>
            </w:pPr>
            <w:proofErr w:type="spellStart"/>
            <w:r w:rsidRPr="00A6049B">
              <w:rPr>
                <w:b w:val="0"/>
              </w:rPr>
              <w:t>Opex</w:t>
            </w:r>
            <w:proofErr w:type="spellEnd"/>
            <w:r w:rsidRPr="00A6049B">
              <w:rPr>
                <w:b w:val="0"/>
              </w:rPr>
              <w:t> </w:t>
            </w:r>
          </w:p>
        </w:tc>
        <w:tc>
          <w:tcPr>
            <w:tcW w:w="716" w:type="pct"/>
            <w:vAlign w:val="center"/>
            <w:hideMark/>
          </w:tcPr>
          <w:p w14:paraId="5C2148DE"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03F5431F"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731CA0E6"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2C5590F1"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3.30 </w:t>
            </w:r>
          </w:p>
        </w:tc>
        <w:tc>
          <w:tcPr>
            <w:tcW w:w="717" w:type="pct"/>
            <w:vAlign w:val="center"/>
            <w:hideMark/>
          </w:tcPr>
          <w:p w14:paraId="69A62AEA"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3.54 </w:t>
            </w:r>
          </w:p>
        </w:tc>
        <w:tc>
          <w:tcPr>
            <w:tcW w:w="717" w:type="pct"/>
            <w:vAlign w:val="center"/>
            <w:hideMark/>
          </w:tcPr>
          <w:p w14:paraId="26C94A25"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3.54 </w:t>
            </w:r>
          </w:p>
        </w:tc>
      </w:tr>
    </w:tbl>
    <w:p w14:paraId="66F5E1B6" w14:textId="77777777" w:rsidR="004C4614" w:rsidRPr="003F5828" w:rsidRDefault="004C4614" w:rsidP="003F5828"/>
    <w:p w14:paraId="7E3635F5" w14:textId="77777777" w:rsidR="00277F9A" w:rsidRPr="00277F9A" w:rsidRDefault="00277F9A" w:rsidP="00640E61">
      <w:pPr>
        <w:pStyle w:val="Heading5-nonumber"/>
      </w:pPr>
      <w:r w:rsidRPr="00277F9A">
        <w:t>Sewer compliance obligations</w:t>
      </w:r>
    </w:p>
    <w:p w14:paraId="079CC862" w14:textId="77777777" w:rsidR="00277F9A" w:rsidRPr="00277F9A" w:rsidRDefault="00277F9A" w:rsidP="00277F9A">
      <w:r w:rsidRPr="00277F9A">
        <w:t>During the last regulatory period, the area previously served by Western Water continued to see higher than expected growth. The additional growth, along with higher rainfall, resulted in higher operating expenditure to maintain existing compliance at wastewater treatment plants. Further to this, the capital program was reprioritised to deliver works for new connections and additional operating expenditure was required to manage treatment plants that needed upgrades to remain compliant.</w:t>
      </w:r>
    </w:p>
    <w:p w14:paraId="74BE0F39" w14:textId="77777777" w:rsidR="00277F9A" w:rsidRPr="00277F9A" w:rsidRDefault="00277F9A" w:rsidP="00277F9A">
      <w:r w:rsidRPr="00277F9A">
        <w:t>Overall to maintain compliance with EPA obligations, GWW has invested $3.3 million per year from 2021-22 for wastewater treatment activities. The primary drivers of this cost increase are: </w:t>
      </w:r>
    </w:p>
    <w:p w14:paraId="2EC69012" w14:textId="77777777" w:rsidR="00277F9A" w:rsidRDefault="00277F9A" w:rsidP="00277F9A">
      <w:pPr>
        <w:pStyle w:val="ListBullet"/>
      </w:pPr>
      <w:r w:rsidRPr="00277F9A">
        <w:t>chemical management to remove phosphorus and balance PH levels to achieve discharge quality (approximately $0.3 million in 2021-22), and</w:t>
      </w:r>
      <w:r>
        <w:t xml:space="preserve"> </w:t>
      </w:r>
    </w:p>
    <w:p w14:paraId="4EADA239" w14:textId="529B66E0" w:rsidR="00277F9A" w:rsidRPr="00277F9A" w:rsidRDefault="00277F9A" w:rsidP="00277F9A">
      <w:pPr>
        <w:pStyle w:val="ListBullet"/>
      </w:pPr>
      <w:proofErr w:type="spellStart"/>
      <w:r w:rsidRPr="00277F9A">
        <w:t>tankering</w:t>
      </w:r>
      <w:proofErr w:type="spellEnd"/>
      <w:r w:rsidRPr="00277F9A">
        <w:t>, plant and pump hire used to manage water balance at our Northern Wastewater Plants because of capacity constraints resulting from the significant and exponential growth occurring across these catchments.</w:t>
      </w:r>
    </w:p>
    <w:p w14:paraId="725741EB" w14:textId="77777777" w:rsidR="00277F9A" w:rsidRPr="00277F9A" w:rsidRDefault="00277F9A" w:rsidP="00277F9A">
      <w:r w:rsidRPr="00277F9A">
        <w:t>The additional costs associated with maintaining EPA compliance will not be eased until the treatment plants have been upgraded.</w:t>
      </w:r>
    </w:p>
    <w:p w14:paraId="53026C26" w14:textId="77777777" w:rsidR="00277F9A" w:rsidRPr="00277F9A" w:rsidRDefault="00277F9A" w:rsidP="00640E61">
      <w:pPr>
        <w:pStyle w:val="Heading5-nonumber"/>
      </w:pPr>
      <w:r w:rsidRPr="00277F9A">
        <w:t>Sewer Quality Management System</w:t>
      </w:r>
    </w:p>
    <w:p w14:paraId="5BDBB91C" w14:textId="216F46E2" w:rsidR="00277F9A" w:rsidRPr="00277F9A" w:rsidRDefault="00277F9A" w:rsidP="00277F9A">
      <w:r w:rsidRPr="00277F9A">
        <w:t>GWW has commenced building a fit for purpose Sewage Quality System for its seven sewer catchments. It will reduce duplication of systems and be aligned with compliance obligations and standards. This includes acceptance and trigger requirements for our local treatment plants and acceptance criteria for trade waste agreements. Development of the new system commenced in 2023-24 at an additional cost of $0.24 million and will deliver improved compliance.</w:t>
      </w:r>
    </w:p>
    <w:p w14:paraId="17593B52" w14:textId="77777777" w:rsidR="00277F9A" w:rsidRPr="00277F9A" w:rsidRDefault="00277F9A" w:rsidP="00640E61">
      <w:pPr>
        <w:pStyle w:val="Heading5-nonumber"/>
      </w:pPr>
      <w:r w:rsidRPr="00277F9A">
        <w:t>Incident management </w:t>
      </w:r>
    </w:p>
    <w:p w14:paraId="44870940" w14:textId="740961DE" w:rsidR="00277F9A" w:rsidRPr="00277F9A" w:rsidRDefault="00277F9A" w:rsidP="00277F9A">
      <w:r w:rsidRPr="00277F9A">
        <w:t xml:space="preserve">The incident and emergency management requires significant </w:t>
      </w:r>
      <w:r w:rsidR="00A82D51">
        <w:t>resourcing</w:t>
      </w:r>
      <w:r w:rsidRPr="00277F9A">
        <w:t xml:space="preserve"> from the communications and engagement team. An incident will often result in a continued engagement for </w:t>
      </w:r>
      <w:proofErr w:type="gramStart"/>
      <w:r w:rsidRPr="00277F9A">
        <w:t>a period of time</w:t>
      </w:r>
      <w:proofErr w:type="gramEnd"/>
      <w:r w:rsidRPr="00277F9A">
        <w:t xml:space="preserve"> after the operational solution has been delivered. The previous FTE and budget were not sufficient to manage the growing number of incidents in the GWW catchment that have been driven by a lack of investment in asset solutions and a continued use of operational solutions, across the backdrop of climate change resulting in more frequent weather events. This takes time to reverse and will the continued spend is required into the next regulatory period.</w:t>
      </w:r>
    </w:p>
    <w:p w14:paraId="0B7AA71B" w14:textId="77777777" w:rsidR="00277F9A" w:rsidRPr="00277F9A" w:rsidRDefault="00277F9A" w:rsidP="003707A7">
      <w:pPr>
        <w:pStyle w:val="Heading4-nonumber"/>
      </w:pPr>
      <w:r w:rsidRPr="00277F9A">
        <w:t>Asset management transformation program </w:t>
      </w:r>
    </w:p>
    <w:p w14:paraId="5FCE08D8" w14:textId="1EFF4ED6" w:rsidR="00277F9A" w:rsidRDefault="00277F9A" w:rsidP="005843D9">
      <w:r w:rsidRPr="00277F9A">
        <w:t xml:space="preserve">Since integration, GWW has identified </w:t>
      </w:r>
      <w:proofErr w:type="gramStart"/>
      <w:r w:rsidRPr="00277F9A">
        <w:t>a number of</w:t>
      </w:r>
      <w:proofErr w:type="gramEnd"/>
      <w:r w:rsidRPr="00277F9A">
        <w:t xml:space="preserve"> key areas that can be improved across all aspects of asset management. </w:t>
      </w:r>
      <w:proofErr w:type="gramStart"/>
      <w:r w:rsidRPr="00277F9A">
        <w:t>In particular, we</w:t>
      </w:r>
      <w:proofErr w:type="gramEnd"/>
      <w:r w:rsidRPr="00277F9A">
        <w:t xml:space="preserve"> have embarked on a program to increase capability, systems and processes in capital delivery program from planning and procurement through to delivery and commissioning. Further to this, there has been some movements in supporting functions for asset management, as well as materials and facilities costs.</w:t>
      </w:r>
    </w:p>
    <w:p w14:paraId="600B4080" w14:textId="3358C2CA" w:rsidR="001924A8" w:rsidRDefault="001924A8" w:rsidP="001924A8">
      <w:pPr>
        <w:pStyle w:val="Caption"/>
      </w:pPr>
      <w:bookmarkStart w:id="404" w:name="_Ref146031072"/>
      <w:r w:rsidRPr="00EE6CEB">
        <w:rPr>
          <w:b/>
        </w:rPr>
        <w:lastRenderedPageBreak/>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68</w:t>
      </w:r>
      <w:r w:rsidR="001F7221" w:rsidRPr="006805F5">
        <w:rPr>
          <w:b/>
        </w:rPr>
        <w:fldChar w:fldCharType="end"/>
      </w:r>
      <w:bookmarkEnd w:id="404"/>
      <w:r>
        <w:t xml:space="preserve"> </w:t>
      </w:r>
      <w:r w:rsidRPr="000D7E78">
        <w:t xml:space="preserve">Asset management </w:t>
      </w:r>
      <w:proofErr w:type="spellStart"/>
      <w:r w:rsidRPr="000D7E78">
        <w:t>opex</w:t>
      </w:r>
      <w:proofErr w:type="spellEnd"/>
      <w:r w:rsidRPr="000D7E78">
        <w:t xml:space="preserve"> ($million, 2023-24)</w:t>
      </w:r>
    </w:p>
    <w:tbl>
      <w:tblPr>
        <w:tblStyle w:val="GWWDefaulttable"/>
        <w:tblW w:w="0" w:type="auto"/>
        <w:tblLook w:val="04A0" w:firstRow="1" w:lastRow="0" w:firstColumn="1" w:lastColumn="0" w:noHBand="0" w:noVBand="1"/>
      </w:tblPr>
      <w:tblGrid>
        <w:gridCol w:w="2694"/>
        <w:gridCol w:w="1157"/>
        <w:gridCol w:w="1157"/>
        <w:gridCol w:w="1158"/>
        <w:gridCol w:w="1157"/>
        <w:gridCol w:w="1157"/>
        <w:gridCol w:w="1158"/>
      </w:tblGrid>
      <w:tr w:rsidR="0040044E" w14:paraId="55A6B0B6" w14:textId="77777777" w:rsidTr="002B06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tcPr>
          <w:p w14:paraId="565603A5" w14:textId="7B3EA9E7" w:rsidR="006F7A1F" w:rsidRPr="00D31A1D" w:rsidRDefault="006F7A1F" w:rsidP="006F7A1F">
            <w:pPr>
              <w:rPr>
                <w:szCs w:val="20"/>
              </w:rPr>
            </w:pPr>
            <w:r w:rsidRPr="00E23AFF">
              <w:rPr>
                <w:rFonts w:asciiTheme="minorHAnsi" w:eastAsia="Times New Roman" w:hAnsiTheme="minorHAnsi" w:cs="Times New Roman"/>
                <w:color w:val="222222"/>
                <w:spacing w:val="0"/>
                <w:sz w:val="22"/>
                <w:szCs w:val="20"/>
                <w:lang w:eastAsia="en-AU"/>
              </w:rPr>
              <w:t> </w:t>
            </w:r>
          </w:p>
        </w:tc>
        <w:tc>
          <w:tcPr>
            <w:tcW w:w="1157" w:type="dxa"/>
            <w:vAlign w:val="center"/>
          </w:tcPr>
          <w:p w14:paraId="3CD6C169" w14:textId="2E08FB1B"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2018-19 </w:t>
            </w:r>
          </w:p>
        </w:tc>
        <w:tc>
          <w:tcPr>
            <w:tcW w:w="1157" w:type="dxa"/>
            <w:vAlign w:val="center"/>
          </w:tcPr>
          <w:p w14:paraId="15C6A546" w14:textId="2995FBC6"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2019-20 </w:t>
            </w:r>
          </w:p>
        </w:tc>
        <w:tc>
          <w:tcPr>
            <w:tcW w:w="1158" w:type="dxa"/>
            <w:vAlign w:val="center"/>
          </w:tcPr>
          <w:p w14:paraId="00BF36E4" w14:textId="79E8A0E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2020-21 </w:t>
            </w:r>
          </w:p>
        </w:tc>
        <w:tc>
          <w:tcPr>
            <w:tcW w:w="1157" w:type="dxa"/>
            <w:vAlign w:val="center"/>
          </w:tcPr>
          <w:p w14:paraId="42A96EBE" w14:textId="6C71FD82"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2021-22 </w:t>
            </w:r>
          </w:p>
        </w:tc>
        <w:tc>
          <w:tcPr>
            <w:tcW w:w="1157" w:type="dxa"/>
            <w:vAlign w:val="center"/>
          </w:tcPr>
          <w:p w14:paraId="790A456A" w14:textId="6C174F9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2022-23 </w:t>
            </w:r>
          </w:p>
        </w:tc>
        <w:tc>
          <w:tcPr>
            <w:tcW w:w="1158" w:type="dxa"/>
            <w:vAlign w:val="center"/>
          </w:tcPr>
          <w:p w14:paraId="1A15E95F" w14:textId="555585A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2023-24 </w:t>
            </w:r>
          </w:p>
        </w:tc>
      </w:tr>
      <w:tr w:rsidR="002B066A" w14:paraId="7C1FEF06"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27B86D36" w14:textId="77777777" w:rsidR="002B066A" w:rsidRPr="00C830F8" w:rsidRDefault="002B066A">
            <w:pPr>
              <w:rPr>
                <w:rFonts w:asciiTheme="minorHAnsi" w:hAnsiTheme="minorHAnsi"/>
                <w:b w:val="0"/>
                <w:szCs w:val="20"/>
              </w:rPr>
            </w:pPr>
            <w:r w:rsidRPr="00C830F8">
              <w:rPr>
                <w:rFonts w:asciiTheme="minorHAnsi" w:eastAsia="Times New Roman" w:hAnsiTheme="minorHAnsi" w:cs="Times New Roman"/>
                <w:b w:val="0"/>
                <w:color w:val="1A206C"/>
                <w:spacing w:val="0"/>
                <w:szCs w:val="20"/>
                <w:shd w:val="clear" w:color="auto" w:fill="FFFFFF"/>
                <w:lang w:eastAsia="en-AU"/>
              </w:rPr>
              <w:t xml:space="preserve">ADOR </w:t>
            </w:r>
            <w:proofErr w:type="spellStart"/>
            <w:r w:rsidRPr="00C830F8">
              <w:rPr>
                <w:rFonts w:asciiTheme="minorHAnsi" w:eastAsia="Times New Roman" w:hAnsiTheme="minorHAnsi" w:cs="Times New Roman"/>
                <w:b w:val="0"/>
                <w:color w:val="1A206C"/>
                <w:spacing w:val="0"/>
                <w:szCs w:val="20"/>
                <w:shd w:val="clear" w:color="auto" w:fill="FFFFFF"/>
                <w:lang w:eastAsia="en-AU"/>
              </w:rPr>
              <w:t>Opex</w:t>
            </w:r>
            <w:proofErr w:type="spellEnd"/>
            <w:r w:rsidRPr="00C830F8">
              <w:rPr>
                <w:rFonts w:asciiTheme="minorHAnsi" w:eastAsia="Times New Roman" w:hAnsiTheme="minorHAnsi" w:cs="Times New Roman"/>
                <w:b w:val="0"/>
                <w:color w:val="1A206C"/>
                <w:spacing w:val="0"/>
                <w:szCs w:val="20"/>
                <w:shd w:val="clear" w:color="auto" w:fill="FFFFFF"/>
                <w:lang w:eastAsia="en-AU"/>
              </w:rPr>
              <w:t xml:space="preserve"> (regulatory)</w:t>
            </w:r>
          </w:p>
        </w:tc>
        <w:tc>
          <w:tcPr>
            <w:tcW w:w="1157" w:type="dxa"/>
            <w:vAlign w:val="center"/>
          </w:tcPr>
          <w:p w14:paraId="694273D3"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3562633C"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8" w:type="dxa"/>
            <w:vAlign w:val="center"/>
          </w:tcPr>
          <w:p w14:paraId="1A85B8C2"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170DBAA7"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04BE59C9"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1.19</w:t>
            </w:r>
          </w:p>
        </w:tc>
        <w:tc>
          <w:tcPr>
            <w:tcW w:w="1158" w:type="dxa"/>
            <w:vAlign w:val="center"/>
          </w:tcPr>
          <w:p w14:paraId="15872194"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1.19</w:t>
            </w:r>
          </w:p>
        </w:tc>
      </w:tr>
      <w:tr w:rsidR="002B066A" w:rsidRPr="002B066A" w14:paraId="4F9C8A6C"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357B06D3" w14:textId="77777777" w:rsidR="002B066A" w:rsidRPr="002B066A" w:rsidRDefault="002B066A">
            <w:pPr>
              <w:rPr>
                <w:rFonts w:asciiTheme="minorHAnsi" w:hAnsiTheme="minorHAnsi"/>
                <w:b w:val="0"/>
                <w:bCs/>
                <w:szCs w:val="20"/>
              </w:rPr>
            </w:pPr>
            <w:r w:rsidRPr="002B066A">
              <w:rPr>
                <w:rFonts w:asciiTheme="minorHAnsi" w:eastAsia="Times New Roman" w:hAnsiTheme="minorHAnsi" w:cs="Times New Roman"/>
                <w:b w:val="0"/>
                <w:bCs/>
                <w:color w:val="1A206C"/>
                <w:spacing w:val="0"/>
                <w:szCs w:val="20"/>
                <w:shd w:val="clear" w:color="auto" w:fill="FFFFFF"/>
                <w:lang w:eastAsia="en-AU"/>
              </w:rPr>
              <w:t>ADOR Capex (regulatory)</w:t>
            </w:r>
          </w:p>
        </w:tc>
        <w:tc>
          <w:tcPr>
            <w:tcW w:w="1157" w:type="dxa"/>
            <w:vAlign w:val="center"/>
          </w:tcPr>
          <w:p w14:paraId="4BC196E8"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5CC71C58"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8" w:type="dxa"/>
            <w:vAlign w:val="center"/>
          </w:tcPr>
          <w:p w14:paraId="5D97428B"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0EE0C1E4"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5F7AF0D0" w14:textId="27718D33"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2.8</w:t>
            </w:r>
            <w:r w:rsidR="00B328D9">
              <w:rPr>
                <w:rFonts w:eastAsia="Times New Roman" w:cs="Times New Roman"/>
                <w:bCs/>
                <w:spacing w:val="0"/>
                <w:szCs w:val="20"/>
                <w:shd w:val="clear" w:color="auto" w:fill="FFFFFF"/>
                <w:lang w:eastAsia="en-AU"/>
              </w:rPr>
              <w:t>2</w:t>
            </w:r>
          </w:p>
        </w:tc>
        <w:tc>
          <w:tcPr>
            <w:tcW w:w="1158" w:type="dxa"/>
            <w:vAlign w:val="center"/>
          </w:tcPr>
          <w:p w14:paraId="0A75431E"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4.01</w:t>
            </w:r>
          </w:p>
        </w:tc>
      </w:tr>
      <w:tr w:rsidR="0040044E" w14:paraId="3569BD88"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76D60FBA" w14:textId="305538E7" w:rsidR="006F7A1F" w:rsidRPr="002B066A" w:rsidRDefault="006F7A1F" w:rsidP="006F7A1F">
            <w:pPr>
              <w:rPr>
                <w:rFonts w:asciiTheme="minorHAnsi" w:hAnsiTheme="minorHAnsi"/>
                <w:szCs w:val="20"/>
              </w:rPr>
            </w:pPr>
            <w:r w:rsidRPr="002B066A">
              <w:rPr>
                <w:rFonts w:asciiTheme="minorHAnsi" w:eastAsia="Times New Roman" w:hAnsiTheme="minorHAnsi" w:cs="Times New Roman"/>
                <w:color w:val="1A206C"/>
                <w:spacing w:val="0"/>
                <w:szCs w:val="20"/>
                <w:shd w:val="clear" w:color="auto" w:fill="FFFFFF"/>
                <w:lang w:eastAsia="en-AU"/>
              </w:rPr>
              <w:t xml:space="preserve">ADOR </w:t>
            </w:r>
            <w:proofErr w:type="spellStart"/>
            <w:r w:rsidRPr="002B066A">
              <w:rPr>
                <w:rFonts w:asciiTheme="minorHAnsi" w:eastAsia="Times New Roman" w:hAnsiTheme="minorHAnsi" w:cs="Times New Roman"/>
                <w:color w:val="1A206C"/>
                <w:spacing w:val="0"/>
                <w:szCs w:val="20"/>
                <w:shd w:val="clear" w:color="auto" w:fill="FFFFFF"/>
                <w:lang w:eastAsia="en-AU"/>
              </w:rPr>
              <w:t>Opex</w:t>
            </w:r>
            <w:proofErr w:type="spellEnd"/>
            <w:r w:rsidRPr="002B066A">
              <w:rPr>
                <w:rFonts w:asciiTheme="minorHAnsi" w:eastAsia="Times New Roman" w:hAnsiTheme="minorHAnsi" w:cs="Times New Roman"/>
                <w:color w:val="1A206C"/>
                <w:spacing w:val="0"/>
                <w:szCs w:val="20"/>
                <w:lang w:eastAsia="en-AU"/>
              </w:rPr>
              <w:t> (statutory)</w:t>
            </w:r>
          </w:p>
        </w:tc>
        <w:tc>
          <w:tcPr>
            <w:tcW w:w="1157" w:type="dxa"/>
            <w:vAlign w:val="center"/>
          </w:tcPr>
          <w:p w14:paraId="0D265C11" w14:textId="012C5325"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13A6B7A5" w14:textId="1C7E6805"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8" w:type="dxa"/>
            <w:vAlign w:val="center"/>
          </w:tcPr>
          <w:p w14:paraId="7DDFE2A5" w14:textId="3869366C"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1106CC81" w14:textId="3759B1D4"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4CE02E61" w14:textId="0707D30F"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4.01</w:t>
            </w:r>
            <w:r w:rsidRPr="002B066A">
              <w:rPr>
                <w:rFonts w:eastAsia="Times New Roman" w:cs="Times New Roman"/>
                <w:b/>
                <w:spacing w:val="0"/>
                <w:szCs w:val="20"/>
                <w:lang w:eastAsia="en-AU"/>
              </w:rPr>
              <w:t> </w:t>
            </w:r>
          </w:p>
        </w:tc>
        <w:tc>
          <w:tcPr>
            <w:tcW w:w="1158" w:type="dxa"/>
            <w:vAlign w:val="center"/>
          </w:tcPr>
          <w:p w14:paraId="4F601DF2" w14:textId="52388D09"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5.20</w:t>
            </w:r>
            <w:r w:rsidRPr="002B066A">
              <w:rPr>
                <w:rFonts w:eastAsia="Times New Roman" w:cs="Times New Roman"/>
                <w:b/>
                <w:spacing w:val="0"/>
                <w:szCs w:val="20"/>
                <w:lang w:eastAsia="en-AU"/>
              </w:rPr>
              <w:t> </w:t>
            </w:r>
          </w:p>
        </w:tc>
      </w:tr>
    </w:tbl>
    <w:p w14:paraId="2E90C67E" w14:textId="77777777" w:rsidR="00906FD8" w:rsidRPr="00906FD8" w:rsidRDefault="00906FD8" w:rsidP="00E23AFF"/>
    <w:p w14:paraId="288D7617" w14:textId="77777777" w:rsidR="00B33E03" w:rsidRPr="00401608" w:rsidRDefault="00B33E03" w:rsidP="00E23AFF">
      <w:pPr>
        <w:pStyle w:val="Heading5-nonumber"/>
      </w:pPr>
      <w:r w:rsidRPr="00401608">
        <w:t>Asset Delivery Optimisation Review (ADOR) </w:t>
      </w:r>
    </w:p>
    <w:p w14:paraId="55F82207" w14:textId="77777777" w:rsidR="00B33E03" w:rsidRPr="00401608" w:rsidRDefault="00B33E03" w:rsidP="00401608">
      <w:r w:rsidRPr="00401608">
        <w:t>In 2022-23, GWW implemented a program call ADOR (Asset Delivery Optimisation Review) that will enable GWW to deliver on its capital program in a prudent and efficient manner. The current capital delivery function was tailored to the management of CWW’s and WW’s simpler capital programs which were predominately focused on pipes and pumps, without largescale treatment plant upgrades. After integration and an assessment of asset condition and risks, the ADOR program was developed to enable more complex program and projects to be delivered in a cost-effective way.</w:t>
      </w:r>
    </w:p>
    <w:p w14:paraId="0E27820D" w14:textId="441C4D55" w:rsidR="00B33E03" w:rsidRPr="00401608" w:rsidRDefault="00B33E03" w:rsidP="00401608">
      <w:r w:rsidRPr="00401608">
        <w:t xml:space="preserve">Included in the current regulatory period, is $1.2 million operating expenditure associated with training and capability uplift ($0.5 million) and pro-active procurement practices ($0.7 million). The remainder of the expenditure has been proposed to be capitalised and rolled into the opening regulatory asset base on 1 July 2023. This is discussed in detail in </w:t>
      </w:r>
      <w:r w:rsidR="0046346B">
        <w:t>S</w:t>
      </w:r>
      <w:r w:rsidRPr="00401608">
        <w:t>ection</w:t>
      </w:r>
      <w:r w:rsidR="0046346B">
        <w:t xml:space="preserve"> </w:t>
      </w:r>
      <w:r w:rsidR="00F81342">
        <w:t>4.3</w:t>
      </w:r>
      <w:r w:rsidRPr="00401608">
        <w:t xml:space="preserve"> </w:t>
      </w:r>
      <w:r w:rsidR="007C43DB">
        <w:t>and Appendix I</w:t>
      </w:r>
      <w:r w:rsidRPr="00401608">
        <w:t xml:space="preserve">. </w:t>
      </w:r>
    </w:p>
    <w:p w14:paraId="65AD2C4C" w14:textId="77777777" w:rsidR="00B33E03" w:rsidRPr="00401608" w:rsidRDefault="00B33E03" w:rsidP="00401608">
      <w:pPr>
        <w:pStyle w:val="Heading4-nonumber"/>
      </w:pPr>
      <w:r w:rsidRPr="00401608">
        <w:t>Streamlining corporate functions transformation program </w:t>
      </w:r>
    </w:p>
    <w:p w14:paraId="3F89407E" w14:textId="77777777" w:rsidR="00B33E03" w:rsidRPr="00401608" w:rsidRDefault="00B33E03" w:rsidP="00401608">
      <w:r w:rsidRPr="00401608">
        <w:t>GWW has put in place measures to streamline its corporate function. There have been some increases over that period, and some efficiencies have been achieved. These can be summarised as: </w:t>
      </w:r>
    </w:p>
    <w:p w14:paraId="0F7BF64C" w14:textId="77777777" w:rsidR="00B33E03" w:rsidRPr="00401608" w:rsidRDefault="00B33E03" w:rsidP="00352F28">
      <w:pPr>
        <w:pStyle w:val="ListBullet"/>
      </w:pPr>
      <w:r w:rsidRPr="00401608">
        <w:t>Digital improvements: these costs have been driven largely by a change in the way of working and an increase in the role data has in decision making. These expenditures will result in better investment decisions and provide greater value to customers.</w:t>
      </w:r>
    </w:p>
    <w:p w14:paraId="3C8BA5E8" w14:textId="775D866C" w:rsidR="00B33E03" w:rsidRPr="00401608" w:rsidRDefault="00B33E03" w:rsidP="00401608">
      <w:pPr>
        <w:pStyle w:val="ListBullet"/>
      </w:pPr>
      <w:r w:rsidRPr="00401608">
        <w:t>Communications: these costs have increased over the period after an independent review identified under-investment in communications, along with the engagement functions, to manage the growing business.</w:t>
      </w:r>
    </w:p>
    <w:p w14:paraId="3B3B0B30" w14:textId="75041952" w:rsidR="001924A8" w:rsidRDefault="00000948" w:rsidP="00000948">
      <w:pPr>
        <w:pStyle w:val="Caption"/>
      </w:pPr>
      <w:bookmarkStart w:id="405" w:name="_Ref146031112"/>
      <w:r w:rsidRPr="00D6640B">
        <w:rPr>
          <w:b/>
        </w:rPr>
        <w:t xml:space="preserve">Table </w:t>
      </w:r>
      <w:r w:rsidR="001F7221" w:rsidRPr="00D6640B">
        <w:rPr>
          <w:b/>
        </w:rPr>
        <w:fldChar w:fldCharType="begin"/>
      </w:r>
      <w:r w:rsidR="001F7221" w:rsidRPr="00D6640B">
        <w:rPr>
          <w:b/>
        </w:rPr>
        <w:instrText xml:space="preserve"> SEQ Table \* ARABIC </w:instrText>
      </w:r>
      <w:r w:rsidR="001F7221" w:rsidRPr="00D6640B">
        <w:rPr>
          <w:b/>
        </w:rPr>
        <w:fldChar w:fldCharType="separate"/>
      </w:r>
      <w:r w:rsidR="003B42C6">
        <w:rPr>
          <w:b/>
          <w:noProof/>
        </w:rPr>
        <w:t>69</w:t>
      </w:r>
      <w:r w:rsidR="001F7221" w:rsidRPr="00D6640B">
        <w:rPr>
          <w:b/>
        </w:rPr>
        <w:fldChar w:fldCharType="end"/>
      </w:r>
      <w:bookmarkEnd w:id="405"/>
      <w:r>
        <w:t xml:space="preserve"> </w:t>
      </w:r>
      <w:r w:rsidR="001924A8" w:rsidRPr="00C14429">
        <w:t xml:space="preserve">Corporate </w:t>
      </w:r>
      <w:proofErr w:type="spellStart"/>
      <w:r w:rsidR="001924A8" w:rsidRPr="00C14429">
        <w:t>opex</w:t>
      </w:r>
      <w:proofErr w:type="spellEnd"/>
      <w:r w:rsidR="001924A8" w:rsidRPr="00C14429">
        <w:t xml:space="preserve"> ($million, 2023-24)</w:t>
      </w:r>
    </w:p>
    <w:tbl>
      <w:tblPr>
        <w:tblStyle w:val="GWWDefaulttable"/>
        <w:tblW w:w="5000" w:type="pct"/>
        <w:tblLook w:val="04A0" w:firstRow="1" w:lastRow="0" w:firstColumn="1" w:lastColumn="0" w:noHBand="0" w:noVBand="1"/>
      </w:tblPr>
      <w:tblGrid>
        <w:gridCol w:w="1576"/>
        <w:gridCol w:w="1612"/>
        <w:gridCol w:w="1613"/>
        <w:gridCol w:w="1613"/>
        <w:gridCol w:w="1613"/>
        <w:gridCol w:w="1611"/>
      </w:tblGrid>
      <w:tr w:rsidR="002A2775" w:rsidRPr="00401608" w14:paraId="700FD184" w14:textId="77777777" w:rsidTr="00D664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pct"/>
            <w:hideMark/>
          </w:tcPr>
          <w:p w14:paraId="4A4D29AD" w14:textId="77777777" w:rsidR="002A2775" w:rsidRPr="00401608" w:rsidRDefault="002A2775" w:rsidP="00401608">
            <w:r w:rsidRPr="00401608">
              <w:t> </w:t>
            </w:r>
          </w:p>
        </w:tc>
        <w:tc>
          <w:tcPr>
            <w:tcW w:w="836" w:type="pct"/>
            <w:vAlign w:val="center"/>
          </w:tcPr>
          <w:p w14:paraId="0D44A300"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2018-19 </w:t>
            </w:r>
          </w:p>
        </w:tc>
        <w:tc>
          <w:tcPr>
            <w:tcW w:w="837" w:type="pct"/>
            <w:vAlign w:val="center"/>
          </w:tcPr>
          <w:p w14:paraId="1D2DDF9D"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2019-20 </w:t>
            </w:r>
          </w:p>
        </w:tc>
        <w:tc>
          <w:tcPr>
            <w:tcW w:w="837" w:type="pct"/>
            <w:vAlign w:val="center"/>
          </w:tcPr>
          <w:p w14:paraId="03E84EC0"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2020-21 </w:t>
            </w:r>
          </w:p>
        </w:tc>
        <w:tc>
          <w:tcPr>
            <w:tcW w:w="837" w:type="pct"/>
            <w:vAlign w:val="center"/>
          </w:tcPr>
          <w:p w14:paraId="0221BE85"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2021-22 </w:t>
            </w:r>
          </w:p>
        </w:tc>
        <w:tc>
          <w:tcPr>
            <w:tcW w:w="837" w:type="pct"/>
            <w:vAlign w:val="center"/>
          </w:tcPr>
          <w:p w14:paraId="6396B294"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2022-23 </w:t>
            </w:r>
          </w:p>
        </w:tc>
      </w:tr>
      <w:tr w:rsidR="002A2775" w:rsidRPr="00401608" w14:paraId="442DF1C1"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817" w:type="pct"/>
            <w:hideMark/>
          </w:tcPr>
          <w:p w14:paraId="29E5B010" w14:textId="77777777" w:rsidR="002A2775" w:rsidRPr="00D6640B" w:rsidRDefault="002A2775" w:rsidP="00401608">
            <w:pPr>
              <w:rPr>
                <w:b w:val="0"/>
              </w:rPr>
            </w:pPr>
            <w:proofErr w:type="spellStart"/>
            <w:r w:rsidRPr="00D6640B">
              <w:rPr>
                <w:b w:val="0"/>
              </w:rPr>
              <w:t>Opex</w:t>
            </w:r>
            <w:proofErr w:type="spellEnd"/>
            <w:r w:rsidRPr="00D6640B">
              <w:rPr>
                <w:b w:val="0"/>
              </w:rPr>
              <w:t> </w:t>
            </w:r>
          </w:p>
        </w:tc>
        <w:tc>
          <w:tcPr>
            <w:tcW w:w="836" w:type="pct"/>
            <w:vAlign w:val="center"/>
            <w:hideMark/>
          </w:tcPr>
          <w:p w14:paraId="6BA01A12" w14:textId="6775E574"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78151095" w14:textId="12CA6B15"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5B2A21A2" w14:textId="62DA3118"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7A592747" w14:textId="3FA86B8F"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4944D06B" w14:textId="77777777"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0.76 </w:t>
            </w:r>
          </w:p>
        </w:tc>
      </w:tr>
    </w:tbl>
    <w:p w14:paraId="31A0465E" w14:textId="77777777" w:rsidR="00B33E03" w:rsidRPr="00401608" w:rsidRDefault="00B33E03" w:rsidP="00401608"/>
    <w:p w14:paraId="6CB84209" w14:textId="77777777" w:rsidR="00B33E03" w:rsidRPr="00401608" w:rsidRDefault="00B33E03" w:rsidP="004A658D">
      <w:pPr>
        <w:pStyle w:val="Heading4-nonumber"/>
      </w:pPr>
      <w:r w:rsidRPr="00401608">
        <w:lastRenderedPageBreak/>
        <w:t>Digital improvements </w:t>
      </w:r>
    </w:p>
    <w:p w14:paraId="73CA54D1" w14:textId="77777777" w:rsidR="00B33E03" w:rsidRPr="00401608" w:rsidRDefault="00B33E03" w:rsidP="00401608">
      <w:r w:rsidRPr="00401608">
        <w:t>IT costs have increased at a faster rate than anticipated over the last regulatory period While CWW’s determination included a step change for transition to cloud expenses, WW’s determination did not. There have been additional costs because of integration, cyber security requirements, changes in the way of working, volume of users and improvements in accessibility and customer management. Specifically: </w:t>
      </w:r>
    </w:p>
    <w:p w14:paraId="3424D861" w14:textId="77777777" w:rsidR="00B33E03" w:rsidRPr="00401608" w:rsidRDefault="00B33E03" w:rsidP="00352F28">
      <w:pPr>
        <w:pStyle w:val="ListBullet"/>
      </w:pPr>
      <w:r w:rsidRPr="00401608">
        <w:t>Increase in the volume of users for core services GWW has seen a significant increase in its users (both regular labour and agency labour). From 2020 there were 800 users and now in 2023 there are 1500 users.  </w:t>
      </w:r>
    </w:p>
    <w:p w14:paraId="048DBDDC" w14:textId="77777777" w:rsidR="00B33E03" w:rsidRPr="00401608" w:rsidRDefault="00B33E03" w:rsidP="00352F28">
      <w:pPr>
        <w:pStyle w:val="ListBullet"/>
      </w:pPr>
      <w:r w:rsidRPr="00401608">
        <w:t>GWW has been slowly upgrading and updating its systems to allow for all IT systems and software to be used by those who may have disability such as a visual or hearing impairment.  </w:t>
      </w:r>
    </w:p>
    <w:p w14:paraId="4CB95260" w14:textId="77777777" w:rsidR="00B33E03" w:rsidRPr="00401608" w:rsidRDefault="00B33E03" w:rsidP="00352F28">
      <w:pPr>
        <w:pStyle w:val="ListBullet"/>
      </w:pPr>
      <w:r w:rsidRPr="00401608">
        <w:t>Technology tools have been implemented to improve customer experience and management of customer complaints. The online portal was introduced to improve customer experience and allow small tasks to be managed through a self-serve menu.  </w:t>
      </w:r>
    </w:p>
    <w:p w14:paraId="3B53F3EA" w14:textId="001ECFD3" w:rsidR="00B33E03" w:rsidRPr="00401608" w:rsidRDefault="00B33E03" w:rsidP="00401608">
      <w:pPr>
        <w:pStyle w:val="ListBullet"/>
      </w:pPr>
      <w:r w:rsidRPr="00401608">
        <w:t xml:space="preserve">Cloud based services have continued to grow and with many organically growing throughout the period with moving to work from home and </w:t>
      </w:r>
      <w:proofErr w:type="gramStart"/>
      <w:r w:rsidRPr="00401608">
        <w:t>hybrid based</w:t>
      </w:r>
      <w:proofErr w:type="gramEnd"/>
      <w:r w:rsidRPr="00401608">
        <w:t xml:space="preserve"> work (such as </w:t>
      </w:r>
      <w:proofErr w:type="spellStart"/>
      <w:r w:rsidRPr="00401608">
        <w:t>Menti</w:t>
      </w:r>
      <w:proofErr w:type="spellEnd"/>
      <w:r w:rsidRPr="00401608">
        <w:t>, Mural and JIRA). This growth is managed as much as feasibility possible through regular rationalisation of IT products and managed through centralised purchasing of IT products.</w:t>
      </w:r>
    </w:p>
    <w:p w14:paraId="463FCC59" w14:textId="77777777" w:rsidR="00C40632" w:rsidRPr="00C40632" w:rsidRDefault="00C40632" w:rsidP="004A658D">
      <w:pPr>
        <w:pStyle w:val="Heading4-nonumber"/>
      </w:pPr>
      <w:r w:rsidRPr="00C40632">
        <w:t>Communications </w:t>
      </w:r>
    </w:p>
    <w:p w14:paraId="188F5E4E" w14:textId="77777777" w:rsidR="00C40632" w:rsidRPr="00C40632" w:rsidRDefault="00C40632" w:rsidP="00C40632">
      <w:r w:rsidRPr="00C40632">
        <w:t>The capacity and capability of both the pre-existing CWW and WW communications and engagement teams were not sufficient to manage the increased demands for major projects and incident management engagement alongside ongoing community engagement that we experienced in the current regulatory period. The total cost of this uplift was $0.8 million per annum from 2022-23.</w:t>
      </w:r>
    </w:p>
    <w:p w14:paraId="58F7F0F6" w14:textId="77777777" w:rsidR="00C40632" w:rsidRPr="00C40632" w:rsidRDefault="00C40632" w:rsidP="00C40632">
      <w:r w:rsidRPr="00C40632">
        <w:t>GWW did a function review, with support from an independent third party, and found that GWW needed to increase capacity to deliver on core business as usual work and emergency management and incident respond functions.</w:t>
      </w:r>
    </w:p>
    <w:p w14:paraId="2E5E355C" w14:textId="28134AFA" w:rsidR="00BC33DB" w:rsidRPr="00BC33DB" w:rsidRDefault="00C40632" w:rsidP="00BC33DB">
      <w:r w:rsidRPr="00C40632">
        <w:t>From an external communications perspective, there was a need to manage all external channels, whether that be social media, media releases or external media, to ensure consistent and timely messaging. This resulted in a small uplift in the external communications team to ensure social media is monitoring regularly, and all media enquiries are handled appropriately.</w:t>
      </w:r>
    </w:p>
    <w:p w14:paraId="767C2A05" w14:textId="2C9F4F67" w:rsidR="00D17317" w:rsidRPr="00E506DF" w:rsidRDefault="00D17317" w:rsidP="0027541D">
      <w:pPr>
        <w:pStyle w:val="apph1xLP"/>
      </w:pPr>
      <w:r w:rsidRPr="00E506DF">
        <w:t xml:space="preserve">Current period performance: </w:t>
      </w:r>
      <w:r w:rsidR="00437EBB">
        <w:t>C</w:t>
      </w:r>
      <w:r w:rsidRPr="00E506DF">
        <w:t>hanges in obligations  </w:t>
      </w:r>
    </w:p>
    <w:p w14:paraId="146501B9" w14:textId="77777777" w:rsidR="00D17317" w:rsidRDefault="00D17317" w:rsidP="00D17317">
      <w:r>
        <w:t>Since 2018-19, GWW has experienced several changes in obligations. These are:</w:t>
      </w:r>
    </w:p>
    <w:p w14:paraId="01FFCC16" w14:textId="138318B5" w:rsidR="00D17317" w:rsidRPr="009863C2" w:rsidRDefault="00D17317" w:rsidP="00893F3B">
      <w:pPr>
        <w:pStyle w:val="ListBullet"/>
      </w:pPr>
      <w:r w:rsidRPr="00025EFB">
        <w:t xml:space="preserve">First Nations and </w:t>
      </w:r>
      <w:r>
        <w:t>T</w:t>
      </w:r>
      <w:r w:rsidRPr="00025EFB">
        <w:t xml:space="preserve">raditional </w:t>
      </w:r>
      <w:r>
        <w:t>O</w:t>
      </w:r>
      <w:r w:rsidRPr="00025EFB">
        <w:t>wner engagement:</w:t>
      </w:r>
      <w:r>
        <w:t xml:space="preserve"> </w:t>
      </w:r>
      <w:r w:rsidRPr="00AB1A00">
        <w:t xml:space="preserve">GWW is required to engage with </w:t>
      </w:r>
      <w:r w:rsidRPr="009863C2">
        <w:t xml:space="preserve">Traditional Owners, </w:t>
      </w:r>
      <w:proofErr w:type="gramStart"/>
      <w:r w:rsidRPr="009863C2">
        <w:t>in particular around</w:t>
      </w:r>
      <w:proofErr w:type="gramEnd"/>
      <w:r w:rsidRPr="009863C2">
        <w:t xml:space="preserve"> Action 4.2 from the Central and Gippsland Region Sustainable Water Strategy. This has come at a cost of &lt;</w:t>
      </w:r>
      <w:r w:rsidRPr="000672C5">
        <w:t>$0.</w:t>
      </w:r>
      <w:r w:rsidRPr="009863C2">
        <w:t xml:space="preserve">1 million. Further costs have been identified as a step change in </w:t>
      </w:r>
      <w:proofErr w:type="spellStart"/>
      <w:r w:rsidRPr="009863C2">
        <w:t>opex</w:t>
      </w:r>
      <w:proofErr w:type="spellEnd"/>
      <w:r w:rsidRPr="009863C2">
        <w:t xml:space="preserve"> further in this </w:t>
      </w:r>
      <w:r w:rsidR="0051529B">
        <w:t>section</w:t>
      </w:r>
      <w:r w:rsidRPr="009863C2">
        <w:t xml:space="preserve">. </w:t>
      </w:r>
    </w:p>
    <w:p w14:paraId="4D450C1B" w14:textId="77777777" w:rsidR="00D17317" w:rsidRPr="009863C2" w:rsidRDefault="00D17317" w:rsidP="00893F3B">
      <w:pPr>
        <w:pStyle w:val="ListBullet"/>
      </w:pPr>
      <w:r w:rsidRPr="009863C2">
        <w:t xml:space="preserve">Payroll tax: in 2022-23, the Victorian Government increased payroll tax by 0.5% resulting in an additional </w:t>
      </w:r>
      <w:r w:rsidRPr="000672C5">
        <w:t>$0.5</w:t>
      </w:r>
      <w:r w:rsidRPr="009863C2">
        <w:t xml:space="preserve"> million in </w:t>
      </w:r>
      <w:proofErr w:type="spellStart"/>
      <w:r w:rsidRPr="009863C2">
        <w:t>opex</w:t>
      </w:r>
      <w:proofErr w:type="spellEnd"/>
      <w:r w:rsidRPr="009863C2">
        <w:t>.</w:t>
      </w:r>
    </w:p>
    <w:p w14:paraId="10914654" w14:textId="35519DA4" w:rsidR="001924A8" w:rsidRDefault="00D17317" w:rsidP="00871899">
      <w:pPr>
        <w:pStyle w:val="ListBullet"/>
      </w:pPr>
      <w:r w:rsidRPr="009863C2">
        <w:lastRenderedPageBreak/>
        <w:t xml:space="preserve">Superannuation guarantee: the Superannuation guarantee increased gradually from 9.5% in 2018-19 to 2020-21 to 11% in 2023-24. This resulted in an </w:t>
      </w:r>
      <w:r w:rsidRPr="00506F28">
        <w:t>$2.4 million</w:t>
      </w:r>
      <w:r w:rsidRPr="009863C2">
        <w:t xml:space="preserve"> increase over</w:t>
      </w:r>
      <w:r>
        <w:t xml:space="preserve"> the regulatory period. </w:t>
      </w:r>
    </w:p>
    <w:p w14:paraId="2C157DF0" w14:textId="2D98684F" w:rsidR="00487A0A" w:rsidRDefault="00487A0A" w:rsidP="00487A0A">
      <w:pPr>
        <w:pStyle w:val="Caption"/>
      </w:pPr>
      <w:bookmarkStart w:id="406" w:name="_Ref146031152"/>
      <w:r w:rsidRPr="00D6640B">
        <w:rPr>
          <w:b/>
        </w:rPr>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70</w:t>
      </w:r>
      <w:r w:rsidR="001F7221" w:rsidRPr="006805F5">
        <w:rPr>
          <w:b/>
        </w:rPr>
        <w:fldChar w:fldCharType="end"/>
      </w:r>
      <w:bookmarkEnd w:id="406"/>
      <w:r>
        <w:t xml:space="preserve"> </w:t>
      </w:r>
      <w:r w:rsidRPr="00782BDA">
        <w:t xml:space="preserve">Changes in obligations </w:t>
      </w:r>
      <w:proofErr w:type="spellStart"/>
      <w:r w:rsidRPr="00782BDA">
        <w:t>opex</w:t>
      </w:r>
      <w:proofErr w:type="spellEnd"/>
      <w:r w:rsidRPr="00782BDA">
        <w:t xml:space="preserve"> and efficiencies ($million, 2023-24)</w:t>
      </w:r>
    </w:p>
    <w:tbl>
      <w:tblPr>
        <w:tblStyle w:val="GWWDefaulttable"/>
        <w:tblW w:w="5000" w:type="pct"/>
        <w:tblLook w:val="04A0" w:firstRow="1" w:lastRow="0" w:firstColumn="1" w:lastColumn="0" w:noHBand="0" w:noVBand="1"/>
      </w:tblPr>
      <w:tblGrid>
        <w:gridCol w:w="1485"/>
        <w:gridCol w:w="1631"/>
        <w:gridCol w:w="1631"/>
        <w:gridCol w:w="1631"/>
        <w:gridCol w:w="1631"/>
        <w:gridCol w:w="1629"/>
      </w:tblGrid>
      <w:tr w:rsidR="00D17317" w14:paraId="46740F18" w14:textId="77777777" w:rsidTr="00D66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793AC3BF" w14:textId="77777777" w:rsidR="00D17317" w:rsidRDefault="00D17317"/>
        </w:tc>
        <w:tc>
          <w:tcPr>
            <w:tcW w:w="846" w:type="pct"/>
            <w:vAlign w:val="center"/>
          </w:tcPr>
          <w:p w14:paraId="5E746953"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46" w:type="pct"/>
            <w:vAlign w:val="center"/>
          </w:tcPr>
          <w:p w14:paraId="32F98792"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46" w:type="pct"/>
            <w:vAlign w:val="center"/>
          </w:tcPr>
          <w:p w14:paraId="29D2AD87"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46" w:type="pct"/>
            <w:vAlign w:val="center"/>
          </w:tcPr>
          <w:p w14:paraId="1257E472"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45" w:type="pct"/>
            <w:vAlign w:val="center"/>
          </w:tcPr>
          <w:p w14:paraId="50E39911"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D17317" w14:paraId="2CF3F680" w14:textId="77777777" w:rsidTr="00D6640B">
        <w:tc>
          <w:tcPr>
            <w:cnfStyle w:val="001000000000" w:firstRow="0" w:lastRow="0" w:firstColumn="1" w:lastColumn="0" w:oddVBand="0" w:evenVBand="0" w:oddHBand="0" w:evenHBand="0" w:firstRowFirstColumn="0" w:firstRowLastColumn="0" w:lastRowFirstColumn="0" w:lastRowLastColumn="0"/>
            <w:tcW w:w="770" w:type="pct"/>
          </w:tcPr>
          <w:p w14:paraId="6D73F777" w14:textId="77777777" w:rsidR="00D17317" w:rsidRPr="00D6640B" w:rsidRDefault="00D17317">
            <w:pPr>
              <w:rPr>
                <w:b w:val="0"/>
              </w:rPr>
            </w:pPr>
            <w:proofErr w:type="spellStart"/>
            <w:r w:rsidRPr="00D6640B">
              <w:rPr>
                <w:b w:val="0"/>
              </w:rPr>
              <w:t>Opex</w:t>
            </w:r>
            <w:proofErr w:type="spellEnd"/>
          </w:p>
        </w:tc>
        <w:tc>
          <w:tcPr>
            <w:tcW w:w="846" w:type="pct"/>
            <w:vAlign w:val="center"/>
          </w:tcPr>
          <w:p w14:paraId="14E971B7" w14:textId="37D7B17B"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5ABC3918" w14:textId="170C180E"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01E72FBB" w14:textId="727243FD"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1D1EBC87" w14:textId="77777777" w:rsidR="00D17317" w:rsidRPr="00D6640B" w:rsidRDefault="00D17317">
            <w:pPr>
              <w:jc w:val="right"/>
              <w:cnfStyle w:val="000000000000" w:firstRow="0" w:lastRow="0" w:firstColumn="0" w:lastColumn="0" w:oddVBand="0" w:evenVBand="0" w:oddHBand="0" w:evenHBand="0" w:firstRowFirstColumn="0" w:firstRowLastColumn="0" w:lastRowFirstColumn="0" w:lastRowLastColumn="0"/>
            </w:pPr>
            <w:r w:rsidRPr="00D6640B">
              <w:t>0.38</w:t>
            </w:r>
          </w:p>
        </w:tc>
        <w:tc>
          <w:tcPr>
            <w:tcW w:w="845" w:type="pct"/>
            <w:vAlign w:val="center"/>
          </w:tcPr>
          <w:p w14:paraId="3F33453C" w14:textId="77777777" w:rsidR="00D17317" w:rsidRPr="00D6640B" w:rsidRDefault="00D17317">
            <w:pPr>
              <w:jc w:val="right"/>
              <w:cnfStyle w:val="000000000000" w:firstRow="0" w:lastRow="0" w:firstColumn="0" w:lastColumn="0" w:oddVBand="0" w:evenVBand="0" w:oddHBand="0" w:evenHBand="0" w:firstRowFirstColumn="0" w:firstRowLastColumn="0" w:lastRowFirstColumn="0" w:lastRowLastColumn="0"/>
            </w:pPr>
            <w:r w:rsidRPr="00D6640B">
              <w:t>1.33</w:t>
            </w:r>
          </w:p>
        </w:tc>
      </w:tr>
    </w:tbl>
    <w:p w14:paraId="26444EF7" w14:textId="37427D89" w:rsidR="00D17317" w:rsidRPr="00EA1808" w:rsidRDefault="00D17317" w:rsidP="0027541D">
      <w:pPr>
        <w:pStyle w:val="apph1xLP"/>
      </w:pPr>
      <w:r w:rsidRPr="003F71DB">
        <w:t xml:space="preserve">Current period performance: </w:t>
      </w:r>
      <w:r w:rsidR="00CF4AF8">
        <w:t>E</w:t>
      </w:r>
      <w:r w:rsidRPr="00E506DF">
        <w:t>xternal</w:t>
      </w:r>
      <w:r w:rsidRPr="003F71DB">
        <w:t xml:space="preserve"> cost drivers</w:t>
      </w:r>
      <w:r w:rsidRPr="00EA1808">
        <w:t> </w:t>
      </w:r>
    </w:p>
    <w:p w14:paraId="491B27CF" w14:textId="4B3BEB04" w:rsidR="001924A8" w:rsidRDefault="00D17317" w:rsidP="00487A0A">
      <w:r w:rsidRPr="00E506DF">
        <w:t>This section discusses in detail the additional costs GWW has faced that are external to the business. These are categorised as five items – field maintenance, energy, chemicals, information technology and insurance.</w:t>
      </w:r>
    </w:p>
    <w:p w14:paraId="6EC490C6" w14:textId="371BA861" w:rsidR="00487A0A" w:rsidRDefault="00487A0A" w:rsidP="00487A0A">
      <w:pPr>
        <w:pStyle w:val="Caption"/>
      </w:pPr>
      <w:bookmarkStart w:id="407" w:name="_Ref146031164"/>
      <w:r w:rsidRPr="00B10684">
        <w:rPr>
          <w:b/>
          <w:bCs/>
        </w:rPr>
        <w:t xml:space="preserve">Table </w:t>
      </w:r>
      <w:r w:rsidR="001F7221" w:rsidRPr="00B10684">
        <w:rPr>
          <w:b/>
          <w:bCs/>
        </w:rPr>
        <w:fldChar w:fldCharType="begin"/>
      </w:r>
      <w:r w:rsidR="001F7221">
        <w:instrText xml:space="preserve"> SEQ Table \* ARABIC </w:instrText>
      </w:r>
      <w:r w:rsidR="001F7221" w:rsidRPr="00B10684">
        <w:rPr>
          <w:b/>
          <w:bCs/>
        </w:rPr>
        <w:fldChar w:fldCharType="separate"/>
      </w:r>
      <w:r w:rsidR="003B42C6">
        <w:rPr>
          <w:noProof/>
        </w:rPr>
        <w:t>71</w:t>
      </w:r>
      <w:r w:rsidR="001F7221" w:rsidRPr="00B10684">
        <w:rPr>
          <w:b/>
          <w:bCs/>
          <w:noProof/>
        </w:rPr>
        <w:fldChar w:fldCharType="end"/>
      </w:r>
      <w:bookmarkEnd w:id="407"/>
      <w:r>
        <w:t xml:space="preserve"> </w:t>
      </w:r>
      <w:r w:rsidRPr="00C72632">
        <w:t xml:space="preserve">External cost drivers impact on </w:t>
      </w:r>
      <w:proofErr w:type="spellStart"/>
      <w:r w:rsidRPr="00C72632">
        <w:t>opex</w:t>
      </w:r>
      <w:proofErr w:type="spellEnd"/>
      <w:r w:rsidRPr="00C72632">
        <w:t xml:space="preserve"> ($million, 2023-24)</w:t>
      </w:r>
    </w:p>
    <w:tbl>
      <w:tblPr>
        <w:tblStyle w:val="GWWDefaulttable"/>
        <w:tblW w:w="5000" w:type="pct"/>
        <w:tblLook w:val="04A0" w:firstRow="1" w:lastRow="0" w:firstColumn="1" w:lastColumn="0" w:noHBand="0" w:noVBand="1"/>
      </w:tblPr>
      <w:tblGrid>
        <w:gridCol w:w="1607"/>
        <w:gridCol w:w="1607"/>
        <w:gridCol w:w="1606"/>
        <w:gridCol w:w="1606"/>
        <w:gridCol w:w="1606"/>
        <w:gridCol w:w="1606"/>
      </w:tblGrid>
      <w:tr w:rsidR="00D17317" w14:paraId="6A8333F8" w14:textId="77777777" w:rsidTr="00D66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6DB26199" w14:textId="77777777" w:rsidR="00D17317" w:rsidRDefault="00D17317"/>
        </w:tc>
        <w:tc>
          <w:tcPr>
            <w:tcW w:w="834" w:type="pct"/>
            <w:vAlign w:val="center"/>
          </w:tcPr>
          <w:p w14:paraId="6F570CCF"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33" w:type="pct"/>
            <w:vAlign w:val="center"/>
          </w:tcPr>
          <w:p w14:paraId="7993667E"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33" w:type="pct"/>
            <w:vAlign w:val="center"/>
          </w:tcPr>
          <w:p w14:paraId="26CFF55F"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33" w:type="pct"/>
            <w:vAlign w:val="center"/>
          </w:tcPr>
          <w:p w14:paraId="13051242"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33" w:type="pct"/>
            <w:vAlign w:val="center"/>
          </w:tcPr>
          <w:p w14:paraId="449A3229"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D17317" w14:paraId="0C0C7BB4" w14:textId="77777777" w:rsidTr="00D6640B">
        <w:tc>
          <w:tcPr>
            <w:cnfStyle w:val="001000000000" w:firstRow="0" w:lastRow="0" w:firstColumn="1" w:lastColumn="0" w:oddVBand="0" w:evenVBand="0" w:oddHBand="0" w:evenHBand="0" w:firstRowFirstColumn="0" w:firstRowLastColumn="0" w:lastRowFirstColumn="0" w:lastRowLastColumn="0"/>
            <w:tcW w:w="834" w:type="pct"/>
          </w:tcPr>
          <w:p w14:paraId="466DB292" w14:textId="77777777" w:rsidR="00D17317" w:rsidRPr="00D6640B" w:rsidRDefault="00D17317">
            <w:pPr>
              <w:rPr>
                <w:b w:val="0"/>
              </w:rPr>
            </w:pPr>
            <w:proofErr w:type="spellStart"/>
            <w:r w:rsidRPr="00D6640B">
              <w:rPr>
                <w:b w:val="0"/>
              </w:rPr>
              <w:t>Opex</w:t>
            </w:r>
            <w:proofErr w:type="spellEnd"/>
          </w:p>
        </w:tc>
        <w:tc>
          <w:tcPr>
            <w:tcW w:w="834" w:type="pct"/>
            <w:vAlign w:val="center"/>
          </w:tcPr>
          <w:p w14:paraId="79686014" w14:textId="77777777"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3.35 </w:t>
            </w:r>
          </w:p>
        </w:tc>
        <w:tc>
          <w:tcPr>
            <w:tcW w:w="833" w:type="pct"/>
            <w:vAlign w:val="center"/>
          </w:tcPr>
          <w:p w14:paraId="343AE5B0" w14:textId="77777777"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5.76 </w:t>
            </w:r>
          </w:p>
        </w:tc>
        <w:tc>
          <w:tcPr>
            <w:tcW w:w="833" w:type="pct"/>
            <w:vAlign w:val="center"/>
          </w:tcPr>
          <w:p w14:paraId="528A65AE" w14:textId="1FDEE085"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1.79 </w:t>
            </w:r>
          </w:p>
        </w:tc>
        <w:tc>
          <w:tcPr>
            <w:tcW w:w="833" w:type="pct"/>
            <w:vAlign w:val="center"/>
          </w:tcPr>
          <w:p w14:paraId="226BAEC3" w14:textId="6F913A09"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6.85 </w:t>
            </w:r>
          </w:p>
        </w:tc>
        <w:tc>
          <w:tcPr>
            <w:tcW w:w="833" w:type="pct"/>
            <w:vAlign w:val="center"/>
          </w:tcPr>
          <w:p w14:paraId="181C2D8F" w14:textId="52D0DF4E"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12.69</w:t>
            </w:r>
          </w:p>
        </w:tc>
      </w:tr>
    </w:tbl>
    <w:p w14:paraId="4D032D99" w14:textId="77777777" w:rsidR="00D17317" w:rsidRDefault="00D17317" w:rsidP="00D17317">
      <w:r>
        <w:t>Two methods have been used to calculate the impact of external cost drivers over the period. Both approaches are relative to the 2018 CWW determination and the 2020 WW determination:</w:t>
      </w:r>
    </w:p>
    <w:p w14:paraId="0DF91B2E" w14:textId="77777777" w:rsidR="00D17317" w:rsidRDefault="00D17317" w:rsidP="00181E25">
      <w:pPr>
        <w:pStyle w:val="ListBullet"/>
      </w:pPr>
      <w:r>
        <w:t xml:space="preserve">Extrapolation method: Using the base year expenditure from the 2018 and 2020 Determinations and extrapolating the costs over the regulatory period using growth and efficiency forecasts. Adjustments have been included for any step changes approved in the two final determinations. This has been used for IT costs, </w:t>
      </w:r>
      <w:proofErr w:type="gramStart"/>
      <w:r>
        <w:t>insurance</w:t>
      </w:r>
      <w:proofErr w:type="gramEnd"/>
      <w:r>
        <w:t xml:space="preserve"> and field maintenance.</w:t>
      </w:r>
    </w:p>
    <w:p w14:paraId="289469F6" w14:textId="77777777" w:rsidR="00D17317" w:rsidRPr="00E506DF" w:rsidRDefault="00D17317" w:rsidP="00181E25">
      <w:pPr>
        <w:pStyle w:val="ListBullet"/>
      </w:pPr>
      <w:r>
        <w:t>Determination reported: Using the figures reported in the final determination financial models as provided to the businesses by the ESC. This has been used for energy and chemicals. IT was separately provided for but included labour which is captured elsewhere.</w:t>
      </w:r>
    </w:p>
    <w:p w14:paraId="5522B583" w14:textId="77777777" w:rsidR="00627254" w:rsidRPr="00627254" w:rsidRDefault="00627254" w:rsidP="00627254">
      <w:pPr>
        <w:pStyle w:val="Heading4-nonumber"/>
      </w:pPr>
      <w:r w:rsidRPr="00627254">
        <w:t>Field maintenance </w:t>
      </w:r>
    </w:p>
    <w:p w14:paraId="2F9A42E0" w14:textId="77777777" w:rsidR="00627254" w:rsidRPr="00627254" w:rsidRDefault="00627254" w:rsidP="00627254">
      <w:r w:rsidRPr="00627254">
        <w:t>Since the 2018 CWW determination and 2020 WW determination, GWW has seen a 5.7% average annual increase in its asset management costs. These are broken down into three categories: </w:t>
      </w:r>
    </w:p>
    <w:p w14:paraId="4C044E83" w14:textId="77777777" w:rsidR="00627254" w:rsidRPr="00627254" w:rsidRDefault="00627254" w:rsidP="00627254">
      <w:pPr>
        <w:pStyle w:val="ListBullet"/>
      </w:pPr>
      <w:r w:rsidRPr="00627254">
        <w:t>Responsive maintenance: when there is an unexpected asset failure. </w:t>
      </w:r>
    </w:p>
    <w:p w14:paraId="5C44C7D6" w14:textId="77777777" w:rsidR="00627254" w:rsidRPr="00627254" w:rsidRDefault="00627254" w:rsidP="00627254">
      <w:pPr>
        <w:pStyle w:val="ListBullet"/>
      </w:pPr>
      <w:r w:rsidRPr="00627254">
        <w:t>Preventative maintenance: when GWW takes proactive maintenance on an asset to minimise its likelihood of failure. </w:t>
      </w:r>
    </w:p>
    <w:p w14:paraId="55B34B2F" w14:textId="77777777" w:rsidR="00627254" w:rsidRPr="00627254" w:rsidRDefault="00627254" w:rsidP="00627254">
      <w:pPr>
        <w:pStyle w:val="ListBullet"/>
      </w:pPr>
      <w:r w:rsidRPr="00627254">
        <w:t>Condition monitoring: when GWW undertakes activities to assess the condition of an asset, such as CCTV. </w:t>
      </w:r>
    </w:p>
    <w:p w14:paraId="06A528CC" w14:textId="77777777" w:rsidR="00627254" w:rsidRPr="00627254" w:rsidRDefault="00627254" w:rsidP="00627254">
      <w:r w:rsidRPr="00627254">
        <w:t>In total, this is $6.96 million above the determination forecast. The cost drivers of this increase have been: </w:t>
      </w:r>
    </w:p>
    <w:p w14:paraId="091ADC46" w14:textId="77777777" w:rsidR="00627254" w:rsidRPr="00627254" w:rsidRDefault="00627254" w:rsidP="0015705F">
      <w:pPr>
        <w:pStyle w:val="ListBullet"/>
      </w:pPr>
      <w:r w:rsidRPr="00627254">
        <w:t xml:space="preserve">Input cost increases in fuel, </w:t>
      </w:r>
      <w:proofErr w:type="gramStart"/>
      <w:r w:rsidRPr="00627254">
        <w:t>materials</w:t>
      </w:r>
      <w:proofErr w:type="gramEnd"/>
      <w:r w:rsidRPr="00627254">
        <w:t xml:space="preserve"> and labour. </w:t>
      </w:r>
    </w:p>
    <w:p w14:paraId="66812BD0" w14:textId="77777777" w:rsidR="00627254" w:rsidRPr="00627254" w:rsidRDefault="00627254" w:rsidP="0015705F">
      <w:pPr>
        <w:pStyle w:val="ListBullet"/>
      </w:pPr>
      <w:r w:rsidRPr="00627254">
        <w:lastRenderedPageBreak/>
        <w:t>Meeting customer expectations on response and rectification times has come with an additional cost, particularly with the trend of faults in inner suburbs resulting in high transport time (especially around peak hours).  </w:t>
      </w:r>
    </w:p>
    <w:p w14:paraId="047AC839" w14:textId="77777777" w:rsidR="00627254" w:rsidRPr="00627254" w:rsidRDefault="00627254" w:rsidP="0015705F">
      <w:pPr>
        <w:pStyle w:val="ListBullet"/>
      </w:pPr>
      <w:r w:rsidRPr="00627254">
        <w:t>Higher reinstatement costs driven by an increase in bursts and leaks in the inner urban and CBD area where there is a concrete sub-base and asphalt on top. Furthermore, with many services now competing for space in the street often pipes are in asphalt roadways and not on nature strips which is increasing the costs. </w:t>
      </w:r>
    </w:p>
    <w:p w14:paraId="78D2647B" w14:textId="77777777" w:rsidR="00627254" w:rsidRPr="00627254" w:rsidRDefault="00627254" w:rsidP="00627254">
      <w:r w:rsidRPr="00627254">
        <w:t xml:space="preserve">Customer and network growth has also resulted in higher costs. There have been </w:t>
      </w:r>
      <w:proofErr w:type="gramStart"/>
      <w:r w:rsidRPr="00627254">
        <w:t>a number of</w:t>
      </w:r>
      <w:proofErr w:type="gramEnd"/>
      <w:r w:rsidRPr="00627254">
        <w:t xml:space="preserve"> instances where newer assets have failed or have been damaged and require repaired.  </w:t>
      </w:r>
    </w:p>
    <w:p w14:paraId="3A65AA9C" w14:textId="77777777" w:rsidR="00627254" w:rsidRPr="00627254" w:rsidRDefault="00627254" w:rsidP="00627254">
      <w:r w:rsidRPr="00627254">
        <w:t>The high growth experienced, particularly in the area previously served by WW, has resulted in a significant increase in temporary assets to serve out of sequence developments. This creates a more complex system than a sequential development and resulted in more maintenance and management of pumps in the system.  </w:t>
      </w:r>
    </w:p>
    <w:p w14:paraId="15DE0367" w14:textId="77777777" w:rsidR="00627254" w:rsidRPr="00627254" w:rsidRDefault="00627254" w:rsidP="00627254">
      <w:r w:rsidRPr="00627254">
        <w:t>Higher customer growth in the area previously served by City West Water has resulted in more customers connecting to an asset. This has meant that over time, there are a greater number of higher risk assets that need to be prioritised in case of a failure.</w:t>
      </w:r>
    </w:p>
    <w:p w14:paraId="746D7BAB" w14:textId="77777777" w:rsidR="00627254" w:rsidRPr="00627254" w:rsidRDefault="00627254" w:rsidP="00627254">
      <w:r w:rsidRPr="00627254">
        <w:t>Furthermore, there has been increased safety requirements placed on repair crews, particularly with the additional traffic management requirements imposed on GWW by Council and VicRoads. These safety requirements came into effect in 2018-19.</w:t>
      </w:r>
    </w:p>
    <w:p w14:paraId="342D9CE4" w14:textId="1EDC249F" w:rsidR="00627254" w:rsidRPr="00627254" w:rsidRDefault="00627254" w:rsidP="00627254">
      <w:r w:rsidRPr="00627254">
        <w:t xml:space="preserve">The total cost of field maintenance is </w:t>
      </w:r>
      <w:r w:rsidRPr="00CA36A9">
        <w:t>summarised in</w:t>
      </w:r>
      <w:r w:rsidR="009026AC">
        <w:t xml:space="preserve"> </w:t>
      </w:r>
      <w:r w:rsidR="00A460E2">
        <w:fldChar w:fldCharType="begin"/>
      </w:r>
      <w:r w:rsidR="00A460E2">
        <w:instrText xml:space="preserve"> REF _Ref146626135 \h </w:instrText>
      </w:r>
      <w:r w:rsidR="00A460E2">
        <w:fldChar w:fldCharType="separate"/>
      </w:r>
      <w:r w:rsidR="003B42C6" w:rsidRPr="005E2911">
        <w:rPr>
          <w:b/>
        </w:rPr>
        <w:t xml:space="preserve">Table </w:t>
      </w:r>
      <w:r w:rsidR="003B42C6">
        <w:rPr>
          <w:b/>
          <w:bCs/>
          <w:noProof/>
        </w:rPr>
        <w:t>72</w:t>
      </w:r>
      <w:r w:rsidR="00A460E2">
        <w:fldChar w:fldCharType="end"/>
      </w:r>
      <w:r w:rsidR="00871899">
        <w:t>.</w:t>
      </w:r>
      <w:r w:rsidRPr="00627254">
        <w:t>  </w:t>
      </w:r>
    </w:p>
    <w:p w14:paraId="1C105222" w14:textId="79847BC8" w:rsidR="00F110A8" w:rsidRDefault="00F110A8" w:rsidP="00F110A8">
      <w:pPr>
        <w:pStyle w:val="Caption"/>
      </w:pPr>
      <w:bookmarkStart w:id="408" w:name="_Ref146626135"/>
      <w:r w:rsidRPr="005E2911">
        <w:rPr>
          <w:b/>
        </w:rPr>
        <w:t xml:space="preserve">Table </w:t>
      </w:r>
      <w:r w:rsidR="001F7221" w:rsidRPr="00B10684">
        <w:rPr>
          <w:b/>
          <w:bCs/>
        </w:rPr>
        <w:fldChar w:fldCharType="begin"/>
      </w:r>
      <w:r w:rsidR="001F7221" w:rsidRPr="00B10684">
        <w:rPr>
          <w:b/>
          <w:bCs/>
        </w:rPr>
        <w:instrText xml:space="preserve"> SEQ Table \* ARABIC </w:instrText>
      </w:r>
      <w:r w:rsidR="001F7221" w:rsidRPr="00B10684">
        <w:rPr>
          <w:b/>
          <w:bCs/>
        </w:rPr>
        <w:fldChar w:fldCharType="separate"/>
      </w:r>
      <w:r w:rsidR="003B42C6">
        <w:rPr>
          <w:b/>
          <w:bCs/>
          <w:noProof/>
        </w:rPr>
        <w:t>72</w:t>
      </w:r>
      <w:r w:rsidR="001F7221" w:rsidRPr="00B10684">
        <w:rPr>
          <w:b/>
          <w:bCs/>
        </w:rPr>
        <w:fldChar w:fldCharType="end"/>
      </w:r>
      <w:bookmarkEnd w:id="408"/>
      <w:r>
        <w:t xml:space="preserve"> </w:t>
      </w:r>
      <w:r w:rsidRPr="000738AF">
        <w:t xml:space="preserve">Field maintenance </w:t>
      </w:r>
      <w:proofErr w:type="spellStart"/>
      <w:r w:rsidRPr="000738AF">
        <w:t>opex</w:t>
      </w:r>
      <w:proofErr w:type="spellEnd"/>
      <w:r w:rsidRPr="000738AF">
        <w:t xml:space="preserve"> ($million, 2023-24)</w:t>
      </w:r>
    </w:p>
    <w:tbl>
      <w:tblPr>
        <w:tblStyle w:val="GWWDefaulttable"/>
        <w:tblW w:w="5000" w:type="pct"/>
        <w:tblLook w:val="04A0" w:firstRow="1" w:lastRow="0" w:firstColumn="1" w:lastColumn="0" w:noHBand="0" w:noVBand="1"/>
      </w:tblPr>
      <w:tblGrid>
        <w:gridCol w:w="2277"/>
        <w:gridCol w:w="1473"/>
        <w:gridCol w:w="1473"/>
        <w:gridCol w:w="1473"/>
        <w:gridCol w:w="1473"/>
        <w:gridCol w:w="1469"/>
      </w:tblGrid>
      <w:tr w:rsidR="00627254" w:rsidRPr="00627254" w14:paraId="6F8F136F" w14:textId="77777777" w:rsidTr="00AA23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67E8F0B5" w14:textId="77777777" w:rsidR="00627254" w:rsidRPr="00627254" w:rsidRDefault="00627254" w:rsidP="00627254">
            <w:r w:rsidRPr="00627254">
              <w:t> </w:t>
            </w:r>
          </w:p>
        </w:tc>
        <w:tc>
          <w:tcPr>
            <w:tcW w:w="764" w:type="pct"/>
          </w:tcPr>
          <w:p w14:paraId="6E673FC5"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2018-19 </w:t>
            </w:r>
          </w:p>
        </w:tc>
        <w:tc>
          <w:tcPr>
            <w:tcW w:w="764" w:type="pct"/>
          </w:tcPr>
          <w:p w14:paraId="0A06579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2019-20 </w:t>
            </w:r>
          </w:p>
        </w:tc>
        <w:tc>
          <w:tcPr>
            <w:tcW w:w="764" w:type="pct"/>
          </w:tcPr>
          <w:p w14:paraId="305BDD01"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2020-21 </w:t>
            </w:r>
          </w:p>
        </w:tc>
        <w:tc>
          <w:tcPr>
            <w:tcW w:w="764" w:type="pct"/>
          </w:tcPr>
          <w:p w14:paraId="4F3A4754"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2021-22 </w:t>
            </w:r>
          </w:p>
        </w:tc>
        <w:tc>
          <w:tcPr>
            <w:tcW w:w="762" w:type="pct"/>
          </w:tcPr>
          <w:p w14:paraId="09CF44C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2022-23 </w:t>
            </w:r>
          </w:p>
        </w:tc>
      </w:tr>
      <w:tr w:rsidR="00627254" w:rsidRPr="00627254" w14:paraId="61363E29"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5EE9748C" w14:textId="77777777" w:rsidR="00627254" w:rsidRPr="00CA36A9" w:rsidRDefault="00627254" w:rsidP="00627254">
            <w:pPr>
              <w:rPr>
                <w:b w:val="0"/>
                <w:bCs/>
              </w:rPr>
            </w:pPr>
            <w:r w:rsidRPr="00CA36A9">
              <w:rPr>
                <w:b w:val="0"/>
                <w:bCs/>
              </w:rPr>
              <w:t>Responsive maintenance </w:t>
            </w:r>
          </w:p>
        </w:tc>
        <w:tc>
          <w:tcPr>
            <w:tcW w:w="764" w:type="pct"/>
            <w:vAlign w:val="center"/>
            <w:hideMark/>
          </w:tcPr>
          <w:p w14:paraId="3D28F60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33.62 </w:t>
            </w:r>
          </w:p>
        </w:tc>
        <w:tc>
          <w:tcPr>
            <w:tcW w:w="764" w:type="pct"/>
            <w:vAlign w:val="center"/>
            <w:hideMark/>
          </w:tcPr>
          <w:p w14:paraId="6772415A"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37.10 </w:t>
            </w:r>
          </w:p>
        </w:tc>
        <w:tc>
          <w:tcPr>
            <w:tcW w:w="764" w:type="pct"/>
            <w:vAlign w:val="center"/>
            <w:hideMark/>
          </w:tcPr>
          <w:p w14:paraId="2542145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34.17 </w:t>
            </w:r>
          </w:p>
        </w:tc>
        <w:tc>
          <w:tcPr>
            <w:tcW w:w="764" w:type="pct"/>
            <w:vAlign w:val="center"/>
            <w:hideMark/>
          </w:tcPr>
          <w:p w14:paraId="7313A7C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33.39 </w:t>
            </w:r>
          </w:p>
        </w:tc>
        <w:tc>
          <w:tcPr>
            <w:tcW w:w="762" w:type="pct"/>
            <w:vAlign w:val="center"/>
            <w:hideMark/>
          </w:tcPr>
          <w:p w14:paraId="5419148D"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34.04 </w:t>
            </w:r>
          </w:p>
        </w:tc>
      </w:tr>
      <w:tr w:rsidR="00627254" w:rsidRPr="00627254" w14:paraId="2AC0E5E2"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78FB9C08" w14:textId="77777777" w:rsidR="00627254" w:rsidRPr="00CA36A9" w:rsidRDefault="00627254" w:rsidP="00627254">
            <w:pPr>
              <w:rPr>
                <w:b w:val="0"/>
                <w:bCs/>
              </w:rPr>
            </w:pPr>
            <w:r w:rsidRPr="00CA36A9">
              <w:rPr>
                <w:b w:val="0"/>
                <w:bCs/>
              </w:rPr>
              <w:t>Preventative maintenance </w:t>
            </w:r>
          </w:p>
        </w:tc>
        <w:tc>
          <w:tcPr>
            <w:tcW w:w="764" w:type="pct"/>
            <w:vAlign w:val="center"/>
            <w:hideMark/>
          </w:tcPr>
          <w:p w14:paraId="679DE9BF"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6.51 </w:t>
            </w:r>
          </w:p>
        </w:tc>
        <w:tc>
          <w:tcPr>
            <w:tcW w:w="764" w:type="pct"/>
            <w:vAlign w:val="center"/>
            <w:hideMark/>
          </w:tcPr>
          <w:p w14:paraId="301D348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6.66 </w:t>
            </w:r>
          </w:p>
        </w:tc>
        <w:tc>
          <w:tcPr>
            <w:tcW w:w="764" w:type="pct"/>
            <w:vAlign w:val="center"/>
            <w:hideMark/>
          </w:tcPr>
          <w:p w14:paraId="6B760233"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6.04 </w:t>
            </w:r>
          </w:p>
        </w:tc>
        <w:tc>
          <w:tcPr>
            <w:tcW w:w="764" w:type="pct"/>
            <w:vAlign w:val="center"/>
            <w:hideMark/>
          </w:tcPr>
          <w:p w14:paraId="293F5DD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9.30 </w:t>
            </w:r>
          </w:p>
        </w:tc>
        <w:tc>
          <w:tcPr>
            <w:tcW w:w="762" w:type="pct"/>
            <w:vAlign w:val="center"/>
            <w:hideMark/>
          </w:tcPr>
          <w:p w14:paraId="7EFF7F3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9.33 </w:t>
            </w:r>
          </w:p>
        </w:tc>
      </w:tr>
      <w:tr w:rsidR="00627254" w:rsidRPr="00627254" w14:paraId="13D34E43"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453FD4DC" w14:textId="77777777" w:rsidR="00627254" w:rsidRPr="00CA36A9" w:rsidRDefault="00627254" w:rsidP="00627254">
            <w:pPr>
              <w:rPr>
                <w:b w:val="0"/>
                <w:bCs/>
              </w:rPr>
            </w:pPr>
            <w:r w:rsidRPr="00CA36A9">
              <w:rPr>
                <w:b w:val="0"/>
                <w:bCs/>
              </w:rPr>
              <w:t>Condition monitoring </w:t>
            </w:r>
          </w:p>
        </w:tc>
        <w:tc>
          <w:tcPr>
            <w:tcW w:w="764" w:type="pct"/>
            <w:vAlign w:val="center"/>
            <w:hideMark/>
          </w:tcPr>
          <w:p w14:paraId="3CD5D9E2"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1.23 </w:t>
            </w:r>
          </w:p>
        </w:tc>
        <w:tc>
          <w:tcPr>
            <w:tcW w:w="764" w:type="pct"/>
            <w:vAlign w:val="center"/>
            <w:hideMark/>
          </w:tcPr>
          <w:p w14:paraId="7314846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1.25 </w:t>
            </w:r>
          </w:p>
        </w:tc>
        <w:tc>
          <w:tcPr>
            <w:tcW w:w="764" w:type="pct"/>
            <w:vAlign w:val="center"/>
            <w:hideMark/>
          </w:tcPr>
          <w:p w14:paraId="752819F6"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1.22 </w:t>
            </w:r>
          </w:p>
        </w:tc>
        <w:tc>
          <w:tcPr>
            <w:tcW w:w="764" w:type="pct"/>
            <w:vAlign w:val="center"/>
            <w:hideMark/>
          </w:tcPr>
          <w:p w14:paraId="1E78FB9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0.96 </w:t>
            </w:r>
          </w:p>
        </w:tc>
        <w:tc>
          <w:tcPr>
            <w:tcW w:w="762" w:type="pct"/>
            <w:vAlign w:val="center"/>
            <w:hideMark/>
          </w:tcPr>
          <w:p w14:paraId="22578D4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2.38 </w:t>
            </w:r>
          </w:p>
        </w:tc>
      </w:tr>
      <w:tr w:rsidR="00627254" w:rsidRPr="00627254" w14:paraId="225E34D1"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2C6E0AAD" w14:textId="77777777" w:rsidR="00627254" w:rsidRPr="00627254" w:rsidRDefault="00627254" w:rsidP="00627254">
            <w:r w:rsidRPr="00627254">
              <w:t>Total field operations </w:t>
            </w:r>
          </w:p>
        </w:tc>
        <w:tc>
          <w:tcPr>
            <w:tcW w:w="764" w:type="pct"/>
            <w:vAlign w:val="center"/>
            <w:hideMark/>
          </w:tcPr>
          <w:p w14:paraId="149C5A61"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41.35 </w:t>
            </w:r>
          </w:p>
        </w:tc>
        <w:tc>
          <w:tcPr>
            <w:tcW w:w="764" w:type="pct"/>
            <w:vAlign w:val="center"/>
            <w:hideMark/>
          </w:tcPr>
          <w:p w14:paraId="4D43F24F"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45.00 </w:t>
            </w:r>
          </w:p>
        </w:tc>
        <w:tc>
          <w:tcPr>
            <w:tcW w:w="764" w:type="pct"/>
            <w:vAlign w:val="center"/>
            <w:hideMark/>
          </w:tcPr>
          <w:p w14:paraId="42B3ADF2"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41.44 </w:t>
            </w:r>
          </w:p>
        </w:tc>
        <w:tc>
          <w:tcPr>
            <w:tcW w:w="764" w:type="pct"/>
            <w:vAlign w:val="center"/>
            <w:hideMark/>
          </w:tcPr>
          <w:p w14:paraId="0224F050"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43.65 </w:t>
            </w:r>
          </w:p>
        </w:tc>
        <w:tc>
          <w:tcPr>
            <w:tcW w:w="762" w:type="pct"/>
            <w:vAlign w:val="center"/>
            <w:hideMark/>
          </w:tcPr>
          <w:p w14:paraId="5E23E6E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45.75 </w:t>
            </w:r>
          </w:p>
        </w:tc>
      </w:tr>
    </w:tbl>
    <w:p w14:paraId="230EA42A" w14:textId="77777777" w:rsidR="00627254" w:rsidRPr="00627254" w:rsidRDefault="00627254" w:rsidP="00AA238A">
      <w:pPr>
        <w:pStyle w:val="Heading4-nonumber"/>
      </w:pPr>
      <w:r w:rsidRPr="00627254">
        <w:t>Energy </w:t>
      </w:r>
    </w:p>
    <w:p w14:paraId="743C2921" w14:textId="30D16D4E" w:rsidR="00627254" w:rsidRPr="00627254" w:rsidRDefault="00627254" w:rsidP="00627254">
      <w:r w:rsidRPr="00627254">
        <w:t>Energy costs have increased over the recent regulatory period. This has been a result of increases in unit costs, changes in greenhouse gas emission costs and general increases in energy consumption.</w:t>
      </w:r>
    </w:p>
    <w:p w14:paraId="4302D578" w14:textId="77777777" w:rsidR="00627254" w:rsidRPr="00627254" w:rsidRDefault="00627254" w:rsidP="00627254">
      <w:r w:rsidRPr="00627254">
        <w:t xml:space="preserve">Despite an increase in energy consumption in 2022-23, GWW experienced a significant decrease in average unit rates for electricity that resulted in a lower cost in the base year. </w:t>
      </w:r>
    </w:p>
    <w:p w14:paraId="0D467654" w14:textId="2F1F7A26" w:rsidR="009026AC" w:rsidRDefault="009026AC" w:rsidP="009026AC">
      <w:pPr>
        <w:pStyle w:val="Caption"/>
      </w:pPr>
      <w:r w:rsidRPr="004253F1">
        <w:rPr>
          <w:b/>
        </w:rPr>
        <w:lastRenderedPageBreak/>
        <w:t xml:space="preserve">Table </w:t>
      </w:r>
      <w:r w:rsidR="001F7221" w:rsidRPr="00B10684">
        <w:rPr>
          <w:b/>
          <w:bCs/>
        </w:rPr>
        <w:fldChar w:fldCharType="begin"/>
      </w:r>
      <w:r w:rsidR="001F7221" w:rsidRPr="00B10684">
        <w:rPr>
          <w:b/>
          <w:bCs/>
        </w:rPr>
        <w:instrText xml:space="preserve"> SEQ Table \* ARABIC </w:instrText>
      </w:r>
      <w:r w:rsidR="001F7221" w:rsidRPr="00B10684">
        <w:rPr>
          <w:b/>
          <w:bCs/>
        </w:rPr>
        <w:fldChar w:fldCharType="separate"/>
      </w:r>
      <w:r w:rsidR="003B42C6">
        <w:rPr>
          <w:b/>
          <w:bCs/>
          <w:noProof/>
        </w:rPr>
        <w:t>73</w:t>
      </w:r>
      <w:r w:rsidR="001F7221" w:rsidRPr="00B10684">
        <w:rPr>
          <w:b/>
          <w:bCs/>
        </w:rPr>
        <w:fldChar w:fldCharType="end"/>
      </w:r>
      <w:r>
        <w:t xml:space="preserve"> </w:t>
      </w:r>
      <w:r w:rsidRPr="004821D0">
        <w:t>Energy cost changes ($, 2023-24)</w:t>
      </w:r>
    </w:p>
    <w:tbl>
      <w:tblPr>
        <w:tblStyle w:val="GWWDefaulttable"/>
        <w:tblW w:w="5000" w:type="pct"/>
        <w:tblLook w:val="04A0" w:firstRow="1" w:lastRow="0" w:firstColumn="1" w:lastColumn="0" w:noHBand="0" w:noVBand="1"/>
      </w:tblPr>
      <w:tblGrid>
        <w:gridCol w:w="4182"/>
        <w:gridCol w:w="1092"/>
        <w:gridCol w:w="1091"/>
        <w:gridCol w:w="1091"/>
        <w:gridCol w:w="1091"/>
        <w:gridCol w:w="1091"/>
      </w:tblGrid>
      <w:tr w:rsidR="00627254" w:rsidRPr="00627254" w14:paraId="6DAE70F1" w14:textId="77777777" w:rsidTr="004253F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69" w:type="pct"/>
            <w:hideMark/>
          </w:tcPr>
          <w:p w14:paraId="3AE182E5" w14:textId="77777777" w:rsidR="00627254" w:rsidRPr="00627254" w:rsidRDefault="00627254" w:rsidP="00627254">
            <w:r w:rsidRPr="00627254">
              <w:t> </w:t>
            </w:r>
          </w:p>
        </w:tc>
        <w:tc>
          <w:tcPr>
            <w:tcW w:w="566" w:type="pct"/>
            <w:hideMark/>
          </w:tcPr>
          <w:p w14:paraId="78675B36"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2018-19 </w:t>
            </w:r>
          </w:p>
        </w:tc>
        <w:tc>
          <w:tcPr>
            <w:tcW w:w="566" w:type="pct"/>
            <w:hideMark/>
          </w:tcPr>
          <w:p w14:paraId="30232685"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2019-20 </w:t>
            </w:r>
          </w:p>
        </w:tc>
        <w:tc>
          <w:tcPr>
            <w:tcW w:w="566" w:type="pct"/>
            <w:hideMark/>
          </w:tcPr>
          <w:p w14:paraId="4F89988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2020-21 </w:t>
            </w:r>
          </w:p>
        </w:tc>
        <w:tc>
          <w:tcPr>
            <w:tcW w:w="566" w:type="pct"/>
            <w:hideMark/>
          </w:tcPr>
          <w:p w14:paraId="6CAE4A10"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2021-22 </w:t>
            </w:r>
          </w:p>
        </w:tc>
        <w:tc>
          <w:tcPr>
            <w:tcW w:w="566" w:type="pct"/>
            <w:hideMark/>
          </w:tcPr>
          <w:p w14:paraId="755C36C7"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2022-23 </w:t>
            </w:r>
          </w:p>
        </w:tc>
      </w:tr>
      <w:tr w:rsidR="00627254" w:rsidRPr="00627254" w14:paraId="38961377"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582FC91B" w14:textId="77777777" w:rsidR="00627254" w:rsidRPr="00CA36A9" w:rsidRDefault="00627254" w:rsidP="00627254">
            <w:pPr>
              <w:rPr>
                <w:b w:val="0"/>
                <w:bCs/>
              </w:rPr>
            </w:pPr>
            <w:r w:rsidRPr="00CA36A9">
              <w:rPr>
                <w:b w:val="0"/>
                <w:bCs/>
              </w:rPr>
              <w:t>Consumption (MWh) (A) </w:t>
            </w:r>
          </w:p>
        </w:tc>
        <w:tc>
          <w:tcPr>
            <w:tcW w:w="566" w:type="pct"/>
            <w:hideMark/>
          </w:tcPr>
          <w:p w14:paraId="3C42FEE1"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31,191</w:t>
            </w:r>
          </w:p>
        </w:tc>
        <w:tc>
          <w:tcPr>
            <w:tcW w:w="566" w:type="pct"/>
            <w:hideMark/>
          </w:tcPr>
          <w:p w14:paraId="7138D10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34,515</w:t>
            </w:r>
          </w:p>
        </w:tc>
        <w:tc>
          <w:tcPr>
            <w:tcW w:w="566" w:type="pct"/>
            <w:hideMark/>
          </w:tcPr>
          <w:p w14:paraId="2BB905B1"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34,068</w:t>
            </w:r>
          </w:p>
        </w:tc>
        <w:tc>
          <w:tcPr>
            <w:tcW w:w="566" w:type="pct"/>
            <w:hideMark/>
          </w:tcPr>
          <w:p w14:paraId="741C17A9"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33,932</w:t>
            </w:r>
          </w:p>
        </w:tc>
        <w:tc>
          <w:tcPr>
            <w:tcW w:w="566" w:type="pct"/>
            <w:hideMark/>
          </w:tcPr>
          <w:p w14:paraId="74C4AFB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35,318</w:t>
            </w:r>
          </w:p>
        </w:tc>
      </w:tr>
      <w:tr w:rsidR="00627254" w:rsidRPr="00627254" w14:paraId="1725EA5B"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70758C2D" w14:textId="77777777" w:rsidR="00627254" w:rsidRPr="00CA36A9" w:rsidRDefault="00627254" w:rsidP="00627254">
            <w:pPr>
              <w:rPr>
                <w:b w:val="0"/>
                <w:bCs/>
              </w:rPr>
            </w:pPr>
            <w:r w:rsidRPr="00CA36A9">
              <w:rPr>
                <w:b w:val="0"/>
                <w:bCs/>
              </w:rPr>
              <w:t>Average Unit rate (c per kWh) (B) </w:t>
            </w:r>
          </w:p>
        </w:tc>
        <w:tc>
          <w:tcPr>
            <w:tcW w:w="566" w:type="pct"/>
            <w:hideMark/>
          </w:tcPr>
          <w:p w14:paraId="688F934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25.48</w:t>
            </w:r>
          </w:p>
        </w:tc>
        <w:tc>
          <w:tcPr>
            <w:tcW w:w="566" w:type="pct"/>
            <w:hideMark/>
          </w:tcPr>
          <w:p w14:paraId="67121196"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23.79</w:t>
            </w:r>
          </w:p>
        </w:tc>
        <w:tc>
          <w:tcPr>
            <w:tcW w:w="566" w:type="pct"/>
            <w:hideMark/>
          </w:tcPr>
          <w:p w14:paraId="3B399EE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20.84</w:t>
            </w:r>
          </w:p>
        </w:tc>
        <w:tc>
          <w:tcPr>
            <w:tcW w:w="566" w:type="pct"/>
            <w:hideMark/>
          </w:tcPr>
          <w:p w14:paraId="2C92D87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20.73</w:t>
            </w:r>
          </w:p>
        </w:tc>
        <w:tc>
          <w:tcPr>
            <w:tcW w:w="566" w:type="pct"/>
            <w:hideMark/>
          </w:tcPr>
          <w:p w14:paraId="18873C6D"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18.12</w:t>
            </w:r>
          </w:p>
        </w:tc>
      </w:tr>
      <w:tr w:rsidR="00627254" w:rsidRPr="00627254" w14:paraId="46AF5B20"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249C66D9" w14:textId="77777777" w:rsidR="00627254" w:rsidRPr="00CA36A9" w:rsidRDefault="00627254" w:rsidP="00627254">
            <w:pPr>
              <w:rPr>
                <w:b w:val="0"/>
                <w:bCs/>
              </w:rPr>
            </w:pPr>
            <w:r w:rsidRPr="00CA36A9">
              <w:rPr>
                <w:b w:val="0"/>
                <w:bCs/>
              </w:rPr>
              <w:t>Offsets ($m) (C)</w:t>
            </w:r>
          </w:p>
        </w:tc>
        <w:tc>
          <w:tcPr>
            <w:tcW w:w="566" w:type="pct"/>
            <w:hideMark/>
          </w:tcPr>
          <w:p w14:paraId="1F2258B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0.00</w:t>
            </w:r>
          </w:p>
        </w:tc>
        <w:tc>
          <w:tcPr>
            <w:tcW w:w="566" w:type="pct"/>
            <w:hideMark/>
          </w:tcPr>
          <w:p w14:paraId="03B3369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0.00</w:t>
            </w:r>
          </w:p>
        </w:tc>
        <w:tc>
          <w:tcPr>
            <w:tcW w:w="566" w:type="pct"/>
            <w:hideMark/>
          </w:tcPr>
          <w:p w14:paraId="0D40D502"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0.32</w:t>
            </w:r>
          </w:p>
        </w:tc>
        <w:tc>
          <w:tcPr>
            <w:tcW w:w="566" w:type="pct"/>
            <w:hideMark/>
          </w:tcPr>
          <w:p w14:paraId="0B386507"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0.31</w:t>
            </w:r>
          </w:p>
        </w:tc>
        <w:tc>
          <w:tcPr>
            <w:tcW w:w="566" w:type="pct"/>
            <w:hideMark/>
          </w:tcPr>
          <w:p w14:paraId="0D8872F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0.32</w:t>
            </w:r>
          </w:p>
        </w:tc>
      </w:tr>
      <w:tr w:rsidR="00627254" w:rsidRPr="00627254" w14:paraId="72AEB783"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5047BBF5" w14:textId="77777777" w:rsidR="00627254" w:rsidRPr="00627254" w:rsidRDefault="00627254" w:rsidP="00627254">
            <w:r w:rsidRPr="00627254">
              <w:t>Actual energy cost ($m) (AxBx10+C)</w:t>
            </w:r>
          </w:p>
        </w:tc>
        <w:tc>
          <w:tcPr>
            <w:tcW w:w="566" w:type="pct"/>
            <w:hideMark/>
          </w:tcPr>
          <w:p w14:paraId="6B027DF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7.95</w:t>
            </w:r>
          </w:p>
        </w:tc>
        <w:tc>
          <w:tcPr>
            <w:tcW w:w="566" w:type="pct"/>
            <w:hideMark/>
          </w:tcPr>
          <w:p w14:paraId="59A7765F"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8.21</w:t>
            </w:r>
          </w:p>
        </w:tc>
        <w:tc>
          <w:tcPr>
            <w:tcW w:w="566" w:type="pct"/>
            <w:hideMark/>
          </w:tcPr>
          <w:p w14:paraId="08750E4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7.10</w:t>
            </w:r>
          </w:p>
        </w:tc>
        <w:tc>
          <w:tcPr>
            <w:tcW w:w="566" w:type="pct"/>
            <w:hideMark/>
          </w:tcPr>
          <w:p w14:paraId="0DB185A0"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7.03</w:t>
            </w:r>
          </w:p>
        </w:tc>
        <w:tc>
          <w:tcPr>
            <w:tcW w:w="566" w:type="pct"/>
            <w:hideMark/>
          </w:tcPr>
          <w:p w14:paraId="6E5FF7B4"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6.40</w:t>
            </w:r>
          </w:p>
        </w:tc>
      </w:tr>
      <w:tr w:rsidR="00627254" w:rsidRPr="00627254" w14:paraId="7DF30116"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33C317FF" w14:textId="77777777" w:rsidR="00627254" w:rsidRPr="001A69EE" w:rsidRDefault="00627254" w:rsidP="00627254">
            <w:pPr>
              <w:rPr>
                <w:b w:val="0"/>
                <w:bCs/>
              </w:rPr>
            </w:pPr>
            <w:r w:rsidRPr="001A69EE">
              <w:rPr>
                <w:b w:val="0"/>
                <w:bCs/>
              </w:rPr>
              <w:t>Determination energy costs ($m)</w:t>
            </w:r>
          </w:p>
        </w:tc>
        <w:tc>
          <w:tcPr>
            <w:tcW w:w="566" w:type="pct"/>
            <w:hideMark/>
          </w:tcPr>
          <w:p w14:paraId="5E7C71C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8.81</w:t>
            </w:r>
          </w:p>
        </w:tc>
        <w:tc>
          <w:tcPr>
            <w:tcW w:w="566" w:type="pct"/>
            <w:hideMark/>
          </w:tcPr>
          <w:p w14:paraId="67256E2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8.36</w:t>
            </w:r>
          </w:p>
        </w:tc>
        <w:tc>
          <w:tcPr>
            <w:tcW w:w="566" w:type="pct"/>
            <w:hideMark/>
          </w:tcPr>
          <w:p w14:paraId="21FEC07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8.62</w:t>
            </w:r>
          </w:p>
        </w:tc>
        <w:tc>
          <w:tcPr>
            <w:tcW w:w="566" w:type="pct"/>
            <w:hideMark/>
          </w:tcPr>
          <w:p w14:paraId="452AF604"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9.79</w:t>
            </w:r>
          </w:p>
        </w:tc>
        <w:tc>
          <w:tcPr>
            <w:tcW w:w="566" w:type="pct"/>
            <w:hideMark/>
          </w:tcPr>
          <w:p w14:paraId="1C2CCE4C"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10.29</w:t>
            </w:r>
          </w:p>
        </w:tc>
      </w:tr>
      <w:tr w:rsidR="00627254" w:rsidRPr="00627254" w14:paraId="4F67DEF4" w14:textId="77777777" w:rsidTr="004253F1">
        <w:trPr>
          <w:trHeight w:val="270"/>
        </w:trPr>
        <w:tc>
          <w:tcPr>
            <w:cnfStyle w:val="001000000000" w:firstRow="0" w:lastRow="0" w:firstColumn="1" w:lastColumn="0" w:oddVBand="0" w:evenVBand="0" w:oddHBand="0" w:evenHBand="0" w:firstRowFirstColumn="0" w:firstRowLastColumn="0" w:lastRowFirstColumn="0" w:lastRowLastColumn="0"/>
            <w:tcW w:w="2169" w:type="pct"/>
            <w:hideMark/>
          </w:tcPr>
          <w:p w14:paraId="6E7DB422" w14:textId="77777777" w:rsidR="00627254" w:rsidRPr="00627254" w:rsidRDefault="00627254" w:rsidP="00627254">
            <w:r w:rsidRPr="00627254">
              <w:t>Actual less determination ($m)</w:t>
            </w:r>
          </w:p>
        </w:tc>
        <w:tc>
          <w:tcPr>
            <w:tcW w:w="566" w:type="pct"/>
            <w:hideMark/>
          </w:tcPr>
          <w:p w14:paraId="67746207"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-0.86</w:t>
            </w:r>
          </w:p>
        </w:tc>
        <w:tc>
          <w:tcPr>
            <w:tcW w:w="566" w:type="pct"/>
            <w:hideMark/>
          </w:tcPr>
          <w:p w14:paraId="76E1931C"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-0.15</w:t>
            </w:r>
          </w:p>
        </w:tc>
        <w:tc>
          <w:tcPr>
            <w:tcW w:w="566" w:type="pct"/>
            <w:hideMark/>
          </w:tcPr>
          <w:p w14:paraId="46D5A0F1"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-1.52</w:t>
            </w:r>
          </w:p>
        </w:tc>
        <w:tc>
          <w:tcPr>
            <w:tcW w:w="566" w:type="pct"/>
            <w:hideMark/>
          </w:tcPr>
          <w:p w14:paraId="0C8C1C7D"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-2.76</w:t>
            </w:r>
          </w:p>
        </w:tc>
        <w:tc>
          <w:tcPr>
            <w:tcW w:w="566" w:type="pct"/>
            <w:hideMark/>
          </w:tcPr>
          <w:p w14:paraId="762DA034"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-3.89</w:t>
            </w:r>
          </w:p>
        </w:tc>
      </w:tr>
    </w:tbl>
    <w:p w14:paraId="49EC30DE" w14:textId="77777777" w:rsidR="002008D0" w:rsidRPr="002008D0" w:rsidRDefault="002008D0" w:rsidP="002008D0">
      <w:pPr>
        <w:pStyle w:val="Heading4-nonumber"/>
      </w:pPr>
      <w:r w:rsidRPr="002008D0">
        <w:t>Information technology </w:t>
      </w:r>
    </w:p>
    <w:p w14:paraId="051B93A9" w14:textId="77777777" w:rsidR="002008D0" w:rsidRPr="002008D0" w:rsidRDefault="002008D0" w:rsidP="002008D0">
      <w:r w:rsidRPr="002008D0">
        <w:t>Overall, there has been a $4.1 million increase in IT costs above determination allowances (incorporating approved step changes) using the extrapolation method.  This has been driven by: </w:t>
      </w:r>
    </w:p>
    <w:p w14:paraId="0DFC7A29" w14:textId="77777777" w:rsidR="002008D0" w:rsidRPr="002008D0" w:rsidRDefault="002008D0" w:rsidP="002008D0">
      <w:pPr>
        <w:pStyle w:val="ListBullet"/>
      </w:pPr>
      <w:r w:rsidRPr="002008D0">
        <w:t xml:space="preserve">Increases in the volume of </w:t>
      </w:r>
      <w:proofErr w:type="gramStart"/>
      <w:r w:rsidRPr="002008D0">
        <w:t>users</w:t>
      </w:r>
      <w:proofErr w:type="gramEnd"/>
      <w:r w:rsidRPr="002008D0">
        <w:t> </w:t>
      </w:r>
    </w:p>
    <w:p w14:paraId="29E7407A" w14:textId="77777777" w:rsidR="002008D0" w:rsidRPr="002008D0" w:rsidRDefault="002008D0" w:rsidP="002008D0">
      <w:pPr>
        <w:pStyle w:val="ListBullet"/>
      </w:pPr>
      <w:r w:rsidRPr="002008D0">
        <w:t xml:space="preserve">Increases in the per unit licence </w:t>
      </w:r>
      <w:proofErr w:type="gramStart"/>
      <w:r w:rsidRPr="002008D0">
        <w:t>cost</w:t>
      </w:r>
      <w:proofErr w:type="gramEnd"/>
      <w:r w:rsidRPr="002008D0">
        <w:t> </w:t>
      </w:r>
    </w:p>
    <w:p w14:paraId="27A14A09" w14:textId="53D28150" w:rsidR="002008D0" w:rsidRPr="002008D0" w:rsidRDefault="002008D0" w:rsidP="002008D0">
      <w:pPr>
        <w:pStyle w:val="ListBullet"/>
      </w:pPr>
      <w:r w:rsidRPr="002008D0">
        <w:t>Increases in the number of systems we are managing. </w:t>
      </w:r>
    </w:p>
    <w:p w14:paraId="6E08B345" w14:textId="0FE44B64" w:rsidR="002008D0" w:rsidRPr="002008D0" w:rsidRDefault="002008D0" w:rsidP="002008D0">
      <w:r w:rsidRPr="002008D0">
        <w:t>Across the regulatory period, there has been observed significant cost increases over the last couple of years, with increases of between 7-</w:t>
      </w:r>
      <w:r w:rsidRPr="000577FC">
        <w:t>12</w:t>
      </w:r>
      <w:r w:rsidR="000577FC" w:rsidRPr="000577FC">
        <w:t>%</w:t>
      </w:r>
      <w:r w:rsidRPr="002008D0">
        <w:t xml:space="preserve"> per licence, in nominal terms. This includes core systems, such as Microsoft, increasing by </w:t>
      </w:r>
      <w:r w:rsidRPr="000577FC">
        <w:t>12</w:t>
      </w:r>
      <w:r w:rsidR="000577FC" w:rsidRPr="000577FC">
        <w:t>%</w:t>
      </w:r>
      <w:r w:rsidRPr="002008D0">
        <w:t xml:space="preserve"> in nominal terms from 2021-22 to 2022-23.</w:t>
      </w:r>
    </w:p>
    <w:p w14:paraId="44E7EC4D" w14:textId="77777777" w:rsidR="002008D0" w:rsidRPr="002008D0" w:rsidRDefault="002008D0" w:rsidP="002008D0">
      <w:r w:rsidRPr="002008D0">
        <w:t>GWW has sought out reduced fees for some smaller services to help offset to the increases, and when the new billing system is complete will go through a process to rationalise and optimise licences in the customer space to stabilise costs. This process will continue over the regulatory period, and as we continue to consolidate systems. </w:t>
      </w:r>
    </w:p>
    <w:p w14:paraId="106112DA" w14:textId="45C61E19" w:rsidR="002008D0" w:rsidRPr="002008D0" w:rsidRDefault="002008D0" w:rsidP="002008D0">
      <w:r w:rsidRPr="002008D0">
        <w:t>A summary of the above determination cost movements is provided in</w:t>
      </w:r>
      <w:r w:rsidR="009026AC">
        <w:t xml:space="preserve"> </w:t>
      </w:r>
      <w:r w:rsidR="009026AC">
        <w:fldChar w:fldCharType="begin"/>
      </w:r>
      <w:r w:rsidR="009026AC">
        <w:instrText xml:space="preserve"> REF _Ref145978607 \h </w:instrText>
      </w:r>
      <w:r w:rsidR="009026AC">
        <w:fldChar w:fldCharType="separate"/>
      </w:r>
      <w:r w:rsidR="003B42C6" w:rsidRPr="00956778">
        <w:rPr>
          <w:b/>
        </w:rPr>
        <w:t xml:space="preserve">Table </w:t>
      </w:r>
      <w:r w:rsidR="003B42C6">
        <w:rPr>
          <w:b/>
          <w:noProof/>
        </w:rPr>
        <w:t>74</w:t>
      </w:r>
      <w:r w:rsidR="009026AC">
        <w:fldChar w:fldCharType="end"/>
      </w:r>
      <w:r w:rsidRPr="002008D0">
        <w:t xml:space="preserve">. </w:t>
      </w:r>
    </w:p>
    <w:p w14:paraId="2FF33F1D" w14:textId="4EDB58AF" w:rsidR="009026AC" w:rsidRDefault="009026AC" w:rsidP="009026AC">
      <w:pPr>
        <w:pStyle w:val="Caption"/>
      </w:pPr>
      <w:bookmarkStart w:id="409" w:name="_Ref145978607"/>
      <w:r w:rsidRPr="00956778">
        <w:rPr>
          <w:b/>
        </w:rPr>
        <w:t xml:space="preserve">Table </w:t>
      </w:r>
      <w:r w:rsidR="001F7221" w:rsidRPr="00B10684">
        <w:rPr>
          <w:b/>
        </w:rPr>
        <w:fldChar w:fldCharType="begin"/>
      </w:r>
      <w:r w:rsidR="001F7221" w:rsidRPr="00B10684">
        <w:rPr>
          <w:b/>
        </w:rPr>
        <w:instrText xml:space="preserve"> SEQ Table \* ARABIC </w:instrText>
      </w:r>
      <w:r w:rsidR="001F7221" w:rsidRPr="00B10684">
        <w:rPr>
          <w:b/>
        </w:rPr>
        <w:fldChar w:fldCharType="separate"/>
      </w:r>
      <w:r w:rsidR="003B42C6">
        <w:rPr>
          <w:b/>
          <w:noProof/>
        </w:rPr>
        <w:t>74</w:t>
      </w:r>
      <w:r w:rsidR="001F7221" w:rsidRPr="00B10684">
        <w:rPr>
          <w:b/>
        </w:rPr>
        <w:fldChar w:fldCharType="end"/>
      </w:r>
      <w:bookmarkEnd w:id="409"/>
      <w:r>
        <w:t xml:space="preserve"> </w:t>
      </w:r>
      <w:r w:rsidRPr="002E329C">
        <w:t xml:space="preserve">IT </w:t>
      </w:r>
      <w:proofErr w:type="spellStart"/>
      <w:r w:rsidRPr="002E329C">
        <w:t>opex</w:t>
      </w:r>
      <w:proofErr w:type="spellEnd"/>
      <w:r w:rsidRPr="002E329C">
        <w:t xml:space="preserve"> changes (excluding internal and contract labour) ($million, 2023-24)</w:t>
      </w:r>
    </w:p>
    <w:tbl>
      <w:tblPr>
        <w:tblStyle w:val="GWWDefaulttable"/>
        <w:tblW w:w="5000" w:type="pct"/>
        <w:tblLook w:val="04A0" w:firstRow="1" w:lastRow="0" w:firstColumn="1" w:lastColumn="0" w:noHBand="0" w:noVBand="1"/>
      </w:tblPr>
      <w:tblGrid>
        <w:gridCol w:w="1223"/>
        <w:gridCol w:w="1683"/>
        <w:gridCol w:w="1683"/>
        <w:gridCol w:w="1683"/>
        <w:gridCol w:w="1683"/>
        <w:gridCol w:w="1683"/>
      </w:tblGrid>
      <w:tr w:rsidR="002008D0" w:rsidRPr="002008D0" w14:paraId="2A217F32" w14:textId="77777777" w:rsidTr="009026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 w:type="pct"/>
            <w:hideMark/>
          </w:tcPr>
          <w:p w14:paraId="46CB2795" w14:textId="77777777" w:rsidR="002008D0" w:rsidRPr="002008D0" w:rsidRDefault="002008D0" w:rsidP="002008D0">
            <w:r w:rsidRPr="002008D0">
              <w:t> </w:t>
            </w:r>
          </w:p>
        </w:tc>
        <w:tc>
          <w:tcPr>
            <w:tcW w:w="873" w:type="pct"/>
          </w:tcPr>
          <w:p w14:paraId="7ABA6CAC"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873" w:type="pct"/>
          </w:tcPr>
          <w:p w14:paraId="5CE7F1C0"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873" w:type="pct"/>
          </w:tcPr>
          <w:p w14:paraId="493248E9"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873" w:type="pct"/>
          </w:tcPr>
          <w:p w14:paraId="2923FDA5"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873" w:type="pct"/>
          </w:tcPr>
          <w:p w14:paraId="64C6651A"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4F045617" w14:textId="77777777" w:rsidTr="009026AC">
        <w:trPr>
          <w:trHeight w:val="300"/>
        </w:trPr>
        <w:tc>
          <w:tcPr>
            <w:cnfStyle w:val="001000000000" w:firstRow="0" w:lastRow="0" w:firstColumn="1" w:lastColumn="0" w:oddVBand="0" w:evenVBand="0" w:oddHBand="0" w:evenHBand="0" w:firstRowFirstColumn="0" w:firstRowLastColumn="0" w:lastRowFirstColumn="0" w:lastRowLastColumn="0"/>
            <w:tcW w:w="634" w:type="pct"/>
            <w:hideMark/>
          </w:tcPr>
          <w:p w14:paraId="62197874" w14:textId="77777777" w:rsidR="002008D0" w:rsidRPr="00956778" w:rsidRDefault="002008D0" w:rsidP="002008D0">
            <w:pPr>
              <w:rPr>
                <w:b w:val="0"/>
              </w:rPr>
            </w:pPr>
            <w:proofErr w:type="spellStart"/>
            <w:r w:rsidRPr="00956778">
              <w:rPr>
                <w:b w:val="0"/>
              </w:rPr>
              <w:t>Opex</w:t>
            </w:r>
            <w:proofErr w:type="spellEnd"/>
            <w:r w:rsidRPr="00956778">
              <w:rPr>
                <w:b w:val="0"/>
              </w:rPr>
              <w:t> </w:t>
            </w:r>
          </w:p>
        </w:tc>
        <w:tc>
          <w:tcPr>
            <w:tcW w:w="873" w:type="pct"/>
            <w:hideMark/>
          </w:tcPr>
          <w:p w14:paraId="062EEB7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0.53</w:t>
            </w:r>
          </w:p>
        </w:tc>
        <w:tc>
          <w:tcPr>
            <w:tcW w:w="873" w:type="pct"/>
            <w:hideMark/>
          </w:tcPr>
          <w:p w14:paraId="510ACD6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-1.45</w:t>
            </w:r>
          </w:p>
        </w:tc>
        <w:tc>
          <w:tcPr>
            <w:tcW w:w="873" w:type="pct"/>
            <w:hideMark/>
          </w:tcPr>
          <w:p w14:paraId="2675C3BA" w14:textId="7C90F3BD"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-0.2</w:t>
            </w:r>
            <w:r w:rsidR="001A69EE" w:rsidRPr="00956778">
              <w:t>0</w:t>
            </w:r>
          </w:p>
        </w:tc>
        <w:tc>
          <w:tcPr>
            <w:tcW w:w="873" w:type="pct"/>
            <w:hideMark/>
          </w:tcPr>
          <w:p w14:paraId="0EE286F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1.30</w:t>
            </w:r>
          </w:p>
        </w:tc>
        <w:tc>
          <w:tcPr>
            <w:tcW w:w="873" w:type="pct"/>
            <w:hideMark/>
          </w:tcPr>
          <w:p w14:paraId="2360AE1D"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4.08</w:t>
            </w:r>
          </w:p>
        </w:tc>
      </w:tr>
    </w:tbl>
    <w:p w14:paraId="3531D413" w14:textId="77777777" w:rsidR="002008D0" w:rsidRPr="002008D0" w:rsidRDefault="002008D0" w:rsidP="005E0DD0">
      <w:pPr>
        <w:pStyle w:val="Heading4-nonumber"/>
      </w:pPr>
      <w:r w:rsidRPr="002008D0">
        <w:t>Insurance </w:t>
      </w:r>
    </w:p>
    <w:p w14:paraId="53A1BEE8" w14:textId="77777777" w:rsidR="002008D0" w:rsidRPr="002008D0" w:rsidRDefault="002008D0" w:rsidP="002008D0">
      <w:r w:rsidRPr="002008D0">
        <w:t xml:space="preserve">Overall, there has been an increase in insurance premiums of $3.6 million in 2022-23 compared to determination using the extrapolation method. </w:t>
      </w:r>
      <w:proofErr w:type="gramStart"/>
      <w:r w:rsidRPr="002008D0">
        <w:t>The majority of</w:t>
      </w:r>
      <w:proofErr w:type="gramEnd"/>
      <w:r w:rsidRPr="002008D0">
        <w:t xml:space="preserve"> these increases have come in the last two years. </w:t>
      </w:r>
    </w:p>
    <w:p w14:paraId="65746422" w14:textId="77777777" w:rsidR="002008D0" w:rsidRPr="002008D0" w:rsidRDefault="002008D0" w:rsidP="002008D0">
      <w:r w:rsidRPr="002008D0">
        <w:lastRenderedPageBreak/>
        <w:t>The Australian insurance market has been significantly impacted by many factors, including the recent Australian flooding events at the end of 2022, continuing volatility in the Ukraine/Russia conflict, ongoing supply chain and labour challenges, and the recent natural catastrophe (floods and cyclones) in New Zealand. These events had significant impacts on overall global insurance markets, resulting in premium increases across all classes of insurance as insurers work to protect their losses by way of increased premiums and reduced cover or conditions. All of which were not favourable to our insurance renewal.</w:t>
      </w:r>
    </w:p>
    <w:p w14:paraId="5B72F5B6" w14:textId="1231701E" w:rsidR="009026AC" w:rsidRDefault="009026AC" w:rsidP="009026AC">
      <w:pPr>
        <w:pStyle w:val="Caption"/>
      </w:pPr>
      <w:r w:rsidRPr="00956778">
        <w:rPr>
          <w:b/>
        </w:rPr>
        <w:t xml:space="preserve">Table </w:t>
      </w:r>
      <w:r w:rsidR="001F7221" w:rsidRPr="00475653">
        <w:rPr>
          <w:b/>
        </w:rPr>
        <w:fldChar w:fldCharType="begin"/>
      </w:r>
      <w:r w:rsidR="001F7221" w:rsidRPr="00475653">
        <w:rPr>
          <w:b/>
        </w:rPr>
        <w:instrText xml:space="preserve"> SEQ Table \* ARABIC </w:instrText>
      </w:r>
      <w:r w:rsidR="001F7221" w:rsidRPr="00475653">
        <w:rPr>
          <w:b/>
        </w:rPr>
        <w:fldChar w:fldCharType="separate"/>
      </w:r>
      <w:r w:rsidR="003B42C6">
        <w:rPr>
          <w:b/>
          <w:noProof/>
        </w:rPr>
        <w:t>75</w:t>
      </w:r>
      <w:r w:rsidR="001F7221" w:rsidRPr="00475653">
        <w:rPr>
          <w:b/>
        </w:rPr>
        <w:fldChar w:fldCharType="end"/>
      </w:r>
      <w:r>
        <w:t xml:space="preserve"> </w:t>
      </w:r>
      <w:r w:rsidRPr="00677A09">
        <w:t xml:space="preserve">Insurance </w:t>
      </w:r>
      <w:proofErr w:type="spellStart"/>
      <w:r w:rsidRPr="00677A09">
        <w:t>opex</w:t>
      </w:r>
      <w:proofErr w:type="spellEnd"/>
      <w:r w:rsidRPr="00677A09">
        <w:t xml:space="preserve"> changes ($million, 2023-24)</w:t>
      </w:r>
    </w:p>
    <w:tbl>
      <w:tblPr>
        <w:tblStyle w:val="GWWDefaulttable"/>
        <w:tblW w:w="5000" w:type="pct"/>
        <w:tblLook w:val="04A0" w:firstRow="1" w:lastRow="0" w:firstColumn="1" w:lastColumn="0" w:noHBand="0" w:noVBand="1"/>
      </w:tblPr>
      <w:tblGrid>
        <w:gridCol w:w="2279"/>
        <w:gridCol w:w="1471"/>
        <w:gridCol w:w="1471"/>
        <w:gridCol w:w="1473"/>
        <w:gridCol w:w="1471"/>
        <w:gridCol w:w="1473"/>
      </w:tblGrid>
      <w:tr w:rsidR="002008D0" w:rsidRPr="002008D0" w14:paraId="26E56843" w14:textId="77777777" w:rsidTr="009567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2F80FB7D" w14:textId="77777777" w:rsidR="002008D0" w:rsidRPr="002008D0" w:rsidRDefault="002008D0" w:rsidP="002008D0">
            <w:r w:rsidRPr="002008D0">
              <w:t> </w:t>
            </w:r>
          </w:p>
        </w:tc>
        <w:tc>
          <w:tcPr>
            <w:tcW w:w="763" w:type="pct"/>
            <w:vAlign w:val="center"/>
          </w:tcPr>
          <w:p w14:paraId="023CB20C"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763" w:type="pct"/>
            <w:vAlign w:val="center"/>
          </w:tcPr>
          <w:p w14:paraId="6D871C5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764" w:type="pct"/>
            <w:vAlign w:val="center"/>
          </w:tcPr>
          <w:p w14:paraId="73575FB1"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763" w:type="pct"/>
            <w:vAlign w:val="center"/>
          </w:tcPr>
          <w:p w14:paraId="79FF06A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764" w:type="pct"/>
            <w:vAlign w:val="center"/>
          </w:tcPr>
          <w:p w14:paraId="47AF3086"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0061C953" w14:textId="77777777" w:rsidTr="00956778">
        <w:trPr>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49DD952D" w14:textId="77777777" w:rsidR="002008D0" w:rsidRPr="00956778" w:rsidRDefault="002008D0" w:rsidP="002008D0">
            <w:pPr>
              <w:rPr>
                <w:b w:val="0"/>
              </w:rPr>
            </w:pPr>
            <w:proofErr w:type="spellStart"/>
            <w:r w:rsidRPr="00956778">
              <w:rPr>
                <w:b w:val="0"/>
              </w:rPr>
              <w:t>Opex</w:t>
            </w:r>
            <w:proofErr w:type="spellEnd"/>
            <w:r w:rsidRPr="00956778">
              <w:rPr>
                <w:b w:val="0"/>
              </w:rPr>
              <w:t> </w:t>
            </w:r>
          </w:p>
        </w:tc>
        <w:tc>
          <w:tcPr>
            <w:tcW w:w="763" w:type="pct"/>
            <w:vAlign w:val="center"/>
            <w:hideMark/>
          </w:tcPr>
          <w:p w14:paraId="54B0BA16"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0.03</w:t>
            </w:r>
          </w:p>
        </w:tc>
        <w:tc>
          <w:tcPr>
            <w:tcW w:w="763" w:type="pct"/>
            <w:vAlign w:val="center"/>
            <w:hideMark/>
          </w:tcPr>
          <w:p w14:paraId="1ADFB68F"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0.05</w:t>
            </w:r>
          </w:p>
        </w:tc>
        <w:tc>
          <w:tcPr>
            <w:tcW w:w="764" w:type="pct"/>
            <w:vAlign w:val="center"/>
            <w:hideMark/>
          </w:tcPr>
          <w:p w14:paraId="136B5A41"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0.02</w:t>
            </w:r>
          </w:p>
        </w:tc>
        <w:tc>
          <w:tcPr>
            <w:tcW w:w="763" w:type="pct"/>
            <w:vAlign w:val="center"/>
            <w:hideMark/>
          </w:tcPr>
          <w:p w14:paraId="18721BF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2.88</w:t>
            </w:r>
          </w:p>
        </w:tc>
        <w:tc>
          <w:tcPr>
            <w:tcW w:w="764" w:type="pct"/>
            <w:vAlign w:val="center"/>
            <w:hideMark/>
          </w:tcPr>
          <w:p w14:paraId="6CA7E75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3.64</w:t>
            </w:r>
          </w:p>
        </w:tc>
      </w:tr>
    </w:tbl>
    <w:p w14:paraId="2257092A" w14:textId="77777777" w:rsidR="002008D0" w:rsidRPr="002008D0" w:rsidRDefault="002008D0" w:rsidP="005E0DD0">
      <w:pPr>
        <w:pStyle w:val="Heading4-nonumber"/>
      </w:pPr>
      <w:r w:rsidRPr="002008D0">
        <w:t xml:space="preserve">Chemicals </w:t>
      </w:r>
    </w:p>
    <w:p w14:paraId="0007635C" w14:textId="77777777" w:rsidR="002008D0" w:rsidRPr="002008D0" w:rsidRDefault="002008D0" w:rsidP="002008D0">
      <w:r w:rsidRPr="002008D0">
        <w:t>Over the regulatory period, we saw a significant increase in chemical costs. In 2021-22, we had a small increase above determination of 0.3 million that has been captured in the transformation – compliance program as a step change. The remainder in 2022-23 of $1.6 million and is driven by supply chain disruptions and increases in costs from suppliers.</w:t>
      </w:r>
    </w:p>
    <w:p w14:paraId="6EED6FBF" w14:textId="7B138DB8" w:rsidR="00043852" w:rsidRDefault="009026AC" w:rsidP="002008D0">
      <w:r>
        <w:fldChar w:fldCharType="begin"/>
      </w:r>
      <w:r>
        <w:instrText xml:space="preserve"> REF _Ref145978671 \h </w:instrText>
      </w:r>
      <w:r>
        <w:fldChar w:fldCharType="separate"/>
      </w:r>
      <w:r w:rsidR="003B42C6" w:rsidRPr="00475653">
        <w:rPr>
          <w:b/>
          <w:bCs/>
        </w:rPr>
        <w:t xml:space="preserve">Table </w:t>
      </w:r>
      <w:r w:rsidR="003B42C6">
        <w:rPr>
          <w:noProof/>
        </w:rPr>
        <w:t>76</w:t>
      </w:r>
      <w:r>
        <w:fldChar w:fldCharType="end"/>
      </w:r>
      <w:r>
        <w:t xml:space="preserve"> </w:t>
      </w:r>
      <w:r w:rsidR="002008D0" w:rsidRPr="002008D0">
        <w:t>summarises the cost increases (excluding those captured in the transformation – compliance program).</w:t>
      </w:r>
    </w:p>
    <w:p w14:paraId="29773EBD" w14:textId="03D99E93" w:rsidR="009026AC" w:rsidRDefault="009026AC" w:rsidP="009026AC">
      <w:pPr>
        <w:pStyle w:val="Caption"/>
      </w:pPr>
      <w:bookmarkStart w:id="410" w:name="_Ref145978671"/>
      <w:r w:rsidRPr="00475653">
        <w:rPr>
          <w:b/>
          <w:bCs/>
        </w:rPr>
        <w:t xml:space="preserve">Table </w:t>
      </w:r>
      <w:r w:rsidR="001F7221" w:rsidRPr="00475653">
        <w:rPr>
          <w:b/>
          <w:bCs/>
        </w:rPr>
        <w:fldChar w:fldCharType="begin"/>
      </w:r>
      <w:r w:rsidR="001F7221">
        <w:instrText xml:space="preserve"> SEQ Table \* ARABIC </w:instrText>
      </w:r>
      <w:r w:rsidR="001F7221" w:rsidRPr="00475653">
        <w:rPr>
          <w:b/>
          <w:bCs/>
        </w:rPr>
        <w:fldChar w:fldCharType="separate"/>
      </w:r>
      <w:r w:rsidR="003B42C6">
        <w:rPr>
          <w:noProof/>
        </w:rPr>
        <w:t>76</w:t>
      </w:r>
      <w:r w:rsidR="001F7221" w:rsidRPr="00475653">
        <w:rPr>
          <w:b/>
          <w:bCs/>
          <w:noProof/>
        </w:rPr>
        <w:fldChar w:fldCharType="end"/>
      </w:r>
      <w:bookmarkEnd w:id="410"/>
      <w:r>
        <w:t xml:space="preserve"> </w:t>
      </w:r>
      <w:r w:rsidRPr="00CF37F8">
        <w:t xml:space="preserve">Chemical </w:t>
      </w:r>
      <w:proofErr w:type="spellStart"/>
      <w:r w:rsidRPr="00CF37F8">
        <w:t>opex</w:t>
      </w:r>
      <w:proofErr w:type="spellEnd"/>
      <w:r w:rsidRPr="00CF37F8">
        <w:t xml:space="preserve"> changes ($million, 2023-24)</w:t>
      </w:r>
    </w:p>
    <w:tbl>
      <w:tblPr>
        <w:tblStyle w:val="GWWDefaulttable"/>
        <w:tblW w:w="5000" w:type="pct"/>
        <w:tblLook w:val="04A0" w:firstRow="1" w:lastRow="0" w:firstColumn="1" w:lastColumn="0" w:noHBand="0" w:noVBand="1"/>
      </w:tblPr>
      <w:tblGrid>
        <w:gridCol w:w="2279"/>
        <w:gridCol w:w="1471"/>
        <w:gridCol w:w="1471"/>
        <w:gridCol w:w="1473"/>
        <w:gridCol w:w="1471"/>
        <w:gridCol w:w="1473"/>
      </w:tblGrid>
      <w:tr w:rsidR="002008D0" w:rsidRPr="002008D0" w14:paraId="0F20426E" w14:textId="77777777" w:rsidTr="009567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3E3D4CAC" w14:textId="77777777" w:rsidR="002008D0" w:rsidRPr="002008D0" w:rsidRDefault="002008D0" w:rsidP="002008D0">
            <w:r w:rsidRPr="002008D0">
              <w:t> </w:t>
            </w:r>
          </w:p>
        </w:tc>
        <w:tc>
          <w:tcPr>
            <w:tcW w:w="763" w:type="pct"/>
            <w:vAlign w:val="center"/>
          </w:tcPr>
          <w:p w14:paraId="50B32BD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763" w:type="pct"/>
            <w:vAlign w:val="center"/>
          </w:tcPr>
          <w:p w14:paraId="04A5AA4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764" w:type="pct"/>
            <w:vAlign w:val="center"/>
          </w:tcPr>
          <w:p w14:paraId="6282311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763" w:type="pct"/>
            <w:vAlign w:val="center"/>
          </w:tcPr>
          <w:p w14:paraId="37A2549D"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764" w:type="pct"/>
            <w:vAlign w:val="center"/>
          </w:tcPr>
          <w:p w14:paraId="6994DE4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24499660" w14:textId="77777777" w:rsidTr="00956778">
        <w:trPr>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63A13A5E" w14:textId="77777777" w:rsidR="002008D0" w:rsidRPr="00956778" w:rsidRDefault="002008D0" w:rsidP="002008D0">
            <w:pPr>
              <w:rPr>
                <w:b w:val="0"/>
              </w:rPr>
            </w:pPr>
            <w:proofErr w:type="spellStart"/>
            <w:r w:rsidRPr="00956778">
              <w:rPr>
                <w:b w:val="0"/>
              </w:rPr>
              <w:t>Opex</w:t>
            </w:r>
            <w:proofErr w:type="spellEnd"/>
            <w:r w:rsidRPr="00956778">
              <w:rPr>
                <w:b w:val="0"/>
              </w:rPr>
              <w:t> </w:t>
            </w:r>
          </w:p>
        </w:tc>
        <w:tc>
          <w:tcPr>
            <w:tcW w:w="763" w:type="pct"/>
            <w:vAlign w:val="center"/>
            <w:hideMark/>
          </w:tcPr>
          <w:p w14:paraId="3B492222"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-0.17</w:t>
            </w:r>
          </w:p>
        </w:tc>
        <w:tc>
          <w:tcPr>
            <w:tcW w:w="763" w:type="pct"/>
            <w:vAlign w:val="center"/>
            <w:hideMark/>
          </w:tcPr>
          <w:p w14:paraId="7FAF411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0.14</w:t>
            </w:r>
          </w:p>
        </w:tc>
        <w:tc>
          <w:tcPr>
            <w:tcW w:w="764" w:type="pct"/>
            <w:vAlign w:val="center"/>
            <w:hideMark/>
          </w:tcPr>
          <w:p w14:paraId="0161589E"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-0.06</w:t>
            </w:r>
          </w:p>
        </w:tc>
        <w:tc>
          <w:tcPr>
            <w:tcW w:w="763" w:type="pct"/>
            <w:vAlign w:val="center"/>
            <w:hideMark/>
          </w:tcPr>
          <w:p w14:paraId="0E9154AE"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w:t>
            </w:r>
          </w:p>
        </w:tc>
        <w:tc>
          <w:tcPr>
            <w:tcW w:w="764" w:type="pct"/>
            <w:vAlign w:val="center"/>
            <w:hideMark/>
          </w:tcPr>
          <w:p w14:paraId="786A624A"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1.58</w:t>
            </w:r>
          </w:p>
        </w:tc>
      </w:tr>
    </w:tbl>
    <w:p w14:paraId="51F325A5" w14:textId="2F23FDB6" w:rsidR="00C704F8" w:rsidRPr="00C704F8" w:rsidRDefault="00C704F8" w:rsidP="00DB1B4E">
      <w:pPr>
        <w:pStyle w:val="appendixHlevel2LPcreated"/>
      </w:pPr>
      <w:bookmarkStart w:id="411" w:name="_Toc146004919"/>
      <w:bookmarkStart w:id="412" w:name="_Toc146004807"/>
      <w:bookmarkStart w:id="413" w:name="_Toc146746753"/>
      <w:r w:rsidRPr="00C704F8">
        <w:t xml:space="preserve">Forecast operating </w:t>
      </w:r>
      <w:proofErr w:type="gramStart"/>
      <w:r w:rsidRPr="00C704F8">
        <w:t>expenditure</w:t>
      </w:r>
      <w:bookmarkEnd w:id="411"/>
      <w:bookmarkEnd w:id="412"/>
      <w:bookmarkEnd w:id="413"/>
      <w:proofErr w:type="gramEnd"/>
    </w:p>
    <w:p w14:paraId="77F8151D" w14:textId="7CA3E0DB" w:rsidR="00C704F8" w:rsidRPr="00C704F8" w:rsidRDefault="00C704F8" w:rsidP="00C704F8">
      <w:r w:rsidRPr="00C704F8">
        <w:t>We are forecasting a total of $2,</w:t>
      </w:r>
      <w:r w:rsidR="00DF2AD6">
        <w:t>520.9</w:t>
      </w:r>
      <w:r w:rsidRPr="00C704F8">
        <w:t> million over the 2024-25 to 2027-28 regulatory period. The composition of these forecasts is outlined in</w:t>
      </w:r>
      <w:r w:rsidR="00251909">
        <w:t xml:space="preserve"> </w:t>
      </w:r>
      <w:r w:rsidR="00251909">
        <w:fldChar w:fldCharType="begin"/>
      </w:r>
      <w:r w:rsidR="00251909">
        <w:instrText xml:space="preserve"> REF _Ref145978771 \h </w:instrText>
      </w:r>
      <w:r w:rsidR="00251909">
        <w:fldChar w:fldCharType="separate"/>
      </w:r>
      <w:r w:rsidR="003B42C6" w:rsidRPr="00956778">
        <w:rPr>
          <w:b/>
        </w:rPr>
        <w:t xml:space="preserve">Table </w:t>
      </w:r>
      <w:r w:rsidR="003B42C6">
        <w:rPr>
          <w:b/>
          <w:noProof/>
        </w:rPr>
        <w:t>77</w:t>
      </w:r>
      <w:r w:rsidR="00251909">
        <w:fldChar w:fldCharType="end"/>
      </w:r>
      <w:r w:rsidRPr="00C704F8">
        <w:t>.</w:t>
      </w:r>
    </w:p>
    <w:p w14:paraId="04462213" w14:textId="77777777" w:rsidR="00C704F8" w:rsidRPr="00C704F8" w:rsidRDefault="00C704F8" w:rsidP="00C704F8">
      <w:r w:rsidRPr="00C704F8">
        <w:t>Our forecast operating expenditure is underpinned by two key assumptions: </w:t>
      </w:r>
    </w:p>
    <w:p w14:paraId="1195DFB7" w14:textId="77777777" w:rsidR="00C704F8" w:rsidRPr="00C704F8" w:rsidRDefault="00C704F8">
      <w:pPr>
        <w:pStyle w:val="ListNumber"/>
        <w:numPr>
          <w:ilvl w:val="0"/>
          <w:numId w:val="43"/>
        </w:numPr>
      </w:pPr>
      <w:r w:rsidRPr="00C704F8">
        <w:t>A large efficiency program to deliver lower costs and greater value to customers. </w:t>
      </w:r>
    </w:p>
    <w:p w14:paraId="3DB42B6A" w14:textId="77777777" w:rsidR="00C704F8" w:rsidRPr="00C704F8" w:rsidRDefault="00C704F8">
      <w:pPr>
        <w:pStyle w:val="ListNumber"/>
        <w:numPr>
          <w:ilvl w:val="0"/>
          <w:numId w:val="43"/>
        </w:numPr>
      </w:pPr>
      <w:r w:rsidRPr="00C704F8">
        <w:t xml:space="preserve">Step changes in </w:t>
      </w:r>
      <w:proofErr w:type="spellStart"/>
      <w:r w:rsidRPr="00C704F8">
        <w:t>opex</w:t>
      </w:r>
      <w:proofErr w:type="spellEnd"/>
      <w:r w:rsidRPr="00C704F8">
        <w:t xml:space="preserve"> driven by new obligations, new capital works and customer driven outcomes.</w:t>
      </w:r>
    </w:p>
    <w:p w14:paraId="43F25816" w14:textId="77777777" w:rsidR="00C704F8" w:rsidRPr="00C704F8" w:rsidRDefault="00C704F8" w:rsidP="00C704F8"/>
    <w:p w14:paraId="432A2C98" w14:textId="74F75EF8" w:rsidR="00C704F8" w:rsidRPr="00C704F8" w:rsidRDefault="00DF2AD6" w:rsidP="009942BB">
      <w:pPr>
        <w:pStyle w:val="Caption"/>
      </w:pPr>
      <w:r>
        <w:t xml:space="preserve"> </w:t>
      </w:r>
      <w:bookmarkStart w:id="414" w:name="_Ref145978771"/>
      <w:r w:rsidRPr="00956778">
        <w:rPr>
          <w:b/>
        </w:rPr>
        <w:t xml:space="preserve">Table </w:t>
      </w:r>
      <w:r w:rsidR="001F7221" w:rsidRPr="00956778">
        <w:rPr>
          <w:b/>
        </w:rPr>
        <w:fldChar w:fldCharType="begin"/>
      </w:r>
      <w:r w:rsidR="001F7221" w:rsidRPr="00956778">
        <w:rPr>
          <w:b/>
        </w:rPr>
        <w:instrText xml:space="preserve"> SEQ Table \* ARABIC </w:instrText>
      </w:r>
      <w:r w:rsidR="001F7221" w:rsidRPr="00956778">
        <w:rPr>
          <w:b/>
        </w:rPr>
        <w:fldChar w:fldCharType="separate"/>
      </w:r>
      <w:r w:rsidR="003B42C6">
        <w:rPr>
          <w:b/>
          <w:noProof/>
        </w:rPr>
        <w:t>77</w:t>
      </w:r>
      <w:r w:rsidR="001F7221" w:rsidRPr="00956778">
        <w:rPr>
          <w:b/>
        </w:rPr>
        <w:fldChar w:fldCharType="end"/>
      </w:r>
      <w:bookmarkEnd w:id="414"/>
      <w:r w:rsidR="00726915">
        <w:t xml:space="preserve"> </w:t>
      </w:r>
      <w:r w:rsidR="00C704F8" w:rsidRPr="00C704F8">
        <w:t>Forecast controllable and non-controllable operating expenditure ($million, 2023-24)</w:t>
      </w:r>
    </w:p>
    <w:tbl>
      <w:tblPr>
        <w:tblStyle w:val="GWWDefaulttable"/>
        <w:tblW w:w="5000" w:type="pct"/>
        <w:tblLook w:val="04A0" w:firstRow="1" w:lastRow="0" w:firstColumn="1" w:lastColumn="0" w:noHBand="0" w:noVBand="1"/>
      </w:tblPr>
      <w:tblGrid>
        <w:gridCol w:w="2410"/>
        <w:gridCol w:w="1205"/>
        <w:gridCol w:w="1205"/>
        <w:gridCol w:w="1205"/>
        <w:gridCol w:w="1205"/>
        <w:gridCol w:w="1205"/>
        <w:gridCol w:w="1203"/>
      </w:tblGrid>
      <w:tr w:rsidR="007749B1" w:rsidRPr="007749B1" w14:paraId="24DDECED" w14:textId="77777777" w:rsidTr="00785C72">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251" w:type="pct"/>
            <w:hideMark/>
          </w:tcPr>
          <w:p w14:paraId="43FD8C93" w14:textId="77777777" w:rsidR="00C704F8" w:rsidRPr="007749B1" w:rsidRDefault="00C704F8" w:rsidP="007749B1">
            <w:r w:rsidRPr="007749B1">
              <w:t> </w:t>
            </w:r>
          </w:p>
        </w:tc>
        <w:tc>
          <w:tcPr>
            <w:tcW w:w="625" w:type="pct"/>
            <w:hideMark/>
          </w:tcPr>
          <w:p w14:paraId="7106B692"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2023-24</w:t>
            </w:r>
          </w:p>
        </w:tc>
        <w:tc>
          <w:tcPr>
            <w:tcW w:w="625" w:type="pct"/>
            <w:hideMark/>
          </w:tcPr>
          <w:p w14:paraId="2996F0B5"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2024-25</w:t>
            </w:r>
          </w:p>
        </w:tc>
        <w:tc>
          <w:tcPr>
            <w:tcW w:w="625" w:type="pct"/>
            <w:hideMark/>
          </w:tcPr>
          <w:p w14:paraId="1E9D185D"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2025-26</w:t>
            </w:r>
          </w:p>
        </w:tc>
        <w:tc>
          <w:tcPr>
            <w:tcW w:w="625" w:type="pct"/>
            <w:hideMark/>
          </w:tcPr>
          <w:p w14:paraId="0BBC5BA4"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2026-27</w:t>
            </w:r>
          </w:p>
        </w:tc>
        <w:tc>
          <w:tcPr>
            <w:tcW w:w="625" w:type="pct"/>
            <w:hideMark/>
          </w:tcPr>
          <w:p w14:paraId="54144A5D"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2027-28</w:t>
            </w:r>
          </w:p>
        </w:tc>
        <w:tc>
          <w:tcPr>
            <w:tcW w:w="625" w:type="pct"/>
            <w:hideMark/>
          </w:tcPr>
          <w:p w14:paraId="2975BCEF" w14:textId="54DE6AC3" w:rsidR="00C704F8" w:rsidRPr="007D3379" w:rsidRDefault="00C704F8" w:rsidP="00425B0E">
            <w:pPr>
              <w:jc w:val="right"/>
              <w:cnfStyle w:val="100000000000" w:firstRow="1" w:lastRow="0" w:firstColumn="0" w:lastColumn="0" w:oddVBand="0" w:evenVBand="0" w:oddHBand="0" w:evenHBand="0" w:firstRowFirstColumn="0" w:firstRowLastColumn="0" w:lastRowFirstColumn="0" w:lastRowLastColumn="0"/>
              <w:rPr>
                <w:b w:val="0"/>
              </w:rPr>
            </w:pPr>
            <w:r w:rsidRPr="007749B1">
              <w:t xml:space="preserve">Total </w:t>
            </w:r>
            <w:r w:rsidR="007D3379">
              <w:br/>
            </w:r>
            <w:r w:rsidRPr="007749B1">
              <w:t xml:space="preserve">(4 year) </w:t>
            </w:r>
          </w:p>
        </w:tc>
      </w:tr>
      <w:tr w:rsidR="007749B1" w:rsidRPr="007749B1" w14:paraId="1A9CF4A6"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bottom w:val="single" w:sz="8" w:space="0" w:color="1A206C" w:themeColor="text2"/>
            </w:tcBorders>
            <w:hideMark/>
          </w:tcPr>
          <w:p w14:paraId="70D6FA3D" w14:textId="73397078" w:rsidR="00C704F8" w:rsidRPr="00D720D7" w:rsidRDefault="002E7F6C" w:rsidP="007749B1">
            <w:pPr>
              <w:rPr>
                <w:b w:val="0"/>
                <w:bCs/>
                <w:color w:val="1A206C"/>
              </w:rPr>
            </w:pPr>
            <w:r w:rsidRPr="006C771E">
              <w:rPr>
                <w:rFonts w:asciiTheme="minorHAnsi" w:hAnsiTheme="minorHAnsi"/>
                <w:b w:val="0"/>
                <w:color w:val="1A206C"/>
              </w:rPr>
              <w:t>Baseline forecast</w:t>
            </w:r>
          </w:p>
        </w:tc>
        <w:tc>
          <w:tcPr>
            <w:tcW w:w="625" w:type="pct"/>
            <w:tcBorders>
              <w:bottom w:val="single" w:sz="8" w:space="0" w:color="1A206C" w:themeColor="text2"/>
            </w:tcBorders>
            <w:vAlign w:val="center"/>
            <w:hideMark/>
          </w:tcPr>
          <w:p w14:paraId="024AF491" w14:textId="7D9CA247"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212.34</w:t>
            </w:r>
          </w:p>
        </w:tc>
        <w:tc>
          <w:tcPr>
            <w:tcW w:w="625" w:type="pct"/>
            <w:tcBorders>
              <w:bottom w:val="single" w:sz="8" w:space="0" w:color="1A206C" w:themeColor="text2"/>
            </w:tcBorders>
            <w:vAlign w:val="center"/>
            <w:hideMark/>
          </w:tcPr>
          <w:p w14:paraId="109522A4" w14:textId="7D0A7334"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210.69</w:t>
            </w:r>
          </w:p>
        </w:tc>
        <w:tc>
          <w:tcPr>
            <w:tcW w:w="625" w:type="pct"/>
            <w:tcBorders>
              <w:bottom w:val="single" w:sz="8" w:space="0" w:color="1A206C" w:themeColor="text2"/>
            </w:tcBorders>
            <w:vAlign w:val="center"/>
            <w:hideMark/>
          </w:tcPr>
          <w:p w14:paraId="445E9764" w14:textId="36BF0CC8"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210.29</w:t>
            </w:r>
          </w:p>
        </w:tc>
        <w:tc>
          <w:tcPr>
            <w:tcW w:w="625" w:type="pct"/>
            <w:tcBorders>
              <w:bottom w:val="single" w:sz="8" w:space="0" w:color="1A206C" w:themeColor="text2"/>
            </w:tcBorders>
            <w:vAlign w:val="center"/>
            <w:hideMark/>
          </w:tcPr>
          <w:p w14:paraId="7BE2AF71" w14:textId="5A5A1624"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209.92</w:t>
            </w:r>
          </w:p>
        </w:tc>
        <w:tc>
          <w:tcPr>
            <w:tcW w:w="625" w:type="pct"/>
            <w:tcBorders>
              <w:bottom w:val="single" w:sz="8" w:space="0" w:color="1A206C" w:themeColor="text2"/>
            </w:tcBorders>
            <w:vAlign w:val="center"/>
            <w:hideMark/>
          </w:tcPr>
          <w:p w14:paraId="42717345" w14:textId="4D1059D7"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210.73</w:t>
            </w:r>
          </w:p>
        </w:tc>
        <w:tc>
          <w:tcPr>
            <w:tcW w:w="625" w:type="pct"/>
            <w:tcBorders>
              <w:bottom w:val="single" w:sz="8" w:space="0" w:color="1A206C" w:themeColor="text2"/>
            </w:tcBorders>
            <w:vAlign w:val="center"/>
            <w:hideMark/>
          </w:tcPr>
          <w:p w14:paraId="155FE33A" w14:textId="07536320"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841.63</w:t>
            </w:r>
          </w:p>
        </w:tc>
      </w:tr>
      <w:tr w:rsidR="007749B1" w:rsidRPr="007749B1" w14:paraId="1B7217A3"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8" w:space="0" w:color="1A206C" w:themeColor="text2"/>
              <w:bottom w:val="single" w:sz="12" w:space="0" w:color="1A206C" w:themeColor="text2"/>
            </w:tcBorders>
            <w:hideMark/>
          </w:tcPr>
          <w:p w14:paraId="12625036" w14:textId="250E8A2F" w:rsidR="00C704F8" w:rsidRPr="00D720D7" w:rsidRDefault="002E7F6C" w:rsidP="007749B1">
            <w:pPr>
              <w:rPr>
                <w:b w:val="0"/>
                <w:bCs/>
                <w:color w:val="1A206C"/>
              </w:rPr>
            </w:pPr>
            <w:r w:rsidRPr="006C771E">
              <w:rPr>
                <w:rFonts w:asciiTheme="minorHAnsi" w:hAnsiTheme="minorHAnsi"/>
                <w:b w:val="0"/>
                <w:color w:val="1A206C"/>
              </w:rPr>
              <w:lastRenderedPageBreak/>
              <w:t>Baseline adjustment</w:t>
            </w:r>
          </w:p>
        </w:tc>
        <w:tc>
          <w:tcPr>
            <w:tcW w:w="625" w:type="pct"/>
            <w:tcBorders>
              <w:top w:val="single" w:sz="8" w:space="0" w:color="1A206C" w:themeColor="text2"/>
              <w:bottom w:val="single" w:sz="12" w:space="0" w:color="1A206C" w:themeColor="text2"/>
            </w:tcBorders>
            <w:vAlign w:val="center"/>
            <w:hideMark/>
          </w:tcPr>
          <w:p w14:paraId="60ABDB2B" w14:textId="39D7F275"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4.47</w:t>
            </w:r>
          </w:p>
        </w:tc>
        <w:tc>
          <w:tcPr>
            <w:tcW w:w="625" w:type="pct"/>
            <w:tcBorders>
              <w:top w:val="single" w:sz="8" w:space="0" w:color="1A206C" w:themeColor="text2"/>
              <w:bottom w:val="single" w:sz="12" w:space="0" w:color="1A206C" w:themeColor="text2"/>
            </w:tcBorders>
            <w:vAlign w:val="center"/>
            <w:hideMark/>
          </w:tcPr>
          <w:p w14:paraId="3C03D943" w14:textId="2C7D53FD"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7.49</w:t>
            </w:r>
          </w:p>
        </w:tc>
        <w:tc>
          <w:tcPr>
            <w:tcW w:w="625" w:type="pct"/>
            <w:tcBorders>
              <w:top w:val="single" w:sz="8" w:space="0" w:color="1A206C" w:themeColor="text2"/>
              <w:bottom w:val="single" w:sz="12" w:space="0" w:color="1A206C" w:themeColor="text2"/>
            </w:tcBorders>
            <w:vAlign w:val="center"/>
            <w:hideMark/>
          </w:tcPr>
          <w:p w14:paraId="7AB2B49B" w14:textId="5F0BD073"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8.23</w:t>
            </w:r>
          </w:p>
        </w:tc>
        <w:tc>
          <w:tcPr>
            <w:tcW w:w="625" w:type="pct"/>
            <w:tcBorders>
              <w:top w:val="single" w:sz="8" w:space="0" w:color="1A206C" w:themeColor="text2"/>
              <w:bottom w:val="single" w:sz="12" w:space="0" w:color="1A206C" w:themeColor="text2"/>
            </w:tcBorders>
            <w:vAlign w:val="center"/>
            <w:hideMark/>
          </w:tcPr>
          <w:p w14:paraId="34C79346" w14:textId="6348A6D0"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9.08</w:t>
            </w:r>
          </w:p>
        </w:tc>
        <w:tc>
          <w:tcPr>
            <w:tcW w:w="625" w:type="pct"/>
            <w:tcBorders>
              <w:top w:val="single" w:sz="8" w:space="0" w:color="1A206C" w:themeColor="text2"/>
              <w:bottom w:val="single" w:sz="12" w:space="0" w:color="1A206C" w:themeColor="text2"/>
            </w:tcBorders>
            <w:vAlign w:val="center"/>
            <w:hideMark/>
          </w:tcPr>
          <w:p w14:paraId="6769ACBC" w14:textId="75346E00"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9.69</w:t>
            </w:r>
          </w:p>
        </w:tc>
        <w:tc>
          <w:tcPr>
            <w:tcW w:w="625" w:type="pct"/>
            <w:tcBorders>
              <w:top w:val="single" w:sz="8" w:space="0" w:color="1A206C" w:themeColor="text2"/>
              <w:bottom w:val="single" w:sz="12" w:space="0" w:color="1A206C" w:themeColor="text2"/>
            </w:tcBorders>
            <w:vAlign w:val="center"/>
            <w:hideMark/>
          </w:tcPr>
          <w:p w14:paraId="5C148D00" w14:textId="776CDA2D"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34.49</w:t>
            </w:r>
          </w:p>
        </w:tc>
      </w:tr>
      <w:tr w:rsidR="007749B1" w:rsidRPr="007749B1" w14:paraId="1A75E68E"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12" w:space="0" w:color="1A206C" w:themeColor="text2"/>
            </w:tcBorders>
            <w:hideMark/>
          </w:tcPr>
          <w:p w14:paraId="03018B81" w14:textId="25FAEB02" w:rsidR="00C704F8" w:rsidRPr="00D720D7" w:rsidRDefault="002E7F6C" w:rsidP="007749B1">
            <w:pPr>
              <w:rPr>
                <w:b w:val="0"/>
                <w:bCs/>
                <w:color w:val="1A206C"/>
              </w:rPr>
            </w:pPr>
            <w:r w:rsidRPr="00251909">
              <w:rPr>
                <w:rFonts w:asciiTheme="minorHAnsi" w:hAnsiTheme="minorHAnsi"/>
                <w:color w:val="1A206C"/>
              </w:rPr>
              <w:t>Total controllable</w:t>
            </w:r>
          </w:p>
        </w:tc>
        <w:tc>
          <w:tcPr>
            <w:tcW w:w="625" w:type="pct"/>
            <w:tcBorders>
              <w:top w:val="single" w:sz="12" w:space="0" w:color="1A206C" w:themeColor="text2"/>
            </w:tcBorders>
            <w:vAlign w:val="center"/>
            <w:hideMark/>
          </w:tcPr>
          <w:p w14:paraId="6D518BAF" w14:textId="26166C8B"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216.81</w:t>
            </w:r>
          </w:p>
        </w:tc>
        <w:tc>
          <w:tcPr>
            <w:tcW w:w="625" w:type="pct"/>
            <w:tcBorders>
              <w:top w:val="single" w:sz="12" w:space="0" w:color="1A206C" w:themeColor="text2"/>
            </w:tcBorders>
            <w:vAlign w:val="center"/>
            <w:hideMark/>
          </w:tcPr>
          <w:p w14:paraId="6C689EC7" w14:textId="454EC88B"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218.18</w:t>
            </w:r>
          </w:p>
        </w:tc>
        <w:tc>
          <w:tcPr>
            <w:tcW w:w="625" w:type="pct"/>
            <w:tcBorders>
              <w:top w:val="single" w:sz="12" w:space="0" w:color="1A206C" w:themeColor="text2"/>
            </w:tcBorders>
            <w:vAlign w:val="center"/>
            <w:hideMark/>
          </w:tcPr>
          <w:p w14:paraId="04A01FEC" w14:textId="7A70513D"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218.52</w:t>
            </w:r>
          </w:p>
        </w:tc>
        <w:tc>
          <w:tcPr>
            <w:tcW w:w="625" w:type="pct"/>
            <w:tcBorders>
              <w:top w:val="single" w:sz="12" w:space="0" w:color="1A206C" w:themeColor="text2"/>
            </w:tcBorders>
            <w:vAlign w:val="center"/>
            <w:hideMark/>
          </w:tcPr>
          <w:p w14:paraId="0DF55C4E" w14:textId="41E97BB5"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219.00</w:t>
            </w:r>
          </w:p>
        </w:tc>
        <w:tc>
          <w:tcPr>
            <w:tcW w:w="625" w:type="pct"/>
            <w:tcBorders>
              <w:top w:val="single" w:sz="12" w:space="0" w:color="1A206C" w:themeColor="text2"/>
            </w:tcBorders>
            <w:vAlign w:val="center"/>
            <w:hideMark/>
          </w:tcPr>
          <w:p w14:paraId="18E2DF53" w14:textId="353BB3FC"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220.42</w:t>
            </w:r>
          </w:p>
        </w:tc>
        <w:tc>
          <w:tcPr>
            <w:tcW w:w="625" w:type="pct"/>
            <w:tcBorders>
              <w:top w:val="single" w:sz="12" w:space="0" w:color="1A206C" w:themeColor="text2"/>
            </w:tcBorders>
            <w:vAlign w:val="center"/>
            <w:hideMark/>
          </w:tcPr>
          <w:p w14:paraId="529E3577" w14:textId="4E748D3C"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876.12</w:t>
            </w:r>
          </w:p>
        </w:tc>
      </w:tr>
      <w:tr w:rsidR="007749B1" w:rsidRPr="007749B1" w14:paraId="2992C6CB"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bottom w:val="single" w:sz="12" w:space="0" w:color="1A206C" w:themeColor="text2"/>
            </w:tcBorders>
            <w:hideMark/>
          </w:tcPr>
          <w:p w14:paraId="381AA4A3" w14:textId="685B0399" w:rsidR="00C704F8" w:rsidRPr="00D720D7" w:rsidRDefault="002E7F6C" w:rsidP="007749B1">
            <w:pPr>
              <w:rPr>
                <w:b w:val="0"/>
                <w:bCs/>
                <w:color w:val="1A206C"/>
              </w:rPr>
            </w:pPr>
            <w:r w:rsidRPr="006C771E">
              <w:rPr>
                <w:rFonts w:asciiTheme="minorHAnsi" w:hAnsiTheme="minorHAnsi"/>
                <w:b w:val="0"/>
                <w:color w:val="1A206C"/>
              </w:rPr>
              <w:t>Non-controllable</w:t>
            </w:r>
          </w:p>
        </w:tc>
        <w:tc>
          <w:tcPr>
            <w:tcW w:w="625" w:type="pct"/>
            <w:tcBorders>
              <w:bottom w:val="single" w:sz="12" w:space="0" w:color="1A206C" w:themeColor="text2"/>
            </w:tcBorders>
            <w:vAlign w:val="center"/>
            <w:hideMark/>
          </w:tcPr>
          <w:p w14:paraId="712ACCE4" w14:textId="06A5E565"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409.41</w:t>
            </w:r>
          </w:p>
        </w:tc>
        <w:tc>
          <w:tcPr>
            <w:tcW w:w="625" w:type="pct"/>
            <w:tcBorders>
              <w:bottom w:val="single" w:sz="12" w:space="0" w:color="1A206C" w:themeColor="text2"/>
            </w:tcBorders>
            <w:vAlign w:val="center"/>
            <w:hideMark/>
          </w:tcPr>
          <w:p w14:paraId="12033234" w14:textId="255DFAE2"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410.17</w:t>
            </w:r>
          </w:p>
        </w:tc>
        <w:tc>
          <w:tcPr>
            <w:tcW w:w="625" w:type="pct"/>
            <w:tcBorders>
              <w:bottom w:val="single" w:sz="12" w:space="0" w:color="1A206C" w:themeColor="text2"/>
            </w:tcBorders>
            <w:vAlign w:val="center"/>
            <w:hideMark/>
          </w:tcPr>
          <w:p w14:paraId="1FA9B39C" w14:textId="216E6381"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411.65</w:t>
            </w:r>
          </w:p>
        </w:tc>
        <w:tc>
          <w:tcPr>
            <w:tcW w:w="625" w:type="pct"/>
            <w:tcBorders>
              <w:bottom w:val="single" w:sz="12" w:space="0" w:color="1A206C" w:themeColor="text2"/>
            </w:tcBorders>
            <w:vAlign w:val="center"/>
            <w:hideMark/>
          </w:tcPr>
          <w:p w14:paraId="4C5C1C6C" w14:textId="22EC1692"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411.16</w:t>
            </w:r>
          </w:p>
        </w:tc>
        <w:tc>
          <w:tcPr>
            <w:tcW w:w="625" w:type="pct"/>
            <w:tcBorders>
              <w:bottom w:val="single" w:sz="12" w:space="0" w:color="1A206C" w:themeColor="text2"/>
            </w:tcBorders>
            <w:vAlign w:val="center"/>
            <w:hideMark/>
          </w:tcPr>
          <w:p w14:paraId="04BB3048" w14:textId="562A962F"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411.80</w:t>
            </w:r>
          </w:p>
        </w:tc>
        <w:tc>
          <w:tcPr>
            <w:tcW w:w="625" w:type="pct"/>
            <w:tcBorders>
              <w:bottom w:val="single" w:sz="12" w:space="0" w:color="1A206C" w:themeColor="text2"/>
            </w:tcBorders>
            <w:vAlign w:val="center"/>
            <w:hideMark/>
          </w:tcPr>
          <w:p w14:paraId="1C37F3DB" w14:textId="3AD07D4A"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1,644.78</w:t>
            </w:r>
          </w:p>
        </w:tc>
      </w:tr>
      <w:tr w:rsidR="007749B1" w:rsidRPr="007749B1" w14:paraId="14A51B25"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12" w:space="0" w:color="1A206C" w:themeColor="text2"/>
            </w:tcBorders>
            <w:hideMark/>
          </w:tcPr>
          <w:p w14:paraId="7EE10FFE" w14:textId="6B634F28" w:rsidR="00C704F8" w:rsidRPr="00425B0E" w:rsidRDefault="002E7F6C" w:rsidP="007749B1">
            <w:pPr>
              <w:rPr>
                <w:color w:val="1A206C"/>
              </w:rPr>
            </w:pPr>
            <w:r w:rsidRPr="00251909">
              <w:rPr>
                <w:rFonts w:asciiTheme="minorHAnsi" w:hAnsiTheme="minorHAnsi"/>
                <w:color w:val="1A206C"/>
              </w:rPr>
              <w:t xml:space="preserve">Total </w:t>
            </w:r>
            <w:proofErr w:type="spellStart"/>
            <w:r w:rsidRPr="00251909">
              <w:rPr>
                <w:rFonts w:asciiTheme="minorHAnsi" w:hAnsiTheme="minorHAnsi"/>
                <w:color w:val="1A206C"/>
              </w:rPr>
              <w:t>opex</w:t>
            </w:r>
            <w:proofErr w:type="spellEnd"/>
          </w:p>
        </w:tc>
        <w:tc>
          <w:tcPr>
            <w:tcW w:w="625" w:type="pct"/>
            <w:tcBorders>
              <w:top w:val="single" w:sz="12" w:space="0" w:color="1A206C" w:themeColor="text2"/>
            </w:tcBorders>
            <w:vAlign w:val="center"/>
            <w:hideMark/>
          </w:tcPr>
          <w:p w14:paraId="1B2F7099" w14:textId="5BE0921D"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626.22</w:t>
            </w:r>
          </w:p>
        </w:tc>
        <w:tc>
          <w:tcPr>
            <w:tcW w:w="625" w:type="pct"/>
            <w:tcBorders>
              <w:top w:val="single" w:sz="12" w:space="0" w:color="1A206C" w:themeColor="text2"/>
            </w:tcBorders>
            <w:vAlign w:val="center"/>
            <w:hideMark/>
          </w:tcPr>
          <w:p w14:paraId="05FF51A9" w14:textId="5152419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628.35</w:t>
            </w:r>
          </w:p>
        </w:tc>
        <w:tc>
          <w:tcPr>
            <w:tcW w:w="625" w:type="pct"/>
            <w:tcBorders>
              <w:top w:val="single" w:sz="12" w:space="0" w:color="1A206C" w:themeColor="text2"/>
            </w:tcBorders>
            <w:vAlign w:val="center"/>
            <w:hideMark/>
          </w:tcPr>
          <w:p w14:paraId="2EEC7D16" w14:textId="5BAC377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630.17</w:t>
            </w:r>
          </w:p>
        </w:tc>
        <w:tc>
          <w:tcPr>
            <w:tcW w:w="625" w:type="pct"/>
            <w:tcBorders>
              <w:top w:val="single" w:sz="12" w:space="0" w:color="1A206C" w:themeColor="text2"/>
            </w:tcBorders>
            <w:vAlign w:val="center"/>
            <w:hideMark/>
          </w:tcPr>
          <w:p w14:paraId="418793C7" w14:textId="78D9C898"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630.16</w:t>
            </w:r>
          </w:p>
        </w:tc>
        <w:tc>
          <w:tcPr>
            <w:tcW w:w="625" w:type="pct"/>
            <w:tcBorders>
              <w:top w:val="single" w:sz="12" w:space="0" w:color="1A206C" w:themeColor="text2"/>
            </w:tcBorders>
            <w:vAlign w:val="center"/>
            <w:hideMark/>
          </w:tcPr>
          <w:p w14:paraId="093D0A85" w14:textId="55F157AB"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632.22</w:t>
            </w:r>
          </w:p>
        </w:tc>
        <w:tc>
          <w:tcPr>
            <w:tcW w:w="625" w:type="pct"/>
            <w:tcBorders>
              <w:top w:val="single" w:sz="12" w:space="0" w:color="1A206C" w:themeColor="text2"/>
            </w:tcBorders>
            <w:vAlign w:val="center"/>
            <w:hideMark/>
          </w:tcPr>
          <w:p w14:paraId="05C93FE6" w14:textId="26BD1D0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2,520.90</w:t>
            </w:r>
          </w:p>
        </w:tc>
      </w:tr>
    </w:tbl>
    <w:p w14:paraId="68E2DC05" w14:textId="77777777" w:rsidR="00C704F8" w:rsidRPr="00C704F8" w:rsidRDefault="00C704F8" w:rsidP="00C704F8">
      <w:r w:rsidRPr="00C704F8">
        <w:t xml:space="preserve">The three components – baseline forecast (including growth and efficiency forecast), step changes and non-controllable operating expenditure – are discussed below. </w:t>
      </w:r>
    </w:p>
    <w:p w14:paraId="621F953D" w14:textId="77777777" w:rsidR="00C704F8" w:rsidRPr="00C704F8" w:rsidRDefault="00C704F8" w:rsidP="00BC3152">
      <w:pPr>
        <w:pStyle w:val="H2xappendixlevel3H"/>
      </w:pPr>
      <w:r w:rsidRPr="00C704F8">
        <w:t>Base year operating expenditure</w:t>
      </w:r>
    </w:p>
    <w:p w14:paraId="70AD34CD" w14:textId="77777777" w:rsidR="00C704F8" w:rsidRPr="00C704F8" w:rsidRDefault="00C704F8" w:rsidP="00C704F8">
      <w:r w:rsidRPr="00C704F8">
        <w:t xml:space="preserve">In 2022-23, GWW’s total operating expenditure was $670.3 million. This total includes non-controllable expenditure, non-prescribed operating expenditure, revenue offsets and operating expenditure that is proposed to be capitalised under the regulatory framework. </w:t>
      </w:r>
    </w:p>
    <w:p w14:paraId="3FCF8F0A" w14:textId="7C13AF69" w:rsidR="00C704F8" w:rsidRPr="00C704F8" w:rsidRDefault="00C704F8" w:rsidP="00C704F8">
      <w:r w:rsidRPr="00C704F8">
        <w:t xml:space="preserve">To establish our base year expenditure, we are proposing a total adjustment of $461.5 million (as itemised in </w:t>
      </w:r>
      <w:r w:rsidR="006E117F">
        <w:fldChar w:fldCharType="begin"/>
      </w:r>
      <w:r w:rsidR="006E117F">
        <w:instrText xml:space="preserve"> REF _Ref146030259 \h </w:instrText>
      </w:r>
      <w:r w:rsidR="006E117F">
        <w:fldChar w:fldCharType="separate"/>
      </w:r>
      <w:r w:rsidR="003B42C6" w:rsidRPr="00475653">
        <w:rPr>
          <w:b/>
          <w:bCs/>
        </w:rPr>
        <w:t xml:space="preserve">Table </w:t>
      </w:r>
      <w:r w:rsidR="003B42C6">
        <w:rPr>
          <w:b/>
          <w:bCs/>
          <w:noProof/>
        </w:rPr>
        <w:t>78</w:t>
      </w:r>
      <w:r w:rsidR="006E117F">
        <w:fldChar w:fldCharType="end"/>
      </w:r>
      <w:r w:rsidRPr="00C704F8">
        <w:t xml:space="preserve">). Once accounting for these adjustments, the total prescribed, controllable operating expenditure for the base year is $209.6 million. </w:t>
      </w:r>
    </w:p>
    <w:p w14:paraId="18AF4222" w14:textId="5BE74862" w:rsidR="00C704F8" w:rsidRPr="00C704F8" w:rsidRDefault="00C704F8" w:rsidP="007749B1">
      <w:pPr>
        <w:pStyle w:val="Caption"/>
      </w:pPr>
      <w:bookmarkStart w:id="415" w:name="_Ref146030259"/>
      <w:r w:rsidRPr="00475653">
        <w:rPr>
          <w:b/>
          <w:bCs/>
        </w:rPr>
        <w:t xml:space="preserve">Table </w:t>
      </w:r>
      <w:r w:rsidR="001F7221" w:rsidRPr="00475653">
        <w:rPr>
          <w:b/>
          <w:bCs/>
        </w:rPr>
        <w:fldChar w:fldCharType="begin"/>
      </w:r>
      <w:r w:rsidR="001F7221" w:rsidRPr="00475653">
        <w:rPr>
          <w:b/>
          <w:bCs/>
        </w:rPr>
        <w:instrText xml:space="preserve"> SEQ Table \* ARABIC </w:instrText>
      </w:r>
      <w:r w:rsidR="001F7221" w:rsidRPr="00475653">
        <w:rPr>
          <w:b/>
          <w:bCs/>
        </w:rPr>
        <w:fldChar w:fldCharType="separate"/>
      </w:r>
      <w:r w:rsidR="003B42C6">
        <w:rPr>
          <w:b/>
          <w:bCs/>
          <w:noProof/>
        </w:rPr>
        <w:t>78</w:t>
      </w:r>
      <w:r w:rsidR="001F7221" w:rsidRPr="00475653">
        <w:rPr>
          <w:b/>
          <w:bCs/>
          <w:noProof/>
        </w:rPr>
        <w:fldChar w:fldCharType="end"/>
      </w:r>
      <w:bookmarkEnd w:id="415"/>
      <w:r w:rsidR="0090294E">
        <w:t xml:space="preserve"> </w:t>
      </w:r>
      <w:r w:rsidRPr="00C704F8">
        <w:t xml:space="preserve">Base year </w:t>
      </w:r>
      <w:proofErr w:type="spellStart"/>
      <w:r w:rsidRPr="00C704F8">
        <w:t>opex</w:t>
      </w:r>
      <w:proofErr w:type="spellEnd"/>
      <w:r w:rsidRPr="00C704F8">
        <w:t xml:space="preserve"> ($million, 2023-24)</w:t>
      </w:r>
    </w:p>
    <w:tbl>
      <w:tblPr>
        <w:tblStyle w:val="GWWDefaulttable"/>
        <w:tblW w:w="0" w:type="auto"/>
        <w:tblLook w:val="04A0" w:firstRow="1" w:lastRow="0" w:firstColumn="1" w:lastColumn="0" w:noHBand="0" w:noVBand="1"/>
      </w:tblPr>
      <w:tblGrid>
        <w:gridCol w:w="2478"/>
        <w:gridCol w:w="5886"/>
        <w:gridCol w:w="1274"/>
      </w:tblGrid>
      <w:tr w:rsidR="007749B1" w:rsidRPr="007749B1" w14:paraId="6022538F" w14:textId="77777777" w:rsidTr="00F673D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1688E17B" w14:textId="77777777" w:rsidR="00C704F8" w:rsidRPr="007749B1" w:rsidRDefault="00C704F8" w:rsidP="007749B1">
            <w:r w:rsidRPr="007749B1">
              <w:t>Category</w:t>
            </w:r>
          </w:p>
        </w:tc>
        <w:tc>
          <w:tcPr>
            <w:tcW w:w="5886" w:type="dxa"/>
            <w:hideMark/>
          </w:tcPr>
          <w:p w14:paraId="1C3ED7F8" w14:textId="77777777" w:rsidR="00C704F8" w:rsidRPr="007749B1" w:rsidRDefault="00C704F8" w:rsidP="007749B1">
            <w:pPr>
              <w:cnfStyle w:val="100000000000" w:firstRow="1" w:lastRow="0" w:firstColumn="0" w:lastColumn="0" w:oddVBand="0" w:evenVBand="0" w:oddHBand="0" w:evenHBand="0" w:firstRowFirstColumn="0" w:firstRowLastColumn="0" w:lastRowFirstColumn="0" w:lastRowLastColumn="0"/>
            </w:pPr>
            <w:r w:rsidRPr="007749B1">
              <w:t>Item</w:t>
            </w:r>
          </w:p>
        </w:tc>
        <w:tc>
          <w:tcPr>
            <w:tcW w:w="1274" w:type="dxa"/>
            <w:hideMark/>
          </w:tcPr>
          <w:p w14:paraId="31F005FC" w14:textId="77777777" w:rsidR="00C704F8" w:rsidRPr="007749B1" w:rsidRDefault="00C704F8" w:rsidP="00AD13BF">
            <w:pPr>
              <w:jc w:val="right"/>
              <w:cnfStyle w:val="100000000000" w:firstRow="1" w:lastRow="0" w:firstColumn="0" w:lastColumn="0" w:oddVBand="0" w:evenVBand="0" w:oddHBand="0" w:evenHBand="0" w:firstRowFirstColumn="0" w:firstRowLastColumn="0" w:lastRowFirstColumn="0" w:lastRowLastColumn="0"/>
            </w:pPr>
            <w:r w:rsidRPr="007749B1">
              <w:t>2022-23</w:t>
            </w:r>
          </w:p>
        </w:tc>
      </w:tr>
      <w:tr w:rsidR="007749B1" w:rsidRPr="007749B1" w14:paraId="1FF792F2" w14:textId="77777777" w:rsidTr="00F673D6">
        <w:trPr>
          <w:trHeight w:val="26"/>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1FEC8BF0" w14:textId="77777777" w:rsidR="00C704F8" w:rsidRPr="0017211C" w:rsidRDefault="00C704F8" w:rsidP="007749B1">
            <w:proofErr w:type="spellStart"/>
            <w:r w:rsidRPr="0017211C">
              <w:t>Opex</w:t>
            </w:r>
            <w:proofErr w:type="spellEnd"/>
            <w:r w:rsidRPr="0017211C">
              <w:t xml:space="preserve"> as per statutory accounts </w:t>
            </w:r>
          </w:p>
        </w:tc>
        <w:tc>
          <w:tcPr>
            <w:tcW w:w="1274" w:type="dxa"/>
            <w:shd w:val="clear" w:color="auto" w:fill="F4F0EE" w:themeFill="background2"/>
            <w:hideMark/>
          </w:tcPr>
          <w:p w14:paraId="50C13ABF"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AD13BF">
              <w:rPr>
                <w:b/>
                <w:bCs/>
              </w:rPr>
              <w:t>670.26</w:t>
            </w:r>
          </w:p>
        </w:tc>
      </w:tr>
      <w:tr w:rsidR="00C704F8" w:rsidRPr="007749B1" w14:paraId="7167F60E"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7CD146B" w14:textId="77777777" w:rsidR="00C704F8" w:rsidRPr="00AD13BF" w:rsidRDefault="00C704F8" w:rsidP="007749B1">
            <w:pPr>
              <w:rPr>
                <w:b w:val="0"/>
                <w:bCs/>
              </w:rPr>
            </w:pPr>
            <w:r w:rsidRPr="00AD13BF">
              <w:rPr>
                <w:b w:val="0"/>
                <w:bCs/>
              </w:rPr>
              <w:t>Re</w:t>
            </w:r>
            <w:r w:rsidRPr="00AD13BF">
              <w:rPr>
                <w:b w:val="0"/>
                <w:bCs/>
                <w:color w:val="1A206C"/>
              </w:rPr>
              <w:t>gula</w:t>
            </w:r>
            <w:r w:rsidRPr="00AD13BF">
              <w:rPr>
                <w:b w:val="0"/>
                <w:bCs/>
              </w:rPr>
              <w:t>tory capitalisation</w:t>
            </w:r>
          </w:p>
        </w:tc>
        <w:tc>
          <w:tcPr>
            <w:tcW w:w="5886" w:type="dxa"/>
            <w:hideMark/>
          </w:tcPr>
          <w:p w14:paraId="11954A28"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Billing and collections and other SaaS programs</w:t>
            </w:r>
          </w:p>
        </w:tc>
        <w:tc>
          <w:tcPr>
            <w:tcW w:w="1274" w:type="dxa"/>
            <w:hideMark/>
          </w:tcPr>
          <w:p w14:paraId="274A889F"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-38.56</w:t>
            </w:r>
          </w:p>
        </w:tc>
      </w:tr>
      <w:tr w:rsidR="007749B1" w:rsidRPr="007749B1" w14:paraId="0F0322F9"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C575D10" w14:textId="77777777" w:rsidR="00C704F8" w:rsidRPr="007749B1" w:rsidRDefault="00C704F8" w:rsidP="007749B1"/>
        </w:tc>
        <w:tc>
          <w:tcPr>
            <w:tcW w:w="5886" w:type="dxa"/>
            <w:hideMark/>
          </w:tcPr>
          <w:p w14:paraId="7E9A10E4"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Capital delivery uplift (ADOR)</w:t>
            </w:r>
          </w:p>
        </w:tc>
        <w:tc>
          <w:tcPr>
            <w:tcW w:w="1274" w:type="dxa"/>
            <w:hideMark/>
          </w:tcPr>
          <w:p w14:paraId="7786F21C"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-2.82</w:t>
            </w:r>
          </w:p>
        </w:tc>
      </w:tr>
      <w:tr w:rsidR="007749B1" w:rsidRPr="007749B1" w14:paraId="28DF71C0"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661553F" w14:textId="77777777" w:rsidR="00C704F8" w:rsidRPr="007749B1" w:rsidRDefault="00C704F8" w:rsidP="007749B1">
            <w:pPr>
              <w:rPr>
                <w:b w:val="0"/>
                <w:bCs/>
              </w:rPr>
            </w:pPr>
            <w:r w:rsidRPr="007749B1">
              <w:rPr>
                <w:b w:val="0"/>
                <w:bCs/>
              </w:rPr>
              <w:t xml:space="preserve">Non-prescribed </w:t>
            </w:r>
            <w:proofErr w:type="spellStart"/>
            <w:r w:rsidRPr="007749B1">
              <w:rPr>
                <w:b w:val="0"/>
                <w:bCs/>
              </w:rPr>
              <w:t>opex</w:t>
            </w:r>
            <w:proofErr w:type="spellEnd"/>
          </w:p>
        </w:tc>
        <w:tc>
          <w:tcPr>
            <w:tcW w:w="5886" w:type="dxa"/>
            <w:hideMark/>
          </w:tcPr>
          <w:p w14:paraId="5F0FFA7F"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Operating expenditure for third party invoicing</w:t>
            </w:r>
          </w:p>
        </w:tc>
        <w:tc>
          <w:tcPr>
            <w:tcW w:w="1274" w:type="dxa"/>
            <w:hideMark/>
          </w:tcPr>
          <w:p w14:paraId="0309C537"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-5.32</w:t>
            </w:r>
          </w:p>
        </w:tc>
      </w:tr>
      <w:tr w:rsidR="007749B1" w:rsidRPr="007749B1" w14:paraId="65C0445D" w14:textId="77777777" w:rsidTr="00F673D6">
        <w:trPr>
          <w:trHeight w:val="67"/>
        </w:trPr>
        <w:tc>
          <w:tcPr>
            <w:cnfStyle w:val="001000000000" w:firstRow="0" w:lastRow="0" w:firstColumn="1" w:lastColumn="0" w:oddVBand="0" w:evenVBand="0" w:oddHBand="0" w:evenHBand="0" w:firstRowFirstColumn="0" w:firstRowLastColumn="0" w:lastRowFirstColumn="0" w:lastRowLastColumn="0"/>
            <w:tcW w:w="0" w:type="auto"/>
            <w:hideMark/>
          </w:tcPr>
          <w:p w14:paraId="1F1B9105" w14:textId="77777777" w:rsidR="00C704F8" w:rsidRPr="007749B1" w:rsidRDefault="00C704F8" w:rsidP="007749B1">
            <w:pPr>
              <w:rPr>
                <w:b w:val="0"/>
                <w:bCs/>
              </w:rPr>
            </w:pPr>
            <w:r w:rsidRPr="007749B1">
              <w:rPr>
                <w:b w:val="0"/>
                <w:bCs/>
              </w:rPr>
              <w:t>Bad debt</w:t>
            </w:r>
          </w:p>
        </w:tc>
        <w:tc>
          <w:tcPr>
            <w:tcW w:w="5886" w:type="dxa"/>
            <w:hideMark/>
          </w:tcPr>
          <w:p w14:paraId="7F97351E"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Revenue offset of bad debt</w:t>
            </w:r>
          </w:p>
        </w:tc>
        <w:tc>
          <w:tcPr>
            <w:tcW w:w="1274" w:type="dxa"/>
            <w:hideMark/>
          </w:tcPr>
          <w:p w14:paraId="66DDCAF7"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-4.93</w:t>
            </w:r>
          </w:p>
        </w:tc>
      </w:tr>
      <w:tr w:rsidR="007749B1" w:rsidRPr="007749B1" w14:paraId="1F51CA8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C0B8D70" w14:textId="77777777" w:rsidR="00C704F8" w:rsidRPr="007749B1" w:rsidRDefault="00C704F8" w:rsidP="007749B1">
            <w:pPr>
              <w:rPr>
                <w:b w:val="0"/>
                <w:bCs/>
              </w:rPr>
            </w:pPr>
            <w:r w:rsidRPr="007749B1">
              <w:rPr>
                <w:b w:val="0"/>
                <w:bCs/>
              </w:rPr>
              <w:t>Regulatory adjustment</w:t>
            </w:r>
          </w:p>
        </w:tc>
        <w:tc>
          <w:tcPr>
            <w:tcW w:w="5886" w:type="dxa"/>
            <w:hideMark/>
          </w:tcPr>
          <w:p w14:paraId="023DB983"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Operating leases</w:t>
            </w:r>
          </w:p>
        </w:tc>
        <w:tc>
          <w:tcPr>
            <w:tcW w:w="1274" w:type="dxa"/>
            <w:hideMark/>
          </w:tcPr>
          <w:p w14:paraId="1502966F"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6.08</w:t>
            </w:r>
          </w:p>
        </w:tc>
      </w:tr>
      <w:tr w:rsidR="00C704F8" w:rsidRPr="007749B1" w14:paraId="33AFA9E5" w14:textId="77777777" w:rsidTr="00F673D6">
        <w:trPr>
          <w:trHeight w:val="285"/>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1FD2D830" w14:textId="77777777" w:rsidR="00C704F8" w:rsidRPr="007749B1" w:rsidRDefault="00C704F8" w:rsidP="007749B1">
            <w:proofErr w:type="spellStart"/>
            <w:r w:rsidRPr="007749B1">
              <w:t>Opex</w:t>
            </w:r>
            <w:proofErr w:type="spellEnd"/>
            <w:r w:rsidRPr="007749B1">
              <w:t xml:space="preserve"> as per regulatory accounts</w:t>
            </w:r>
          </w:p>
        </w:tc>
        <w:tc>
          <w:tcPr>
            <w:tcW w:w="1274" w:type="dxa"/>
            <w:shd w:val="clear" w:color="auto" w:fill="F4F0EE" w:themeFill="background2"/>
            <w:hideMark/>
          </w:tcPr>
          <w:p w14:paraId="76BC5FAF" w14:textId="77777777" w:rsidR="00C704F8" w:rsidRPr="00E47F4A"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E47F4A">
              <w:rPr>
                <w:b/>
                <w:bCs/>
              </w:rPr>
              <w:t>624.71</w:t>
            </w:r>
          </w:p>
        </w:tc>
      </w:tr>
      <w:tr w:rsidR="007749B1" w:rsidRPr="007749B1" w14:paraId="291F8D1F" w14:textId="77777777" w:rsidTr="00F673D6">
        <w:trPr>
          <w:trHeight w:val="21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51590A0" w14:textId="77777777" w:rsidR="00C704F8" w:rsidRPr="007749B1" w:rsidRDefault="00C704F8" w:rsidP="007749B1">
            <w:pPr>
              <w:rPr>
                <w:b w:val="0"/>
                <w:bCs/>
              </w:rPr>
            </w:pPr>
            <w:r w:rsidRPr="007749B1">
              <w:rPr>
                <w:b w:val="0"/>
                <w:bCs/>
              </w:rPr>
              <w:t>Non-controllable</w:t>
            </w:r>
          </w:p>
        </w:tc>
        <w:tc>
          <w:tcPr>
            <w:tcW w:w="5886" w:type="dxa"/>
            <w:hideMark/>
          </w:tcPr>
          <w:p w14:paraId="575A538B"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All bulk charges paid in 2022-23</w:t>
            </w:r>
          </w:p>
        </w:tc>
        <w:tc>
          <w:tcPr>
            <w:tcW w:w="1274" w:type="dxa"/>
            <w:hideMark/>
          </w:tcPr>
          <w:p w14:paraId="3F43DA6E"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-372.03</w:t>
            </w:r>
          </w:p>
        </w:tc>
      </w:tr>
      <w:tr w:rsidR="007749B1" w:rsidRPr="007749B1" w14:paraId="51716342"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75ABF7" w14:textId="77777777" w:rsidR="00C704F8" w:rsidRPr="007749B1" w:rsidRDefault="00C704F8" w:rsidP="007749B1"/>
        </w:tc>
        <w:tc>
          <w:tcPr>
            <w:tcW w:w="5886" w:type="dxa"/>
            <w:hideMark/>
          </w:tcPr>
          <w:p w14:paraId="4F52E411"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Licence fees and ECL</w:t>
            </w:r>
          </w:p>
        </w:tc>
        <w:tc>
          <w:tcPr>
            <w:tcW w:w="1274" w:type="dxa"/>
            <w:hideMark/>
          </w:tcPr>
          <w:p w14:paraId="3A044900"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-37.18</w:t>
            </w:r>
          </w:p>
        </w:tc>
      </w:tr>
      <w:tr w:rsidR="00C704F8" w:rsidRPr="007749B1" w14:paraId="014789C4" w14:textId="77777777" w:rsidTr="00F673D6">
        <w:trPr>
          <w:trHeight w:val="285"/>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05F9C827" w14:textId="77777777" w:rsidR="00C704F8" w:rsidRPr="00AD13BF" w:rsidRDefault="00C704F8" w:rsidP="007749B1">
            <w:r w:rsidRPr="00AD13BF">
              <w:lastRenderedPageBreak/>
              <w:t xml:space="preserve">Controllable </w:t>
            </w:r>
            <w:proofErr w:type="spellStart"/>
            <w:r w:rsidRPr="00AD13BF">
              <w:t>opex</w:t>
            </w:r>
            <w:proofErr w:type="spellEnd"/>
          </w:p>
        </w:tc>
        <w:tc>
          <w:tcPr>
            <w:tcW w:w="1274" w:type="dxa"/>
            <w:shd w:val="clear" w:color="auto" w:fill="F4F0EE" w:themeFill="background2"/>
            <w:hideMark/>
          </w:tcPr>
          <w:p w14:paraId="5A80263B"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rPr>
            </w:pPr>
            <w:r w:rsidRPr="00AD13BF">
              <w:rPr>
                <w:b/>
              </w:rPr>
              <w:t>215.49</w:t>
            </w:r>
          </w:p>
        </w:tc>
      </w:tr>
      <w:tr w:rsidR="007749B1" w:rsidRPr="007749B1" w14:paraId="2D57649E"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07CDFFF" w14:textId="77777777" w:rsidR="00C704F8" w:rsidRPr="00AD13BF" w:rsidRDefault="00C704F8" w:rsidP="007749B1">
            <w:pPr>
              <w:rPr>
                <w:b w:val="0"/>
                <w:bCs/>
              </w:rPr>
            </w:pPr>
            <w:r w:rsidRPr="00AD13BF">
              <w:rPr>
                <w:b w:val="0"/>
                <w:bCs/>
              </w:rPr>
              <w:t>Non-recurrent expenditure</w:t>
            </w:r>
          </w:p>
        </w:tc>
        <w:tc>
          <w:tcPr>
            <w:tcW w:w="5886" w:type="dxa"/>
            <w:hideMark/>
          </w:tcPr>
          <w:p w14:paraId="41AA1187"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One-off integration expenses</w:t>
            </w:r>
          </w:p>
        </w:tc>
        <w:tc>
          <w:tcPr>
            <w:tcW w:w="1274" w:type="dxa"/>
            <w:hideMark/>
          </w:tcPr>
          <w:p w14:paraId="346F4FDB"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-2.87</w:t>
            </w:r>
          </w:p>
        </w:tc>
      </w:tr>
      <w:tr w:rsidR="007749B1" w:rsidRPr="007749B1" w14:paraId="01893D9A"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BBD5FF" w14:textId="77777777" w:rsidR="00C704F8" w:rsidRPr="007749B1" w:rsidRDefault="00C704F8" w:rsidP="007749B1"/>
        </w:tc>
        <w:tc>
          <w:tcPr>
            <w:tcW w:w="5886" w:type="dxa"/>
            <w:hideMark/>
          </w:tcPr>
          <w:p w14:paraId="1D0D4DE3" w14:textId="493DF683"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Preparation of the </w:t>
            </w:r>
            <w:r w:rsidR="0057266D">
              <w:t>price submission</w:t>
            </w:r>
          </w:p>
        </w:tc>
        <w:tc>
          <w:tcPr>
            <w:tcW w:w="1274" w:type="dxa"/>
            <w:hideMark/>
          </w:tcPr>
          <w:p w14:paraId="2271C46D"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-1.09</w:t>
            </w:r>
          </w:p>
        </w:tc>
      </w:tr>
      <w:tr w:rsidR="007749B1" w:rsidRPr="007749B1" w14:paraId="3CF0EFFB"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0CF2AC" w14:textId="77777777" w:rsidR="00C704F8" w:rsidRPr="007749B1" w:rsidRDefault="00C704F8" w:rsidP="007749B1"/>
        </w:tc>
        <w:tc>
          <w:tcPr>
            <w:tcW w:w="5886" w:type="dxa"/>
            <w:hideMark/>
          </w:tcPr>
          <w:p w14:paraId="50C66D07"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Meter services contract review</w:t>
            </w:r>
          </w:p>
        </w:tc>
        <w:tc>
          <w:tcPr>
            <w:tcW w:w="1274" w:type="dxa"/>
            <w:hideMark/>
          </w:tcPr>
          <w:p w14:paraId="675181E4"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-0.52</w:t>
            </w:r>
          </w:p>
        </w:tc>
      </w:tr>
      <w:tr w:rsidR="007749B1" w:rsidRPr="007749B1" w14:paraId="50A91EC7"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2333619" w14:textId="77777777" w:rsidR="00C704F8" w:rsidRPr="007749B1" w:rsidRDefault="00C704F8" w:rsidP="007749B1"/>
        </w:tc>
        <w:tc>
          <w:tcPr>
            <w:tcW w:w="5886" w:type="dxa"/>
            <w:hideMark/>
          </w:tcPr>
          <w:p w14:paraId="01AEFC42"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Labour cost adjustment </w:t>
            </w:r>
          </w:p>
        </w:tc>
        <w:tc>
          <w:tcPr>
            <w:tcW w:w="1274" w:type="dxa"/>
            <w:hideMark/>
          </w:tcPr>
          <w:p w14:paraId="311012AC"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-0.08</w:t>
            </w:r>
          </w:p>
        </w:tc>
      </w:tr>
      <w:tr w:rsidR="007749B1" w:rsidRPr="007749B1" w14:paraId="608D6D2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0EA9BD" w14:textId="77777777" w:rsidR="00C704F8" w:rsidRPr="007749B1" w:rsidRDefault="00C704F8" w:rsidP="007749B1"/>
        </w:tc>
        <w:tc>
          <w:tcPr>
            <w:tcW w:w="5886" w:type="dxa"/>
            <w:hideMark/>
          </w:tcPr>
          <w:p w14:paraId="64926B49"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Greater Melbourne Urban Water &amp; System Strategy (GMUWSS) finalisation</w:t>
            </w:r>
          </w:p>
        </w:tc>
        <w:tc>
          <w:tcPr>
            <w:tcW w:w="1274" w:type="dxa"/>
            <w:hideMark/>
          </w:tcPr>
          <w:p w14:paraId="602AAF21"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-0.10</w:t>
            </w:r>
          </w:p>
        </w:tc>
      </w:tr>
      <w:tr w:rsidR="007749B1" w:rsidRPr="007749B1" w14:paraId="6B66B540"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A0C3FD" w14:textId="77777777" w:rsidR="00C704F8" w:rsidRPr="007749B1" w:rsidRDefault="00C704F8" w:rsidP="007749B1"/>
        </w:tc>
        <w:tc>
          <w:tcPr>
            <w:tcW w:w="5886" w:type="dxa"/>
            <w:hideMark/>
          </w:tcPr>
          <w:p w14:paraId="2E8B8672"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GSLs removal as we propose to absorb the costs </w:t>
            </w:r>
          </w:p>
        </w:tc>
        <w:tc>
          <w:tcPr>
            <w:tcW w:w="1274" w:type="dxa"/>
            <w:hideMark/>
          </w:tcPr>
          <w:p w14:paraId="39B18C78"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-0.38</w:t>
            </w:r>
          </w:p>
        </w:tc>
      </w:tr>
      <w:tr w:rsidR="007749B1" w:rsidRPr="007749B1" w14:paraId="2E402508"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5E445A66" w14:textId="77777777" w:rsidR="00C704F8" w:rsidRPr="007749B1" w:rsidRDefault="00C704F8" w:rsidP="007749B1"/>
        </w:tc>
        <w:tc>
          <w:tcPr>
            <w:tcW w:w="5886" w:type="dxa"/>
            <w:hideMark/>
          </w:tcPr>
          <w:p w14:paraId="7F4CE885"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Abnormal expenses (redundancy)</w:t>
            </w:r>
          </w:p>
        </w:tc>
        <w:tc>
          <w:tcPr>
            <w:tcW w:w="1274" w:type="dxa"/>
            <w:hideMark/>
          </w:tcPr>
          <w:p w14:paraId="448144FB"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-0.83</w:t>
            </w:r>
          </w:p>
        </w:tc>
      </w:tr>
      <w:tr w:rsidR="00C704F8" w:rsidRPr="00AD13BF" w14:paraId="1523B29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6DD96132" w14:textId="77777777" w:rsidR="00C704F8" w:rsidRPr="007749B1" w:rsidRDefault="00C704F8" w:rsidP="007749B1">
            <w:r w:rsidRPr="007749B1">
              <w:t xml:space="preserve">Adjusted baseline controllable </w:t>
            </w:r>
            <w:proofErr w:type="spellStart"/>
            <w:r w:rsidRPr="007749B1">
              <w:t>opex</w:t>
            </w:r>
            <w:proofErr w:type="spellEnd"/>
          </w:p>
        </w:tc>
        <w:tc>
          <w:tcPr>
            <w:tcW w:w="1274" w:type="dxa"/>
            <w:shd w:val="clear" w:color="auto" w:fill="F4F0EE" w:themeFill="background2"/>
            <w:hideMark/>
          </w:tcPr>
          <w:p w14:paraId="4772AB55"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AD13BF">
              <w:rPr>
                <w:b/>
                <w:bCs/>
              </w:rPr>
              <w:t>209.63</w:t>
            </w:r>
          </w:p>
        </w:tc>
      </w:tr>
    </w:tbl>
    <w:p w14:paraId="1262145D" w14:textId="77777777" w:rsidR="00E47F4A" w:rsidRPr="00C704F8" w:rsidRDefault="00E47F4A" w:rsidP="007749B1"/>
    <w:p w14:paraId="60C1B2EF" w14:textId="77777777" w:rsidR="00C704F8" w:rsidRPr="00C704F8" w:rsidRDefault="00C704F8" w:rsidP="0017211C">
      <w:pPr>
        <w:pStyle w:val="Heading4-nonumber"/>
      </w:pPr>
      <w:bookmarkStart w:id="416" w:name="_Ref144473052"/>
      <w:r w:rsidRPr="00C704F8">
        <w:t>Efficiency of the base year</w:t>
      </w:r>
      <w:bookmarkEnd w:id="416"/>
    </w:p>
    <w:p w14:paraId="01FA5FAF" w14:textId="77777777" w:rsidR="00C704F8" w:rsidRPr="00C704F8" w:rsidRDefault="00C704F8" w:rsidP="00C704F8">
      <w:r w:rsidRPr="00C704F8">
        <w:t>Our adjusted base year is higher than the 2018 and 2020 determinations. GWW has removed non-recurrent operating expenditures. Over the regulatory period, we have sought to offset cost impacts through an increased focus on expenditure. Examples of this include:</w:t>
      </w:r>
    </w:p>
    <w:p w14:paraId="7D355C6A" w14:textId="77777777" w:rsidR="00C704F8" w:rsidRPr="00C704F8" w:rsidRDefault="00C704F8" w:rsidP="0017211C">
      <w:pPr>
        <w:pStyle w:val="ListBullet"/>
      </w:pPr>
      <w:r w:rsidRPr="00C704F8">
        <w:t xml:space="preserve">Annual corporate planning process: During the annual corporate planning process we complete a risk assessment and priority review of operating expenditure. This ensures that operating expenditure is spent on the right activities at the right time. </w:t>
      </w:r>
    </w:p>
    <w:p w14:paraId="03275649" w14:textId="77777777" w:rsidR="00C704F8" w:rsidRPr="00C704F8" w:rsidRDefault="00C704F8" w:rsidP="0017211C">
      <w:pPr>
        <w:pStyle w:val="ListBullet"/>
      </w:pPr>
      <w:r w:rsidRPr="00C704F8">
        <w:t xml:space="preserve">Licence fee rationalisation: We frequently review our licence fee requirements, both if the software is still required and if it is still required by its users. This has enabled us to ensure that licence fees are only purchased and maintained for active users. </w:t>
      </w:r>
    </w:p>
    <w:p w14:paraId="1725D7CF" w14:textId="796B0793" w:rsidR="00C704F8" w:rsidRPr="00C704F8" w:rsidRDefault="00C704F8" w:rsidP="0017211C">
      <w:pPr>
        <w:pStyle w:val="ListBullet"/>
      </w:pPr>
      <w:r w:rsidRPr="00C704F8">
        <w:t xml:space="preserve">State Purchasing Contract: </w:t>
      </w:r>
      <w:r w:rsidR="00F114FF">
        <w:t>GWW</w:t>
      </w:r>
      <w:r w:rsidRPr="00C704F8">
        <w:t xml:space="preserve"> uses the State Purchasing Contract for </w:t>
      </w:r>
      <w:proofErr w:type="gramStart"/>
      <w:r w:rsidRPr="00C704F8">
        <w:t>a number of</w:t>
      </w:r>
      <w:proofErr w:type="gramEnd"/>
      <w:r w:rsidRPr="00C704F8">
        <w:t xml:space="preserve"> external services, including professional advisory, energy and several IT products and services. </w:t>
      </w:r>
    </w:p>
    <w:p w14:paraId="21D4D6E7" w14:textId="77777777" w:rsidR="00C704F8" w:rsidRPr="00C704F8" w:rsidRDefault="00C704F8" w:rsidP="0017211C">
      <w:pPr>
        <w:pStyle w:val="ListBullet"/>
      </w:pPr>
      <w:r w:rsidRPr="00C704F8">
        <w:t>Workforce Resource Identification Planning committee: To ensure that our labour costs remain prudent and efficient, we review every vacant position and new position proposed in wholistically across the business before it can be recruited for. This ensures that the benefit of duplicate roles is captured, positions are fully justified, staff can be redeployed, and that any new positions fit into our workforce plan.</w:t>
      </w:r>
    </w:p>
    <w:p w14:paraId="7D4516F5" w14:textId="77777777" w:rsidR="00C704F8" w:rsidRPr="00C704F8" w:rsidRDefault="00C704F8" w:rsidP="00C704F8">
      <w:r w:rsidRPr="00C704F8">
        <w:t xml:space="preserve">We note that the typical application of benchmarks to establish the efficiency of the base year is not possible. We are still optimising organisational structure, systems and </w:t>
      </w:r>
      <w:r w:rsidRPr="00C704F8">
        <w:lastRenderedPageBreak/>
        <w:t xml:space="preserve">processes and there are no comparable water businesses with similar services and operating environment who are undergoing similar structural reform to allow for meaningful like for like benchmarking. </w:t>
      </w:r>
    </w:p>
    <w:p w14:paraId="5E8EBA4D" w14:textId="1217B466" w:rsidR="00C704F8" w:rsidRPr="00C704F8" w:rsidRDefault="00C704F8" w:rsidP="00C704F8">
      <w:r w:rsidRPr="00C704F8">
        <w:t>Where possible, we have used benchmarks to identify where GWW will be in the future.</w:t>
      </w:r>
    </w:p>
    <w:p w14:paraId="248DFB35" w14:textId="77777777" w:rsidR="00C704F8" w:rsidRPr="00C704F8" w:rsidRDefault="00C704F8" w:rsidP="00B04C5B">
      <w:pPr>
        <w:pStyle w:val="Heading5"/>
      </w:pPr>
      <w:r w:rsidRPr="00C704F8">
        <w:t>Integration efficiencies in the base year</w:t>
      </w:r>
    </w:p>
    <w:p w14:paraId="75EAF4EB" w14:textId="09CC5ECB" w:rsidR="00C704F8" w:rsidRPr="00C704F8" w:rsidRDefault="00C704F8" w:rsidP="00C704F8">
      <w:r w:rsidRPr="00C704F8">
        <w:t>Our base year includes $4.1 million of our ongoing costs ($</w:t>
      </w:r>
      <w:r w:rsidR="00FC2171">
        <w:t>7</w:t>
      </w:r>
      <w:r w:rsidR="00C12005">
        <w:t>.</w:t>
      </w:r>
      <w:r w:rsidR="00E20247">
        <w:t>0</w:t>
      </w:r>
      <w:r w:rsidR="00C12005">
        <w:t xml:space="preserve"> </w:t>
      </w:r>
      <w:r w:rsidRPr="00C704F8">
        <w:t xml:space="preserve">million </w:t>
      </w:r>
      <w:r w:rsidR="00FC2171">
        <w:t>less</w:t>
      </w:r>
      <w:r w:rsidRPr="00C704F8">
        <w:t xml:space="preserve"> $2.</w:t>
      </w:r>
      <w:r w:rsidR="00E20247">
        <w:t>9</w:t>
      </w:r>
      <w:r w:rsidRPr="00C704F8">
        <w:t xml:space="preserve"> million non-recurrent integration costs) because of consolidation, the largest component is alignment of Enterprise Agreements at a cost of $1.8 million and finance system alignment of $0.8 million.</w:t>
      </w:r>
    </w:p>
    <w:p w14:paraId="51C2E550" w14:textId="005D39C3" w:rsidR="00C704F8" w:rsidRPr="00C704F8" w:rsidRDefault="00C704F8" w:rsidP="00C704F8">
      <w:r w:rsidRPr="00C704F8">
        <w:t>This is mostly offset by efficiencies achieved in 2022-23 that are embedded in the base year. The additional efficiencies beyond this (2023-24 less 2022-23 efficiencies) are included in our efficiency forecast.</w:t>
      </w:r>
    </w:p>
    <w:p w14:paraId="3CE41756" w14:textId="7783ED98" w:rsidR="00C704F8" w:rsidRPr="00C704F8" w:rsidRDefault="00AF3641" w:rsidP="00267EE9">
      <w:pPr>
        <w:pStyle w:val="Caption"/>
      </w:pPr>
      <w:r>
        <w:t xml:space="preserve"> </w:t>
      </w:r>
      <w:bookmarkStart w:id="417" w:name="_Ref146031035"/>
      <w:r w:rsidRPr="00475653">
        <w:rPr>
          <w:b/>
          <w:bCs/>
        </w:rPr>
        <w:t>Table</w:t>
      </w:r>
      <w:r w:rsidR="005D5265" w:rsidRPr="00475653">
        <w:rPr>
          <w:b/>
          <w:bCs/>
        </w:rPr>
        <w:t xml:space="preserve"> </w:t>
      </w:r>
      <w:r w:rsidR="001F7221" w:rsidRPr="00475653">
        <w:rPr>
          <w:b/>
          <w:bCs/>
        </w:rPr>
        <w:fldChar w:fldCharType="begin"/>
      </w:r>
      <w:r w:rsidR="001F7221" w:rsidRPr="00475653">
        <w:rPr>
          <w:b/>
          <w:bCs/>
        </w:rPr>
        <w:instrText xml:space="preserve"> SEQ Table \* ARABIC </w:instrText>
      </w:r>
      <w:r w:rsidR="001F7221" w:rsidRPr="00475653">
        <w:rPr>
          <w:b/>
          <w:bCs/>
        </w:rPr>
        <w:fldChar w:fldCharType="separate"/>
      </w:r>
      <w:r w:rsidR="003B42C6">
        <w:rPr>
          <w:b/>
          <w:bCs/>
          <w:noProof/>
        </w:rPr>
        <w:t>79</w:t>
      </w:r>
      <w:r w:rsidR="001F7221" w:rsidRPr="00475653">
        <w:rPr>
          <w:b/>
          <w:bCs/>
          <w:noProof/>
        </w:rPr>
        <w:fldChar w:fldCharType="end"/>
      </w:r>
      <w:bookmarkEnd w:id="417"/>
      <w:r w:rsidR="00C12005">
        <w:t xml:space="preserve"> </w:t>
      </w:r>
      <w:r w:rsidR="00C704F8" w:rsidRPr="00C704F8">
        <w:t xml:space="preserve">Integration </w:t>
      </w:r>
      <w:proofErr w:type="spellStart"/>
      <w:r w:rsidR="00C704F8" w:rsidRPr="00C704F8">
        <w:t>opex</w:t>
      </w:r>
      <w:proofErr w:type="spellEnd"/>
      <w:r w:rsidR="00C704F8" w:rsidRPr="00C704F8">
        <w:t xml:space="preserve"> and efficiencies ($million, 2023-24)</w:t>
      </w:r>
    </w:p>
    <w:tbl>
      <w:tblPr>
        <w:tblStyle w:val="GWWDefaulttable"/>
        <w:tblW w:w="0" w:type="auto"/>
        <w:tblLayout w:type="fixed"/>
        <w:tblLook w:val="04A0" w:firstRow="1" w:lastRow="0" w:firstColumn="1" w:lastColumn="0" w:noHBand="0" w:noVBand="1"/>
      </w:tblPr>
      <w:tblGrid>
        <w:gridCol w:w="218"/>
        <w:gridCol w:w="218"/>
        <w:gridCol w:w="1691"/>
        <w:gridCol w:w="815"/>
        <w:gridCol w:w="815"/>
        <w:gridCol w:w="815"/>
        <w:gridCol w:w="815"/>
        <w:gridCol w:w="815"/>
        <w:gridCol w:w="815"/>
        <w:gridCol w:w="815"/>
        <w:gridCol w:w="815"/>
        <w:gridCol w:w="991"/>
      </w:tblGrid>
      <w:tr w:rsidR="00C704F8" w:rsidRPr="009B3E7C" w14:paraId="135DE634" w14:textId="77777777" w:rsidTr="009B3E7C">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8" w:type="dxa"/>
          </w:tcPr>
          <w:p w14:paraId="15601FF4" w14:textId="77777777" w:rsidR="00C704F8" w:rsidRPr="00C704F8" w:rsidRDefault="00C704F8" w:rsidP="00C704F8"/>
        </w:tc>
        <w:tc>
          <w:tcPr>
            <w:tcW w:w="218" w:type="dxa"/>
          </w:tcPr>
          <w:p w14:paraId="23B681B9" w14:textId="77777777"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p>
        </w:tc>
        <w:tc>
          <w:tcPr>
            <w:tcW w:w="1691" w:type="dxa"/>
          </w:tcPr>
          <w:p w14:paraId="2B9B64E2" w14:textId="77777777"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p>
        </w:tc>
        <w:tc>
          <w:tcPr>
            <w:tcW w:w="815" w:type="dxa"/>
          </w:tcPr>
          <w:p w14:paraId="037A014E"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2020-21</w:t>
            </w:r>
          </w:p>
        </w:tc>
        <w:tc>
          <w:tcPr>
            <w:tcW w:w="815" w:type="dxa"/>
          </w:tcPr>
          <w:p w14:paraId="7A90C095"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2021-22</w:t>
            </w:r>
          </w:p>
        </w:tc>
        <w:tc>
          <w:tcPr>
            <w:tcW w:w="815" w:type="dxa"/>
          </w:tcPr>
          <w:p w14:paraId="1E391DA0"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2022-23</w:t>
            </w:r>
          </w:p>
        </w:tc>
        <w:tc>
          <w:tcPr>
            <w:tcW w:w="815" w:type="dxa"/>
          </w:tcPr>
          <w:p w14:paraId="10324298"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2023-24</w:t>
            </w:r>
          </w:p>
        </w:tc>
        <w:tc>
          <w:tcPr>
            <w:tcW w:w="815" w:type="dxa"/>
          </w:tcPr>
          <w:p w14:paraId="73316EEC"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2024-25</w:t>
            </w:r>
          </w:p>
        </w:tc>
        <w:tc>
          <w:tcPr>
            <w:tcW w:w="815" w:type="dxa"/>
          </w:tcPr>
          <w:p w14:paraId="4A794C4B"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2025-26</w:t>
            </w:r>
          </w:p>
        </w:tc>
        <w:tc>
          <w:tcPr>
            <w:tcW w:w="815" w:type="dxa"/>
          </w:tcPr>
          <w:p w14:paraId="2A70BD21"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2026-27</w:t>
            </w:r>
          </w:p>
        </w:tc>
        <w:tc>
          <w:tcPr>
            <w:tcW w:w="815" w:type="dxa"/>
          </w:tcPr>
          <w:p w14:paraId="42145356"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2027-28</w:t>
            </w:r>
          </w:p>
        </w:tc>
        <w:tc>
          <w:tcPr>
            <w:tcW w:w="991" w:type="dxa"/>
          </w:tcPr>
          <w:p w14:paraId="20CDD480" w14:textId="5BD5998F" w:rsidR="00C704F8" w:rsidRPr="009B3E7C" w:rsidRDefault="009B3E7C"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10-ye</w:t>
            </w:r>
            <w:r w:rsidRPr="009B3E7C">
              <w:rPr>
                <w:b w:val="0"/>
                <w:szCs w:val="20"/>
              </w:rPr>
              <w:t>ar</w:t>
            </w:r>
            <w:r w:rsidR="00C704F8" w:rsidRPr="009B3E7C">
              <w:rPr>
                <w:rFonts w:asciiTheme="minorHAnsi" w:hAnsiTheme="minorHAnsi"/>
                <w:szCs w:val="20"/>
              </w:rPr>
              <w:t xml:space="preserve"> total</w:t>
            </w:r>
          </w:p>
        </w:tc>
      </w:tr>
      <w:tr w:rsidR="00C704F8" w:rsidRPr="009B3E7C" w14:paraId="557A9B03" w14:textId="77777777" w:rsidTr="00FB1078">
        <w:trPr>
          <w:trHeight w:val="154"/>
        </w:trPr>
        <w:tc>
          <w:tcPr>
            <w:cnfStyle w:val="001000000000" w:firstRow="0" w:lastRow="0" w:firstColumn="1" w:lastColumn="0" w:oddVBand="0" w:evenVBand="0" w:oddHBand="0" w:evenHBand="0" w:firstRowFirstColumn="0" w:firstRowLastColumn="0" w:lastRowFirstColumn="0" w:lastRowLastColumn="0"/>
            <w:tcW w:w="2127" w:type="dxa"/>
            <w:gridSpan w:val="3"/>
          </w:tcPr>
          <w:p w14:paraId="61A0FA17" w14:textId="4B8F8719" w:rsidR="00C704F8" w:rsidRPr="001E6E30" w:rsidRDefault="00C704F8" w:rsidP="00C704F8">
            <w:pPr>
              <w:rPr>
                <w:rFonts w:asciiTheme="minorHAnsi" w:hAnsiTheme="minorHAnsi"/>
                <w:b w:val="0"/>
                <w:szCs w:val="20"/>
              </w:rPr>
            </w:pPr>
            <w:proofErr w:type="spellStart"/>
            <w:r w:rsidRPr="001E6E30">
              <w:rPr>
                <w:rFonts w:asciiTheme="minorHAnsi" w:hAnsiTheme="minorHAnsi"/>
                <w:b w:val="0"/>
                <w:szCs w:val="20"/>
              </w:rPr>
              <w:t>Opex</w:t>
            </w:r>
            <w:proofErr w:type="spellEnd"/>
          </w:p>
        </w:tc>
        <w:tc>
          <w:tcPr>
            <w:tcW w:w="815" w:type="dxa"/>
            <w:vAlign w:val="center"/>
          </w:tcPr>
          <w:p w14:paraId="77A72BE7" w14:textId="2314A3D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4.64</w:t>
            </w:r>
          </w:p>
        </w:tc>
        <w:tc>
          <w:tcPr>
            <w:tcW w:w="815" w:type="dxa"/>
            <w:vAlign w:val="center"/>
          </w:tcPr>
          <w:p w14:paraId="634C3E2B" w14:textId="69DE91D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7.30</w:t>
            </w:r>
          </w:p>
        </w:tc>
        <w:tc>
          <w:tcPr>
            <w:tcW w:w="815" w:type="dxa"/>
            <w:vAlign w:val="center"/>
          </w:tcPr>
          <w:p w14:paraId="7EF9DE32" w14:textId="1A8E1FC1"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6.98</w:t>
            </w:r>
          </w:p>
        </w:tc>
        <w:tc>
          <w:tcPr>
            <w:tcW w:w="815" w:type="dxa"/>
            <w:vAlign w:val="center"/>
          </w:tcPr>
          <w:p w14:paraId="52CE178E" w14:textId="5964F47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476A71EF" w14:textId="11048D9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59A1C560" w14:textId="76B9CC4C"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2E1DCEC4" w14:textId="50DF8103"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4891F557" w14:textId="29651E3E"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991" w:type="dxa"/>
            <w:vAlign w:val="center"/>
          </w:tcPr>
          <w:p w14:paraId="227DF707" w14:textId="2745F54F"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39.44</w:t>
            </w:r>
          </w:p>
        </w:tc>
      </w:tr>
      <w:tr w:rsidR="00C704F8" w:rsidRPr="009B3E7C" w14:paraId="242633CC" w14:textId="77777777" w:rsidTr="00FB1078">
        <w:trPr>
          <w:trHeight w:val="20"/>
        </w:trPr>
        <w:tc>
          <w:tcPr>
            <w:cnfStyle w:val="001000000000" w:firstRow="0" w:lastRow="0" w:firstColumn="1" w:lastColumn="0" w:oddVBand="0" w:evenVBand="0" w:oddHBand="0" w:evenHBand="0" w:firstRowFirstColumn="0" w:firstRowLastColumn="0" w:lastRowFirstColumn="0" w:lastRowLastColumn="0"/>
            <w:tcW w:w="2127" w:type="dxa"/>
            <w:gridSpan w:val="3"/>
          </w:tcPr>
          <w:p w14:paraId="53165147" w14:textId="4740227B" w:rsidR="00C704F8" w:rsidRPr="001E6E30" w:rsidRDefault="00C704F8" w:rsidP="00C704F8">
            <w:pPr>
              <w:rPr>
                <w:rFonts w:asciiTheme="minorHAnsi" w:hAnsiTheme="minorHAnsi"/>
                <w:b w:val="0"/>
                <w:szCs w:val="20"/>
              </w:rPr>
            </w:pPr>
            <w:r w:rsidRPr="001E6E30">
              <w:rPr>
                <w:rFonts w:asciiTheme="minorHAnsi" w:hAnsiTheme="minorHAnsi"/>
                <w:b w:val="0"/>
                <w:szCs w:val="20"/>
              </w:rPr>
              <w:t>Efficiencies achieved</w:t>
            </w:r>
          </w:p>
        </w:tc>
        <w:tc>
          <w:tcPr>
            <w:tcW w:w="815" w:type="dxa"/>
            <w:vAlign w:val="center"/>
          </w:tcPr>
          <w:p w14:paraId="1A38FB58" w14:textId="41E0A7CC"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-0.82</w:t>
            </w:r>
          </w:p>
        </w:tc>
        <w:tc>
          <w:tcPr>
            <w:tcW w:w="815" w:type="dxa"/>
            <w:vAlign w:val="center"/>
          </w:tcPr>
          <w:p w14:paraId="170F1DB0" w14:textId="62921D9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-2.23</w:t>
            </w:r>
          </w:p>
        </w:tc>
        <w:tc>
          <w:tcPr>
            <w:tcW w:w="815" w:type="dxa"/>
            <w:vAlign w:val="center"/>
          </w:tcPr>
          <w:p w14:paraId="39F29DB0" w14:textId="1A870E71"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-2.93</w:t>
            </w:r>
          </w:p>
        </w:tc>
        <w:tc>
          <w:tcPr>
            <w:tcW w:w="815" w:type="dxa"/>
            <w:vAlign w:val="center"/>
          </w:tcPr>
          <w:p w14:paraId="2B983DFC" w14:textId="4A41C8E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-3.16</w:t>
            </w:r>
          </w:p>
        </w:tc>
        <w:tc>
          <w:tcPr>
            <w:tcW w:w="815" w:type="dxa"/>
            <w:vAlign w:val="center"/>
          </w:tcPr>
          <w:p w14:paraId="0A8EA63F" w14:textId="58C66864"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1D8C6D1F" w14:textId="4E9FAFE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2F42F483" w14:textId="5F2CEAA4"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w:t>
            </w:r>
            <w:r w:rsidRPr="001E6E30" w:rsidDel="001B53EF">
              <w:rPr>
                <w:szCs w:val="20"/>
              </w:rPr>
              <w:t xml:space="preserve"> </w:t>
            </w:r>
            <w:r w:rsidRPr="001E6E30">
              <w:rPr>
                <w:szCs w:val="20"/>
              </w:rPr>
              <w:t>62</w:t>
            </w:r>
          </w:p>
        </w:tc>
        <w:tc>
          <w:tcPr>
            <w:tcW w:w="815" w:type="dxa"/>
            <w:vAlign w:val="center"/>
          </w:tcPr>
          <w:p w14:paraId="36AB0C8C" w14:textId="593283B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-4.62</w:t>
            </w:r>
          </w:p>
        </w:tc>
        <w:tc>
          <w:tcPr>
            <w:tcW w:w="991" w:type="dxa"/>
            <w:vAlign w:val="center"/>
          </w:tcPr>
          <w:p w14:paraId="5B0D3139" w14:textId="01F42A80"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-26.57</w:t>
            </w:r>
          </w:p>
        </w:tc>
      </w:tr>
      <w:tr w:rsidR="00C704F8" w:rsidRPr="009B3E7C" w14:paraId="2BF7D94A" w14:textId="77777777" w:rsidTr="00FB1078">
        <w:trPr>
          <w:trHeight w:val="20"/>
        </w:trPr>
        <w:tc>
          <w:tcPr>
            <w:cnfStyle w:val="001000000000" w:firstRow="0" w:lastRow="0" w:firstColumn="1" w:lastColumn="0" w:oddVBand="0" w:evenVBand="0" w:oddHBand="0" w:evenHBand="0" w:firstRowFirstColumn="0" w:firstRowLastColumn="0" w:lastRowFirstColumn="0" w:lastRowLastColumn="0"/>
            <w:tcW w:w="2127" w:type="dxa"/>
            <w:gridSpan w:val="3"/>
          </w:tcPr>
          <w:p w14:paraId="2AF6F96B" w14:textId="3F914C45" w:rsidR="00C704F8" w:rsidRPr="001E6E30" w:rsidRDefault="00C704F8" w:rsidP="00C704F8">
            <w:pPr>
              <w:rPr>
                <w:rFonts w:asciiTheme="minorHAnsi" w:hAnsiTheme="minorHAnsi"/>
                <w:szCs w:val="20"/>
              </w:rPr>
            </w:pPr>
            <w:r w:rsidRPr="001E6E30">
              <w:rPr>
                <w:rFonts w:asciiTheme="minorHAnsi" w:hAnsiTheme="minorHAnsi"/>
                <w:szCs w:val="20"/>
              </w:rPr>
              <w:t xml:space="preserve">Net </w:t>
            </w:r>
            <w:proofErr w:type="spellStart"/>
            <w:r w:rsidRPr="001E6E30">
              <w:rPr>
                <w:rFonts w:asciiTheme="minorHAnsi" w:hAnsiTheme="minorHAnsi"/>
                <w:szCs w:val="20"/>
              </w:rPr>
              <w:t>opex</w:t>
            </w:r>
            <w:proofErr w:type="spellEnd"/>
          </w:p>
        </w:tc>
        <w:tc>
          <w:tcPr>
            <w:tcW w:w="815" w:type="dxa"/>
            <w:vAlign w:val="center"/>
          </w:tcPr>
          <w:p w14:paraId="5FCB5310" w14:textId="0F0F1F42"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3.82</w:t>
            </w:r>
          </w:p>
        </w:tc>
        <w:tc>
          <w:tcPr>
            <w:tcW w:w="815" w:type="dxa"/>
            <w:vAlign w:val="center"/>
          </w:tcPr>
          <w:p w14:paraId="163E7ACF" w14:textId="522EE7A4"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5.07</w:t>
            </w:r>
          </w:p>
        </w:tc>
        <w:tc>
          <w:tcPr>
            <w:tcW w:w="815" w:type="dxa"/>
            <w:vAlign w:val="center"/>
          </w:tcPr>
          <w:p w14:paraId="75FA238C" w14:textId="6C79660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4.05</w:t>
            </w:r>
          </w:p>
        </w:tc>
        <w:tc>
          <w:tcPr>
            <w:tcW w:w="815" w:type="dxa"/>
            <w:vAlign w:val="center"/>
          </w:tcPr>
          <w:p w14:paraId="1832B596" w14:textId="084CFB02"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0.94</w:t>
            </w:r>
          </w:p>
        </w:tc>
        <w:tc>
          <w:tcPr>
            <w:tcW w:w="815" w:type="dxa"/>
            <w:vAlign w:val="center"/>
          </w:tcPr>
          <w:p w14:paraId="6C6CFB8E" w14:textId="0C463FF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0.00</w:t>
            </w:r>
          </w:p>
        </w:tc>
        <w:tc>
          <w:tcPr>
            <w:tcW w:w="815" w:type="dxa"/>
            <w:vAlign w:val="center"/>
          </w:tcPr>
          <w:p w14:paraId="2BFB5C0A" w14:textId="7E119297"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0.00</w:t>
            </w:r>
          </w:p>
        </w:tc>
        <w:tc>
          <w:tcPr>
            <w:tcW w:w="815" w:type="dxa"/>
            <w:vAlign w:val="center"/>
          </w:tcPr>
          <w:p w14:paraId="6506C35F" w14:textId="0331A837"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-0.51</w:t>
            </w:r>
          </w:p>
        </w:tc>
        <w:tc>
          <w:tcPr>
            <w:tcW w:w="815" w:type="dxa"/>
            <w:vAlign w:val="center"/>
          </w:tcPr>
          <w:p w14:paraId="4F820840" w14:textId="230EF51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-0.51</w:t>
            </w:r>
          </w:p>
        </w:tc>
        <w:tc>
          <w:tcPr>
            <w:tcW w:w="991" w:type="dxa"/>
            <w:vAlign w:val="center"/>
          </w:tcPr>
          <w:p w14:paraId="4A8358F0" w14:textId="0FDE16AF"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12.87</w:t>
            </w:r>
          </w:p>
        </w:tc>
      </w:tr>
      <w:tr w:rsidR="00C704F8" w:rsidRPr="009B3E7C" w14:paraId="0A542437" w14:textId="77777777" w:rsidTr="00FB1078">
        <w:trPr>
          <w:trHeight w:val="263"/>
        </w:trPr>
        <w:tc>
          <w:tcPr>
            <w:cnfStyle w:val="001000000000" w:firstRow="0" w:lastRow="0" w:firstColumn="1" w:lastColumn="0" w:oddVBand="0" w:evenVBand="0" w:oddHBand="0" w:evenHBand="0" w:firstRowFirstColumn="0" w:firstRowLastColumn="0" w:lastRowFirstColumn="0" w:lastRowLastColumn="0"/>
            <w:tcW w:w="2127" w:type="dxa"/>
            <w:gridSpan w:val="3"/>
          </w:tcPr>
          <w:p w14:paraId="5E57A726"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 xml:space="preserve">Net integration </w:t>
            </w:r>
            <w:proofErr w:type="spellStart"/>
            <w:r w:rsidRPr="001E6E30">
              <w:rPr>
                <w:rFonts w:asciiTheme="minorHAnsi" w:hAnsiTheme="minorHAnsi"/>
                <w:b w:val="0"/>
                <w:szCs w:val="20"/>
              </w:rPr>
              <w:t>opex</w:t>
            </w:r>
            <w:proofErr w:type="spellEnd"/>
            <w:r w:rsidRPr="001E6E30">
              <w:rPr>
                <w:rFonts w:asciiTheme="minorHAnsi" w:hAnsiTheme="minorHAnsi"/>
                <w:b w:val="0"/>
                <w:szCs w:val="20"/>
              </w:rPr>
              <w:t xml:space="preserve"> in the base (net </w:t>
            </w:r>
            <w:proofErr w:type="spellStart"/>
            <w:r w:rsidRPr="001E6E30">
              <w:rPr>
                <w:rFonts w:asciiTheme="minorHAnsi" w:hAnsiTheme="minorHAnsi"/>
                <w:b w:val="0"/>
                <w:szCs w:val="20"/>
              </w:rPr>
              <w:t>opex</w:t>
            </w:r>
            <w:proofErr w:type="spellEnd"/>
            <w:r w:rsidRPr="001E6E30">
              <w:rPr>
                <w:rFonts w:asciiTheme="minorHAnsi" w:hAnsiTheme="minorHAnsi"/>
                <w:b w:val="0"/>
                <w:szCs w:val="20"/>
              </w:rPr>
              <w:t xml:space="preserve"> less non-recurring)</w:t>
            </w:r>
          </w:p>
        </w:tc>
        <w:tc>
          <w:tcPr>
            <w:tcW w:w="815" w:type="dxa"/>
            <w:vAlign w:val="center"/>
          </w:tcPr>
          <w:p w14:paraId="63B450A4"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17869CBD"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2237CD7D" w14:textId="5618E415"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1.19</w:t>
            </w:r>
          </w:p>
        </w:tc>
        <w:tc>
          <w:tcPr>
            <w:tcW w:w="815" w:type="dxa"/>
            <w:vAlign w:val="center"/>
          </w:tcPr>
          <w:p w14:paraId="51D2EB2F"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3953B73"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F16684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09ABE3F6"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254F843"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991" w:type="dxa"/>
            <w:vAlign w:val="center"/>
          </w:tcPr>
          <w:p w14:paraId="30C4D60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r w:rsidR="00C704F8" w:rsidRPr="009B3E7C" w14:paraId="2841E2EE" w14:textId="77777777" w:rsidTr="00FB1078">
        <w:trPr>
          <w:trHeight w:val="177"/>
        </w:trPr>
        <w:tc>
          <w:tcPr>
            <w:cnfStyle w:val="001000000000" w:firstRow="0" w:lastRow="0" w:firstColumn="1" w:lastColumn="0" w:oddVBand="0" w:evenVBand="0" w:oddHBand="0" w:evenHBand="0" w:firstRowFirstColumn="0" w:firstRowLastColumn="0" w:lastRowFirstColumn="0" w:lastRowLastColumn="0"/>
            <w:tcW w:w="2127" w:type="dxa"/>
            <w:gridSpan w:val="3"/>
          </w:tcPr>
          <w:p w14:paraId="58FDF8A4"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 xml:space="preserve">Additional integration </w:t>
            </w:r>
            <w:proofErr w:type="spellStart"/>
            <w:r w:rsidRPr="001E6E30">
              <w:rPr>
                <w:rFonts w:asciiTheme="minorHAnsi" w:hAnsiTheme="minorHAnsi"/>
                <w:b w:val="0"/>
                <w:szCs w:val="20"/>
              </w:rPr>
              <w:t>opex</w:t>
            </w:r>
            <w:proofErr w:type="spellEnd"/>
            <w:r w:rsidRPr="001E6E30">
              <w:rPr>
                <w:rFonts w:asciiTheme="minorHAnsi" w:hAnsiTheme="minorHAnsi"/>
                <w:b w:val="0"/>
                <w:szCs w:val="20"/>
              </w:rPr>
              <w:t xml:space="preserve"> in the forecast</w:t>
            </w:r>
          </w:p>
        </w:tc>
        <w:tc>
          <w:tcPr>
            <w:tcW w:w="815" w:type="dxa"/>
            <w:vAlign w:val="center"/>
          </w:tcPr>
          <w:p w14:paraId="2238A14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71907B6E"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4EDC2C36"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6F98FA31" w14:textId="13F2CF6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5AC31D30" w14:textId="650C3B3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0A43B027" w14:textId="2149D800"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61C9895B" w14:textId="28F031F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0BA742F3" w14:textId="21BACDBE"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991" w:type="dxa"/>
            <w:vAlign w:val="center"/>
          </w:tcPr>
          <w:p w14:paraId="2AC0246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r w:rsidR="00C704F8" w:rsidRPr="009B3E7C" w14:paraId="5EF5E538" w14:textId="77777777" w:rsidTr="00FB1078">
        <w:trPr>
          <w:trHeight w:val="184"/>
        </w:trPr>
        <w:tc>
          <w:tcPr>
            <w:cnfStyle w:val="001000000000" w:firstRow="0" w:lastRow="0" w:firstColumn="1" w:lastColumn="0" w:oddVBand="0" w:evenVBand="0" w:oddHBand="0" w:evenHBand="0" w:firstRowFirstColumn="0" w:firstRowLastColumn="0" w:lastRowFirstColumn="0" w:lastRowLastColumn="0"/>
            <w:tcW w:w="2127" w:type="dxa"/>
            <w:gridSpan w:val="3"/>
          </w:tcPr>
          <w:p w14:paraId="02AB97EF"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Integration efficiency from the base (new efficiencies and costs removed)</w:t>
            </w:r>
          </w:p>
        </w:tc>
        <w:tc>
          <w:tcPr>
            <w:tcW w:w="815" w:type="dxa"/>
            <w:vAlign w:val="center"/>
          </w:tcPr>
          <w:p w14:paraId="0BF06CA4"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218487A1"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7453F0DC"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534C2085" w14:textId="1673BE27"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-0.23</w:t>
            </w:r>
          </w:p>
        </w:tc>
        <w:tc>
          <w:tcPr>
            <w:tcW w:w="815" w:type="dxa"/>
            <w:vAlign w:val="center"/>
          </w:tcPr>
          <w:p w14:paraId="2A886276" w14:textId="7152A69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-1.17</w:t>
            </w:r>
          </w:p>
        </w:tc>
        <w:tc>
          <w:tcPr>
            <w:tcW w:w="815" w:type="dxa"/>
            <w:vAlign w:val="center"/>
          </w:tcPr>
          <w:p w14:paraId="4D362208" w14:textId="0ACF1468"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-1.17</w:t>
            </w:r>
          </w:p>
        </w:tc>
        <w:tc>
          <w:tcPr>
            <w:tcW w:w="815" w:type="dxa"/>
            <w:vAlign w:val="center"/>
          </w:tcPr>
          <w:p w14:paraId="30C46C97" w14:textId="454E89F6"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-1.69</w:t>
            </w:r>
          </w:p>
        </w:tc>
        <w:tc>
          <w:tcPr>
            <w:tcW w:w="815" w:type="dxa"/>
            <w:vAlign w:val="center"/>
          </w:tcPr>
          <w:p w14:paraId="7A86B4F8" w14:textId="710F7456"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-1.69</w:t>
            </w:r>
          </w:p>
        </w:tc>
        <w:tc>
          <w:tcPr>
            <w:tcW w:w="991" w:type="dxa"/>
            <w:vAlign w:val="center"/>
          </w:tcPr>
          <w:p w14:paraId="1CD97F50"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bl>
    <w:p w14:paraId="1B561D27" w14:textId="77777777" w:rsidR="00C704F8" w:rsidRPr="00C704F8" w:rsidRDefault="00C704F8" w:rsidP="00ED75FD">
      <w:pPr>
        <w:pStyle w:val="Heading5"/>
      </w:pPr>
      <w:r w:rsidRPr="00C704F8">
        <w:t>Base year comparison to determination</w:t>
      </w:r>
    </w:p>
    <w:p w14:paraId="51A91372" w14:textId="77777777" w:rsidR="00C704F8" w:rsidRPr="00C704F8" w:rsidRDefault="00C704F8" w:rsidP="00C704F8">
      <w:r w:rsidRPr="00C704F8">
        <w:t>Our 2022-23 recurrent operating expenditure exceeded the CWW and WW determinations by approximately $25.5 million plus $5.9 million in one-off adjustments (non-recurrent items and capitalised items) from the base year.</w:t>
      </w:r>
    </w:p>
    <w:p w14:paraId="5E5BD1AE" w14:textId="77777777" w:rsidR="00C704F8" w:rsidRPr="00C704F8" w:rsidRDefault="00C704F8" w:rsidP="00C704F8">
      <w:r w:rsidRPr="00C704F8">
        <w:t>The additional expenditure has primarily been driven by our directive to integration, transformation programs, changes in obligations, and external cost drivers. This comprises approximately 87% of the above base year ongoing expenditure. The other 11% of above determination costs are due to movements in labour.</w:t>
      </w:r>
    </w:p>
    <w:p w14:paraId="0387F52E" w14:textId="71F695C0" w:rsidR="00C704F8" w:rsidRPr="00C704F8" w:rsidRDefault="006E117F" w:rsidP="00C704F8">
      <w:r>
        <w:fldChar w:fldCharType="begin"/>
      </w:r>
      <w:r>
        <w:instrText xml:space="preserve"> REF _Ref146030315 \h </w:instrText>
      </w:r>
      <w:r>
        <w:fldChar w:fldCharType="separate"/>
      </w:r>
      <w:r w:rsidR="003B42C6" w:rsidRPr="00475653">
        <w:rPr>
          <w:b/>
          <w:bCs/>
        </w:rPr>
        <w:t xml:space="preserve">Table </w:t>
      </w:r>
      <w:r w:rsidR="003B42C6">
        <w:rPr>
          <w:noProof/>
        </w:rPr>
        <w:t>80</w:t>
      </w:r>
      <w:r>
        <w:fldChar w:fldCharType="end"/>
      </w:r>
      <w:r w:rsidR="00C704F8" w:rsidRPr="00C704F8">
        <w:t xml:space="preserve"> provides a summary of 99% of above determination operating costs. The remainder 1% is due to other small movements across the business.  </w:t>
      </w:r>
    </w:p>
    <w:p w14:paraId="11D58795" w14:textId="72F91273" w:rsidR="00C704F8" w:rsidRPr="00C704F8" w:rsidRDefault="00C34BAB" w:rsidP="00267EE9">
      <w:pPr>
        <w:pStyle w:val="Caption"/>
      </w:pPr>
      <w:bookmarkStart w:id="418" w:name="_Ref146030315"/>
      <w:r w:rsidRPr="00475653">
        <w:rPr>
          <w:b/>
          <w:bCs/>
        </w:rPr>
        <w:lastRenderedPageBreak/>
        <w:t xml:space="preserve">Table </w:t>
      </w:r>
      <w:r w:rsidR="001F7221" w:rsidRPr="00475653">
        <w:rPr>
          <w:b/>
          <w:bCs/>
        </w:rPr>
        <w:fldChar w:fldCharType="begin"/>
      </w:r>
      <w:r w:rsidR="001F7221">
        <w:instrText xml:space="preserve"> SEQ Table \* ARABIC </w:instrText>
      </w:r>
      <w:r w:rsidR="001F7221" w:rsidRPr="00475653">
        <w:rPr>
          <w:b/>
          <w:bCs/>
        </w:rPr>
        <w:fldChar w:fldCharType="separate"/>
      </w:r>
      <w:r w:rsidR="003B42C6">
        <w:rPr>
          <w:noProof/>
        </w:rPr>
        <w:t>80</w:t>
      </w:r>
      <w:r w:rsidR="001F7221" w:rsidRPr="00475653">
        <w:rPr>
          <w:b/>
          <w:bCs/>
          <w:noProof/>
        </w:rPr>
        <w:fldChar w:fldCharType="end"/>
      </w:r>
      <w:bookmarkEnd w:id="418"/>
      <w:r w:rsidR="00C704F8" w:rsidRPr="00C704F8">
        <w:t xml:space="preserve"> Reconciliation of above determination ongoing operating expenditure ($million, 2023-24)</w:t>
      </w:r>
    </w:p>
    <w:tbl>
      <w:tblPr>
        <w:tblStyle w:val="GWWDefaulttable"/>
        <w:tblW w:w="5000" w:type="pct"/>
        <w:tblLook w:val="04A0" w:firstRow="1" w:lastRow="0" w:firstColumn="1" w:lastColumn="0" w:noHBand="0" w:noVBand="1"/>
      </w:tblPr>
      <w:tblGrid>
        <w:gridCol w:w="3686"/>
        <w:gridCol w:w="2332"/>
        <w:gridCol w:w="3620"/>
      </w:tblGrid>
      <w:tr w:rsidR="00C704F8" w:rsidRPr="00C704F8" w14:paraId="48B2FB2C" w14:textId="77777777" w:rsidTr="008823A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912" w:type="pct"/>
            <w:vAlign w:val="center"/>
          </w:tcPr>
          <w:p w14:paraId="47BF1680" w14:textId="77777777" w:rsidR="00C704F8" w:rsidRPr="00C704F8" w:rsidRDefault="00C704F8" w:rsidP="00C704F8">
            <w:r w:rsidRPr="00C704F8">
              <w:t>Category</w:t>
            </w:r>
          </w:p>
        </w:tc>
        <w:tc>
          <w:tcPr>
            <w:tcW w:w="1210" w:type="pct"/>
            <w:vAlign w:val="center"/>
          </w:tcPr>
          <w:p w14:paraId="08CF0F42" w14:textId="77777777" w:rsidR="00C704F8" w:rsidRPr="00C704F8" w:rsidRDefault="00C704F8" w:rsidP="008823AD">
            <w:pPr>
              <w:cnfStyle w:val="100000000000" w:firstRow="1" w:lastRow="0" w:firstColumn="0" w:lastColumn="0" w:oddVBand="0" w:evenVBand="0" w:oddHBand="0" w:evenHBand="0" w:firstRowFirstColumn="0" w:firstRowLastColumn="0" w:lastRowFirstColumn="0" w:lastRowLastColumn="0"/>
            </w:pPr>
            <w:r w:rsidRPr="00C704F8">
              <w:t xml:space="preserve">2022-23 above determination ongoing </w:t>
            </w:r>
            <w:proofErr w:type="spellStart"/>
            <w:r w:rsidRPr="00C704F8">
              <w:t>opex</w:t>
            </w:r>
            <w:proofErr w:type="spellEnd"/>
          </w:p>
        </w:tc>
        <w:tc>
          <w:tcPr>
            <w:tcW w:w="1878" w:type="pct"/>
            <w:vAlign w:val="center"/>
          </w:tcPr>
          <w:p w14:paraId="0A8919E4" w14:textId="08650D63"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r w:rsidRPr="00C704F8">
              <w:t>Reference to tables in the ‘Current period performance’ section above</w:t>
            </w:r>
          </w:p>
        </w:tc>
      </w:tr>
      <w:tr w:rsidR="00C704F8" w:rsidRPr="00C704F8" w14:paraId="1309A920"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155A9B6E" w14:textId="77777777" w:rsidR="00C704F8" w:rsidRPr="008A617A" w:rsidRDefault="00C704F8" w:rsidP="00C704F8">
            <w:pPr>
              <w:rPr>
                <w:b w:val="0"/>
              </w:rPr>
            </w:pPr>
            <w:r w:rsidRPr="008A617A">
              <w:rPr>
                <w:b w:val="0"/>
              </w:rPr>
              <w:t>Integration</w:t>
            </w:r>
          </w:p>
        </w:tc>
        <w:tc>
          <w:tcPr>
            <w:tcW w:w="1210" w:type="pct"/>
          </w:tcPr>
          <w:p w14:paraId="500999A3"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1.19</w:t>
            </w:r>
          </w:p>
        </w:tc>
        <w:tc>
          <w:tcPr>
            <w:tcW w:w="1878" w:type="pct"/>
          </w:tcPr>
          <w:p w14:paraId="1B57D16B" w14:textId="7139B98C" w:rsidR="00C704F8" w:rsidRPr="007D5DFB" w:rsidRDefault="00E611D2" w:rsidP="00C704F8">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_Ref146031265 \h </w:instrText>
            </w:r>
            <w:r>
              <w:fldChar w:fldCharType="separate"/>
            </w:r>
            <w:r w:rsidR="003B42C6" w:rsidRPr="00A6049B">
              <w:rPr>
                <w:b/>
              </w:rPr>
              <w:t xml:space="preserve">Table </w:t>
            </w:r>
            <w:r w:rsidR="003B42C6">
              <w:rPr>
                <w:b/>
                <w:noProof/>
              </w:rPr>
              <w:t>63</w:t>
            </w:r>
            <w:r>
              <w:fldChar w:fldCharType="end"/>
            </w:r>
            <w:r>
              <w:t>:</w:t>
            </w:r>
            <w:r w:rsidR="00C704F8" w:rsidRPr="00B12F32">
              <w:t xml:space="preserve"> Integration </w:t>
            </w:r>
            <w:proofErr w:type="spellStart"/>
            <w:r w:rsidR="00C704F8" w:rsidRPr="00B12F32">
              <w:t>opex</w:t>
            </w:r>
            <w:proofErr w:type="spellEnd"/>
            <w:r w:rsidR="00C704F8" w:rsidRPr="00B12F32">
              <w:t xml:space="preserve"> and efficiencies over 2020-28</w:t>
            </w:r>
          </w:p>
        </w:tc>
      </w:tr>
      <w:tr w:rsidR="00C704F8" w:rsidRPr="00C704F8" w14:paraId="2A1D98FE"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74A9ED64" w14:textId="77777777" w:rsidR="00C704F8" w:rsidRPr="008A617A" w:rsidRDefault="00C704F8" w:rsidP="00C704F8">
            <w:pPr>
              <w:rPr>
                <w:b w:val="0"/>
              </w:rPr>
            </w:pPr>
            <w:r w:rsidRPr="008A617A">
              <w:rPr>
                <w:b w:val="0"/>
              </w:rPr>
              <w:t>Transformation - Asset</w:t>
            </w:r>
          </w:p>
        </w:tc>
        <w:tc>
          <w:tcPr>
            <w:tcW w:w="1210" w:type="pct"/>
          </w:tcPr>
          <w:p w14:paraId="3604FB15"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1.19</w:t>
            </w:r>
          </w:p>
        </w:tc>
        <w:tc>
          <w:tcPr>
            <w:tcW w:w="1878" w:type="pct"/>
          </w:tcPr>
          <w:p w14:paraId="782121E0" w14:textId="3280D14B" w:rsidR="00C704F8" w:rsidRPr="007D5DFB" w:rsidRDefault="00B12F32"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_Ref146031072 \h </w:instrText>
            </w:r>
            <w:r w:rsidRPr="007D5DFB">
              <w:fldChar w:fldCharType="separate"/>
            </w:r>
            <w:r w:rsidR="003B42C6" w:rsidRPr="00EE6CEB">
              <w:rPr>
                <w:b/>
              </w:rPr>
              <w:t xml:space="preserve">Table </w:t>
            </w:r>
            <w:r w:rsidR="003B42C6">
              <w:rPr>
                <w:b/>
                <w:noProof/>
              </w:rPr>
              <w:t>68</w:t>
            </w:r>
            <w:r w:rsidRPr="007D5DFB">
              <w:fldChar w:fldCharType="end"/>
            </w:r>
            <w:r w:rsidR="00C704F8" w:rsidRPr="007D5DFB">
              <w:t xml:space="preserve">: Asset management </w:t>
            </w:r>
            <w:proofErr w:type="spellStart"/>
            <w:r w:rsidR="00C704F8" w:rsidRPr="007D5DFB">
              <w:t>opex</w:t>
            </w:r>
            <w:proofErr w:type="spellEnd"/>
          </w:p>
        </w:tc>
      </w:tr>
      <w:tr w:rsidR="00C704F8" w:rsidRPr="00C704F8" w14:paraId="0340D23A"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4C83239C" w14:textId="77777777" w:rsidR="00C704F8" w:rsidRPr="008A617A" w:rsidRDefault="00C704F8" w:rsidP="00C704F8">
            <w:pPr>
              <w:rPr>
                <w:b w:val="0"/>
              </w:rPr>
            </w:pPr>
            <w:r w:rsidRPr="008A617A">
              <w:rPr>
                <w:b w:val="0"/>
              </w:rPr>
              <w:t>Transformation - Compliance</w:t>
            </w:r>
          </w:p>
        </w:tc>
        <w:tc>
          <w:tcPr>
            <w:tcW w:w="1210" w:type="pct"/>
          </w:tcPr>
          <w:p w14:paraId="5DFA019E"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3.54</w:t>
            </w:r>
          </w:p>
        </w:tc>
        <w:tc>
          <w:tcPr>
            <w:tcW w:w="1878" w:type="pct"/>
          </w:tcPr>
          <w:p w14:paraId="5B1D0475" w14:textId="4FBC0067"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_Ref146031099 \h </w:instrText>
            </w:r>
            <w:r w:rsidRPr="007D5DFB">
              <w:fldChar w:fldCharType="separate"/>
            </w:r>
            <w:r w:rsidR="003B42C6" w:rsidRPr="00A6049B">
              <w:rPr>
                <w:b/>
              </w:rPr>
              <w:t xml:space="preserve">Table </w:t>
            </w:r>
            <w:r w:rsidR="003B42C6">
              <w:rPr>
                <w:b/>
                <w:noProof/>
              </w:rPr>
              <w:t>67</w:t>
            </w:r>
            <w:r w:rsidRPr="007D5DFB">
              <w:fldChar w:fldCharType="end"/>
            </w:r>
            <w:r w:rsidR="00C704F8" w:rsidRPr="007D5DFB">
              <w:t xml:space="preserve">: Compliance </w:t>
            </w:r>
            <w:proofErr w:type="spellStart"/>
            <w:r w:rsidR="00C704F8" w:rsidRPr="007D5DFB">
              <w:t>opex</w:t>
            </w:r>
            <w:proofErr w:type="spellEnd"/>
          </w:p>
        </w:tc>
      </w:tr>
      <w:tr w:rsidR="00C704F8" w:rsidRPr="00C704F8" w14:paraId="2C64E78C"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68CDA6C0" w14:textId="77777777" w:rsidR="00C704F8" w:rsidRPr="008A617A" w:rsidRDefault="00C704F8" w:rsidP="00C704F8">
            <w:pPr>
              <w:rPr>
                <w:b w:val="0"/>
              </w:rPr>
            </w:pPr>
            <w:r w:rsidRPr="008A617A">
              <w:rPr>
                <w:b w:val="0"/>
              </w:rPr>
              <w:t>Transformation - Corporate</w:t>
            </w:r>
          </w:p>
        </w:tc>
        <w:tc>
          <w:tcPr>
            <w:tcW w:w="1210" w:type="pct"/>
          </w:tcPr>
          <w:p w14:paraId="34830FFC"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0.76</w:t>
            </w:r>
          </w:p>
        </w:tc>
        <w:tc>
          <w:tcPr>
            <w:tcW w:w="1878" w:type="pct"/>
          </w:tcPr>
          <w:p w14:paraId="2309072C" w14:textId="261EC5E4"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_Ref146031112 \h </w:instrText>
            </w:r>
            <w:r w:rsidRPr="007D5DFB">
              <w:fldChar w:fldCharType="separate"/>
            </w:r>
            <w:r w:rsidR="003B42C6" w:rsidRPr="00D6640B">
              <w:rPr>
                <w:b/>
              </w:rPr>
              <w:t xml:space="preserve">Table </w:t>
            </w:r>
            <w:r w:rsidR="003B42C6">
              <w:rPr>
                <w:b/>
                <w:noProof/>
              </w:rPr>
              <w:t>69</w:t>
            </w:r>
            <w:r w:rsidRPr="007D5DFB">
              <w:fldChar w:fldCharType="end"/>
            </w:r>
            <w:r w:rsidR="00C704F8" w:rsidRPr="007D5DFB">
              <w:t xml:space="preserve">: Corporate </w:t>
            </w:r>
            <w:proofErr w:type="spellStart"/>
            <w:r w:rsidR="00C704F8" w:rsidRPr="007D5DFB">
              <w:t>opex</w:t>
            </w:r>
            <w:proofErr w:type="spellEnd"/>
          </w:p>
        </w:tc>
      </w:tr>
      <w:tr w:rsidR="00C704F8" w:rsidRPr="00C704F8" w14:paraId="71F0AF29"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3613A10E" w14:textId="77777777" w:rsidR="00C704F8" w:rsidRPr="008A617A" w:rsidRDefault="00C704F8" w:rsidP="00C704F8">
            <w:pPr>
              <w:rPr>
                <w:b w:val="0"/>
              </w:rPr>
            </w:pPr>
            <w:r w:rsidRPr="008A617A">
              <w:rPr>
                <w:b w:val="0"/>
              </w:rPr>
              <w:t>Transformation - Customer</w:t>
            </w:r>
          </w:p>
        </w:tc>
        <w:tc>
          <w:tcPr>
            <w:tcW w:w="1210" w:type="pct"/>
          </w:tcPr>
          <w:p w14:paraId="2A165C98"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1.17</w:t>
            </w:r>
          </w:p>
        </w:tc>
        <w:tc>
          <w:tcPr>
            <w:tcW w:w="1878" w:type="pct"/>
          </w:tcPr>
          <w:p w14:paraId="36EB0A23" w14:textId="770E242C"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_Ref145978247 \h </w:instrText>
            </w:r>
            <w:r w:rsidRPr="007D5DFB">
              <w:fldChar w:fldCharType="separate"/>
            </w:r>
            <w:r w:rsidR="003B42C6" w:rsidRPr="00A6049B">
              <w:rPr>
                <w:b/>
              </w:rPr>
              <w:t xml:space="preserve">Table </w:t>
            </w:r>
            <w:r w:rsidR="003B42C6">
              <w:rPr>
                <w:b/>
                <w:noProof/>
              </w:rPr>
              <w:t>66</w:t>
            </w:r>
            <w:r w:rsidRPr="007D5DFB">
              <w:fldChar w:fldCharType="end"/>
            </w:r>
            <w:r w:rsidR="00C704F8" w:rsidRPr="007D5DFB">
              <w:t xml:space="preserve"> Customer services </w:t>
            </w:r>
            <w:proofErr w:type="spellStart"/>
            <w:r w:rsidR="00C704F8" w:rsidRPr="007D5DFB">
              <w:t>opex</w:t>
            </w:r>
            <w:proofErr w:type="spellEnd"/>
          </w:p>
        </w:tc>
      </w:tr>
      <w:tr w:rsidR="00C704F8" w:rsidRPr="00C704F8" w14:paraId="56B8B253"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397CBEEB" w14:textId="77777777" w:rsidR="00C704F8" w:rsidRPr="008A617A" w:rsidRDefault="00C704F8" w:rsidP="00C704F8">
            <w:pPr>
              <w:rPr>
                <w:b w:val="0"/>
              </w:rPr>
            </w:pPr>
            <w:r w:rsidRPr="008A617A">
              <w:rPr>
                <w:b w:val="0"/>
              </w:rPr>
              <w:t>Transformation – Safety</w:t>
            </w:r>
          </w:p>
        </w:tc>
        <w:tc>
          <w:tcPr>
            <w:tcW w:w="1210" w:type="pct"/>
          </w:tcPr>
          <w:p w14:paraId="01B4FD24"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0.29</w:t>
            </w:r>
          </w:p>
        </w:tc>
        <w:tc>
          <w:tcPr>
            <w:tcW w:w="1878" w:type="pct"/>
          </w:tcPr>
          <w:p w14:paraId="175FF14C" w14:textId="60468C1F" w:rsidR="00C704F8" w:rsidRPr="007D5DFB" w:rsidRDefault="00245FD5" w:rsidP="00C704F8">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_Ref146633571 \h </w:instrText>
            </w:r>
            <w:r>
              <w:fldChar w:fldCharType="separate"/>
            </w:r>
            <w:r w:rsidR="003B42C6" w:rsidRPr="000574A4">
              <w:rPr>
                <w:b/>
              </w:rPr>
              <w:t xml:space="preserve">Table </w:t>
            </w:r>
            <w:r w:rsidR="003B42C6">
              <w:rPr>
                <w:b/>
                <w:noProof/>
              </w:rPr>
              <w:t>65</w:t>
            </w:r>
            <w:r>
              <w:fldChar w:fldCharType="end"/>
            </w:r>
            <w:r>
              <w:t xml:space="preserve"> Safety </w:t>
            </w:r>
            <w:proofErr w:type="spellStart"/>
            <w:r>
              <w:t>opex</w:t>
            </w:r>
            <w:r>
              <w:fldChar w:fldCharType="begin"/>
            </w:r>
            <w:r>
              <w:instrText xml:space="preserve"> REF _Ref146633545 \h </w:instrText>
            </w:r>
            <w:r>
              <w:fldChar w:fldCharType="separate"/>
            </w:r>
            <w:r w:rsidR="003B42C6" w:rsidRPr="000574A4">
              <w:rPr>
                <w:b/>
              </w:rPr>
              <w:t>Table</w:t>
            </w:r>
            <w:proofErr w:type="spellEnd"/>
            <w:r w:rsidR="003B42C6" w:rsidRPr="000574A4">
              <w:rPr>
                <w:b/>
              </w:rPr>
              <w:t xml:space="preserve"> </w:t>
            </w:r>
            <w:r w:rsidR="003B42C6">
              <w:rPr>
                <w:b/>
                <w:noProof/>
              </w:rPr>
              <w:t>65</w:t>
            </w:r>
            <w:r w:rsidR="003B42C6">
              <w:t xml:space="preserve"> </w:t>
            </w:r>
            <w:r w:rsidR="003B42C6" w:rsidRPr="004C4614">
              <w:t xml:space="preserve">Safety </w:t>
            </w:r>
            <w:proofErr w:type="spellStart"/>
            <w:r w:rsidR="003B42C6" w:rsidRPr="004C4614">
              <w:t>opex</w:t>
            </w:r>
            <w:proofErr w:type="spellEnd"/>
            <w:r w:rsidR="003B42C6" w:rsidRPr="004C4614">
              <w:t xml:space="preserve"> ($million, 2023-24)</w:t>
            </w:r>
            <w:r>
              <w:fldChar w:fldCharType="end"/>
            </w:r>
          </w:p>
        </w:tc>
      </w:tr>
      <w:tr w:rsidR="00C704F8" w:rsidRPr="00C704F8" w14:paraId="34BB2518"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069DF019" w14:textId="77777777" w:rsidR="00C704F8" w:rsidRPr="008A617A" w:rsidRDefault="00C704F8" w:rsidP="00C704F8">
            <w:pPr>
              <w:rPr>
                <w:b w:val="0"/>
              </w:rPr>
            </w:pPr>
            <w:r w:rsidRPr="008A617A">
              <w:rPr>
                <w:b w:val="0"/>
              </w:rPr>
              <w:t>Changes in Obligations</w:t>
            </w:r>
          </w:p>
        </w:tc>
        <w:tc>
          <w:tcPr>
            <w:tcW w:w="1210" w:type="pct"/>
          </w:tcPr>
          <w:p w14:paraId="7410AFAB"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1.33</w:t>
            </w:r>
          </w:p>
        </w:tc>
        <w:tc>
          <w:tcPr>
            <w:tcW w:w="1878" w:type="pct"/>
          </w:tcPr>
          <w:p w14:paraId="3F3022FD" w14:textId="7C6E001A"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_Ref146031152 \h </w:instrText>
            </w:r>
            <w:r w:rsidRPr="007D5DFB">
              <w:fldChar w:fldCharType="separate"/>
            </w:r>
            <w:r w:rsidR="003B42C6" w:rsidRPr="00D6640B">
              <w:rPr>
                <w:b/>
              </w:rPr>
              <w:t xml:space="preserve">Table </w:t>
            </w:r>
            <w:r w:rsidR="003B42C6">
              <w:rPr>
                <w:b/>
                <w:noProof/>
              </w:rPr>
              <w:t>70</w:t>
            </w:r>
            <w:r w:rsidRPr="007D5DFB">
              <w:fldChar w:fldCharType="end"/>
            </w:r>
            <w:r w:rsidR="00C704F8" w:rsidRPr="007D5DFB">
              <w:t xml:space="preserve">: Changes in obligations </w:t>
            </w:r>
            <w:proofErr w:type="spellStart"/>
            <w:r w:rsidR="00C704F8" w:rsidRPr="007D5DFB">
              <w:t>opex</w:t>
            </w:r>
            <w:proofErr w:type="spellEnd"/>
            <w:r w:rsidR="00C704F8" w:rsidRPr="007D5DFB">
              <w:t xml:space="preserve"> and efficiencies</w:t>
            </w:r>
          </w:p>
        </w:tc>
      </w:tr>
      <w:tr w:rsidR="00C704F8" w:rsidRPr="00C704F8" w14:paraId="17A24A9D"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0A8AD3C0" w14:textId="77777777" w:rsidR="00C704F8" w:rsidRPr="008A617A" w:rsidRDefault="00C704F8" w:rsidP="00C704F8">
            <w:pPr>
              <w:rPr>
                <w:b w:val="0"/>
              </w:rPr>
            </w:pPr>
            <w:r w:rsidRPr="008A617A">
              <w:rPr>
                <w:b w:val="0"/>
              </w:rPr>
              <w:t>External cost drivers</w:t>
            </w:r>
          </w:p>
        </w:tc>
        <w:tc>
          <w:tcPr>
            <w:tcW w:w="1210" w:type="pct"/>
          </w:tcPr>
          <w:p w14:paraId="0AEA31EA"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12.69</w:t>
            </w:r>
          </w:p>
        </w:tc>
        <w:tc>
          <w:tcPr>
            <w:tcW w:w="1878" w:type="pct"/>
          </w:tcPr>
          <w:p w14:paraId="55898438" w14:textId="3ACA0EC3"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_Ref146031164 \h </w:instrText>
            </w:r>
            <w:r w:rsidRPr="007D5DFB">
              <w:fldChar w:fldCharType="separate"/>
            </w:r>
            <w:r w:rsidR="003B42C6" w:rsidRPr="00B10684">
              <w:rPr>
                <w:b/>
                <w:bCs/>
              </w:rPr>
              <w:t xml:space="preserve">Table </w:t>
            </w:r>
            <w:r w:rsidR="003B42C6">
              <w:rPr>
                <w:noProof/>
              </w:rPr>
              <w:t>71</w:t>
            </w:r>
            <w:r w:rsidRPr="007D5DFB">
              <w:fldChar w:fldCharType="end"/>
            </w:r>
            <w:r w:rsidR="00C704F8" w:rsidRPr="007D5DFB">
              <w:t xml:space="preserve">: External cost drivers impact on </w:t>
            </w:r>
            <w:proofErr w:type="spellStart"/>
            <w:r w:rsidR="00C704F8" w:rsidRPr="007D5DFB">
              <w:t>opex</w:t>
            </w:r>
            <w:proofErr w:type="spellEnd"/>
          </w:p>
        </w:tc>
      </w:tr>
      <w:tr w:rsidR="00C704F8" w:rsidRPr="00C704F8" w14:paraId="64227282" w14:textId="77777777" w:rsidTr="002E32F9">
        <w:trPr>
          <w:trHeight w:val="446"/>
        </w:trPr>
        <w:tc>
          <w:tcPr>
            <w:cnfStyle w:val="001000000000" w:firstRow="0" w:lastRow="0" w:firstColumn="1" w:lastColumn="0" w:oddVBand="0" w:evenVBand="0" w:oddHBand="0" w:evenHBand="0" w:firstRowFirstColumn="0" w:firstRowLastColumn="0" w:lastRowFirstColumn="0" w:lastRowLastColumn="0"/>
            <w:tcW w:w="1912" w:type="pct"/>
          </w:tcPr>
          <w:p w14:paraId="48151C96" w14:textId="77777777" w:rsidR="00C704F8" w:rsidRPr="008A617A" w:rsidRDefault="00C704F8" w:rsidP="00C704F8">
            <w:pPr>
              <w:rPr>
                <w:b w:val="0"/>
              </w:rPr>
            </w:pPr>
            <w:r w:rsidRPr="008A617A">
              <w:rPr>
                <w:b w:val="0"/>
              </w:rPr>
              <w:t>Labour movements</w:t>
            </w:r>
          </w:p>
        </w:tc>
        <w:tc>
          <w:tcPr>
            <w:tcW w:w="1210" w:type="pct"/>
          </w:tcPr>
          <w:p w14:paraId="6CF67F21"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3.00</w:t>
            </w:r>
          </w:p>
        </w:tc>
        <w:tc>
          <w:tcPr>
            <w:tcW w:w="1878" w:type="pct"/>
          </w:tcPr>
          <w:p w14:paraId="4778109F" w14:textId="77777777" w:rsidR="00C704F8" w:rsidRPr="007D5DFB" w:rsidRDefault="00C704F8" w:rsidP="00C704F8">
            <w:pPr>
              <w:cnfStyle w:val="000000000000" w:firstRow="0" w:lastRow="0" w:firstColumn="0" w:lastColumn="0" w:oddVBand="0" w:evenVBand="0" w:oddHBand="0" w:evenHBand="0" w:firstRowFirstColumn="0" w:firstRowLastColumn="0" w:lastRowFirstColumn="0" w:lastRowLastColumn="0"/>
            </w:pPr>
            <w:r w:rsidRPr="007D5DFB">
              <w:t>See section ‘labour cost movements’ below</w:t>
            </w:r>
          </w:p>
        </w:tc>
      </w:tr>
      <w:tr w:rsidR="00C704F8" w:rsidRPr="00C704F8" w14:paraId="5C494CD0"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188FE1C3" w14:textId="77777777" w:rsidR="00C704F8" w:rsidRPr="00C704F8" w:rsidRDefault="00C704F8" w:rsidP="00C704F8">
            <w:r w:rsidRPr="00C704F8">
              <w:t>Total</w:t>
            </w:r>
          </w:p>
        </w:tc>
        <w:tc>
          <w:tcPr>
            <w:tcW w:w="1210" w:type="pct"/>
          </w:tcPr>
          <w:p w14:paraId="62D4A4F8" w14:textId="77777777" w:rsidR="00C704F8" w:rsidRPr="002E32F9" w:rsidRDefault="00C704F8" w:rsidP="00AE612F">
            <w:pPr>
              <w:jc w:val="center"/>
              <w:cnfStyle w:val="000000000000" w:firstRow="0" w:lastRow="0" w:firstColumn="0" w:lastColumn="0" w:oddVBand="0" w:evenVBand="0" w:oddHBand="0" w:evenHBand="0" w:firstRowFirstColumn="0" w:firstRowLastColumn="0" w:lastRowFirstColumn="0" w:lastRowLastColumn="0"/>
              <w:rPr>
                <w:b/>
              </w:rPr>
            </w:pPr>
            <w:r w:rsidRPr="002E32F9">
              <w:rPr>
                <w:b/>
              </w:rPr>
              <w:t>25.16</w:t>
            </w:r>
          </w:p>
        </w:tc>
        <w:tc>
          <w:tcPr>
            <w:tcW w:w="1878" w:type="pct"/>
          </w:tcPr>
          <w:p w14:paraId="12C9A19A" w14:textId="77777777" w:rsidR="00C704F8" w:rsidRPr="00C704F8" w:rsidRDefault="00C704F8" w:rsidP="00C704F8">
            <w:pPr>
              <w:cnfStyle w:val="000000000000" w:firstRow="0" w:lastRow="0" w:firstColumn="0" w:lastColumn="0" w:oddVBand="0" w:evenVBand="0" w:oddHBand="0" w:evenHBand="0" w:firstRowFirstColumn="0" w:firstRowLastColumn="0" w:lastRowFirstColumn="0" w:lastRowLastColumn="0"/>
            </w:pPr>
          </w:p>
        </w:tc>
      </w:tr>
    </w:tbl>
    <w:p w14:paraId="4A41556D" w14:textId="77777777" w:rsidR="00C704F8" w:rsidRPr="00C704F8" w:rsidRDefault="00C704F8" w:rsidP="00ED75FD">
      <w:pPr>
        <w:pStyle w:val="Heading5-nonumber"/>
      </w:pPr>
      <w:r w:rsidRPr="00C704F8">
        <w:t>Labour cost movements</w:t>
      </w:r>
    </w:p>
    <w:p w14:paraId="4777086C" w14:textId="77777777" w:rsidR="00C704F8" w:rsidRPr="00C704F8" w:rsidRDefault="00C704F8" w:rsidP="00C704F8">
      <w:r w:rsidRPr="00C704F8">
        <w:t xml:space="preserve">GWW has identified $5.7 million above determination labour movements in 2022-23. This is a direct comparison between the 2018 CWW determination and the 2020 WW determination with the actual prescribed operating costs for labour incurred in 2022-23. Approximately $2.7 million of this labour costs </w:t>
      </w:r>
      <w:proofErr w:type="gramStart"/>
      <w:r w:rsidRPr="00C704F8">
        <w:t>has</w:t>
      </w:r>
      <w:proofErr w:type="gramEnd"/>
      <w:r w:rsidRPr="00C704F8">
        <w:t xml:space="preserve"> been captured as part of our integration, transformation programs and changes in obligations. The remainder $3.0 million is a result of: </w:t>
      </w:r>
    </w:p>
    <w:p w14:paraId="3C8AEF33" w14:textId="77777777" w:rsidR="00C704F8" w:rsidRPr="00C704F8" w:rsidRDefault="00C704F8" w:rsidP="002E32F9">
      <w:pPr>
        <w:pStyle w:val="ListBullet"/>
      </w:pPr>
      <w:r w:rsidRPr="00C704F8">
        <w:t xml:space="preserve">Both CWW and WW were operating with a lean labour force that was supplemented through external providers which resulted in a few key individuals who held a significant amount of corporate knowledge. We have shifted to an internal focus to increase corporate knowledge. This has meant as we have had to replace or redeploy key </w:t>
      </w:r>
      <w:proofErr w:type="gramStart"/>
      <w:r w:rsidRPr="00C704F8">
        <w:t>individuals</w:t>
      </w:r>
      <w:proofErr w:type="gramEnd"/>
      <w:r w:rsidRPr="00C704F8">
        <w:t xml:space="preserve"> we have needed to supplement the roles with additional resources create corporate artifacts that did not exist.</w:t>
      </w:r>
    </w:p>
    <w:p w14:paraId="39075ACF" w14:textId="3D36C4CE" w:rsidR="00C704F8" w:rsidRPr="00C704F8" w:rsidRDefault="00C704F8" w:rsidP="002E32F9">
      <w:pPr>
        <w:pStyle w:val="ListBullet"/>
      </w:pPr>
      <w:r w:rsidRPr="00C704F8">
        <w:t xml:space="preserve">Integration of the two businesses has created many strategic opportunities. This has meant we have </w:t>
      </w:r>
      <w:r w:rsidR="007E716C">
        <w:t>increased expenditure</w:t>
      </w:r>
      <w:r w:rsidRPr="00C704F8">
        <w:t xml:space="preserve"> in our strategic planning activities across customer, asset planning and compliance, engagement, water resources and </w:t>
      </w:r>
      <w:r w:rsidRPr="00C704F8">
        <w:lastRenderedPageBreak/>
        <w:t>technology. Th</w:t>
      </w:r>
      <w:r w:rsidR="007E716C">
        <w:t>is uplift</w:t>
      </w:r>
      <w:r w:rsidRPr="00C704F8">
        <w:t xml:space="preserve"> will deliver benefits to customers over the coming regulatory periods through smarter </w:t>
      </w:r>
      <w:r w:rsidR="00EB5712" w:rsidRPr="00A24BC0">
        <w:t xml:space="preserve">capital </w:t>
      </w:r>
      <w:r w:rsidR="00EB5712">
        <w:t>expenditure</w:t>
      </w:r>
      <w:r w:rsidRPr="00C704F8">
        <w:t xml:space="preserve">, more integrated approaches to asset planning and compliance, and a smoother customer service experience. </w:t>
      </w:r>
    </w:p>
    <w:p w14:paraId="6A338486" w14:textId="2F3EDA11" w:rsidR="00C704F8" w:rsidRPr="00C704F8" w:rsidRDefault="00C704F8" w:rsidP="002E32F9">
      <w:pPr>
        <w:pStyle w:val="ListBullet"/>
      </w:pPr>
      <w:r w:rsidRPr="00C704F8">
        <w:t xml:space="preserve">The integration occurred during the COVID-19 pandemic and a tightening labour market. This amplified the noise in the business. With a focus on strategic opportunities and the need to upskill staff, greater </w:t>
      </w:r>
      <w:r w:rsidR="00836E4D">
        <w:t>resourcing</w:t>
      </w:r>
      <w:r w:rsidRPr="00C704F8">
        <w:t xml:space="preserve"> was needed in corporate support services</w:t>
      </w:r>
      <w:r w:rsidR="00C776A7">
        <w:t>,</w:t>
      </w:r>
      <w:r w:rsidRPr="00C704F8">
        <w:t xml:space="preserve"> particularly </w:t>
      </w:r>
      <w:r w:rsidR="00C776A7">
        <w:t xml:space="preserve">in the </w:t>
      </w:r>
      <w:r w:rsidRPr="00C704F8">
        <w:t xml:space="preserve">people, </w:t>
      </w:r>
      <w:proofErr w:type="gramStart"/>
      <w:r w:rsidRPr="00C704F8">
        <w:t>culture</w:t>
      </w:r>
      <w:proofErr w:type="gramEnd"/>
      <w:r w:rsidRPr="00C704F8">
        <w:t xml:space="preserve"> and capability area. Additional resources were brought on to support recruitment including talent management as we reduce reliance on external service providers. </w:t>
      </w:r>
    </w:p>
    <w:p w14:paraId="50312AD5" w14:textId="77777777" w:rsidR="004F56F6" w:rsidRPr="004F56F6" w:rsidRDefault="004F56F6" w:rsidP="00D95364">
      <w:pPr>
        <w:pStyle w:val="H2xappendixlevel3H"/>
      </w:pPr>
      <w:r w:rsidRPr="004F56F6">
        <w:t xml:space="preserve">Operating expenditure baseline </w:t>
      </w:r>
      <w:proofErr w:type="gramStart"/>
      <w:r w:rsidRPr="004F56F6">
        <w:t>forecast</w:t>
      </w:r>
      <w:proofErr w:type="gramEnd"/>
    </w:p>
    <w:p w14:paraId="09451575" w14:textId="50781615" w:rsidR="004F56F6" w:rsidRPr="004F56F6" w:rsidRDefault="004F56F6" w:rsidP="004F56F6">
      <w:r w:rsidRPr="004F56F6">
        <w:t>Our proposed forecast baseline is based on an average growth of 2.8</w:t>
      </w:r>
      <w:r w:rsidR="000577FC">
        <w:t>%</w:t>
      </w:r>
      <w:r w:rsidRPr="004F56F6">
        <w:t xml:space="preserve"> per annum and an average efficiency factor of 3.0</w:t>
      </w:r>
      <w:r w:rsidR="000577FC">
        <w:t>%</w:t>
      </w:r>
      <w:r w:rsidRPr="004F56F6">
        <w:t xml:space="preserve"> per annum. The efficiency factor is supported by forecast transformation and integration efficiencies.</w:t>
      </w:r>
    </w:p>
    <w:p w14:paraId="66662711" w14:textId="21D0ED49" w:rsidR="004F56F6" w:rsidRPr="004F56F6" w:rsidRDefault="00302063" w:rsidP="004F56F6">
      <w:r>
        <w:fldChar w:fldCharType="begin"/>
      </w:r>
      <w:r>
        <w:instrText xml:space="preserve"> REF _Ref146030484 \h </w:instrText>
      </w:r>
      <w:r>
        <w:fldChar w:fldCharType="separate"/>
      </w:r>
      <w:r w:rsidR="003B42C6" w:rsidRPr="00AB355B">
        <w:rPr>
          <w:b/>
        </w:rPr>
        <w:t xml:space="preserve">Table </w:t>
      </w:r>
      <w:r w:rsidR="003B42C6">
        <w:rPr>
          <w:b/>
          <w:noProof/>
        </w:rPr>
        <w:t>81</w:t>
      </w:r>
      <w:r>
        <w:fldChar w:fldCharType="end"/>
      </w:r>
      <w:r w:rsidR="004F56F6" w:rsidRPr="004F56F6">
        <w:t xml:space="preserve"> shows the baseline forecast incorporating the growth and efficiency factors. </w:t>
      </w:r>
    </w:p>
    <w:p w14:paraId="25F69387" w14:textId="75941919" w:rsidR="004F56F6" w:rsidRPr="004F56F6" w:rsidRDefault="00C34BAB" w:rsidP="00524489">
      <w:pPr>
        <w:pStyle w:val="Caption"/>
      </w:pPr>
      <w:bookmarkStart w:id="419" w:name="_Ref146030484"/>
      <w:r w:rsidRPr="00AB355B">
        <w:rPr>
          <w:b/>
        </w:rPr>
        <w:t>Table</w:t>
      </w:r>
      <w:r w:rsidR="00CF570A" w:rsidRPr="00AB355B">
        <w:rPr>
          <w:b/>
        </w:rPr>
        <w:t xml:space="preserve"> </w:t>
      </w:r>
      <w:r w:rsidR="001F7221" w:rsidRPr="00AB355B">
        <w:rPr>
          <w:b/>
        </w:rPr>
        <w:fldChar w:fldCharType="begin"/>
      </w:r>
      <w:r w:rsidR="001F7221" w:rsidRPr="00AB355B">
        <w:rPr>
          <w:b/>
        </w:rPr>
        <w:instrText xml:space="preserve"> SEQ Table \* ARABIC </w:instrText>
      </w:r>
      <w:r w:rsidR="001F7221" w:rsidRPr="00AB355B">
        <w:rPr>
          <w:b/>
        </w:rPr>
        <w:fldChar w:fldCharType="separate"/>
      </w:r>
      <w:r w:rsidR="003B42C6">
        <w:rPr>
          <w:b/>
          <w:noProof/>
        </w:rPr>
        <w:t>81</w:t>
      </w:r>
      <w:r w:rsidR="001F7221" w:rsidRPr="00AB355B">
        <w:rPr>
          <w:b/>
        </w:rPr>
        <w:fldChar w:fldCharType="end"/>
      </w:r>
      <w:bookmarkEnd w:id="419"/>
      <w:r w:rsidR="004F56F6" w:rsidRPr="004F56F6">
        <w:t xml:space="preserve"> Forecast controllable operating expenditure with growth and efficiency forecasts ($million, 2023-24)</w:t>
      </w:r>
    </w:p>
    <w:tbl>
      <w:tblPr>
        <w:tblStyle w:val="GWWDefaulttable"/>
        <w:tblW w:w="5000" w:type="pct"/>
        <w:tblLook w:val="04A0" w:firstRow="1" w:lastRow="0" w:firstColumn="1" w:lastColumn="0" w:noHBand="0" w:noVBand="1"/>
      </w:tblPr>
      <w:tblGrid>
        <w:gridCol w:w="2160"/>
        <w:gridCol w:w="1068"/>
        <w:gridCol w:w="1068"/>
        <w:gridCol w:w="1068"/>
        <w:gridCol w:w="1068"/>
        <w:gridCol w:w="1068"/>
        <w:gridCol w:w="1068"/>
        <w:gridCol w:w="1070"/>
      </w:tblGrid>
      <w:tr w:rsidR="004F56F6" w:rsidRPr="004F56F6" w14:paraId="0D82DC04" w14:textId="77777777" w:rsidTr="00BF3FD5">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21" w:type="pct"/>
            <w:hideMark/>
          </w:tcPr>
          <w:p w14:paraId="7F866C25" w14:textId="77777777" w:rsidR="004F56F6" w:rsidRPr="004F56F6" w:rsidRDefault="004F56F6" w:rsidP="004F56F6">
            <w:r w:rsidRPr="004F56F6">
              <w:t> </w:t>
            </w:r>
          </w:p>
        </w:tc>
        <w:tc>
          <w:tcPr>
            <w:tcW w:w="554" w:type="pct"/>
            <w:vAlign w:val="center"/>
            <w:hideMark/>
          </w:tcPr>
          <w:p w14:paraId="62EFB9EE"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2022-23</w:t>
            </w:r>
          </w:p>
        </w:tc>
        <w:tc>
          <w:tcPr>
            <w:tcW w:w="554" w:type="pct"/>
            <w:vAlign w:val="center"/>
            <w:hideMark/>
          </w:tcPr>
          <w:p w14:paraId="21BCCE48"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2023-24</w:t>
            </w:r>
          </w:p>
        </w:tc>
        <w:tc>
          <w:tcPr>
            <w:tcW w:w="554" w:type="pct"/>
            <w:vAlign w:val="center"/>
            <w:hideMark/>
          </w:tcPr>
          <w:p w14:paraId="63426C6E"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2024-25</w:t>
            </w:r>
          </w:p>
        </w:tc>
        <w:tc>
          <w:tcPr>
            <w:tcW w:w="554" w:type="pct"/>
            <w:vAlign w:val="center"/>
            <w:hideMark/>
          </w:tcPr>
          <w:p w14:paraId="0646B4B8"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2025-26</w:t>
            </w:r>
          </w:p>
        </w:tc>
        <w:tc>
          <w:tcPr>
            <w:tcW w:w="554" w:type="pct"/>
            <w:vAlign w:val="center"/>
            <w:hideMark/>
          </w:tcPr>
          <w:p w14:paraId="618FBAE0"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2026-27</w:t>
            </w:r>
          </w:p>
        </w:tc>
        <w:tc>
          <w:tcPr>
            <w:tcW w:w="554" w:type="pct"/>
            <w:vAlign w:val="center"/>
            <w:hideMark/>
          </w:tcPr>
          <w:p w14:paraId="620120E1"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2027-28</w:t>
            </w:r>
          </w:p>
        </w:tc>
        <w:tc>
          <w:tcPr>
            <w:tcW w:w="555" w:type="pct"/>
            <w:vAlign w:val="center"/>
            <w:hideMark/>
          </w:tcPr>
          <w:p w14:paraId="60573B17"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Average / Total (4 year)</w:t>
            </w:r>
          </w:p>
        </w:tc>
      </w:tr>
      <w:tr w:rsidR="004F56F6" w:rsidRPr="004F56F6" w14:paraId="426832B9"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703F4630" w14:textId="77777777" w:rsidR="004F56F6" w:rsidRPr="00BF3FD5" w:rsidRDefault="004F56F6" w:rsidP="004F56F6">
            <w:pPr>
              <w:rPr>
                <w:b w:val="0"/>
              </w:rPr>
            </w:pPr>
            <w:r w:rsidRPr="00BF3FD5">
              <w:rPr>
                <w:b w:val="0"/>
              </w:rPr>
              <w:t>Growth</w:t>
            </w:r>
          </w:p>
        </w:tc>
        <w:tc>
          <w:tcPr>
            <w:tcW w:w="554" w:type="pct"/>
            <w:vAlign w:val="center"/>
            <w:hideMark/>
          </w:tcPr>
          <w:p w14:paraId="46749D3E"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02C12C78"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3.29%</w:t>
            </w:r>
          </w:p>
        </w:tc>
        <w:tc>
          <w:tcPr>
            <w:tcW w:w="554" w:type="pct"/>
            <w:vAlign w:val="center"/>
            <w:hideMark/>
          </w:tcPr>
          <w:p w14:paraId="47D39C02"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3.03%</w:t>
            </w:r>
          </w:p>
        </w:tc>
        <w:tc>
          <w:tcPr>
            <w:tcW w:w="554" w:type="pct"/>
            <w:vAlign w:val="center"/>
            <w:hideMark/>
          </w:tcPr>
          <w:p w14:paraId="1C14DD36"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3.11%</w:t>
            </w:r>
          </w:p>
        </w:tc>
        <w:tc>
          <w:tcPr>
            <w:tcW w:w="554" w:type="pct"/>
            <w:vAlign w:val="center"/>
            <w:hideMark/>
          </w:tcPr>
          <w:p w14:paraId="67771AF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2.58%</w:t>
            </w:r>
          </w:p>
        </w:tc>
        <w:tc>
          <w:tcPr>
            <w:tcW w:w="554" w:type="pct"/>
            <w:vAlign w:val="center"/>
            <w:hideMark/>
          </w:tcPr>
          <w:p w14:paraId="5F53227E"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2.54%</w:t>
            </w:r>
          </w:p>
        </w:tc>
        <w:tc>
          <w:tcPr>
            <w:tcW w:w="555" w:type="pct"/>
            <w:vAlign w:val="center"/>
            <w:hideMark/>
          </w:tcPr>
          <w:p w14:paraId="135F19A9"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2.81%</w:t>
            </w:r>
          </w:p>
        </w:tc>
      </w:tr>
      <w:tr w:rsidR="004F56F6" w:rsidRPr="004F56F6" w14:paraId="688045C4"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326EC43E" w14:textId="77777777" w:rsidR="004F56F6" w:rsidRPr="00BF3FD5" w:rsidRDefault="004F56F6" w:rsidP="004F56F6">
            <w:pPr>
              <w:rPr>
                <w:b w:val="0"/>
              </w:rPr>
            </w:pPr>
            <w:r w:rsidRPr="00BF3FD5">
              <w:rPr>
                <w:b w:val="0"/>
              </w:rPr>
              <w:t>Efficiency</w:t>
            </w:r>
          </w:p>
        </w:tc>
        <w:tc>
          <w:tcPr>
            <w:tcW w:w="554" w:type="pct"/>
            <w:vAlign w:val="center"/>
            <w:hideMark/>
          </w:tcPr>
          <w:p w14:paraId="5E6B3A9D"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52B48CC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2.00%</w:t>
            </w:r>
          </w:p>
        </w:tc>
        <w:tc>
          <w:tcPr>
            <w:tcW w:w="554" w:type="pct"/>
            <w:vAlign w:val="center"/>
            <w:hideMark/>
          </w:tcPr>
          <w:p w14:paraId="738A604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3.80%</w:t>
            </w:r>
          </w:p>
        </w:tc>
        <w:tc>
          <w:tcPr>
            <w:tcW w:w="554" w:type="pct"/>
            <w:vAlign w:val="center"/>
            <w:hideMark/>
          </w:tcPr>
          <w:p w14:paraId="1E9D3CE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3.30%</w:t>
            </w:r>
          </w:p>
        </w:tc>
        <w:tc>
          <w:tcPr>
            <w:tcW w:w="554" w:type="pct"/>
            <w:vAlign w:val="center"/>
            <w:hideMark/>
          </w:tcPr>
          <w:p w14:paraId="1136E036"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2.75%</w:t>
            </w:r>
          </w:p>
        </w:tc>
        <w:tc>
          <w:tcPr>
            <w:tcW w:w="554" w:type="pct"/>
            <w:vAlign w:val="center"/>
            <w:hideMark/>
          </w:tcPr>
          <w:p w14:paraId="01442D1F"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2.15%</w:t>
            </w:r>
          </w:p>
        </w:tc>
        <w:tc>
          <w:tcPr>
            <w:tcW w:w="555" w:type="pct"/>
            <w:vAlign w:val="center"/>
            <w:hideMark/>
          </w:tcPr>
          <w:p w14:paraId="2F83A5E6"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3.00%</w:t>
            </w:r>
          </w:p>
        </w:tc>
      </w:tr>
      <w:tr w:rsidR="004F56F6" w:rsidRPr="004F56F6" w14:paraId="16868CB9"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1C01540C" w14:textId="77777777" w:rsidR="004F56F6" w:rsidRPr="00BF3FD5" w:rsidRDefault="004F56F6" w:rsidP="004F56F6">
            <w:pPr>
              <w:rPr>
                <w:b w:val="0"/>
              </w:rPr>
            </w:pPr>
            <w:r w:rsidRPr="00BF3FD5">
              <w:rPr>
                <w:b w:val="0"/>
              </w:rPr>
              <w:t>Net Efficiency</w:t>
            </w:r>
          </w:p>
        </w:tc>
        <w:tc>
          <w:tcPr>
            <w:tcW w:w="554" w:type="pct"/>
            <w:vAlign w:val="center"/>
            <w:hideMark/>
          </w:tcPr>
          <w:p w14:paraId="7A021870"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3D7076D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-1.29%</w:t>
            </w:r>
          </w:p>
        </w:tc>
        <w:tc>
          <w:tcPr>
            <w:tcW w:w="554" w:type="pct"/>
            <w:vAlign w:val="center"/>
            <w:hideMark/>
          </w:tcPr>
          <w:p w14:paraId="1E8C4DE8"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0.77%</w:t>
            </w:r>
          </w:p>
        </w:tc>
        <w:tc>
          <w:tcPr>
            <w:tcW w:w="554" w:type="pct"/>
            <w:vAlign w:val="center"/>
            <w:hideMark/>
          </w:tcPr>
          <w:p w14:paraId="0795866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0.19%</w:t>
            </w:r>
          </w:p>
        </w:tc>
        <w:tc>
          <w:tcPr>
            <w:tcW w:w="554" w:type="pct"/>
            <w:vAlign w:val="center"/>
            <w:hideMark/>
          </w:tcPr>
          <w:p w14:paraId="0E524EC7"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0.17%</w:t>
            </w:r>
          </w:p>
        </w:tc>
        <w:tc>
          <w:tcPr>
            <w:tcW w:w="554" w:type="pct"/>
            <w:vAlign w:val="center"/>
            <w:hideMark/>
          </w:tcPr>
          <w:p w14:paraId="06A4D99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-0.39%</w:t>
            </w:r>
          </w:p>
        </w:tc>
        <w:tc>
          <w:tcPr>
            <w:tcW w:w="555" w:type="pct"/>
            <w:vAlign w:val="center"/>
            <w:hideMark/>
          </w:tcPr>
          <w:p w14:paraId="7D3C89FC"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0.19%</w:t>
            </w:r>
          </w:p>
        </w:tc>
      </w:tr>
      <w:tr w:rsidR="004F56F6" w:rsidRPr="004F56F6" w14:paraId="7428B287"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42D15891" w14:textId="4B092078" w:rsidR="004F56F6" w:rsidRPr="004F56F6" w:rsidRDefault="004F56F6" w:rsidP="004F56F6">
            <w:r w:rsidRPr="004F56F6">
              <w:t xml:space="preserve">Baseline forecast </w:t>
            </w:r>
          </w:p>
        </w:tc>
        <w:tc>
          <w:tcPr>
            <w:tcW w:w="554" w:type="pct"/>
            <w:vAlign w:val="center"/>
            <w:hideMark/>
          </w:tcPr>
          <w:p w14:paraId="743F97D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209.63</w:t>
            </w:r>
          </w:p>
        </w:tc>
        <w:tc>
          <w:tcPr>
            <w:tcW w:w="554" w:type="pct"/>
            <w:vAlign w:val="center"/>
            <w:hideMark/>
          </w:tcPr>
          <w:p w14:paraId="46B08219"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212.34</w:t>
            </w:r>
          </w:p>
        </w:tc>
        <w:tc>
          <w:tcPr>
            <w:tcW w:w="554" w:type="pct"/>
            <w:vAlign w:val="center"/>
            <w:hideMark/>
          </w:tcPr>
          <w:p w14:paraId="7C7BCA1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210.69</w:t>
            </w:r>
          </w:p>
        </w:tc>
        <w:tc>
          <w:tcPr>
            <w:tcW w:w="554" w:type="pct"/>
            <w:vAlign w:val="center"/>
            <w:hideMark/>
          </w:tcPr>
          <w:p w14:paraId="340448AB"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210.29</w:t>
            </w:r>
          </w:p>
        </w:tc>
        <w:tc>
          <w:tcPr>
            <w:tcW w:w="554" w:type="pct"/>
            <w:vAlign w:val="center"/>
            <w:hideMark/>
          </w:tcPr>
          <w:p w14:paraId="2364951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209.92</w:t>
            </w:r>
          </w:p>
        </w:tc>
        <w:tc>
          <w:tcPr>
            <w:tcW w:w="554" w:type="pct"/>
            <w:vAlign w:val="center"/>
            <w:hideMark/>
          </w:tcPr>
          <w:p w14:paraId="64B7C248"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210.73</w:t>
            </w:r>
          </w:p>
        </w:tc>
        <w:tc>
          <w:tcPr>
            <w:tcW w:w="555" w:type="pct"/>
            <w:vAlign w:val="center"/>
            <w:hideMark/>
          </w:tcPr>
          <w:p w14:paraId="78A52FD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841.63</w:t>
            </w:r>
          </w:p>
        </w:tc>
      </w:tr>
    </w:tbl>
    <w:p w14:paraId="6610A31F" w14:textId="77777777" w:rsidR="004F023C" w:rsidRPr="004F023C" w:rsidRDefault="004F023C" w:rsidP="00D9200D">
      <w:pPr>
        <w:pStyle w:val="Heading5-nonumber"/>
      </w:pPr>
      <w:r w:rsidRPr="004F023C">
        <w:t>Growth</w:t>
      </w:r>
    </w:p>
    <w:p w14:paraId="274EC6E3" w14:textId="286F8793" w:rsidR="004F023C" w:rsidRPr="004F023C" w:rsidRDefault="004F023C" w:rsidP="004F023C">
      <w:r w:rsidRPr="004F023C">
        <w:t>GWW is a newly integrated business with limited historical data on actual performance. While data exists for CWW and WW, it is unclear how these historical growth rates are relatable to the operating expenditure associated with the new integrated businesses GWW.</w:t>
      </w:r>
      <w:r w:rsidR="00DB308C">
        <w:t xml:space="preserve"> </w:t>
      </w:r>
      <w:r w:rsidRPr="004F023C">
        <w:t>Given the historical data does not provide a reliable basis for considering the historical impact of growth on operating expenditure, GWW proposes to adopt the ESC’s established regulatory approach of using water connections growth rate as the growth factor. While sewer connections have been higher in recent years, typically it is water properties being connected to sewer rather than sewer only properties.</w:t>
      </w:r>
    </w:p>
    <w:p w14:paraId="1430B827" w14:textId="3B33DC4B" w:rsidR="004F023C" w:rsidRPr="004F023C" w:rsidRDefault="004F023C" w:rsidP="004F023C">
      <w:r w:rsidRPr="004F023C">
        <w:t>The growth rate proposed is based on the Victoria in Future 202</w:t>
      </w:r>
      <w:r w:rsidR="005D7C3F">
        <w:t>2</w:t>
      </w:r>
      <w:r w:rsidRPr="004F023C">
        <w:t xml:space="preserve"> forecast </w:t>
      </w:r>
      <w:r w:rsidR="00F36E06">
        <w:t>that has been used to forecast connections in</w:t>
      </w:r>
      <w:r w:rsidRPr="004F023C">
        <w:t xml:space="preserve"> </w:t>
      </w:r>
      <w:r w:rsidR="00267293">
        <w:t>S</w:t>
      </w:r>
      <w:r w:rsidRPr="004F023C">
        <w:t>ection</w:t>
      </w:r>
      <w:r w:rsidR="00B46DA6">
        <w:t xml:space="preserve"> </w:t>
      </w:r>
      <w:r w:rsidR="004B5568">
        <w:t>7</w:t>
      </w:r>
      <w:r w:rsidR="00B46DA6">
        <w:fldChar w:fldCharType="begin"/>
      </w:r>
      <w:r w:rsidR="00B46DA6">
        <w:instrText xml:space="preserve"> REF _Ref146626248 \r \h </w:instrText>
      </w:r>
      <w:r w:rsidR="0069425C">
        <w:fldChar w:fldCharType="separate"/>
      </w:r>
      <w:r w:rsidR="00B46DA6">
        <w:fldChar w:fldCharType="end"/>
      </w:r>
      <w:r w:rsidRPr="004F023C">
        <w:t xml:space="preserve">. </w:t>
      </w:r>
    </w:p>
    <w:p w14:paraId="2C1560CC" w14:textId="7EB7F4A8" w:rsidR="004F023C" w:rsidRPr="004F023C" w:rsidRDefault="004F023C" w:rsidP="004F023C">
      <w:r w:rsidRPr="004F023C">
        <w:t>The growth forecasts used are shown in</w:t>
      </w:r>
      <w:r w:rsidR="000C71D9">
        <w:t xml:space="preserve"> </w:t>
      </w:r>
      <w:r w:rsidR="000C71D9">
        <w:fldChar w:fldCharType="begin"/>
      </w:r>
      <w:r w:rsidR="000C71D9">
        <w:instrText xml:space="preserve"> REF _Ref145978941 \h </w:instrText>
      </w:r>
      <w:r w:rsidR="000C71D9">
        <w:fldChar w:fldCharType="separate"/>
      </w:r>
      <w:r w:rsidR="003B42C6" w:rsidRPr="007A0342">
        <w:rPr>
          <w:b/>
        </w:rPr>
        <w:t xml:space="preserve">Table </w:t>
      </w:r>
      <w:r w:rsidR="003B42C6">
        <w:rPr>
          <w:b/>
          <w:noProof/>
        </w:rPr>
        <w:t>82</w:t>
      </w:r>
      <w:r w:rsidR="000C71D9">
        <w:fldChar w:fldCharType="end"/>
      </w:r>
      <w:r w:rsidRPr="004F023C">
        <w:t>.</w:t>
      </w:r>
    </w:p>
    <w:p w14:paraId="4B2F4787" w14:textId="53D88EBE" w:rsidR="004F023C" w:rsidRPr="004F023C" w:rsidRDefault="00F36E06" w:rsidP="00470307">
      <w:pPr>
        <w:pStyle w:val="Caption"/>
      </w:pPr>
      <w:bookmarkStart w:id="420" w:name="_Ref145978941"/>
      <w:r w:rsidRPr="007A0342">
        <w:rPr>
          <w:b/>
        </w:rPr>
        <w:lastRenderedPageBreak/>
        <w:t>Table</w:t>
      </w:r>
      <w:r w:rsidR="00CF570A" w:rsidRPr="007A0342">
        <w:rPr>
          <w:b/>
        </w:rPr>
        <w:t xml:space="preserv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82</w:t>
      </w:r>
      <w:r w:rsidR="001F7221" w:rsidRPr="007A0342">
        <w:rPr>
          <w:b/>
        </w:rPr>
        <w:fldChar w:fldCharType="end"/>
      </w:r>
      <w:bookmarkEnd w:id="420"/>
      <w:r w:rsidR="001478BA">
        <w:t xml:space="preserve"> </w:t>
      </w:r>
      <w:r w:rsidR="004F023C" w:rsidRPr="004F023C">
        <w:t>Growth forecasts</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4F023C" w:rsidRPr="004F023C" w14:paraId="6D55C065" w14:textId="77777777" w:rsidTr="00BF3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6FD7E294" w14:textId="77777777" w:rsidR="004F023C" w:rsidRPr="004F023C" w:rsidRDefault="004F023C" w:rsidP="004F023C"/>
        </w:tc>
        <w:tc>
          <w:tcPr>
            <w:tcW w:w="714" w:type="pct"/>
            <w:vAlign w:val="center"/>
          </w:tcPr>
          <w:p w14:paraId="481C2E1E"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2023-24</w:t>
            </w:r>
          </w:p>
        </w:tc>
        <w:tc>
          <w:tcPr>
            <w:tcW w:w="714" w:type="pct"/>
            <w:vAlign w:val="center"/>
          </w:tcPr>
          <w:p w14:paraId="7C221388"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2024-25</w:t>
            </w:r>
          </w:p>
        </w:tc>
        <w:tc>
          <w:tcPr>
            <w:tcW w:w="714" w:type="pct"/>
            <w:vAlign w:val="center"/>
          </w:tcPr>
          <w:p w14:paraId="4254320E"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2025-26</w:t>
            </w:r>
          </w:p>
        </w:tc>
        <w:tc>
          <w:tcPr>
            <w:tcW w:w="714" w:type="pct"/>
            <w:vAlign w:val="center"/>
          </w:tcPr>
          <w:p w14:paraId="3311216C"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2026-27</w:t>
            </w:r>
          </w:p>
        </w:tc>
        <w:tc>
          <w:tcPr>
            <w:tcW w:w="714" w:type="pct"/>
            <w:vAlign w:val="center"/>
          </w:tcPr>
          <w:p w14:paraId="333BFA03"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2027-28</w:t>
            </w:r>
          </w:p>
        </w:tc>
        <w:tc>
          <w:tcPr>
            <w:tcW w:w="714" w:type="pct"/>
            <w:vAlign w:val="center"/>
          </w:tcPr>
          <w:p w14:paraId="1EF30D66" w14:textId="6095DB55"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Average </w:t>
            </w:r>
            <w:r w:rsidR="008823AD">
              <w:br/>
            </w:r>
            <w:r w:rsidRPr="004F023C">
              <w:t>(4 years)</w:t>
            </w:r>
          </w:p>
        </w:tc>
      </w:tr>
      <w:tr w:rsidR="004F023C" w:rsidRPr="004F023C" w14:paraId="5E1A77AA" w14:textId="77777777" w:rsidTr="00BF3FD5">
        <w:tc>
          <w:tcPr>
            <w:cnfStyle w:val="001000000000" w:firstRow="0" w:lastRow="0" w:firstColumn="1" w:lastColumn="0" w:oddVBand="0" w:evenVBand="0" w:oddHBand="0" w:evenHBand="0" w:firstRowFirstColumn="0" w:firstRowLastColumn="0" w:lastRowFirstColumn="0" w:lastRowLastColumn="0"/>
            <w:tcW w:w="714" w:type="pct"/>
          </w:tcPr>
          <w:p w14:paraId="0DC2C154" w14:textId="77777777" w:rsidR="004F023C" w:rsidRPr="004F023C" w:rsidRDefault="004F023C" w:rsidP="004F023C">
            <w:r w:rsidRPr="00BF3FD5">
              <w:rPr>
                <w:b w:val="0"/>
              </w:rPr>
              <w:t>Proposed</w:t>
            </w:r>
            <w:r w:rsidRPr="004F023C">
              <w:t xml:space="preserve"> </w:t>
            </w:r>
          </w:p>
        </w:tc>
        <w:tc>
          <w:tcPr>
            <w:tcW w:w="714" w:type="pct"/>
            <w:vAlign w:val="center"/>
          </w:tcPr>
          <w:p w14:paraId="037F76E1"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3.29%</w:t>
            </w:r>
          </w:p>
        </w:tc>
        <w:tc>
          <w:tcPr>
            <w:tcW w:w="714" w:type="pct"/>
            <w:vAlign w:val="center"/>
          </w:tcPr>
          <w:p w14:paraId="4C005487"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3.02%</w:t>
            </w:r>
          </w:p>
        </w:tc>
        <w:tc>
          <w:tcPr>
            <w:tcW w:w="714" w:type="pct"/>
            <w:vAlign w:val="center"/>
          </w:tcPr>
          <w:p w14:paraId="43B7A120"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3.11%</w:t>
            </w:r>
          </w:p>
        </w:tc>
        <w:tc>
          <w:tcPr>
            <w:tcW w:w="714" w:type="pct"/>
            <w:vAlign w:val="center"/>
          </w:tcPr>
          <w:p w14:paraId="76AD198B"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2.58%</w:t>
            </w:r>
          </w:p>
        </w:tc>
        <w:tc>
          <w:tcPr>
            <w:tcW w:w="714" w:type="pct"/>
            <w:vAlign w:val="center"/>
          </w:tcPr>
          <w:p w14:paraId="69B9F04A"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2.54%</w:t>
            </w:r>
          </w:p>
        </w:tc>
        <w:tc>
          <w:tcPr>
            <w:tcW w:w="714" w:type="pct"/>
            <w:vAlign w:val="center"/>
          </w:tcPr>
          <w:p w14:paraId="1D443E65" w14:textId="77777777" w:rsidR="004F023C" w:rsidRPr="00A21A29" w:rsidRDefault="004F023C" w:rsidP="000C71D9">
            <w:pPr>
              <w:jc w:val="right"/>
              <w:cnfStyle w:val="000000000000" w:firstRow="0" w:lastRow="0" w:firstColumn="0" w:lastColumn="0" w:oddVBand="0" w:evenVBand="0" w:oddHBand="0" w:evenHBand="0" w:firstRowFirstColumn="0" w:firstRowLastColumn="0" w:lastRowFirstColumn="0" w:lastRowLastColumn="0"/>
              <w:rPr>
                <w:b/>
              </w:rPr>
            </w:pPr>
            <w:r w:rsidRPr="00A21A29">
              <w:rPr>
                <w:b/>
              </w:rPr>
              <w:t>2.81%</w:t>
            </w:r>
          </w:p>
        </w:tc>
      </w:tr>
    </w:tbl>
    <w:p w14:paraId="60997782" w14:textId="77777777" w:rsidR="004F023C" w:rsidRPr="004F023C" w:rsidRDefault="004F023C" w:rsidP="00470307">
      <w:pPr>
        <w:pStyle w:val="Heading5-nonumber"/>
      </w:pPr>
      <w:r w:rsidRPr="004F023C">
        <w:t>Efficiency</w:t>
      </w:r>
    </w:p>
    <w:p w14:paraId="7A8A9ADA" w14:textId="77777777" w:rsidR="004F023C" w:rsidRPr="004F023C" w:rsidRDefault="004F023C" w:rsidP="004F023C">
      <w:r w:rsidRPr="004F023C">
        <w:t xml:space="preserve">GWW proposes an average annual compounding efficiency factor of 3.0%. Our proposal is based on bottom-up accounting of the efficiencies we are expecting to realise through our integration and transformation programs in addition to more broader efficiencies we are expecting to be achieved over time through economies of scale and scope. </w:t>
      </w:r>
    </w:p>
    <w:p w14:paraId="32639B3A" w14:textId="374152AF" w:rsidR="004F023C" w:rsidRPr="004F023C" w:rsidRDefault="004F023C" w:rsidP="004F023C">
      <w:r w:rsidRPr="004F023C">
        <w:t>Our efficiency forecast captures the following components (the annual profile of efficiency saving is outlined in</w:t>
      </w:r>
      <w:r w:rsidR="00977E37">
        <w:t xml:space="preserve"> </w:t>
      </w:r>
      <w:r w:rsidR="00977E37">
        <w:fldChar w:fldCharType="begin"/>
      </w:r>
      <w:r w:rsidR="00977E37">
        <w:instrText xml:space="preserve"> REF _Ref145978988 \h </w:instrText>
      </w:r>
      <w:r w:rsidR="00977E37">
        <w:fldChar w:fldCharType="separate"/>
      </w:r>
      <w:r w:rsidR="003B42C6" w:rsidRPr="007A0342">
        <w:rPr>
          <w:b/>
        </w:rPr>
        <w:t xml:space="preserve">Table </w:t>
      </w:r>
      <w:r w:rsidR="003B42C6">
        <w:rPr>
          <w:b/>
          <w:noProof/>
        </w:rPr>
        <w:t>83</w:t>
      </w:r>
      <w:r w:rsidR="00977E37">
        <w:fldChar w:fldCharType="end"/>
      </w:r>
      <w:r w:rsidRPr="004C3276">
        <w:t>):</w:t>
      </w:r>
    </w:p>
    <w:p w14:paraId="3246C7A1" w14:textId="141543F3" w:rsidR="004F023C" w:rsidRPr="004F023C" w:rsidRDefault="004F023C" w:rsidP="00470307">
      <w:pPr>
        <w:pStyle w:val="ListBullet"/>
      </w:pPr>
      <w:r w:rsidRPr="00470307">
        <w:rPr>
          <w:b/>
        </w:rPr>
        <w:t>Identified integration efficiencies</w:t>
      </w:r>
      <w:r w:rsidRPr="004F023C">
        <w:t xml:space="preserve">: Theses are efficiencies we will generate through our programs aimed at consolidating our people, </w:t>
      </w:r>
      <w:proofErr w:type="gramStart"/>
      <w:r w:rsidRPr="004F023C">
        <w:t>systems</w:t>
      </w:r>
      <w:proofErr w:type="gramEnd"/>
      <w:r w:rsidRPr="004F023C">
        <w:t xml:space="preserve"> and processes.</w:t>
      </w:r>
      <w:r w:rsidR="00DB308C">
        <w:t xml:space="preserve"> </w:t>
      </w:r>
      <w:r w:rsidRPr="004F023C">
        <w:t>They build on the efficiencies delivered from integration expenditure in 2022-23 and 2023-24, including an intermediate year efficiency of 2% that is consistent with the proposals in the 2018 and 2020 price submissions.</w:t>
      </w:r>
    </w:p>
    <w:p w14:paraId="606530DF" w14:textId="77777777" w:rsidR="004F023C" w:rsidRPr="004F023C" w:rsidRDefault="004F023C" w:rsidP="00470307">
      <w:pPr>
        <w:pStyle w:val="ListBullet"/>
      </w:pPr>
      <w:r w:rsidRPr="00470307">
        <w:rPr>
          <w:b/>
        </w:rPr>
        <w:t>Identified transformation efficiencies</w:t>
      </w:r>
      <w:r w:rsidRPr="004F023C">
        <w:t>: These are efficiencies we have identified and quantified for our transformation program. They include:</w:t>
      </w:r>
    </w:p>
    <w:p w14:paraId="2510BC7F" w14:textId="77777777" w:rsidR="004F023C" w:rsidRPr="004F023C" w:rsidRDefault="004F023C">
      <w:pPr>
        <w:pStyle w:val="ListBullet"/>
        <w:numPr>
          <w:ilvl w:val="1"/>
          <w:numId w:val="40"/>
        </w:numPr>
      </w:pPr>
      <w:r w:rsidRPr="004F023C">
        <w:t xml:space="preserve">uplift in </w:t>
      </w:r>
      <w:r w:rsidRPr="00470307">
        <w:rPr>
          <w:b/>
        </w:rPr>
        <w:t>safety</w:t>
      </w:r>
      <w:r w:rsidRPr="004F023C">
        <w:t xml:space="preserve"> investment and changes to asset construction through streamlining processes and procedures, and increases in remote meter </w:t>
      </w:r>
      <w:proofErr w:type="gramStart"/>
      <w:r w:rsidRPr="004F023C">
        <w:t>reading</w:t>
      </w:r>
      <w:proofErr w:type="gramEnd"/>
    </w:p>
    <w:p w14:paraId="0E1C13AE" w14:textId="77777777" w:rsidR="004F023C" w:rsidRPr="004F023C" w:rsidRDefault="004F023C">
      <w:pPr>
        <w:pStyle w:val="ListBullet"/>
        <w:numPr>
          <w:ilvl w:val="1"/>
          <w:numId w:val="40"/>
        </w:numPr>
      </w:pPr>
      <w:r w:rsidRPr="004F023C">
        <w:t xml:space="preserve">working towards improved </w:t>
      </w:r>
      <w:r w:rsidRPr="00470307">
        <w:rPr>
          <w:b/>
        </w:rPr>
        <w:t>customer services</w:t>
      </w:r>
      <w:r w:rsidRPr="004F023C">
        <w:t xml:space="preserve"> through COVID and as we integrate and transform our service delivery through increased e-billing and self-serve.</w:t>
      </w:r>
    </w:p>
    <w:p w14:paraId="662BAEE2" w14:textId="77777777" w:rsidR="004F023C" w:rsidRPr="004F023C" w:rsidRDefault="004F023C">
      <w:pPr>
        <w:pStyle w:val="ListBullet"/>
        <w:numPr>
          <w:ilvl w:val="1"/>
          <w:numId w:val="40"/>
        </w:numPr>
      </w:pPr>
      <w:r w:rsidRPr="004F023C">
        <w:t xml:space="preserve">investment in permanent solutions to manage </w:t>
      </w:r>
      <w:r w:rsidRPr="00470307">
        <w:rPr>
          <w:b/>
        </w:rPr>
        <w:t>compliance</w:t>
      </w:r>
      <w:r w:rsidRPr="004F023C">
        <w:t xml:space="preserve"> and reduce operating expenditure on incidents and management of </w:t>
      </w:r>
      <w:proofErr w:type="gramStart"/>
      <w:r w:rsidRPr="004F023C">
        <w:t>non-compliance</w:t>
      </w:r>
      <w:proofErr w:type="gramEnd"/>
    </w:p>
    <w:p w14:paraId="34E1088B" w14:textId="77777777" w:rsidR="004F023C" w:rsidRPr="004F023C" w:rsidRDefault="004F023C">
      <w:pPr>
        <w:pStyle w:val="ListBullet"/>
        <w:numPr>
          <w:ilvl w:val="1"/>
          <w:numId w:val="40"/>
        </w:numPr>
      </w:pPr>
      <w:r w:rsidRPr="004F023C">
        <w:t xml:space="preserve">investing in our assets and developing consistent </w:t>
      </w:r>
      <w:r w:rsidRPr="00470307">
        <w:rPr>
          <w:b/>
        </w:rPr>
        <w:t>asset management</w:t>
      </w:r>
      <w:r w:rsidRPr="004F023C">
        <w:t xml:space="preserve"> processes  </w:t>
      </w:r>
    </w:p>
    <w:p w14:paraId="38117A50" w14:textId="6A28888E" w:rsidR="004F023C" w:rsidRPr="004F023C" w:rsidRDefault="004F023C">
      <w:pPr>
        <w:pStyle w:val="ListBullet"/>
        <w:numPr>
          <w:ilvl w:val="1"/>
          <w:numId w:val="40"/>
        </w:numPr>
      </w:pPr>
      <w:r w:rsidRPr="004F023C">
        <w:t xml:space="preserve">streamlining key </w:t>
      </w:r>
      <w:r w:rsidRPr="00470307">
        <w:t>corporate functions</w:t>
      </w:r>
      <w:r w:rsidR="00470307">
        <w:t>.</w:t>
      </w:r>
    </w:p>
    <w:p w14:paraId="118E2349" w14:textId="2365B58F" w:rsidR="004F023C" w:rsidRPr="004F023C" w:rsidRDefault="004F023C" w:rsidP="00470307">
      <w:pPr>
        <w:pStyle w:val="ListBullet"/>
      </w:pPr>
      <w:r w:rsidRPr="00470307">
        <w:rPr>
          <w:b/>
        </w:rPr>
        <w:t>Unidentified transformation efficiency target:</w:t>
      </w:r>
      <w:r w:rsidRPr="004F023C">
        <w:t xml:space="preserve"> As the transformation and integration programs progress, there are unquantified and/or unidentified efficiencies that can be delivered. We have proposed an efficiency target to address these and deliver the best off for our customers.</w:t>
      </w:r>
    </w:p>
    <w:p w14:paraId="14EC614B" w14:textId="77777777" w:rsidR="004F023C" w:rsidRPr="004F023C" w:rsidRDefault="004F023C" w:rsidP="00470307">
      <w:pPr>
        <w:pStyle w:val="ListBullet"/>
      </w:pPr>
      <w:r w:rsidRPr="00470307">
        <w:rPr>
          <w:b/>
        </w:rPr>
        <w:t>Residual (economies of scale and scope):</w:t>
      </w:r>
      <w:r w:rsidRPr="004F023C">
        <w:t xml:space="preserve"> Residual efficiencies that can be delivered through economies of scale and scope. This is equivalent to a standard business under the PREMO framework of 1.4% efficiency.</w:t>
      </w:r>
    </w:p>
    <w:p w14:paraId="50F200E7" w14:textId="34D66534" w:rsidR="004F023C" w:rsidRPr="004F023C" w:rsidRDefault="004F023C" w:rsidP="004F023C">
      <w:r w:rsidRPr="004F023C">
        <w:t>Our proposed efficiency savings of $31.2 million compared to the base year are presented in</w:t>
      </w:r>
      <w:r w:rsidR="00592867">
        <w:t xml:space="preserve"> </w:t>
      </w:r>
      <w:r w:rsidR="000C71D9">
        <w:fldChar w:fldCharType="begin"/>
      </w:r>
      <w:r w:rsidR="000C71D9">
        <w:instrText xml:space="preserve"> REF _Ref145978988 \h </w:instrText>
      </w:r>
      <w:r w:rsidR="000C71D9">
        <w:fldChar w:fldCharType="separate"/>
      </w:r>
      <w:r w:rsidR="003B42C6" w:rsidRPr="007A0342">
        <w:rPr>
          <w:b/>
        </w:rPr>
        <w:t xml:space="preserve">Table </w:t>
      </w:r>
      <w:r w:rsidR="003B42C6">
        <w:rPr>
          <w:b/>
          <w:noProof/>
        </w:rPr>
        <w:t>83</w:t>
      </w:r>
      <w:r w:rsidR="000C71D9">
        <w:fldChar w:fldCharType="end"/>
      </w:r>
      <w:r w:rsidRPr="004F023C">
        <w:t>.</w:t>
      </w:r>
    </w:p>
    <w:p w14:paraId="420DDCE1" w14:textId="6C72E991" w:rsidR="004F023C" w:rsidRPr="004F023C" w:rsidRDefault="000F42A6" w:rsidP="00470307">
      <w:pPr>
        <w:pStyle w:val="Caption"/>
      </w:pPr>
      <w:bookmarkStart w:id="421" w:name="_Ref145978988"/>
      <w:r w:rsidRPr="007A0342">
        <w:rPr>
          <w:b/>
        </w:rPr>
        <w:t xml:space="preserve">Table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83</w:t>
      </w:r>
      <w:r w:rsidR="001F7221" w:rsidRPr="007A0342">
        <w:rPr>
          <w:b/>
        </w:rPr>
        <w:fldChar w:fldCharType="end"/>
      </w:r>
      <w:bookmarkEnd w:id="421"/>
      <w:r w:rsidR="004F023C" w:rsidRPr="004F023C">
        <w:t xml:space="preserve"> Total forecast year on year efficiencies proposed relative to 2022-23 baseline ($million, 2023-24) </w:t>
      </w:r>
    </w:p>
    <w:tbl>
      <w:tblPr>
        <w:tblStyle w:val="GWWDefaulttable"/>
        <w:tblW w:w="5000" w:type="pct"/>
        <w:tblLook w:val="04A0" w:firstRow="1" w:lastRow="0" w:firstColumn="1" w:lastColumn="0" w:noHBand="0" w:noVBand="1"/>
      </w:tblPr>
      <w:tblGrid>
        <w:gridCol w:w="2739"/>
        <w:gridCol w:w="1334"/>
        <w:gridCol w:w="1334"/>
        <w:gridCol w:w="1411"/>
        <w:gridCol w:w="1411"/>
        <w:gridCol w:w="1409"/>
      </w:tblGrid>
      <w:tr w:rsidR="004F023C" w:rsidRPr="004F023C" w14:paraId="1DCB662A" w14:textId="77777777" w:rsidTr="007A034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21" w:type="pct"/>
            <w:hideMark/>
          </w:tcPr>
          <w:p w14:paraId="28DF6B4C" w14:textId="77777777" w:rsidR="004F023C" w:rsidRPr="004F023C" w:rsidRDefault="004F023C" w:rsidP="004F023C">
            <w:r w:rsidRPr="004F023C">
              <w:t> </w:t>
            </w:r>
          </w:p>
        </w:tc>
        <w:tc>
          <w:tcPr>
            <w:tcW w:w="692" w:type="pct"/>
            <w:vAlign w:val="center"/>
          </w:tcPr>
          <w:p w14:paraId="1E2407FF"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2023-24 </w:t>
            </w:r>
          </w:p>
        </w:tc>
        <w:tc>
          <w:tcPr>
            <w:tcW w:w="692" w:type="pct"/>
            <w:vAlign w:val="center"/>
          </w:tcPr>
          <w:p w14:paraId="67537CC1"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2024-25 </w:t>
            </w:r>
          </w:p>
        </w:tc>
        <w:tc>
          <w:tcPr>
            <w:tcW w:w="732" w:type="pct"/>
            <w:vAlign w:val="center"/>
          </w:tcPr>
          <w:p w14:paraId="08E5DE05"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2025-26 </w:t>
            </w:r>
          </w:p>
        </w:tc>
        <w:tc>
          <w:tcPr>
            <w:tcW w:w="732" w:type="pct"/>
            <w:vAlign w:val="center"/>
          </w:tcPr>
          <w:p w14:paraId="75831A7D"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2026-27 </w:t>
            </w:r>
          </w:p>
        </w:tc>
        <w:tc>
          <w:tcPr>
            <w:tcW w:w="732" w:type="pct"/>
            <w:vAlign w:val="center"/>
          </w:tcPr>
          <w:p w14:paraId="419C21D9"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2027-28 </w:t>
            </w:r>
          </w:p>
        </w:tc>
      </w:tr>
      <w:tr w:rsidR="004F023C" w:rsidRPr="004F023C" w14:paraId="7B7B57BF" w14:textId="77777777" w:rsidTr="007A0342">
        <w:trPr>
          <w:trHeight w:val="267"/>
        </w:trPr>
        <w:tc>
          <w:tcPr>
            <w:cnfStyle w:val="001000000000" w:firstRow="0" w:lastRow="0" w:firstColumn="1" w:lastColumn="0" w:oddVBand="0" w:evenVBand="0" w:oddHBand="0" w:evenHBand="0" w:firstRowFirstColumn="0" w:firstRowLastColumn="0" w:lastRowFirstColumn="0" w:lastRowLastColumn="0"/>
            <w:tcW w:w="1421" w:type="pct"/>
            <w:hideMark/>
          </w:tcPr>
          <w:p w14:paraId="1F1B150E" w14:textId="77777777" w:rsidR="004F023C" w:rsidRPr="000C71D9" w:rsidRDefault="004F023C" w:rsidP="004F023C">
            <w:pPr>
              <w:rPr>
                <w:b w:val="0"/>
                <w:bCs/>
              </w:rPr>
            </w:pPr>
            <w:r w:rsidRPr="007A0342">
              <w:rPr>
                <w:b w:val="0"/>
              </w:rPr>
              <w:t>Integration efficiencies </w:t>
            </w:r>
          </w:p>
        </w:tc>
        <w:tc>
          <w:tcPr>
            <w:tcW w:w="692" w:type="pct"/>
            <w:vAlign w:val="center"/>
          </w:tcPr>
          <w:p w14:paraId="6D036B9C" w14:textId="0E13A5FB"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0.23 </w:t>
            </w:r>
          </w:p>
        </w:tc>
        <w:tc>
          <w:tcPr>
            <w:tcW w:w="692" w:type="pct"/>
            <w:vAlign w:val="center"/>
          </w:tcPr>
          <w:p w14:paraId="37444259" w14:textId="1BE15536"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1.17 </w:t>
            </w:r>
          </w:p>
        </w:tc>
        <w:tc>
          <w:tcPr>
            <w:tcW w:w="732" w:type="pct"/>
            <w:vAlign w:val="center"/>
          </w:tcPr>
          <w:p w14:paraId="50B221C7" w14:textId="2E8EA7C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1.17 </w:t>
            </w:r>
          </w:p>
        </w:tc>
        <w:tc>
          <w:tcPr>
            <w:tcW w:w="732" w:type="pct"/>
            <w:vAlign w:val="center"/>
          </w:tcPr>
          <w:p w14:paraId="5CC6BA24" w14:textId="31C62DE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1.69 </w:t>
            </w:r>
          </w:p>
        </w:tc>
        <w:tc>
          <w:tcPr>
            <w:tcW w:w="732" w:type="pct"/>
            <w:vAlign w:val="center"/>
          </w:tcPr>
          <w:p w14:paraId="4EDFD1AA" w14:textId="1ADB661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1.69 </w:t>
            </w:r>
          </w:p>
        </w:tc>
      </w:tr>
      <w:tr w:rsidR="004F023C" w:rsidRPr="004F023C" w14:paraId="221416FF" w14:textId="77777777" w:rsidTr="007A0342">
        <w:trPr>
          <w:trHeight w:val="267"/>
        </w:trPr>
        <w:tc>
          <w:tcPr>
            <w:cnfStyle w:val="001000000000" w:firstRow="0" w:lastRow="0" w:firstColumn="1" w:lastColumn="0" w:oddVBand="0" w:evenVBand="0" w:oddHBand="0" w:evenHBand="0" w:firstRowFirstColumn="0" w:firstRowLastColumn="0" w:lastRowFirstColumn="0" w:lastRowLastColumn="0"/>
            <w:tcW w:w="1421" w:type="pct"/>
          </w:tcPr>
          <w:p w14:paraId="45E2374B" w14:textId="77777777" w:rsidR="004F023C" w:rsidRPr="000C71D9" w:rsidRDefault="004F023C" w:rsidP="004F023C">
            <w:pPr>
              <w:rPr>
                <w:b w:val="0"/>
                <w:bCs/>
              </w:rPr>
            </w:pPr>
            <w:r w:rsidRPr="007A0342">
              <w:rPr>
                <w:b w:val="0"/>
              </w:rPr>
              <w:lastRenderedPageBreak/>
              <w:t>Identified transformation efficiencies</w:t>
            </w:r>
          </w:p>
        </w:tc>
        <w:tc>
          <w:tcPr>
            <w:tcW w:w="692" w:type="pct"/>
            <w:vAlign w:val="center"/>
          </w:tcPr>
          <w:p w14:paraId="12700A4C" w14:textId="6DE72C4E"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1.25 </w:t>
            </w:r>
          </w:p>
        </w:tc>
        <w:tc>
          <w:tcPr>
            <w:tcW w:w="692" w:type="pct"/>
            <w:vAlign w:val="center"/>
          </w:tcPr>
          <w:p w14:paraId="6F47B51D" w14:textId="589BAAE3"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4.43 </w:t>
            </w:r>
          </w:p>
        </w:tc>
        <w:tc>
          <w:tcPr>
            <w:tcW w:w="732" w:type="pct"/>
            <w:vAlign w:val="center"/>
          </w:tcPr>
          <w:p w14:paraId="2CFBF985" w14:textId="66F7BEB9"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5.53 </w:t>
            </w:r>
          </w:p>
        </w:tc>
        <w:tc>
          <w:tcPr>
            <w:tcW w:w="732" w:type="pct"/>
            <w:vAlign w:val="center"/>
          </w:tcPr>
          <w:p w14:paraId="59A03104" w14:textId="495CAD8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6.62 </w:t>
            </w:r>
          </w:p>
        </w:tc>
        <w:tc>
          <w:tcPr>
            <w:tcW w:w="732" w:type="pct"/>
            <w:vAlign w:val="center"/>
          </w:tcPr>
          <w:p w14:paraId="71854E27" w14:textId="0378EFBB"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6.66 </w:t>
            </w:r>
          </w:p>
        </w:tc>
      </w:tr>
      <w:tr w:rsidR="004F023C" w:rsidRPr="004F023C" w14:paraId="53A2FB15"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77C2EC9B" w14:textId="77777777" w:rsidR="004F023C" w:rsidRPr="000C71D9" w:rsidRDefault="004F023C" w:rsidP="004F023C">
            <w:pPr>
              <w:rPr>
                <w:b w:val="0"/>
                <w:bCs/>
              </w:rPr>
            </w:pPr>
            <w:r w:rsidRPr="007A0342">
              <w:rPr>
                <w:b w:val="0"/>
              </w:rPr>
              <w:t>Forecast further transformation efficiencies </w:t>
            </w:r>
          </w:p>
        </w:tc>
        <w:tc>
          <w:tcPr>
            <w:tcW w:w="692" w:type="pct"/>
            <w:vAlign w:val="center"/>
          </w:tcPr>
          <w:p w14:paraId="0BFBEA73" w14:textId="51917F72"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w:t>
            </w:r>
          </w:p>
        </w:tc>
        <w:tc>
          <w:tcPr>
            <w:tcW w:w="692" w:type="pct"/>
            <w:vAlign w:val="center"/>
          </w:tcPr>
          <w:p w14:paraId="5A5E063B" w14:textId="55D3203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0.98 </w:t>
            </w:r>
          </w:p>
        </w:tc>
        <w:tc>
          <w:tcPr>
            <w:tcW w:w="732" w:type="pct"/>
            <w:vAlign w:val="center"/>
          </w:tcPr>
          <w:p w14:paraId="6421F812" w14:textId="1F86C13C"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4.00 </w:t>
            </w:r>
          </w:p>
        </w:tc>
        <w:tc>
          <w:tcPr>
            <w:tcW w:w="732" w:type="pct"/>
            <w:vAlign w:val="center"/>
          </w:tcPr>
          <w:p w14:paraId="0636C74C" w14:textId="6694A49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5.36 </w:t>
            </w:r>
          </w:p>
        </w:tc>
        <w:tc>
          <w:tcPr>
            <w:tcW w:w="732" w:type="pct"/>
            <w:vAlign w:val="center"/>
          </w:tcPr>
          <w:p w14:paraId="7E8872A4" w14:textId="6F7AD76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7.05 </w:t>
            </w:r>
          </w:p>
        </w:tc>
      </w:tr>
      <w:tr w:rsidR="004F023C" w:rsidRPr="004F023C" w14:paraId="5B83059B"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2E87380F" w14:textId="77777777" w:rsidR="004F023C" w:rsidRPr="000C71D9" w:rsidRDefault="004F023C" w:rsidP="004F023C">
            <w:pPr>
              <w:rPr>
                <w:b w:val="0"/>
                <w:bCs/>
              </w:rPr>
            </w:pPr>
            <w:r w:rsidRPr="007A0342">
              <w:rPr>
                <w:b w:val="0"/>
              </w:rPr>
              <w:t>Residual efficiencies (1.4%) </w:t>
            </w:r>
          </w:p>
        </w:tc>
        <w:tc>
          <w:tcPr>
            <w:tcW w:w="692" w:type="pct"/>
            <w:vAlign w:val="center"/>
          </w:tcPr>
          <w:p w14:paraId="147E72B7" w14:textId="39356E83"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2.73 </w:t>
            </w:r>
          </w:p>
        </w:tc>
        <w:tc>
          <w:tcPr>
            <w:tcW w:w="692" w:type="pct"/>
            <w:vAlign w:val="center"/>
          </w:tcPr>
          <w:p w14:paraId="52039319" w14:textId="51DD6524"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5.80 </w:t>
            </w:r>
          </w:p>
        </w:tc>
        <w:tc>
          <w:tcPr>
            <w:tcW w:w="732" w:type="pct"/>
            <w:vAlign w:val="center"/>
          </w:tcPr>
          <w:p w14:paraId="6E2EFDE5" w14:textId="357DEFD8"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9.02 </w:t>
            </w:r>
          </w:p>
        </w:tc>
        <w:tc>
          <w:tcPr>
            <w:tcW w:w="732" w:type="pct"/>
            <w:vAlign w:val="center"/>
          </w:tcPr>
          <w:p w14:paraId="1BCF35E7" w14:textId="3B66FC2C"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 xml:space="preserve">12.35 </w:t>
            </w:r>
          </w:p>
        </w:tc>
        <w:tc>
          <w:tcPr>
            <w:tcW w:w="732" w:type="pct"/>
            <w:vAlign w:val="center"/>
          </w:tcPr>
          <w:p w14:paraId="77538E32" w14:textId="78E5017E"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 xml:space="preserve">15.79 </w:t>
            </w:r>
          </w:p>
        </w:tc>
      </w:tr>
      <w:tr w:rsidR="004F023C" w:rsidRPr="004F023C" w14:paraId="3F134993"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4C7AE572" w14:textId="77777777" w:rsidR="004F023C" w:rsidRPr="004F023C" w:rsidRDefault="004F023C" w:rsidP="004F023C">
            <w:r w:rsidRPr="004F023C">
              <w:t>Total efficiency proposed </w:t>
            </w:r>
          </w:p>
        </w:tc>
        <w:tc>
          <w:tcPr>
            <w:tcW w:w="692" w:type="pct"/>
            <w:vAlign w:val="center"/>
          </w:tcPr>
          <w:p w14:paraId="21C133F6" w14:textId="047732FE"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4.19 </w:t>
            </w:r>
          </w:p>
        </w:tc>
        <w:tc>
          <w:tcPr>
            <w:tcW w:w="692" w:type="pct"/>
            <w:vAlign w:val="center"/>
          </w:tcPr>
          <w:p w14:paraId="0BF32D47" w14:textId="6BEBE342"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12.39 </w:t>
            </w:r>
          </w:p>
        </w:tc>
        <w:tc>
          <w:tcPr>
            <w:tcW w:w="732" w:type="pct"/>
            <w:vAlign w:val="center"/>
          </w:tcPr>
          <w:p w14:paraId="0B1CA628" w14:textId="537A4287"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19.73 </w:t>
            </w:r>
          </w:p>
        </w:tc>
        <w:tc>
          <w:tcPr>
            <w:tcW w:w="732" w:type="pct"/>
            <w:vAlign w:val="center"/>
          </w:tcPr>
          <w:p w14:paraId="651F0A32" w14:textId="14571015"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26.02 </w:t>
            </w:r>
          </w:p>
        </w:tc>
        <w:tc>
          <w:tcPr>
            <w:tcW w:w="732" w:type="pct"/>
            <w:vAlign w:val="center"/>
          </w:tcPr>
          <w:p w14:paraId="72D70CCF" w14:textId="6B10C3B4"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31.19 </w:t>
            </w:r>
          </w:p>
        </w:tc>
      </w:tr>
    </w:tbl>
    <w:p w14:paraId="27066406" w14:textId="0CC1479A" w:rsidR="004F023C" w:rsidRPr="004F023C" w:rsidRDefault="004F023C" w:rsidP="00014F1C">
      <w:pPr>
        <w:pStyle w:val="Heading5-nonumber"/>
      </w:pPr>
      <w:r w:rsidRPr="004F023C">
        <w:t>Integration</w:t>
      </w:r>
      <w:r w:rsidR="00720245">
        <w:t xml:space="preserve"> </w:t>
      </w:r>
      <w:r w:rsidRPr="004F023C">
        <w:t>efficiencies</w:t>
      </w:r>
    </w:p>
    <w:p w14:paraId="3B380DA7" w14:textId="77777777" w:rsidR="004F023C" w:rsidRPr="004F023C" w:rsidRDefault="004F023C" w:rsidP="004F023C">
      <w:r w:rsidRPr="004F023C">
        <w:t>The integration program is in its final years and will deliver efficiencies over the 2024-25 regulatory period.</w:t>
      </w:r>
    </w:p>
    <w:p w14:paraId="26FDCD18" w14:textId="77777777" w:rsidR="004F023C" w:rsidRPr="004F023C" w:rsidRDefault="004F023C" w:rsidP="004F023C">
      <w:r w:rsidRPr="004F023C">
        <w:t xml:space="preserve">To date, a total of $3.0 million per annum has been realised in benefits from integration. These are imbedded in our base year and reflected in our baseline forecasts. It is important to note that during the current period we have not sought to recover the consolidation costs associated with integration that have totalled $18.9 million from 2020-21 to 2022-23. </w:t>
      </w:r>
    </w:p>
    <w:p w14:paraId="50E3276A" w14:textId="77777777" w:rsidR="004F023C" w:rsidRPr="004F023C" w:rsidRDefault="004F023C" w:rsidP="004F023C">
      <w:r w:rsidRPr="004F023C">
        <w:t>From 2023-24 onwards, integration efficiencies will be delivered through: </w:t>
      </w:r>
    </w:p>
    <w:p w14:paraId="356BF2BD" w14:textId="77777777" w:rsidR="004F023C" w:rsidRPr="004F023C" w:rsidRDefault="004F023C" w:rsidP="00FA392B">
      <w:pPr>
        <w:pStyle w:val="ListBullet"/>
      </w:pPr>
      <w:r w:rsidRPr="004F023C">
        <w:t>Moving to a single asset ecosystem to ensure the safety of all those in the field.  </w:t>
      </w:r>
    </w:p>
    <w:p w14:paraId="094BFF5A" w14:textId="77777777" w:rsidR="004F023C" w:rsidRPr="004F023C" w:rsidRDefault="004F023C" w:rsidP="00FA392B">
      <w:pPr>
        <w:pStyle w:val="ListBullet"/>
      </w:pPr>
      <w:r w:rsidRPr="004F023C">
        <w:t>Additional costs of managing the call centre, including SMS two-way chat costs that can be combined once the new billing system has become operational.  </w:t>
      </w:r>
    </w:p>
    <w:p w14:paraId="438FC622" w14:textId="77777777" w:rsidR="004F023C" w:rsidRPr="004F023C" w:rsidRDefault="004F023C" w:rsidP="00FA392B">
      <w:pPr>
        <w:pStyle w:val="ListBullet"/>
      </w:pPr>
      <w:r w:rsidRPr="004F023C">
        <w:t xml:space="preserve">Alignment of processes and procedures for maintenance, repairs, </w:t>
      </w:r>
      <w:proofErr w:type="gramStart"/>
      <w:r w:rsidRPr="004F023C">
        <w:t>renewals</w:t>
      </w:r>
      <w:proofErr w:type="gramEnd"/>
      <w:r w:rsidRPr="004F023C">
        <w:t xml:space="preserve"> and other operations to ensure that all assets are maintained and commissioned to the same standard.  </w:t>
      </w:r>
    </w:p>
    <w:p w14:paraId="7DB0E728" w14:textId="77777777" w:rsidR="004F023C" w:rsidRPr="004F023C" w:rsidRDefault="004F023C" w:rsidP="00FA392B">
      <w:pPr>
        <w:pStyle w:val="ListBullet"/>
      </w:pPr>
      <w:r w:rsidRPr="004F023C">
        <w:t>Reduction in incident management costs through alignment of incident management teams across GWW.  </w:t>
      </w:r>
    </w:p>
    <w:p w14:paraId="06A0DD73" w14:textId="77777777" w:rsidR="004F023C" w:rsidRPr="004F023C" w:rsidRDefault="004F023C" w:rsidP="00FA392B">
      <w:pPr>
        <w:pStyle w:val="ListBullet"/>
      </w:pPr>
      <w:r w:rsidRPr="004F023C">
        <w:t>Reduction in IT testing costs as systems align to a single system. </w:t>
      </w:r>
    </w:p>
    <w:p w14:paraId="40E6E749" w14:textId="77777777" w:rsidR="004F023C" w:rsidRPr="004F023C" w:rsidRDefault="004F023C" w:rsidP="004F023C">
      <w:r w:rsidRPr="004F023C">
        <w:t xml:space="preserve">By the end of the regulatory period the efficiencies associated with integration will exceed the costs of integration that are imbedded in the baseline. </w:t>
      </w:r>
    </w:p>
    <w:p w14:paraId="0841208A" w14:textId="77777777" w:rsidR="00E77FED" w:rsidRPr="00BA2041" w:rsidRDefault="00E77FED" w:rsidP="000C71D9">
      <w:pPr>
        <w:pStyle w:val="Heading5-nonumber"/>
      </w:pPr>
      <w:r w:rsidRPr="00BA2041">
        <w:t>Transformation efficiencies  </w:t>
      </w:r>
    </w:p>
    <w:p w14:paraId="4589F279" w14:textId="1720B739" w:rsidR="00E77FED" w:rsidRPr="00BA2041" w:rsidRDefault="00E77FED" w:rsidP="00BA2041">
      <w:r w:rsidRPr="00BA2041">
        <w:t xml:space="preserve">We have identified a total of $6.7 million of efficiencies that will be delivered over the regulatory period across the five transformation programs. These are shown in </w:t>
      </w:r>
      <w:r w:rsidR="000C71D9">
        <w:fldChar w:fldCharType="begin"/>
      </w:r>
      <w:r w:rsidR="000C71D9">
        <w:instrText xml:space="preserve"> REF _Ref145979020 \h </w:instrText>
      </w:r>
      <w:r w:rsidR="000C71D9">
        <w:fldChar w:fldCharType="separate"/>
      </w:r>
      <w:r w:rsidR="003B42C6" w:rsidRPr="007A0342">
        <w:rPr>
          <w:b/>
        </w:rPr>
        <w:t xml:space="preserve">Table </w:t>
      </w:r>
      <w:r w:rsidR="003B42C6">
        <w:rPr>
          <w:b/>
          <w:noProof/>
        </w:rPr>
        <w:t>84</w:t>
      </w:r>
      <w:r w:rsidR="000C71D9">
        <w:fldChar w:fldCharType="end"/>
      </w:r>
      <w:r w:rsidR="000C71D9">
        <w:t>.</w:t>
      </w:r>
    </w:p>
    <w:p w14:paraId="5827E977" w14:textId="77777777" w:rsidR="00E77FED" w:rsidRPr="00BA2041" w:rsidRDefault="00E77FED" w:rsidP="00BA2041"/>
    <w:p w14:paraId="0E346E73" w14:textId="49C1CCAF" w:rsidR="00E77FED" w:rsidRPr="00BA2041" w:rsidRDefault="000F42A6" w:rsidP="00F076C0">
      <w:pPr>
        <w:pStyle w:val="Caption"/>
      </w:pPr>
      <w:bookmarkStart w:id="422" w:name="_Ref145979020"/>
      <w:r w:rsidRPr="007A0342">
        <w:rPr>
          <w:b/>
        </w:rPr>
        <w:t xml:space="preserve">Table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84</w:t>
      </w:r>
      <w:r w:rsidR="001F7221" w:rsidRPr="007A0342">
        <w:rPr>
          <w:b/>
        </w:rPr>
        <w:fldChar w:fldCharType="end"/>
      </w:r>
      <w:bookmarkEnd w:id="422"/>
      <w:r w:rsidR="00F60C51">
        <w:t xml:space="preserve"> </w:t>
      </w:r>
      <w:r w:rsidR="00E77FED" w:rsidRPr="00BA2041">
        <w:t>Identified efficiencies proposed by transformation program relative to 2022-23 baseline ($million, 2023-24) </w:t>
      </w:r>
    </w:p>
    <w:tbl>
      <w:tblPr>
        <w:tblStyle w:val="GWWDefaulttable"/>
        <w:tblW w:w="5000" w:type="pct"/>
        <w:tblLook w:val="04A0" w:firstRow="1" w:lastRow="0" w:firstColumn="1" w:lastColumn="0" w:noHBand="0" w:noVBand="1"/>
      </w:tblPr>
      <w:tblGrid>
        <w:gridCol w:w="3070"/>
        <w:gridCol w:w="1301"/>
        <w:gridCol w:w="1318"/>
        <w:gridCol w:w="1318"/>
        <w:gridCol w:w="1318"/>
        <w:gridCol w:w="1313"/>
      </w:tblGrid>
      <w:tr w:rsidR="00E77FED" w:rsidRPr="00BA2041" w14:paraId="4ABA65D0" w14:textId="77777777" w:rsidTr="00C36D6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92" w:type="pct"/>
            <w:hideMark/>
          </w:tcPr>
          <w:p w14:paraId="0C7DDAB1" w14:textId="77777777" w:rsidR="00E77FED" w:rsidRPr="00BA2041" w:rsidRDefault="00E77FED" w:rsidP="00BA2041">
            <w:r w:rsidRPr="00BA2041">
              <w:t> </w:t>
            </w:r>
          </w:p>
        </w:tc>
        <w:tc>
          <w:tcPr>
            <w:tcW w:w="675" w:type="pct"/>
            <w:vAlign w:val="center"/>
          </w:tcPr>
          <w:p w14:paraId="533B7285"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2023-24 </w:t>
            </w:r>
          </w:p>
        </w:tc>
        <w:tc>
          <w:tcPr>
            <w:tcW w:w="684" w:type="pct"/>
            <w:vAlign w:val="center"/>
          </w:tcPr>
          <w:p w14:paraId="2AA53754"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2024-25 </w:t>
            </w:r>
          </w:p>
        </w:tc>
        <w:tc>
          <w:tcPr>
            <w:tcW w:w="684" w:type="pct"/>
            <w:vAlign w:val="center"/>
          </w:tcPr>
          <w:p w14:paraId="1F485148"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2025-26 </w:t>
            </w:r>
          </w:p>
        </w:tc>
        <w:tc>
          <w:tcPr>
            <w:tcW w:w="684" w:type="pct"/>
            <w:vAlign w:val="center"/>
          </w:tcPr>
          <w:p w14:paraId="346300BD"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2026-27 </w:t>
            </w:r>
          </w:p>
        </w:tc>
        <w:tc>
          <w:tcPr>
            <w:tcW w:w="682" w:type="pct"/>
            <w:vAlign w:val="center"/>
          </w:tcPr>
          <w:p w14:paraId="5520145F"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2027-28 </w:t>
            </w:r>
          </w:p>
        </w:tc>
      </w:tr>
      <w:tr w:rsidR="00E77FED" w:rsidRPr="00BA2041" w14:paraId="7DBE44A1"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6BE0CC94" w14:textId="77777777" w:rsidR="00E77FED" w:rsidRPr="000C71D9" w:rsidRDefault="00E77FED" w:rsidP="00BA2041">
            <w:pPr>
              <w:rPr>
                <w:b w:val="0"/>
                <w:bCs/>
              </w:rPr>
            </w:pPr>
            <w:r w:rsidRPr="007A0342">
              <w:rPr>
                <w:b w:val="0"/>
              </w:rPr>
              <w:t>Transformation – Asset Management </w:t>
            </w:r>
          </w:p>
        </w:tc>
        <w:tc>
          <w:tcPr>
            <w:tcW w:w="675" w:type="pct"/>
            <w:vAlign w:val="center"/>
          </w:tcPr>
          <w:p w14:paraId="2A1538D0"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0.15</w:t>
            </w:r>
          </w:p>
        </w:tc>
        <w:tc>
          <w:tcPr>
            <w:tcW w:w="684" w:type="pct"/>
            <w:vAlign w:val="center"/>
          </w:tcPr>
          <w:p w14:paraId="0B313E8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4" w:type="pct"/>
            <w:vAlign w:val="center"/>
          </w:tcPr>
          <w:p w14:paraId="7B38BF5E"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4" w:type="pct"/>
            <w:vAlign w:val="center"/>
          </w:tcPr>
          <w:p w14:paraId="4B1282CB"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2" w:type="pct"/>
            <w:vAlign w:val="center"/>
          </w:tcPr>
          <w:p w14:paraId="2030732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r>
      <w:tr w:rsidR="00E77FED" w:rsidRPr="00BA2041" w14:paraId="07C73C1F"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075BCDCD" w14:textId="77777777" w:rsidR="00E77FED" w:rsidRPr="000C71D9" w:rsidRDefault="00E77FED" w:rsidP="00BA2041">
            <w:pPr>
              <w:rPr>
                <w:b w:val="0"/>
                <w:bCs/>
              </w:rPr>
            </w:pPr>
            <w:r w:rsidRPr="007A0342">
              <w:rPr>
                <w:b w:val="0"/>
              </w:rPr>
              <w:lastRenderedPageBreak/>
              <w:t>Transformation – Corporate </w:t>
            </w:r>
          </w:p>
        </w:tc>
        <w:tc>
          <w:tcPr>
            <w:tcW w:w="675" w:type="pct"/>
            <w:vAlign w:val="center"/>
          </w:tcPr>
          <w:p w14:paraId="67F2E7F2"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1.00</w:t>
            </w:r>
          </w:p>
        </w:tc>
        <w:tc>
          <w:tcPr>
            <w:tcW w:w="684" w:type="pct"/>
            <w:vAlign w:val="center"/>
          </w:tcPr>
          <w:p w14:paraId="6CB90AC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4" w:type="pct"/>
            <w:vAlign w:val="center"/>
          </w:tcPr>
          <w:p w14:paraId="11DF424C"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4" w:type="pct"/>
            <w:vAlign w:val="center"/>
          </w:tcPr>
          <w:p w14:paraId="3CFF148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2" w:type="pct"/>
            <w:vAlign w:val="center"/>
          </w:tcPr>
          <w:p w14:paraId="20C384B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r>
      <w:tr w:rsidR="00E77FED" w:rsidRPr="00BA2041" w14:paraId="48A7B983"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015A2A5C" w14:textId="77777777" w:rsidR="00E77FED" w:rsidRPr="000C71D9" w:rsidRDefault="00E77FED" w:rsidP="00BA2041">
            <w:pPr>
              <w:rPr>
                <w:b w:val="0"/>
                <w:bCs/>
              </w:rPr>
            </w:pPr>
            <w:r w:rsidRPr="007A0342">
              <w:rPr>
                <w:b w:val="0"/>
              </w:rPr>
              <w:t>Transformation – Customer services </w:t>
            </w:r>
          </w:p>
        </w:tc>
        <w:tc>
          <w:tcPr>
            <w:tcW w:w="675" w:type="pct"/>
            <w:vAlign w:val="center"/>
          </w:tcPr>
          <w:p w14:paraId="7B17CEA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p>
        </w:tc>
        <w:tc>
          <w:tcPr>
            <w:tcW w:w="684" w:type="pct"/>
            <w:vAlign w:val="center"/>
          </w:tcPr>
          <w:p w14:paraId="5B5EF41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1.86</w:t>
            </w:r>
          </w:p>
        </w:tc>
        <w:tc>
          <w:tcPr>
            <w:tcW w:w="684" w:type="pct"/>
            <w:vAlign w:val="center"/>
          </w:tcPr>
          <w:p w14:paraId="64C6260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2.84</w:t>
            </w:r>
          </w:p>
        </w:tc>
        <w:tc>
          <w:tcPr>
            <w:tcW w:w="684" w:type="pct"/>
            <w:vAlign w:val="center"/>
          </w:tcPr>
          <w:p w14:paraId="20AE1CC2"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3.93</w:t>
            </w:r>
          </w:p>
        </w:tc>
        <w:tc>
          <w:tcPr>
            <w:tcW w:w="682" w:type="pct"/>
            <w:vAlign w:val="center"/>
          </w:tcPr>
          <w:p w14:paraId="5292111F"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3.97</w:t>
            </w:r>
          </w:p>
        </w:tc>
      </w:tr>
      <w:tr w:rsidR="00E77FED" w:rsidRPr="00BA2041" w14:paraId="40C33AC6"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6584BBF7" w14:textId="77777777" w:rsidR="00E77FED" w:rsidRPr="000C71D9" w:rsidRDefault="00E77FED" w:rsidP="00BA2041">
            <w:pPr>
              <w:rPr>
                <w:b w:val="0"/>
                <w:bCs/>
              </w:rPr>
            </w:pPr>
            <w:r w:rsidRPr="007A0342">
              <w:rPr>
                <w:b w:val="0"/>
              </w:rPr>
              <w:t>Transformation – Compliance </w:t>
            </w:r>
          </w:p>
        </w:tc>
        <w:tc>
          <w:tcPr>
            <w:tcW w:w="675" w:type="pct"/>
            <w:vAlign w:val="center"/>
          </w:tcPr>
          <w:p w14:paraId="302BE9B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0.10</w:t>
            </w:r>
          </w:p>
        </w:tc>
        <w:tc>
          <w:tcPr>
            <w:tcW w:w="684" w:type="pct"/>
            <w:vAlign w:val="center"/>
          </w:tcPr>
          <w:p w14:paraId="1FB1FC6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0.10</w:t>
            </w:r>
          </w:p>
        </w:tc>
        <w:tc>
          <w:tcPr>
            <w:tcW w:w="684" w:type="pct"/>
            <w:vAlign w:val="center"/>
          </w:tcPr>
          <w:p w14:paraId="0A2CDCFA"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c>
          <w:tcPr>
            <w:tcW w:w="684" w:type="pct"/>
            <w:vAlign w:val="center"/>
          </w:tcPr>
          <w:p w14:paraId="76262953"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c>
          <w:tcPr>
            <w:tcW w:w="682" w:type="pct"/>
            <w:vAlign w:val="center"/>
          </w:tcPr>
          <w:p w14:paraId="310C526F"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r>
      <w:tr w:rsidR="00E77FED" w:rsidRPr="00BA2041" w14:paraId="2C751FB6"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1CB29E97" w14:textId="77777777" w:rsidR="00E77FED" w:rsidRPr="000C71D9" w:rsidRDefault="00E77FED" w:rsidP="00BA2041">
            <w:pPr>
              <w:rPr>
                <w:b w:val="0"/>
                <w:bCs/>
              </w:rPr>
            </w:pPr>
            <w:r w:rsidRPr="007A0342">
              <w:rPr>
                <w:b w:val="0"/>
              </w:rPr>
              <w:t>Transformation – Safety </w:t>
            </w:r>
          </w:p>
        </w:tc>
        <w:tc>
          <w:tcPr>
            <w:tcW w:w="675" w:type="pct"/>
            <w:vAlign w:val="center"/>
          </w:tcPr>
          <w:p w14:paraId="0B7AC67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p>
        </w:tc>
        <w:tc>
          <w:tcPr>
            <w:tcW w:w="684" w:type="pct"/>
            <w:vAlign w:val="center"/>
          </w:tcPr>
          <w:p w14:paraId="001CCB9B"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4" w:type="pct"/>
            <w:vAlign w:val="center"/>
          </w:tcPr>
          <w:p w14:paraId="6BBB9CE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4" w:type="pct"/>
            <w:vAlign w:val="center"/>
          </w:tcPr>
          <w:p w14:paraId="177F081D"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2" w:type="pct"/>
            <w:vAlign w:val="center"/>
          </w:tcPr>
          <w:p w14:paraId="7F66F94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r>
      <w:tr w:rsidR="00E77FED" w:rsidRPr="00BA2041" w14:paraId="4A6AE85D"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hideMark/>
          </w:tcPr>
          <w:p w14:paraId="244E4E94" w14:textId="77777777" w:rsidR="00E77FED" w:rsidRPr="00010E7E" w:rsidRDefault="00E77FED" w:rsidP="00BA2041">
            <w:r w:rsidRPr="00010E7E">
              <w:t>Identified transformation efficiencies </w:t>
            </w:r>
          </w:p>
        </w:tc>
        <w:tc>
          <w:tcPr>
            <w:tcW w:w="675" w:type="pct"/>
            <w:vAlign w:val="center"/>
          </w:tcPr>
          <w:p w14:paraId="6B2945D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1.25</w:t>
            </w:r>
          </w:p>
        </w:tc>
        <w:tc>
          <w:tcPr>
            <w:tcW w:w="684" w:type="pct"/>
            <w:vAlign w:val="center"/>
          </w:tcPr>
          <w:p w14:paraId="29699DF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4.43</w:t>
            </w:r>
          </w:p>
        </w:tc>
        <w:tc>
          <w:tcPr>
            <w:tcW w:w="684" w:type="pct"/>
            <w:vAlign w:val="center"/>
          </w:tcPr>
          <w:p w14:paraId="53DE5B4F"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5.53</w:t>
            </w:r>
          </w:p>
        </w:tc>
        <w:tc>
          <w:tcPr>
            <w:tcW w:w="684" w:type="pct"/>
            <w:vAlign w:val="center"/>
          </w:tcPr>
          <w:p w14:paraId="1461B739"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6.62</w:t>
            </w:r>
          </w:p>
        </w:tc>
        <w:tc>
          <w:tcPr>
            <w:tcW w:w="682" w:type="pct"/>
            <w:vAlign w:val="center"/>
          </w:tcPr>
          <w:p w14:paraId="03BED12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6.66</w:t>
            </w:r>
          </w:p>
        </w:tc>
      </w:tr>
    </w:tbl>
    <w:p w14:paraId="5EB4D267" w14:textId="77777777" w:rsidR="00E77FED" w:rsidRPr="00BA2041" w:rsidRDefault="00E77FED" w:rsidP="00BA2041">
      <w:r w:rsidRPr="00BA2041">
        <w:t>All of these are described further below.</w:t>
      </w:r>
    </w:p>
    <w:p w14:paraId="31B1A295" w14:textId="77777777" w:rsidR="00E77FED" w:rsidRPr="00BA2041" w:rsidRDefault="00E77FED" w:rsidP="000C71D9">
      <w:pPr>
        <w:pStyle w:val="Heading6"/>
      </w:pPr>
      <w:r w:rsidRPr="00BA2041">
        <w:t>Asset management </w:t>
      </w:r>
    </w:p>
    <w:p w14:paraId="06B6F790" w14:textId="77777777" w:rsidR="00E77FED" w:rsidRPr="00BA2041" w:rsidRDefault="00E77FED" w:rsidP="00BA2041">
      <w:r w:rsidRPr="00BA2041">
        <w:t>GWW is continuing to improve its asset management functions. The efficiency program from 2023-24 will work to reduce expenditure in: </w:t>
      </w:r>
    </w:p>
    <w:p w14:paraId="34440317" w14:textId="77777777" w:rsidR="00E77FED" w:rsidRPr="00BA2041" w:rsidRDefault="00E77FED" w:rsidP="00DE3DD0">
      <w:pPr>
        <w:pStyle w:val="ListBullet"/>
      </w:pPr>
      <w:r w:rsidRPr="00BA2041">
        <w:t xml:space="preserve">Automation and maintenance processes: We are able to automate a </w:t>
      </w:r>
      <w:proofErr w:type="gramStart"/>
      <w:r w:rsidRPr="00BA2041">
        <w:t>treatment plant sensors</w:t>
      </w:r>
      <w:proofErr w:type="gramEnd"/>
      <w:r w:rsidRPr="00BA2041">
        <w:t xml:space="preserve"> and introduce systems and processes to manage maintenance activities that will save $0.6 million per year by 2024-25. </w:t>
      </w:r>
    </w:p>
    <w:p w14:paraId="3037508A" w14:textId="38FE6FD4" w:rsidR="00E77FED" w:rsidRPr="00BA2041" w:rsidRDefault="00E77FED" w:rsidP="00DE3DD0">
      <w:pPr>
        <w:pStyle w:val="ListBullet"/>
      </w:pPr>
      <w:r w:rsidRPr="00BA2041">
        <w:t xml:space="preserve">Depots: GWW inherited many deports from its legacy businesses and will be undergoing a process to rationalise the location of these depots and improving co-location with other assets. This could result in additional savings over the regulatory </w:t>
      </w:r>
      <w:proofErr w:type="gramStart"/>
      <w:r w:rsidRPr="00BA2041">
        <w:t>period,</w:t>
      </w:r>
      <w:proofErr w:type="gramEnd"/>
      <w:r w:rsidRPr="00BA2041">
        <w:t xml:space="preserve"> however it is unclear of the net impact until a full review is undertaken.</w:t>
      </w:r>
      <w:r w:rsidR="00DB308C">
        <w:t xml:space="preserve"> </w:t>
      </w:r>
      <w:r w:rsidRPr="00BA2041">
        <w:t xml:space="preserve">We have included a small saving of &lt;$0.1 million in streamlining security at our depots. </w:t>
      </w:r>
    </w:p>
    <w:p w14:paraId="4F5E5A5B" w14:textId="77777777" w:rsidR="00E77FED" w:rsidRPr="00BA2041" w:rsidRDefault="00E77FED" w:rsidP="000C71D9">
      <w:pPr>
        <w:pStyle w:val="Heading6"/>
      </w:pPr>
      <w:r w:rsidRPr="00BA2041">
        <w:t>Corporate functions </w:t>
      </w:r>
    </w:p>
    <w:p w14:paraId="71BD3916" w14:textId="77777777" w:rsidR="00E77FED" w:rsidRPr="00BA2041" w:rsidRDefault="00E77FED" w:rsidP="00BA2041">
      <w:r w:rsidRPr="00BA2041">
        <w:t xml:space="preserve">As we integrate </w:t>
      </w:r>
      <w:proofErr w:type="gramStart"/>
      <w:r w:rsidRPr="00BA2041">
        <w:t>all of</w:t>
      </w:r>
      <w:proofErr w:type="gramEnd"/>
      <w:r w:rsidRPr="00BA2041">
        <w:t xml:space="preserve"> our systems, processes and people additional efficiencies will be realised across the corporate functions: </w:t>
      </w:r>
    </w:p>
    <w:p w14:paraId="0343EDA4" w14:textId="77777777" w:rsidR="00E77FED" w:rsidRPr="00BA2041" w:rsidRDefault="00E77FED" w:rsidP="00DE3DD0">
      <w:pPr>
        <w:pStyle w:val="ListBullet"/>
      </w:pPr>
      <w:r w:rsidRPr="00BA2041">
        <w:t>External support: reduction in consultant spend that can be delivered through increased use of the State Purchasing Contract.  </w:t>
      </w:r>
    </w:p>
    <w:p w14:paraId="60006EBD" w14:textId="77777777" w:rsidR="00E77FED" w:rsidRPr="00BA2041" w:rsidRDefault="00E77FED" w:rsidP="00DE3DD0">
      <w:pPr>
        <w:pStyle w:val="ListBullet"/>
      </w:pPr>
      <w:r w:rsidRPr="00BA2041">
        <w:t>IT: As noted earlier, GWW has a strong focus on optimising its IT services. Through our continued rationalisation of IT licence fees program we are expected a reduction in operating costs, particularly as a new single system is deployed. </w:t>
      </w:r>
    </w:p>
    <w:p w14:paraId="0BA5316A" w14:textId="77777777" w:rsidR="00E77FED" w:rsidRPr="00BA2041" w:rsidRDefault="00E77FED" w:rsidP="00DE3DD0">
      <w:pPr>
        <w:pStyle w:val="ListBullet"/>
      </w:pPr>
      <w:r w:rsidRPr="00BA2041">
        <w:t xml:space="preserve">IT delivery model review: A full review into the delivery model for IT services across GWW will be undertaken to deliver greater value for our customers. As the review is in its </w:t>
      </w:r>
      <w:proofErr w:type="gramStart"/>
      <w:r w:rsidRPr="00BA2041">
        <w:t>infancy</w:t>
      </w:r>
      <w:proofErr w:type="gramEnd"/>
      <w:r w:rsidRPr="00BA2041">
        <w:t xml:space="preserve"> we have not identified specific savings, but are incorporating this into our unquantified transformation efficiencies target.  </w:t>
      </w:r>
    </w:p>
    <w:p w14:paraId="5B657770" w14:textId="77777777" w:rsidR="00E77FED" w:rsidRPr="00BA2041" w:rsidRDefault="00E77FED" w:rsidP="00DE3DD0">
      <w:pPr>
        <w:pStyle w:val="ListBullet"/>
      </w:pPr>
      <w:r w:rsidRPr="00BA2041">
        <w:t xml:space="preserve">Workforce optimisation plan: Broadly across the whole of GWW, we are investing </w:t>
      </w:r>
      <w:proofErr w:type="gramStart"/>
      <w:r w:rsidRPr="00BA2041">
        <w:t>an</w:t>
      </w:r>
      <w:proofErr w:type="gramEnd"/>
      <w:r w:rsidRPr="00BA2041">
        <w:t xml:space="preserve"> workforce optimisation plan that will deliver reductions in FTEs and costs without compromising services. As the plan is yet to get </w:t>
      </w:r>
      <w:proofErr w:type="gramStart"/>
      <w:r w:rsidRPr="00BA2041">
        <w:t>underway</w:t>
      </w:r>
      <w:proofErr w:type="gramEnd"/>
      <w:r w:rsidRPr="00BA2041">
        <w:t xml:space="preserve"> we have not identified specific savings and are proposing to incorporate into our unquantified transformation efficiencies target.</w:t>
      </w:r>
    </w:p>
    <w:p w14:paraId="519E3CE2" w14:textId="77777777" w:rsidR="00E77FED" w:rsidRPr="00BA2041" w:rsidDel="00E21FB3" w:rsidRDefault="00E77FED" w:rsidP="000C71D9">
      <w:pPr>
        <w:pStyle w:val="Heading6"/>
      </w:pPr>
      <w:r w:rsidRPr="00BA2041" w:rsidDel="00E21FB3">
        <w:lastRenderedPageBreak/>
        <w:t>Customer services </w:t>
      </w:r>
    </w:p>
    <w:p w14:paraId="3E9291E1" w14:textId="77777777" w:rsidR="00E77FED" w:rsidRPr="00BA2041" w:rsidDel="00E21FB3" w:rsidRDefault="00E77FED" w:rsidP="00BA2041">
      <w:r w:rsidRPr="00BA2041" w:rsidDel="00E21FB3">
        <w:t>We are continuing to invest and change our services to fit the needs of our growing customer base. This will result in the following efficiencies: </w:t>
      </w:r>
    </w:p>
    <w:p w14:paraId="17F32E2C" w14:textId="39C62203" w:rsidR="00E77FED" w:rsidRPr="00BA2041" w:rsidDel="00E21FB3" w:rsidRDefault="000C5E89" w:rsidP="00DE3DD0">
      <w:pPr>
        <w:pStyle w:val="ListBullet"/>
      </w:pPr>
      <w:r>
        <w:t>The</w:t>
      </w:r>
      <w:r w:rsidR="00E77FED" w:rsidRPr="00BA2041" w:rsidDel="00E21FB3">
        <w:t xml:space="preserve"> </w:t>
      </w:r>
      <w:r w:rsidR="00AC0FA8">
        <w:t>billing and collections</w:t>
      </w:r>
      <w:r w:rsidR="00E77FED" w:rsidRPr="00BA2041" w:rsidDel="00E21FB3">
        <w:t xml:space="preserve"> program will deliver up to $4.0 million per annum by the end of the regulatory period.  </w:t>
      </w:r>
    </w:p>
    <w:p w14:paraId="673F01C2" w14:textId="2181C791" w:rsidR="00E77FED" w:rsidRPr="00BA2041" w:rsidDel="00E21FB3" w:rsidRDefault="000C5E89" w:rsidP="00DE3DD0">
      <w:pPr>
        <w:pStyle w:val="ListBullet"/>
      </w:pPr>
      <w:r>
        <w:t>The</w:t>
      </w:r>
      <w:r w:rsidR="00E77FED" w:rsidRPr="00BA2041" w:rsidDel="00E21FB3">
        <w:t xml:space="preserve"> alignment of billing systems enabled by both the </w:t>
      </w:r>
      <w:r w:rsidR="00AC0FA8">
        <w:t>billing and collections</w:t>
      </w:r>
      <w:r w:rsidR="00E77FED" w:rsidRPr="00BA2041" w:rsidDel="00E21FB3">
        <w:t xml:space="preserve"> </w:t>
      </w:r>
      <w:r w:rsidR="00AC0FA8">
        <w:t>p</w:t>
      </w:r>
      <w:r w:rsidR="00E77FED" w:rsidRPr="00BA2041" w:rsidDel="00E21FB3">
        <w:t>rogram and the new Water Industry Standard – Urban will enable us to deliver further savings (</w:t>
      </w:r>
      <w:r w:rsidR="00DE3DD0" w:rsidRPr="00BA2041" w:rsidDel="00E21FB3">
        <w:t>unquantified</w:t>
      </w:r>
      <w:r w:rsidR="00E77FED" w:rsidRPr="00BA2041" w:rsidDel="00E21FB3">
        <w:t xml:space="preserve"> at this time)</w:t>
      </w:r>
      <w:r>
        <w:t xml:space="preserve"> through</w:t>
      </w:r>
      <w:r w:rsidR="00E77FED" w:rsidRPr="00BA2041" w:rsidDel="00E21FB3">
        <w:t>: </w:t>
      </w:r>
    </w:p>
    <w:p w14:paraId="77335D05" w14:textId="77777777" w:rsidR="00E77FED" w:rsidRPr="00BA2041" w:rsidDel="00E21FB3" w:rsidRDefault="00E77FED">
      <w:pPr>
        <w:pStyle w:val="ListBullet2"/>
        <w:numPr>
          <w:ilvl w:val="0"/>
          <w:numId w:val="46"/>
        </w:numPr>
      </w:pPr>
      <w:r w:rsidRPr="00BA2041" w:rsidDel="00E21FB3">
        <w:t xml:space="preserve">improved call centre workforce management </w:t>
      </w:r>
    </w:p>
    <w:p w14:paraId="08847817" w14:textId="77777777" w:rsidR="00E77FED" w:rsidRPr="00BA2041" w:rsidDel="00E21FB3" w:rsidRDefault="00E77FED">
      <w:pPr>
        <w:pStyle w:val="ListBullet2"/>
        <w:numPr>
          <w:ilvl w:val="0"/>
          <w:numId w:val="46"/>
        </w:numPr>
      </w:pPr>
      <w:r w:rsidRPr="00BA2041" w:rsidDel="00E21FB3">
        <w:t xml:space="preserve">self-reads of meters and reduce the number of special </w:t>
      </w:r>
      <w:proofErr w:type="gramStart"/>
      <w:r w:rsidRPr="00BA2041" w:rsidDel="00E21FB3">
        <w:t>meter</w:t>
      </w:r>
      <w:proofErr w:type="gramEnd"/>
      <w:r w:rsidRPr="00BA2041" w:rsidDel="00E21FB3">
        <w:t xml:space="preserve"> reads.</w:t>
      </w:r>
    </w:p>
    <w:p w14:paraId="5CFFB3CA" w14:textId="77777777" w:rsidR="00E77FED" w:rsidRPr="00BA2041" w:rsidDel="00E21FB3" w:rsidRDefault="00E77FED">
      <w:pPr>
        <w:pStyle w:val="ListBullet2"/>
        <w:numPr>
          <w:ilvl w:val="0"/>
          <w:numId w:val="46"/>
        </w:numPr>
      </w:pPr>
      <w:r w:rsidRPr="00BA2041" w:rsidDel="00E21FB3">
        <w:t>increased use of digital delivery of information to customers and result in reduced postage costs.</w:t>
      </w:r>
    </w:p>
    <w:p w14:paraId="3BD66CC4" w14:textId="77777777" w:rsidR="00E77FED" w:rsidRPr="00BA2041" w:rsidRDefault="00E77FED" w:rsidP="000C71D9">
      <w:pPr>
        <w:pStyle w:val="Heading6"/>
      </w:pPr>
      <w:r w:rsidRPr="00BA2041">
        <w:t>Compliance  </w:t>
      </w:r>
    </w:p>
    <w:p w14:paraId="2C175D97" w14:textId="77777777" w:rsidR="00E77FED" w:rsidRPr="00BA2041" w:rsidRDefault="00E77FED" w:rsidP="00BA2041">
      <w:r w:rsidRPr="00BA2041">
        <w:t>As GWW continues to invest in its treatment plants and network of assets, this will lead to efficiencies in: </w:t>
      </w:r>
    </w:p>
    <w:p w14:paraId="176E4126" w14:textId="77777777" w:rsidR="00E77FED" w:rsidRPr="00BA2041" w:rsidRDefault="00E77FED" w:rsidP="00DE3DD0">
      <w:pPr>
        <w:pStyle w:val="ListBullet"/>
      </w:pPr>
      <w:r w:rsidRPr="00BA2041">
        <w:t>Incident management: Reduced communications and engagement expenditure and through an alignment of technical incident management teams ($0.1 million).</w:t>
      </w:r>
    </w:p>
    <w:p w14:paraId="7BC619BB" w14:textId="77777777" w:rsidR="00E77FED" w:rsidRPr="00BA2041" w:rsidRDefault="00E77FED" w:rsidP="00DE3DD0">
      <w:pPr>
        <w:pStyle w:val="ListBullet"/>
      </w:pPr>
      <w:r w:rsidRPr="00BA2041">
        <w:t xml:space="preserve">Sewer quality management system: Savings from come from having </w:t>
      </w:r>
      <w:proofErr w:type="gramStart"/>
      <w:r w:rsidRPr="00BA2041">
        <w:t>an</w:t>
      </w:r>
      <w:proofErr w:type="gramEnd"/>
      <w:r w:rsidRPr="00BA2041">
        <w:t xml:space="preserve"> single sewer quality management system by 2025-26 ($0.1 million).</w:t>
      </w:r>
    </w:p>
    <w:p w14:paraId="23CAF742" w14:textId="77777777" w:rsidR="00E77FED" w:rsidRPr="00BA2041" w:rsidRDefault="00E77FED" w:rsidP="000C71D9">
      <w:pPr>
        <w:pStyle w:val="Heading6"/>
      </w:pPr>
      <w:r w:rsidRPr="00BA2041">
        <w:t>Safety efficiencies </w:t>
      </w:r>
    </w:p>
    <w:p w14:paraId="3C7C766B" w14:textId="77777777" w:rsidR="00E77FED" w:rsidRPr="00BA2041" w:rsidRDefault="00E77FED" w:rsidP="00BA2041">
      <w:r w:rsidRPr="00BA2041">
        <w:t xml:space="preserve">GWW has invested in improving safety for its staff, </w:t>
      </w:r>
      <w:proofErr w:type="gramStart"/>
      <w:r w:rsidRPr="00BA2041">
        <w:t>contractors</w:t>
      </w:r>
      <w:proofErr w:type="gramEnd"/>
      <w:r w:rsidRPr="00BA2041">
        <w:t xml:space="preserve"> and the public. The investments made and efficiencies to be achieved are:</w:t>
      </w:r>
    </w:p>
    <w:p w14:paraId="0DD7BFBD" w14:textId="55855C0A" w:rsidR="00E77FED" w:rsidRPr="00BA2041" w:rsidRDefault="00E77FED" w:rsidP="00DE3DD0">
      <w:pPr>
        <w:pStyle w:val="ListBullet"/>
      </w:pPr>
      <w:r w:rsidRPr="00BA2041">
        <w:t xml:space="preserve">New Health, Safety, Environment and Quality (HSEQ) system: Neither CWW or WW had an appropriate HSEQ system to analyse and implement measures to improve outcomes for the business. The build of this system and process will lead to efficiencies in reporting and provide greater value to customers. Over time it is expected that a reduction in FTEs will be able to </w:t>
      </w:r>
      <w:proofErr w:type="gramStart"/>
      <w:r w:rsidRPr="00BA2041">
        <w:t>achieved</w:t>
      </w:r>
      <w:proofErr w:type="gramEnd"/>
      <w:r w:rsidRPr="00BA2041">
        <w:t>.</w:t>
      </w:r>
      <w:r w:rsidR="00DB308C">
        <w:t xml:space="preserve"> </w:t>
      </w:r>
      <w:r w:rsidRPr="00BA2041">
        <w:t>In total $0.2 million per annum has been identified as an efficiency for the HSEQ systems.  </w:t>
      </w:r>
    </w:p>
    <w:p w14:paraId="28E37979" w14:textId="77777777" w:rsidR="00E77FED" w:rsidRPr="00BA2041" w:rsidRDefault="00E77FED" w:rsidP="00DE3DD0">
      <w:pPr>
        <w:pStyle w:val="ListBullet"/>
      </w:pPr>
      <w:r w:rsidRPr="00BA2041">
        <w:t>Operational technology: increases in operational technology in the field, improves customer value in reducing operational staffs need to visit remote meters and facilities. The investment will lead to an alignment of staff managing systems, reduce licence fees and provide a safer operating environment for our people in the field. The benefits from operational technology improvements will be realised in the following regulatory period.  </w:t>
      </w:r>
    </w:p>
    <w:p w14:paraId="5D141C84" w14:textId="77777777" w:rsidR="00E77FED" w:rsidRPr="00BA2041" w:rsidRDefault="00E77FED" w:rsidP="000C71D9">
      <w:pPr>
        <w:pStyle w:val="Heading5-nonumber"/>
      </w:pPr>
      <w:r w:rsidRPr="00BA2041">
        <w:t>Residual efficiencies </w:t>
      </w:r>
    </w:p>
    <w:p w14:paraId="6796ED7C" w14:textId="77777777" w:rsidR="00E77FED" w:rsidRPr="00BA2041" w:rsidRDefault="00E77FED" w:rsidP="00BA2041">
      <w:r w:rsidRPr="00BA2041">
        <w:t>Residual efficiency is efficiency that is not directly related to the integration or transformation efficiencies outline above and includes: </w:t>
      </w:r>
    </w:p>
    <w:p w14:paraId="24219FB7" w14:textId="77777777" w:rsidR="00E77FED" w:rsidRPr="00BA2041" w:rsidRDefault="00E77FED" w:rsidP="00DE3DD0">
      <w:pPr>
        <w:pStyle w:val="ListBullet"/>
      </w:pPr>
      <w:r w:rsidRPr="00BA2041">
        <w:t xml:space="preserve">Unmeasured integration efficiencies relating to economies of scale and economies of </w:t>
      </w:r>
      <w:proofErr w:type="gramStart"/>
      <w:r w:rsidRPr="00BA2041">
        <w:t>scope</w:t>
      </w:r>
      <w:proofErr w:type="gramEnd"/>
      <w:r w:rsidRPr="00BA2041">
        <w:t> </w:t>
      </w:r>
    </w:p>
    <w:p w14:paraId="38F8F803" w14:textId="77777777" w:rsidR="00E77FED" w:rsidRPr="00BA2041" w:rsidRDefault="00E77FED" w:rsidP="00DE3DD0">
      <w:pPr>
        <w:pStyle w:val="ListBullet"/>
      </w:pPr>
      <w:r w:rsidRPr="00BA2041">
        <w:t>Efficiencies related to ongoing activities and productivity improvements that are not integration or transformation related. </w:t>
      </w:r>
    </w:p>
    <w:p w14:paraId="0F0C1B5E" w14:textId="6F462F29" w:rsidR="00E77FED" w:rsidRPr="00BA2041" w:rsidRDefault="00E77FED" w:rsidP="00BA2041">
      <w:r w:rsidRPr="00BA2041">
        <w:t>The residual efficiency target of 1.40</w:t>
      </w:r>
      <w:r w:rsidR="000577FC">
        <w:t>%</w:t>
      </w:r>
      <w:r w:rsidRPr="00BA2041">
        <w:t xml:space="preserve"> per annum has been chosen based on the ESC’s standard PREMO operating expenditure expectations. This is the only efficiency </w:t>
      </w:r>
      <w:r w:rsidRPr="00BA2041">
        <w:lastRenderedPageBreak/>
        <w:t xml:space="preserve">component that will be included in </w:t>
      </w:r>
      <w:proofErr w:type="gramStart"/>
      <w:r w:rsidRPr="00BA2041">
        <w:t>10 year</w:t>
      </w:r>
      <w:proofErr w:type="gramEnd"/>
      <w:r w:rsidRPr="00BA2041">
        <w:t xml:space="preserve"> operating expenditure proposal for the following regulatory period (commencing 1 July 2028).</w:t>
      </w:r>
    </w:p>
    <w:p w14:paraId="55287B6D" w14:textId="77777777" w:rsidR="00DC6B36" w:rsidRPr="00DC6B36" w:rsidRDefault="00DC6B36" w:rsidP="00D95364">
      <w:pPr>
        <w:pStyle w:val="H2xappendixlevel3H"/>
      </w:pPr>
      <w:r w:rsidRPr="00DC6B36">
        <w:t>Key input cost assumptions </w:t>
      </w:r>
    </w:p>
    <w:p w14:paraId="4E40A0BF" w14:textId="162D2206" w:rsidR="00DC6B36" w:rsidRPr="00DC6B36" w:rsidRDefault="00DC6B36" w:rsidP="00DC6B36">
      <w:r w:rsidRPr="00DC6B36">
        <w:t>The operating expenditure forecast for each of the integration, transformation and residual expenditures in our baseline are underpinned by five key cost categories energy, chemicals, labour, IT and operations and maintenance. This section steps through our forecasting approach to these.</w:t>
      </w:r>
    </w:p>
    <w:p w14:paraId="2063A524" w14:textId="77777777" w:rsidR="00DC6B36" w:rsidRPr="00DC6B36" w:rsidRDefault="00DC6B36" w:rsidP="004B1889">
      <w:pPr>
        <w:pStyle w:val="Heading4-nonumber"/>
      </w:pPr>
      <w:r w:rsidRPr="00DC6B36">
        <w:t>Input costs: energy </w:t>
      </w:r>
    </w:p>
    <w:p w14:paraId="29C3232E" w14:textId="77777777" w:rsidR="00DC6B36" w:rsidRPr="00DC6B36" w:rsidRDefault="00DC6B36" w:rsidP="00DC6B36">
      <w:r w:rsidRPr="00DC6B36">
        <w:t xml:space="preserve">Energy consumption over the four-year regulatory period is forecast to increase by 1.8% per annum. This reflects the forecast increase in consumption due to new connections, new Western Irrigation Network capital investments and increases in treatment volumes at the West Werribee Recycled Water Plant. </w:t>
      </w:r>
      <w:proofErr w:type="gramStart"/>
      <w:r w:rsidRPr="00DC6B36">
        <w:t>Both of these</w:t>
      </w:r>
      <w:proofErr w:type="gramEnd"/>
      <w:r w:rsidRPr="00DC6B36">
        <w:t xml:space="preserve"> projects are unrelated to growth.</w:t>
      </w:r>
    </w:p>
    <w:p w14:paraId="570859F9" w14:textId="77777777" w:rsidR="00DC6B36" w:rsidRPr="00DC6B36" w:rsidRDefault="00DC6B36" w:rsidP="00DC6B36">
      <w:r w:rsidRPr="00DC6B36">
        <w:t>The cost of electricity is primarily driven by three key components: the retail electricity price, network charges and environmental and other charges. All GWW’s sites are contracted via the Department of Treasury and Finance’s (DTF) State Purchase Contract (SPC).</w:t>
      </w:r>
    </w:p>
    <w:p w14:paraId="1D1109E7" w14:textId="0DAB954D" w:rsidR="00455C68" w:rsidRDefault="00DC6B36" w:rsidP="00455C68">
      <w:pPr>
        <w:shd w:val="clear" w:color="auto" w:fill="FFFFFF"/>
        <w:spacing w:after="0" w:line="240" w:lineRule="auto"/>
        <w:textAlignment w:val="baseline"/>
        <w:rPr>
          <w:rFonts w:ascii="Verdana" w:eastAsia="Times New Roman" w:hAnsi="Verdana" w:cs="Segoe UI"/>
          <w:color w:val="222222"/>
          <w:spacing w:val="0"/>
          <w:shd w:val="clear" w:color="auto" w:fill="FFFFFF"/>
          <w:lang w:eastAsia="en-AU"/>
        </w:rPr>
      </w:pPr>
      <w:r w:rsidRPr="002B1AE7">
        <w:rPr>
          <w:rFonts w:ascii="Verdana" w:eastAsia="Times New Roman" w:hAnsi="Verdana" w:cs="Segoe UI"/>
          <w:color w:val="222222"/>
          <w:spacing w:val="0"/>
          <w:shd w:val="clear" w:color="auto" w:fill="FFFFFF"/>
          <w:lang w:eastAsia="en-AU"/>
        </w:rPr>
        <w:t xml:space="preserve">To develop the energy forecast, we have adopted the forecast cost assumptions based on the Schneider Electric Energy and Sustainability Services </w:t>
      </w:r>
      <w:r w:rsidR="00455C68" w:rsidRPr="002B1AE7">
        <w:rPr>
          <w:rFonts w:ascii="Verdana" w:eastAsia="Times New Roman" w:hAnsi="Verdana" w:cs="Segoe UI"/>
          <w:color w:val="222222"/>
          <w:spacing w:val="0"/>
          <w:shd w:val="clear" w:color="auto" w:fill="FFFFFF"/>
          <w:lang w:eastAsia="en-AU"/>
        </w:rPr>
        <w:t>report</w:t>
      </w:r>
      <w:r w:rsidR="00455C68">
        <w:rPr>
          <w:rFonts w:ascii="Verdana" w:eastAsia="Times New Roman" w:hAnsi="Verdana" w:cs="Segoe UI"/>
          <w:color w:val="222222"/>
          <w:spacing w:val="0"/>
          <w:shd w:val="clear" w:color="auto" w:fill="FFFFFF"/>
          <w:lang w:eastAsia="en-AU"/>
        </w:rPr>
        <w:t>s</w:t>
      </w:r>
      <w:r w:rsidR="0084356A">
        <w:rPr>
          <w:rStyle w:val="EndnoteReference"/>
          <w:rFonts w:ascii="Verdana" w:eastAsia="Times New Roman" w:hAnsi="Verdana" w:cs="Segoe UI"/>
          <w:color w:val="222222"/>
          <w:spacing w:val="0"/>
          <w:shd w:val="clear" w:color="auto" w:fill="FFFFFF"/>
          <w:lang w:eastAsia="en-AU"/>
        </w:rPr>
        <w:endnoteReference w:id="28"/>
      </w:r>
      <w:r w:rsidR="0084356A">
        <w:rPr>
          <w:rFonts w:ascii="Verdana" w:eastAsia="Times New Roman" w:hAnsi="Verdana" w:cs="Segoe UI"/>
          <w:color w:val="222222"/>
          <w:spacing w:val="0"/>
          <w:shd w:val="clear" w:color="auto" w:fill="FFFFFF"/>
          <w:vertAlign w:val="superscript"/>
          <w:lang w:eastAsia="en-AU"/>
        </w:rPr>
        <w:t>,</w:t>
      </w:r>
      <w:r w:rsidR="0084356A">
        <w:rPr>
          <w:rStyle w:val="EndnoteReference"/>
          <w:rFonts w:ascii="Verdana" w:eastAsia="Times New Roman" w:hAnsi="Verdana" w:cs="Segoe UI"/>
          <w:color w:val="222222"/>
          <w:spacing w:val="0"/>
          <w:shd w:val="clear" w:color="auto" w:fill="FFFFFF"/>
          <w:lang w:eastAsia="en-AU"/>
        </w:rPr>
        <w:endnoteReference w:id="29"/>
      </w:r>
      <w:r w:rsidR="0084356A">
        <w:rPr>
          <w:rFonts w:ascii="Verdana" w:eastAsia="Times New Roman" w:hAnsi="Verdana" w:cs="Segoe UI"/>
          <w:color w:val="222222"/>
          <w:spacing w:val="0"/>
          <w:shd w:val="clear" w:color="auto" w:fill="FFFFFF"/>
          <w:lang w:eastAsia="en-AU"/>
        </w:rPr>
        <w:t xml:space="preserve"> </w:t>
      </w:r>
      <w:r>
        <w:rPr>
          <w:rFonts w:ascii="Verdana" w:eastAsia="Times New Roman" w:hAnsi="Verdana" w:cs="Segoe UI"/>
          <w:color w:val="222222"/>
          <w:spacing w:val="0"/>
          <w:shd w:val="clear" w:color="auto" w:fill="FFFFFF"/>
          <w:lang w:eastAsia="en-AU"/>
        </w:rPr>
        <w:t>forecasts</w:t>
      </w:r>
      <w:r w:rsidR="00455C68">
        <w:rPr>
          <w:rFonts w:ascii="Verdana" w:eastAsia="Times New Roman" w:hAnsi="Verdana" w:cs="Segoe UI"/>
          <w:color w:val="222222"/>
          <w:spacing w:val="0"/>
          <w:shd w:val="clear" w:color="auto" w:fill="FFFFFF"/>
          <w:lang w:eastAsia="en-AU"/>
        </w:rPr>
        <w:t xml:space="preserve"> (Schneider report)</w:t>
      </w:r>
      <w:r w:rsidR="00455C68" w:rsidRPr="002B1AE7">
        <w:rPr>
          <w:rFonts w:ascii="Verdana" w:eastAsia="Times New Roman" w:hAnsi="Verdana" w:cs="Segoe UI"/>
          <w:color w:val="222222"/>
          <w:spacing w:val="0"/>
          <w:shd w:val="clear" w:color="auto" w:fill="FFFFFF"/>
          <w:lang w:eastAsia="en-AU"/>
        </w:rPr>
        <w:t xml:space="preserve">. This </w:t>
      </w:r>
      <w:r w:rsidR="00455C68">
        <w:rPr>
          <w:rFonts w:ascii="Verdana" w:eastAsia="Times New Roman" w:hAnsi="Verdana" w:cs="Segoe UI"/>
          <w:color w:val="222222"/>
          <w:spacing w:val="0"/>
          <w:shd w:val="clear" w:color="auto" w:fill="FFFFFF"/>
          <w:lang w:eastAsia="en-AU"/>
        </w:rPr>
        <w:t>report</w:t>
      </w:r>
      <w:r w:rsidR="00455C68" w:rsidRPr="002B1AE7">
        <w:rPr>
          <w:rFonts w:ascii="Verdana" w:eastAsia="Times New Roman" w:hAnsi="Verdana" w:cs="Segoe UI"/>
          <w:color w:val="222222"/>
          <w:spacing w:val="0"/>
          <w:shd w:val="clear" w:color="auto" w:fill="FFFFFF"/>
          <w:lang w:eastAsia="en-AU"/>
        </w:rPr>
        <w:t xml:space="preserve"> was commissioned by the Victorian water </w:t>
      </w:r>
      <w:r w:rsidR="00455C68" w:rsidRPr="00D57453">
        <w:rPr>
          <w:rFonts w:ascii="Verdana" w:eastAsia="Times New Roman" w:hAnsi="Verdana" w:cs="Segoe UI"/>
          <w:color w:val="222222"/>
          <w:spacing w:val="0"/>
          <w:shd w:val="clear" w:color="auto" w:fill="FFFFFF"/>
          <w:lang w:eastAsia="en-AU"/>
        </w:rPr>
        <w:t>industry’s Intelligent Water Network’s Greenhouse and Energy Special Interest Group, in collaboration with DEECA in April 2023</w:t>
      </w:r>
      <w:r w:rsidR="00455C68">
        <w:rPr>
          <w:rFonts w:ascii="Verdana" w:eastAsia="Times New Roman" w:hAnsi="Verdana" w:cs="Segoe UI"/>
          <w:color w:val="222222"/>
          <w:spacing w:val="0"/>
          <w:shd w:val="clear" w:color="auto" w:fill="FFFFFF"/>
          <w:lang w:eastAsia="en-AU"/>
        </w:rPr>
        <w:t xml:space="preserve">. </w:t>
      </w:r>
      <w:r w:rsidR="00455C68" w:rsidRPr="00502973">
        <w:rPr>
          <w:rFonts w:ascii="Verdana" w:eastAsia="Times New Roman" w:hAnsi="Verdana" w:cs="Segoe UI"/>
          <w:color w:val="222222"/>
          <w:spacing w:val="0"/>
          <w:shd w:val="clear" w:color="auto" w:fill="FFFFFF"/>
          <w:lang w:eastAsia="en-AU"/>
        </w:rPr>
        <w:t>Prices</w:t>
      </w:r>
      <w:r w:rsidR="00455C68">
        <w:rPr>
          <w:rFonts w:ascii="Verdana" w:eastAsia="Times New Roman" w:hAnsi="Verdana" w:cs="Segoe UI"/>
          <w:color w:val="222222"/>
          <w:spacing w:val="0"/>
          <w:shd w:val="clear" w:color="auto" w:fill="FFFFFF"/>
          <w:lang w:eastAsia="en-AU"/>
        </w:rPr>
        <w:t xml:space="preserve"> </w:t>
      </w:r>
      <w:r w:rsidR="00455C68" w:rsidRPr="00502973">
        <w:rPr>
          <w:rFonts w:ascii="Verdana" w:eastAsia="Times New Roman" w:hAnsi="Verdana" w:cs="Segoe UI"/>
          <w:color w:val="222222"/>
          <w:spacing w:val="0"/>
          <w:shd w:val="clear" w:color="auto" w:fill="FFFFFF"/>
          <w:lang w:eastAsia="en-AU"/>
        </w:rPr>
        <w:t xml:space="preserve">are forecast to </w:t>
      </w:r>
      <w:r w:rsidR="00455C68">
        <w:rPr>
          <w:rFonts w:ascii="Verdana" w:eastAsia="Times New Roman" w:hAnsi="Verdana" w:cs="Segoe UI"/>
          <w:color w:val="222222"/>
          <w:spacing w:val="0"/>
          <w:shd w:val="clear" w:color="auto" w:fill="FFFFFF"/>
          <w:lang w:eastAsia="en-AU"/>
        </w:rPr>
        <w:t xml:space="preserve">increase in 2024-25 and then remain relatively stable (and decline slightly) in real 1 January 2024 terms over the next regulatory period. </w:t>
      </w:r>
    </w:p>
    <w:p w14:paraId="52BB9FDC" w14:textId="19F5CE0B" w:rsidR="00513591" w:rsidRPr="00871F20" w:rsidRDefault="00455C68" w:rsidP="00871F20">
      <w:pPr>
        <w:shd w:val="clear" w:color="auto" w:fill="FFFFFF"/>
        <w:spacing w:after="0" w:line="240" w:lineRule="auto"/>
        <w:textAlignment w:val="baseline"/>
        <w:rPr>
          <w:rFonts w:ascii="Verdana" w:eastAsia="Times New Roman" w:hAnsi="Verdana" w:cs="Segoe UI"/>
          <w:color w:val="222222"/>
          <w:spacing w:val="0"/>
          <w:shd w:val="clear" w:color="auto" w:fill="FFFFFF"/>
          <w:lang w:eastAsia="en-AU"/>
        </w:rPr>
      </w:pPr>
      <w:r>
        <w:rPr>
          <w:rFonts w:ascii="Verdana" w:eastAsia="Times New Roman" w:hAnsi="Verdana" w:cs="Segoe UI"/>
          <w:color w:val="222222"/>
          <w:spacing w:val="0"/>
          <w:shd w:val="clear" w:color="auto" w:fill="FFFFFF"/>
          <w:lang w:eastAsia="en-AU"/>
        </w:rPr>
        <w:t xml:space="preserve">GWW has completed a cost build-up on a </w:t>
      </w:r>
      <w:proofErr w:type="gramStart"/>
      <w:r>
        <w:rPr>
          <w:rFonts w:ascii="Verdana" w:eastAsia="Times New Roman" w:hAnsi="Verdana" w:cs="Segoe UI"/>
          <w:color w:val="222222"/>
          <w:spacing w:val="0"/>
          <w:shd w:val="clear" w:color="auto" w:fill="FFFFFF"/>
          <w:lang w:eastAsia="en-AU"/>
        </w:rPr>
        <w:t>site by site</w:t>
      </w:r>
      <w:proofErr w:type="gramEnd"/>
      <w:r>
        <w:rPr>
          <w:rFonts w:ascii="Verdana" w:eastAsia="Times New Roman" w:hAnsi="Verdana" w:cs="Segoe UI"/>
          <w:color w:val="222222"/>
          <w:spacing w:val="0"/>
          <w:shd w:val="clear" w:color="auto" w:fill="FFFFFF"/>
          <w:lang w:eastAsia="en-AU"/>
        </w:rPr>
        <w:t xml:space="preserve"> basis to calculate the total energy consumption and costs. These sites have been allocated to small, </w:t>
      </w:r>
      <w:proofErr w:type="gramStart"/>
      <w:r>
        <w:rPr>
          <w:rFonts w:ascii="Verdana" w:eastAsia="Times New Roman" w:hAnsi="Verdana" w:cs="Segoe UI"/>
          <w:color w:val="222222"/>
          <w:spacing w:val="0"/>
          <w:shd w:val="clear" w:color="auto" w:fill="FFFFFF"/>
          <w:lang w:eastAsia="en-AU"/>
        </w:rPr>
        <w:t>medium</w:t>
      </w:r>
      <w:proofErr w:type="gramEnd"/>
      <w:r>
        <w:rPr>
          <w:rFonts w:ascii="Verdana" w:eastAsia="Times New Roman" w:hAnsi="Verdana" w:cs="Segoe UI"/>
          <w:color w:val="222222"/>
          <w:spacing w:val="0"/>
          <w:shd w:val="clear" w:color="auto" w:fill="FFFFFF"/>
          <w:lang w:eastAsia="en-AU"/>
        </w:rPr>
        <w:t xml:space="preserve"> and large based on volume of electricity at each site.</w:t>
      </w:r>
      <w:r w:rsidR="0084356A">
        <w:rPr>
          <w:rStyle w:val="EndnoteReference"/>
          <w:rFonts w:ascii="Verdana" w:eastAsia="Times New Roman" w:hAnsi="Verdana" w:cs="Segoe UI"/>
          <w:color w:val="222222"/>
          <w:spacing w:val="0"/>
          <w:shd w:val="clear" w:color="auto" w:fill="FFFFFF"/>
          <w:lang w:eastAsia="en-AU"/>
        </w:rPr>
        <w:endnoteReference w:id="30"/>
      </w:r>
      <w:r w:rsidR="0084356A">
        <w:rPr>
          <w:rFonts w:ascii="Verdana" w:eastAsia="Times New Roman" w:hAnsi="Verdana" w:cs="Segoe UI"/>
          <w:color w:val="222222"/>
          <w:spacing w:val="0"/>
          <w:shd w:val="clear" w:color="auto" w:fill="FFFFFF"/>
          <w:lang w:eastAsia="en-AU"/>
        </w:rPr>
        <w:t xml:space="preserve"> </w:t>
      </w:r>
      <w:r>
        <w:rPr>
          <w:rFonts w:ascii="Verdana" w:eastAsia="Times New Roman" w:hAnsi="Verdana" w:cs="Segoe UI"/>
          <w:color w:val="222222"/>
          <w:spacing w:val="0"/>
          <w:shd w:val="clear" w:color="auto" w:fill="FFFFFF"/>
          <w:lang w:eastAsia="en-AU"/>
        </w:rPr>
        <w:t xml:space="preserve">The total consumption and average price per kWh at each site (excluding offsets) is presented in the </w:t>
      </w:r>
      <w:r w:rsidR="00BB763A">
        <w:rPr>
          <w:rFonts w:ascii="Verdana" w:eastAsia="Times New Roman" w:hAnsi="Verdana" w:cs="Segoe UI"/>
          <w:color w:val="222222"/>
          <w:spacing w:val="0"/>
          <w:shd w:val="clear" w:color="auto" w:fill="FFFFFF"/>
          <w:lang w:eastAsia="en-AU"/>
        </w:rPr>
        <w:fldChar w:fldCharType="begin"/>
      </w:r>
      <w:r w:rsidR="00BB763A">
        <w:rPr>
          <w:rFonts w:ascii="Verdana" w:eastAsia="Times New Roman" w:hAnsi="Verdana" w:cs="Segoe UI"/>
          <w:color w:val="222222"/>
          <w:spacing w:val="0"/>
          <w:shd w:val="clear" w:color="auto" w:fill="FFFFFF"/>
          <w:lang w:eastAsia="en-AU"/>
        </w:rPr>
        <w:instrText xml:space="preserve"> REF _Ref146030547 \h </w:instrText>
      </w:r>
      <w:r w:rsidR="00BB763A">
        <w:rPr>
          <w:rFonts w:ascii="Verdana" w:eastAsia="Times New Roman" w:hAnsi="Verdana" w:cs="Segoe UI"/>
          <w:color w:val="222222"/>
          <w:spacing w:val="0"/>
          <w:shd w:val="clear" w:color="auto" w:fill="FFFFFF"/>
          <w:lang w:eastAsia="en-AU"/>
        </w:rPr>
      </w:r>
      <w:r w:rsidR="00BB763A">
        <w:rPr>
          <w:rFonts w:ascii="Verdana" w:eastAsia="Times New Roman" w:hAnsi="Verdana" w:cs="Segoe UI"/>
          <w:color w:val="222222"/>
          <w:spacing w:val="0"/>
          <w:shd w:val="clear" w:color="auto" w:fill="FFFFFF"/>
          <w:lang w:eastAsia="en-AU"/>
        </w:rPr>
        <w:fldChar w:fldCharType="separate"/>
      </w:r>
      <w:r w:rsidR="003B42C6" w:rsidRPr="00C36D66">
        <w:rPr>
          <w:b/>
        </w:rPr>
        <w:t xml:space="preserve">Figure </w:t>
      </w:r>
      <w:r w:rsidR="003B42C6">
        <w:rPr>
          <w:b/>
          <w:noProof/>
        </w:rPr>
        <w:t>48</w:t>
      </w:r>
      <w:r w:rsidR="00BB763A">
        <w:rPr>
          <w:rFonts w:ascii="Verdana" w:eastAsia="Times New Roman" w:hAnsi="Verdana" w:cs="Segoe UI"/>
          <w:color w:val="222222"/>
          <w:spacing w:val="0"/>
          <w:shd w:val="clear" w:color="auto" w:fill="FFFFFF"/>
          <w:lang w:eastAsia="en-AU"/>
        </w:rPr>
        <w:fldChar w:fldCharType="end"/>
      </w:r>
      <w:r w:rsidR="00BB763A">
        <w:rPr>
          <w:rFonts w:ascii="Verdana" w:eastAsia="Times New Roman" w:hAnsi="Verdana" w:cs="Segoe UI"/>
          <w:color w:val="222222"/>
          <w:spacing w:val="0"/>
          <w:shd w:val="clear" w:color="auto" w:fill="FFFFFF"/>
          <w:lang w:eastAsia="en-AU"/>
        </w:rPr>
        <w:t>.</w:t>
      </w:r>
    </w:p>
    <w:p w14:paraId="5099F060" w14:textId="65C149DF" w:rsidR="009505CD" w:rsidRDefault="00871F20" w:rsidP="00177A44">
      <w:pPr>
        <w:pStyle w:val="Caption"/>
      </w:pPr>
      <w:bookmarkStart w:id="423" w:name="_Ref146030547"/>
      <w:bookmarkStart w:id="424" w:name="_Ref146030543"/>
      <w:r>
        <w:rPr>
          <w:b/>
          <w:noProof/>
        </w:rPr>
        <w:lastRenderedPageBreak/>
        <w:drawing>
          <wp:inline distT="0" distB="0" distL="0" distR="0" wp14:anchorId="73A795AD" wp14:editId="05EF60B9">
            <wp:extent cx="6120765" cy="3469005"/>
            <wp:effectExtent l="0" t="0" r="0" b="0"/>
            <wp:docPr id="73" name="Picture 73" descr="This is a combination chart with bar and line graph data. There are 4 datasets for the bar graph “small (existing), medium (Existing) and large (existing), large (new) and 3 datasets for the line graph” Average price (small, c/kWh), Average price (medium, c/kWh and, Average price (Large, c/kWh. Y axis is titled “Electricity consumption” and shows values from 0 to 45,000,000 in increments of 5,000,000. The left X-axis shows dates 2022-23, 2023-24, 2024-25, 2026-27 and 2027-28.  The right X-axis shows price (c/KwH) from 0 to 40. The datasets show for Average price (large, c/kWh) costs decline from 17.78 to 15.75 between 2022 and 2028, Average Price (Medium c/kWh) costs slightly declined from21.80 to 21.97 between 2022 and 2028 and Average Price (small, c/kWh) prices increase from 26.93 to 34.36 between 2022 and 20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s a combination chart with bar and line graph data. There are 4 datasets for the bar graph “small (existing), medium (Existing) and large (existing), large (new) and 3 datasets for the line graph” Average price (small, c/kWh), Average price (medium, c/kWh and, Average price (Large, c/kWh. Y axis is titled “Electricity consumption” and shows values from 0 to 45,000,000 in increments of 5,000,000. The left X-axis shows dates 2022-23, 2023-24, 2024-25, 2026-27 and 2027-28.  The right X-axis shows price (c/KwH) from 0 to 40. The datasets show for Average price (large, c/kWh) costs decline from 17.78 to 15.75 between 2022 and 2028, Average Price (Medium c/kWh) costs slightly declined from21.80 to 21.97 between 2022 and 2028 and Average Price (small, c/kWh) prices increase from 26.93 to 34.36 between 2022 and 2028.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765" cy="3469005"/>
                    </a:xfrm>
                    <a:prstGeom prst="rect">
                      <a:avLst/>
                    </a:prstGeom>
                    <a:noFill/>
                  </pic:spPr>
                </pic:pic>
              </a:graphicData>
            </a:graphic>
          </wp:inline>
        </w:drawing>
      </w:r>
      <w:r w:rsidR="00177A44" w:rsidRPr="00C36D66">
        <w:rPr>
          <w:b/>
        </w:rPr>
        <w:t xml:space="preserve">Figure </w:t>
      </w:r>
      <w:r w:rsidR="001F7221" w:rsidRPr="00C36D66">
        <w:rPr>
          <w:b/>
        </w:rPr>
        <w:fldChar w:fldCharType="begin"/>
      </w:r>
      <w:r w:rsidR="001F7221" w:rsidRPr="00C36D66">
        <w:rPr>
          <w:b/>
        </w:rPr>
        <w:instrText xml:space="preserve"> SEQ Figure \* ARABIC </w:instrText>
      </w:r>
      <w:r w:rsidR="001F7221" w:rsidRPr="00C36D66">
        <w:rPr>
          <w:b/>
        </w:rPr>
        <w:fldChar w:fldCharType="separate"/>
      </w:r>
      <w:r w:rsidR="003B42C6">
        <w:rPr>
          <w:b/>
          <w:noProof/>
        </w:rPr>
        <w:t>48</w:t>
      </w:r>
      <w:r w:rsidR="001F7221" w:rsidRPr="00C36D66">
        <w:rPr>
          <w:b/>
        </w:rPr>
        <w:fldChar w:fldCharType="end"/>
      </w:r>
      <w:bookmarkEnd w:id="423"/>
      <w:r w:rsidR="00177A44">
        <w:t xml:space="preserve"> </w:t>
      </w:r>
      <w:r w:rsidR="00A12836" w:rsidRPr="00A12836">
        <w:t>The total consumption and average price per kWh at each site</w:t>
      </w:r>
      <w:bookmarkEnd w:id="424"/>
    </w:p>
    <w:p w14:paraId="42482047" w14:textId="0C1243D9" w:rsidR="00DE2FFA" w:rsidRDefault="0034358B" w:rsidP="00177A44">
      <w:r w:rsidRPr="0034358B">
        <w:t xml:space="preserve">For offsets, GWW has a contract to end of 2029-30 with the Zero Emissions Water (ZEW) project that provides for Large Generation Certifications (LGCs) at a contracted rate of $14.35 per MWh (nominal). GWW’s share of the electricity generated is 29.86% and using the Marginal Loss Factor of 0.8775 as set by AEMO in calendar year 2024, this equates to 20,588 MWh of LGC certificates. Further offsets are forecast as part of the by the Victorian Government forecast for Victorian Renewal Energy Target 2 (VRET2). This forecast is $46.65 per MWh (nominal). A summary of GWW’s forecast offset costs is presented </w:t>
      </w:r>
      <w:r w:rsidR="002B0386">
        <w:fldChar w:fldCharType="begin"/>
      </w:r>
      <w:r w:rsidR="002B0386">
        <w:instrText xml:space="preserve"> REF _Ref146030588 \h </w:instrText>
      </w:r>
      <w:r w:rsidR="002B0386">
        <w:fldChar w:fldCharType="separate"/>
      </w:r>
      <w:r w:rsidR="003B42C6" w:rsidRPr="00C36D66">
        <w:rPr>
          <w:b/>
        </w:rPr>
        <w:t xml:space="preserve">Table </w:t>
      </w:r>
      <w:r w:rsidR="003B42C6">
        <w:rPr>
          <w:b/>
          <w:noProof/>
        </w:rPr>
        <w:t>85</w:t>
      </w:r>
      <w:r w:rsidR="002B0386">
        <w:fldChar w:fldCharType="end"/>
      </w:r>
      <w:r w:rsidRPr="0034358B">
        <w:t xml:space="preserve">. This approach will enable net zero to be achieved by </w:t>
      </w:r>
      <w:r w:rsidR="001107AE">
        <w:t>2030</w:t>
      </w:r>
      <w:r w:rsidRPr="0034358B">
        <w:t xml:space="preserve"> alongside behind the meter investments made by GWW.</w:t>
      </w:r>
    </w:p>
    <w:p w14:paraId="71BA4C7E" w14:textId="148636BA" w:rsidR="00085F40" w:rsidRPr="00FE04A3" w:rsidRDefault="00DE2FFA" w:rsidP="00C201AB">
      <w:pPr>
        <w:pStyle w:val="Caption"/>
        <w:rPr>
          <w:rFonts w:ascii="Verdana" w:eastAsia="Times New Roman" w:hAnsi="Verdana" w:cs="Segoe UI"/>
          <w:color w:val="222222"/>
          <w:spacing w:val="0"/>
          <w:shd w:val="clear" w:color="auto" w:fill="FFFFFF"/>
          <w:lang w:eastAsia="en-AU"/>
        </w:rPr>
      </w:pPr>
      <w:bookmarkStart w:id="425" w:name="_Ref146030588"/>
      <w:r w:rsidRPr="00C36D66">
        <w:rPr>
          <w:b/>
        </w:rPr>
        <w:t xml:space="preserve">Table </w:t>
      </w:r>
      <w:r w:rsidR="001F7221" w:rsidRPr="00C36D66">
        <w:rPr>
          <w:b/>
        </w:rPr>
        <w:fldChar w:fldCharType="begin"/>
      </w:r>
      <w:r w:rsidR="001F7221" w:rsidRPr="00C36D66">
        <w:rPr>
          <w:b/>
        </w:rPr>
        <w:instrText xml:space="preserve"> SEQ Table \* ARABIC </w:instrText>
      </w:r>
      <w:r w:rsidR="001F7221" w:rsidRPr="00C36D66">
        <w:rPr>
          <w:b/>
        </w:rPr>
        <w:fldChar w:fldCharType="separate"/>
      </w:r>
      <w:r w:rsidR="003B42C6">
        <w:rPr>
          <w:b/>
          <w:noProof/>
        </w:rPr>
        <w:t>85</w:t>
      </w:r>
      <w:r w:rsidR="001F7221" w:rsidRPr="00C36D66">
        <w:rPr>
          <w:b/>
        </w:rPr>
        <w:fldChar w:fldCharType="end"/>
      </w:r>
      <w:bookmarkEnd w:id="425"/>
      <w:r w:rsidR="00085F40" w:rsidRPr="00FE04A3">
        <w:t xml:space="preserve"> </w:t>
      </w:r>
      <w:r w:rsidRPr="00FE04A3">
        <w:t>Energy offset breakdown ($, 2023-24)</w:t>
      </w:r>
    </w:p>
    <w:tbl>
      <w:tblPr>
        <w:tblStyle w:val="GWWDefaulttable"/>
        <w:tblW w:w="5000" w:type="pct"/>
        <w:tblLook w:val="04A0" w:firstRow="1" w:lastRow="0" w:firstColumn="1" w:lastColumn="0" w:noHBand="0" w:noVBand="1"/>
      </w:tblPr>
      <w:tblGrid>
        <w:gridCol w:w="3278"/>
        <w:gridCol w:w="1272"/>
        <w:gridCol w:w="1272"/>
        <w:gridCol w:w="1272"/>
        <w:gridCol w:w="1272"/>
        <w:gridCol w:w="1272"/>
      </w:tblGrid>
      <w:tr w:rsidR="00BB6D19" w14:paraId="5ED34AA3" w14:textId="77777777" w:rsidTr="00AC3E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06709276" w14:textId="77777777" w:rsidR="00BB6D19" w:rsidRPr="00AC3E2C" w:rsidRDefault="00BB6D19" w:rsidP="00AC3E2C"/>
        </w:tc>
        <w:tc>
          <w:tcPr>
            <w:tcW w:w="660" w:type="pct"/>
            <w:vAlign w:val="center"/>
          </w:tcPr>
          <w:p w14:paraId="27AF7C3B" w14:textId="4E4FAC31"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2023-2</w:t>
            </w:r>
            <w:r w:rsidRPr="0018104A">
              <w:rPr>
                <w:bCs/>
              </w:rPr>
              <w:t xml:space="preserve">4 </w:t>
            </w:r>
          </w:p>
        </w:tc>
        <w:tc>
          <w:tcPr>
            <w:tcW w:w="660" w:type="pct"/>
            <w:vAlign w:val="center"/>
          </w:tcPr>
          <w:p w14:paraId="123DA23A" w14:textId="618DB894"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2024-25 </w:t>
            </w:r>
          </w:p>
        </w:tc>
        <w:tc>
          <w:tcPr>
            <w:tcW w:w="660" w:type="pct"/>
            <w:vAlign w:val="center"/>
          </w:tcPr>
          <w:p w14:paraId="618546C9" w14:textId="14EEEB5F"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2025-26 </w:t>
            </w:r>
          </w:p>
        </w:tc>
        <w:tc>
          <w:tcPr>
            <w:tcW w:w="660" w:type="pct"/>
            <w:vAlign w:val="center"/>
          </w:tcPr>
          <w:p w14:paraId="50F9844E" w14:textId="2CC85AAE"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2026-27 </w:t>
            </w:r>
          </w:p>
        </w:tc>
        <w:tc>
          <w:tcPr>
            <w:tcW w:w="660" w:type="pct"/>
            <w:vAlign w:val="center"/>
          </w:tcPr>
          <w:p w14:paraId="0F5584C6" w14:textId="1D4B7D69"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2027-28 </w:t>
            </w:r>
          </w:p>
        </w:tc>
      </w:tr>
      <w:tr w:rsidR="00BB6D19" w14:paraId="65DBF4CD"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shd w:val="clear" w:color="auto" w:fill="F4F0EE" w:themeFill="background2"/>
            <w:vAlign w:val="center"/>
          </w:tcPr>
          <w:p w14:paraId="6AE33D95" w14:textId="7416E175" w:rsidR="00BB6D19" w:rsidRPr="00C36D66" w:rsidRDefault="00BB6D19" w:rsidP="004723E0">
            <w:pPr>
              <w:rPr>
                <w:b w:val="0"/>
              </w:rPr>
            </w:pPr>
            <w:r w:rsidRPr="004723E0">
              <w:t>ZEW</w:t>
            </w:r>
          </w:p>
        </w:tc>
        <w:tc>
          <w:tcPr>
            <w:tcW w:w="660" w:type="pct"/>
            <w:shd w:val="clear" w:color="auto" w:fill="F4F0EE" w:themeFill="background2"/>
            <w:vAlign w:val="center"/>
          </w:tcPr>
          <w:p w14:paraId="2ABE6C53"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664E74E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6AE7D06E"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5A33F83B"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16C6DB6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r>
      <w:tr w:rsidR="00BB6D19" w14:paraId="760C8464"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424B5C60" w14:textId="2CD44E2D" w:rsidR="00BB6D19" w:rsidRPr="00C36D66" w:rsidRDefault="00BB6D19" w:rsidP="00AC3E2C">
            <w:pPr>
              <w:rPr>
                <w:b w:val="0"/>
              </w:rPr>
            </w:pPr>
            <w:r w:rsidRPr="00AC3E2C">
              <w:rPr>
                <w:b w:val="0"/>
              </w:rPr>
              <w:t>Price per LGC ($ per MWh)</w:t>
            </w:r>
          </w:p>
        </w:tc>
        <w:tc>
          <w:tcPr>
            <w:tcW w:w="660" w:type="pct"/>
            <w:vAlign w:val="center"/>
          </w:tcPr>
          <w:p w14:paraId="6023AB09" w14:textId="67C7D3CF"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14.35</w:t>
            </w:r>
          </w:p>
        </w:tc>
        <w:tc>
          <w:tcPr>
            <w:tcW w:w="660" w:type="pct"/>
            <w:vAlign w:val="center"/>
          </w:tcPr>
          <w:p w14:paraId="53656224" w14:textId="7815A6A1"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13.86</w:t>
            </w:r>
          </w:p>
        </w:tc>
        <w:tc>
          <w:tcPr>
            <w:tcW w:w="660" w:type="pct"/>
            <w:vAlign w:val="center"/>
          </w:tcPr>
          <w:p w14:paraId="7372F22A" w14:textId="71A6670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13.40</w:t>
            </w:r>
          </w:p>
        </w:tc>
        <w:tc>
          <w:tcPr>
            <w:tcW w:w="660" w:type="pct"/>
            <w:vAlign w:val="center"/>
          </w:tcPr>
          <w:p w14:paraId="1BC13576" w14:textId="17CC1B3E"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w:t>
            </w:r>
            <w:r w:rsidRPr="00AC4C0B">
              <w:rPr>
                <w:rFonts w:asciiTheme="majorHAnsi" w:eastAsia="Times New Roman" w:hAnsiTheme="majorHAnsi" w:cs="Times New Roman"/>
                <w:spacing w:val="0"/>
                <w:lang w:eastAsia="en-AU"/>
              </w:rPr>
              <w:t>2.94</w:t>
            </w:r>
          </w:p>
        </w:tc>
        <w:tc>
          <w:tcPr>
            <w:tcW w:w="660" w:type="pct"/>
            <w:vAlign w:val="center"/>
          </w:tcPr>
          <w:p w14:paraId="5E2CC19D" w14:textId="0C3DD1F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12.51</w:t>
            </w:r>
          </w:p>
        </w:tc>
      </w:tr>
      <w:tr w:rsidR="00BB6D19" w14:paraId="3CF9A46E"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593FE0CB" w14:textId="3AAC0223" w:rsidR="00BB6D19" w:rsidRPr="00C36D66" w:rsidRDefault="00BB6D19" w:rsidP="00AC3E2C">
            <w:pPr>
              <w:rPr>
                <w:b w:val="0"/>
              </w:rPr>
            </w:pPr>
            <w:r w:rsidRPr="00AC3E2C">
              <w:rPr>
                <w:b w:val="0"/>
              </w:rPr>
              <w:t>Quantity (MWh)</w:t>
            </w:r>
          </w:p>
        </w:tc>
        <w:tc>
          <w:tcPr>
            <w:tcW w:w="660" w:type="pct"/>
            <w:vAlign w:val="center"/>
          </w:tcPr>
          <w:p w14:paraId="029FBE51" w14:textId="73DACEA8"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20,588</w:t>
            </w:r>
          </w:p>
        </w:tc>
        <w:tc>
          <w:tcPr>
            <w:tcW w:w="660" w:type="pct"/>
            <w:vAlign w:val="center"/>
          </w:tcPr>
          <w:p w14:paraId="4554D27D" w14:textId="2C36E9F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c>
          <w:tcPr>
            <w:tcW w:w="660" w:type="pct"/>
            <w:vAlign w:val="center"/>
          </w:tcPr>
          <w:p w14:paraId="621BCD91" w14:textId="51BB323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c>
          <w:tcPr>
            <w:tcW w:w="660" w:type="pct"/>
            <w:vAlign w:val="center"/>
          </w:tcPr>
          <w:p w14:paraId="5FAA2172" w14:textId="1581BD9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 xml:space="preserve">20, </w:t>
            </w:r>
            <w:r w:rsidRPr="00AC4C0B">
              <w:rPr>
                <w:rFonts w:asciiTheme="majorHAnsi" w:hAnsiTheme="majorHAnsi" w:cs="Arial"/>
              </w:rPr>
              <w:t>588</w:t>
            </w:r>
          </w:p>
        </w:tc>
        <w:tc>
          <w:tcPr>
            <w:tcW w:w="660" w:type="pct"/>
            <w:vAlign w:val="center"/>
          </w:tcPr>
          <w:p w14:paraId="1CD1F03A" w14:textId="2D526B3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r>
      <w:tr w:rsidR="00BB6D19" w:rsidRPr="00AC3E2C" w14:paraId="3A3BC497"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shd w:val="clear" w:color="auto" w:fill="F4F0EE" w:themeFill="background2"/>
            <w:vAlign w:val="center"/>
          </w:tcPr>
          <w:p w14:paraId="5025F51D" w14:textId="4DE833BC" w:rsidR="00BB6D19" w:rsidRPr="00C36D66" w:rsidRDefault="00BB6D19" w:rsidP="004723E0">
            <w:pPr>
              <w:rPr>
                <w:b w:val="0"/>
              </w:rPr>
            </w:pPr>
            <w:r w:rsidRPr="004723E0">
              <w:t>VRET2 in SPC</w:t>
            </w:r>
          </w:p>
        </w:tc>
        <w:tc>
          <w:tcPr>
            <w:tcW w:w="660" w:type="pct"/>
            <w:shd w:val="clear" w:color="auto" w:fill="F4F0EE" w:themeFill="background2"/>
            <w:vAlign w:val="center"/>
          </w:tcPr>
          <w:p w14:paraId="5B393B9D"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3DB0ED52"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478D4339"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1158B2C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12CF6AAA"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r>
      <w:tr w:rsidR="00BB6D19" w14:paraId="565C9469"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21F19D9D" w14:textId="60159ED1" w:rsidR="00BB6D19" w:rsidRPr="00C36D66" w:rsidRDefault="00BB6D19" w:rsidP="00AC3E2C">
            <w:pPr>
              <w:rPr>
                <w:b w:val="0"/>
              </w:rPr>
            </w:pPr>
            <w:r w:rsidRPr="00AC3E2C">
              <w:rPr>
                <w:b w:val="0"/>
              </w:rPr>
              <w:t>Price per LGC ($ per MWh)</w:t>
            </w:r>
          </w:p>
        </w:tc>
        <w:tc>
          <w:tcPr>
            <w:tcW w:w="660" w:type="pct"/>
            <w:vAlign w:val="center"/>
          </w:tcPr>
          <w:p w14:paraId="4D3851D2" w14:textId="387AAADE"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46.65</w:t>
            </w:r>
          </w:p>
        </w:tc>
        <w:tc>
          <w:tcPr>
            <w:tcW w:w="660" w:type="pct"/>
            <w:vAlign w:val="center"/>
          </w:tcPr>
          <w:p w14:paraId="04A7D190" w14:textId="54F9D28D"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45.07</w:t>
            </w:r>
          </w:p>
        </w:tc>
        <w:tc>
          <w:tcPr>
            <w:tcW w:w="660" w:type="pct"/>
            <w:vAlign w:val="center"/>
          </w:tcPr>
          <w:p w14:paraId="351F46D9" w14:textId="0F0F4524"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43.55</w:t>
            </w:r>
          </w:p>
        </w:tc>
        <w:tc>
          <w:tcPr>
            <w:tcW w:w="660" w:type="pct"/>
            <w:vAlign w:val="center"/>
          </w:tcPr>
          <w:p w14:paraId="0BEDBBE4" w14:textId="57DC285B"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42.08</w:t>
            </w:r>
          </w:p>
        </w:tc>
        <w:tc>
          <w:tcPr>
            <w:tcW w:w="660" w:type="pct"/>
            <w:vAlign w:val="center"/>
          </w:tcPr>
          <w:p w14:paraId="3A4DD120" w14:textId="34050054"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40.65</w:t>
            </w:r>
          </w:p>
        </w:tc>
      </w:tr>
      <w:tr w:rsidR="00BB6D19" w14:paraId="5918E40F"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38B66D8A" w14:textId="3EEA651E" w:rsidR="00BB6D19" w:rsidRPr="00C36D66" w:rsidRDefault="00BB6D19" w:rsidP="00AC3E2C">
            <w:pPr>
              <w:rPr>
                <w:b w:val="0"/>
              </w:rPr>
            </w:pPr>
            <w:r w:rsidRPr="00AC3E2C">
              <w:rPr>
                <w:b w:val="0"/>
              </w:rPr>
              <w:t>Quantity (</w:t>
            </w:r>
            <w:r w:rsidRPr="007A0342">
              <w:rPr>
                <w:rFonts w:asciiTheme="minorHAnsi" w:eastAsia="Times New Roman" w:hAnsiTheme="minorHAnsi" w:cs="Times New Roman"/>
                <w:b w:val="0"/>
                <w:color w:val="1A206C"/>
                <w:spacing w:val="0"/>
                <w:shd w:val="clear" w:color="auto" w:fill="FFFFFF"/>
                <w:lang w:eastAsia="en-AU"/>
              </w:rPr>
              <w:t>MWh)</w:t>
            </w:r>
          </w:p>
        </w:tc>
        <w:tc>
          <w:tcPr>
            <w:tcW w:w="660" w:type="pct"/>
            <w:vAlign w:val="center"/>
          </w:tcPr>
          <w:p w14:paraId="49952877" w14:textId="4135F821"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0</w:t>
            </w:r>
          </w:p>
        </w:tc>
        <w:tc>
          <w:tcPr>
            <w:tcW w:w="660" w:type="pct"/>
            <w:vAlign w:val="center"/>
          </w:tcPr>
          <w:p w14:paraId="7A3E3531" w14:textId="4E7CE7B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5</w:t>
            </w:r>
            <w:r w:rsidRPr="00AC4C0B">
              <w:rPr>
                <w:rFonts w:asciiTheme="majorHAnsi" w:hAnsiTheme="majorHAnsi" w:cs="Arial"/>
              </w:rPr>
              <w:t>,462</w:t>
            </w:r>
          </w:p>
        </w:tc>
        <w:tc>
          <w:tcPr>
            <w:tcW w:w="660" w:type="pct"/>
            <w:vAlign w:val="center"/>
          </w:tcPr>
          <w:p w14:paraId="3F8BA272" w14:textId="28D286F7"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10,794</w:t>
            </w:r>
          </w:p>
        </w:tc>
        <w:tc>
          <w:tcPr>
            <w:tcW w:w="660" w:type="pct"/>
            <w:vAlign w:val="center"/>
          </w:tcPr>
          <w:p w14:paraId="6AE3BCD0" w14:textId="2F9074A5"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10,878</w:t>
            </w:r>
          </w:p>
        </w:tc>
        <w:tc>
          <w:tcPr>
            <w:tcW w:w="660" w:type="pct"/>
            <w:vAlign w:val="center"/>
          </w:tcPr>
          <w:p w14:paraId="3DCF69C1" w14:textId="53D7994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12,097</w:t>
            </w:r>
          </w:p>
        </w:tc>
      </w:tr>
      <w:tr w:rsidR="00BB6D19" w14:paraId="5C210463"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2AF1F036" w14:textId="112059F8" w:rsidR="00BB6D19" w:rsidRPr="00C36D66" w:rsidRDefault="00BB6D19" w:rsidP="00AC3E2C">
            <w:r w:rsidRPr="00AC3E2C">
              <w:t>Total cost</w:t>
            </w:r>
            <w:r w:rsidRPr="0018104A">
              <w:rPr>
                <w:rFonts w:eastAsia="Times New Roman" w:cs="Times New Roman"/>
                <w:bCs/>
                <w:color w:val="1A206C"/>
                <w:spacing w:val="0"/>
                <w:lang w:eastAsia="en-AU"/>
              </w:rPr>
              <w:t> ($m)</w:t>
            </w:r>
          </w:p>
        </w:tc>
        <w:tc>
          <w:tcPr>
            <w:tcW w:w="660" w:type="pct"/>
            <w:vAlign w:val="center"/>
          </w:tcPr>
          <w:p w14:paraId="1E991C83" w14:textId="21282768"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0.30</w:t>
            </w:r>
          </w:p>
        </w:tc>
        <w:tc>
          <w:tcPr>
            <w:tcW w:w="660" w:type="pct"/>
            <w:vAlign w:val="center"/>
          </w:tcPr>
          <w:p w14:paraId="72E79FB5" w14:textId="1C7C8FF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0.53</w:t>
            </w:r>
          </w:p>
        </w:tc>
        <w:tc>
          <w:tcPr>
            <w:tcW w:w="660" w:type="pct"/>
            <w:vAlign w:val="center"/>
          </w:tcPr>
          <w:p w14:paraId="3AE6E5F4" w14:textId="71AC69C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0.75</w:t>
            </w:r>
          </w:p>
        </w:tc>
        <w:tc>
          <w:tcPr>
            <w:tcW w:w="660" w:type="pct"/>
            <w:vAlign w:val="center"/>
          </w:tcPr>
          <w:p w14:paraId="47109D94" w14:textId="7E639A3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0.72</w:t>
            </w:r>
          </w:p>
        </w:tc>
        <w:tc>
          <w:tcPr>
            <w:tcW w:w="660" w:type="pct"/>
            <w:vAlign w:val="center"/>
          </w:tcPr>
          <w:p w14:paraId="637A0BBC" w14:textId="4E20FBFD"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0.75</w:t>
            </w:r>
          </w:p>
        </w:tc>
      </w:tr>
    </w:tbl>
    <w:p w14:paraId="212A6311" w14:textId="77777777" w:rsidR="00177A44" w:rsidRPr="00DC6B36" w:rsidRDefault="00177A44" w:rsidP="00DC6B36"/>
    <w:p w14:paraId="09802C91" w14:textId="79020F87" w:rsidR="00823975" w:rsidRPr="00DC6B36" w:rsidRDefault="00A81C12" w:rsidP="00DC6B36">
      <w:r w:rsidRPr="00A81C12">
        <w:t>GWW has deflated all nominal forecast values in the Schneider report using the ESC’s 3.5% inflation forecast. Overall, total energy costs are expected to grow at</w:t>
      </w:r>
      <w:r w:rsidR="00653860">
        <w:t xml:space="preserve"> </w:t>
      </w:r>
      <w:r w:rsidRPr="00A81C12">
        <w:t xml:space="preserve">3.6% per annum in real terms, or 15.1% in total across the four-year regulatory period. This is shown in </w:t>
      </w:r>
      <w:r w:rsidR="00AC4C0B">
        <w:fldChar w:fldCharType="begin"/>
      </w:r>
      <w:r w:rsidR="00AC4C0B">
        <w:instrText xml:space="preserve"> REF _Ref145979106 \h </w:instrText>
      </w:r>
      <w:r w:rsidR="00AC4C0B">
        <w:fldChar w:fldCharType="separate"/>
      </w:r>
      <w:r w:rsidR="003B42C6" w:rsidRPr="001750BD">
        <w:rPr>
          <w:b/>
        </w:rPr>
        <w:t xml:space="preserve">Table </w:t>
      </w:r>
      <w:r w:rsidR="003B42C6">
        <w:rPr>
          <w:b/>
          <w:noProof/>
        </w:rPr>
        <w:t>86</w:t>
      </w:r>
      <w:r w:rsidR="00AC4C0B">
        <w:fldChar w:fldCharType="end"/>
      </w:r>
      <w:r w:rsidRPr="00A81C12">
        <w:t>.</w:t>
      </w:r>
    </w:p>
    <w:p w14:paraId="7FE450F8" w14:textId="2B9D68BA" w:rsidR="00DC6B36" w:rsidRPr="00DC6B36" w:rsidRDefault="00A81C12" w:rsidP="004B1889">
      <w:pPr>
        <w:pStyle w:val="Caption"/>
      </w:pPr>
      <w:r w:rsidRPr="001750BD">
        <w:rPr>
          <w:b/>
        </w:rPr>
        <w:t xml:space="preserve"> </w:t>
      </w:r>
      <w:bookmarkStart w:id="426" w:name="_Ref145979106"/>
      <w:r w:rsidRPr="001750BD">
        <w:rPr>
          <w:b/>
        </w:rPr>
        <w:t xml:space="preserve">Table </w:t>
      </w:r>
      <w:r w:rsidR="001F7221" w:rsidRPr="001750BD">
        <w:rPr>
          <w:b/>
        </w:rPr>
        <w:fldChar w:fldCharType="begin"/>
      </w:r>
      <w:r w:rsidR="001F7221" w:rsidRPr="001750BD">
        <w:rPr>
          <w:b/>
        </w:rPr>
        <w:instrText xml:space="preserve"> SEQ Table \* ARABIC </w:instrText>
      </w:r>
      <w:r w:rsidR="001F7221" w:rsidRPr="001750BD">
        <w:rPr>
          <w:b/>
        </w:rPr>
        <w:fldChar w:fldCharType="separate"/>
      </w:r>
      <w:r w:rsidR="003B42C6">
        <w:rPr>
          <w:b/>
          <w:noProof/>
        </w:rPr>
        <w:t>86</w:t>
      </w:r>
      <w:r w:rsidR="001F7221" w:rsidRPr="001750BD">
        <w:rPr>
          <w:b/>
        </w:rPr>
        <w:fldChar w:fldCharType="end"/>
      </w:r>
      <w:bookmarkEnd w:id="426"/>
      <w:r>
        <w:t xml:space="preserve"> </w:t>
      </w:r>
      <w:r w:rsidR="00DC6B36" w:rsidRPr="00DC6B36">
        <w:t>Energy cost forecast ($million, 2023-24) </w:t>
      </w:r>
    </w:p>
    <w:tbl>
      <w:tblPr>
        <w:tblStyle w:val="GWWDefaulttable"/>
        <w:tblW w:w="5000" w:type="pct"/>
        <w:tblLook w:val="04A0" w:firstRow="1" w:lastRow="0" w:firstColumn="1" w:lastColumn="0" w:noHBand="0" w:noVBand="1"/>
      </w:tblPr>
      <w:tblGrid>
        <w:gridCol w:w="2385"/>
        <w:gridCol w:w="1188"/>
        <w:gridCol w:w="1188"/>
        <w:gridCol w:w="1188"/>
        <w:gridCol w:w="1188"/>
        <w:gridCol w:w="1188"/>
        <w:gridCol w:w="1313"/>
      </w:tblGrid>
      <w:tr w:rsidR="00DC6B36" w:rsidRPr="00DC6B36" w14:paraId="07298D29" w14:textId="77777777" w:rsidTr="007545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7" w:type="pct"/>
            <w:hideMark/>
          </w:tcPr>
          <w:p w14:paraId="75032B15" w14:textId="77777777" w:rsidR="00DC6B36" w:rsidRPr="00C36D66" w:rsidRDefault="00DC6B36" w:rsidP="00DC6B36">
            <w:pPr>
              <w:rPr>
                <w:szCs w:val="18"/>
              </w:rPr>
            </w:pPr>
            <w:r w:rsidRPr="00C36D66">
              <w:rPr>
                <w:szCs w:val="18"/>
              </w:rPr>
              <w:t> </w:t>
            </w:r>
          </w:p>
        </w:tc>
        <w:tc>
          <w:tcPr>
            <w:tcW w:w="616" w:type="pct"/>
            <w:vAlign w:val="center"/>
          </w:tcPr>
          <w:p w14:paraId="1598C18A"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2023-24 </w:t>
            </w:r>
          </w:p>
        </w:tc>
        <w:tc>
          <w:tcPr>
            <w:tcW w:w="616" w:type="pct"/>
            <w:vAlign w:val="center"/>
          </w:tcPr>
          <w:p w14:paraId="204576D1"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2024-25 </w:t>
            </w:r>
          </w:p>
        </w:tc>
        <w:tc>
          <w:tcPr>
            <w:tcW w:w="616" w:type="pct"/>
            <w:vAlign w:val="center"/>
          </w:tcPr>
          <w:p w14:paraId="23EC05CC"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2025-26 </w:t>
            </w:r>
          </w:p>
        </w:tc>
        <w:tc>
          <w:tcPr>
            <w:tcW w:w="616" w:type="pct"/>
            <w:vAlign w:val="center"/>
          </w:tcPr>
          <w:p w14:paraId="30A71CBB"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2026-27 </w:t>
            </w:r>
          </w:p>
        </w:tc>
        <w:tc>
          <w:tcPr>
            <w:tcW w:w="616" w:type="pct"/>
            <w:vAlign w:val="center"/>
          </w:tcPr>
          <w:p w14:paraId="1605FF90"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2027-28 </w:t>
            </w:r>
          </w:p>
        </w:tc>
        <w:tc>
          <w:tcPr>
            <w:tcW w:w="681" w:type="pct"/>
            <w:vAlign w:val="center"/>
          </w:tcPr>
          <w:p w14:paraId="7F29F1AE" w14:textId="350C4755"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Total </w:t>
            </w:r>
            <w:r w:rsidR="00931ADA">
              <w:rPr>
                <w:szCs w:val="18"/>
              </w:rPr>
              <w:br/>
            </w:r>
            <w:r w:rsidRPr="00C36D66">
              <w:rPr>
                <w:szCs w:val="18"/>
              </w:rPr>
              <w:t xml:space="preserve">(4 year) </w:t>
            </w:r>
          </w:p>
        </w:tc>
      </w:tr>
      <w:tr w:rsidR="00DC6B36" w:rsidRPr="00DC6B36" w14:paraId="4A48BEE5"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60191591" w14:textId="77777777" w:rsidR="00DC6B36" w:rsidRPr="00C36D66" w:rsidRDefault="00DC6B36" w:rsidP="00DC6B36">
            <w:pPr>
              <w:rPr>
                <w:b w:val="0"/>
                <w:szCs w:val="18"/>
              </w:rPr>
            </w:pPr>
            <w:r w:rsidRPr="00C36D66">
              <w:rPr>
                <w:b w:val="0"/>
                <w:szCs w:val="18"/>
              </w:rPr>
              <w:t>Existing assets </w:t>
            </w:r>
          </w:p>
        </w:tc>
        <w:tc>
          <w:tcPr>
            <w:tcW w:w="616" w:type="pct"/>
            <w:vAlign w:val="center"/>
            <w:hideMark/>
          </w:tcPr>
          <w:p w14:paraId="3D5D33F1" w14:textId="088662D3"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6.02</w:t>
            </w:r>
          </w:p>
        </w:tc>
        <w:tc>
          <w:tcPr>
            <w:tcW w:w="616" w:type="pct"/>
            <w:vAlign w:val="center"/>
            <w:hideMark/>
          </w:tcPr>
          <w:p w14:paraId="3B9E7D57" w14:textId="6226E68B"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7.00</w:t>
            </w:r>
          </w:p>
        </w:tc>
        <w:tc>
          <w:tcPr>
            <w:tcW w:w="616" w:type="pct"/>
            <w:vAlign w:val="center"/>
            <w:hideMark/>
          </w:tcPr>
          <w:p w14:paraId="4A3B55CF" w14:textId="09DFFCB0"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6.69</w:t>
            </w:r>
          </w:p>
        </w:tc>
        <w:tc>
          <w:tcPr>
            <w:tcW w:w="616" w:type="pct"/>
            <w:vAlign w:val="center"/>
            <w:hideMark/>
          </w:tcPr>
          <w:p w14:paraId="6157D2EB" w14:textId="70EDA285"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6.26</w:t>
            </w:r>
          </w:p>
        </w:tc>
        <w:tc>
          <w:tcPr>
            <w:tcW w:w="616" w:type="pct"/>
            <w:vAlign w:val="center"/>
            <w:hideMark/>
          </w:tcPr>
          <w:p w14:paraId="014370B8" w14:textId="6780C1C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6.52</w:t>
            </w:r>
          </w:p>
        </w:tc>
        <w:tc>
          <w:tcPr>
            <w:tcW w:w="681" w:type="pct"/>
            <w:vAlign w:val="center"/>
            <w:hideMark/>
          </w:tcPr>
          <w:p w14:paraId="1347F32D" w14:textId="5198239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26.47</w:t>
            </w:r>
          </w:p>
        </w:tc>
      </w:tr>
      <w:tr w:rsidR="00DC6B36" w:rsidRPr="00DC6B36" w14:paraId="04E94E86"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63D02959" w14:textId="77777777" w:rsidR="00DC6B36" w:rsidRPr="00C36D66" w:rsidRDefault="00DC6B36" w:rsidP="00DC6B36">
            <w:pPr>
              <w:rPr>
                <w:b w:val="0"/>
                <w:szCs w:val="18"/>
              </w:rPr>
            </w:pPr>
            <w:r w:rsidRPr="00C36D66">
              <w:rPr>
                <w:b w:val="0"/>
                <w:szCs w:val="18"/>
              </w:rPr>
              <w:t>New and upgraded assets </w:t>
            </w:r>
          </w:p>
        </w:tc>
        <w:tc>
          <w:tcPr>
            <w:tcW w:w="616" w:type="pct"/>
            <w:vAlign w:val="center"/>
            <w:hideMark/>
          </w:tcPr>
          <w:p w14:paraId="43CF2EDF" w14:textId="549A9905"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0.39</w:t>
            </w:r>
          </w:p>
        </w:tc>
        <w:tc>
          <w:tcPr>
            <w:tcW w:w="616" w:type="pct"/>
            <w:vAlign w:val="center"/>
            <w:hideMark/>
          </w:tcPr>
          <w:p w14:paraId="7E45FE4B" w14:textId="49ED38F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0.45</w:t>
            </w:r>
          </w:p>
        </w:tc>
        <w:tc>
          <w:tcPr>
            <w:tcW w:w="616" w:type="pct"/>
            <w:vAlign w:val="center"/>
            <w:hideMark/>
          </w:tcPr>
          <w:p w14:paraId="5E3988EB" w14:textId="2CB062DC"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0.46</w:t>
            </w:r>
          </w:p>
        </w:tc>
        <w:tc>
          <w:tcPr>
            <w:tcW w:w="616" w:type="pct"/>
            <w:vAlign w:val="center"/>
            <w:hideMark/>
          </w:tcPr>
          <w:p w14:paraId="60467B02" w14:textId="05CD4BB2"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0.45</w:t>
            </w:r>
          </w:p>
        </w:tc>
        <w:tc>
          <w:tcPr>
            <w:tcW w:w="616" w:type="pct"/>
            <w:vAlign w:val="center"/>
            <w:hideMark/>
          </w:tcPr>
          <w:p w14:paraId="0AE9DB30" w14:textId="2FDDA0DD"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0.44</w:t>
            </w:r>
          </w:p>
        </w:tc>
        <w:tc>
          <w:tcPr>
            <w:tcW w:w="681" w:type="pct"/>
            <w:vAlign w:val="center"/>
            <w:hideMark/>
          </w:tcPr>
          <w:p w14:paraId="488A83A6" w14:textId="647116C6"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1.81</w:t>
            </w:r>
          </w:p>
        </w:tc>
      </w:tr>
      <w:tr w:rsidR="00DC6B36" w:rsidRPr="00DC6B36" w14:paraId="3D6799C5"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05762EA5" w14:textId="77777777" w:rsidR="00DC6B36" w:rsidRPr="00C36D66" w:rsidRDefault="00DC6B36" w:rsidP="00DC6B36">
            <w:pPr>
              <w:rPr>
                <w:b w:val="0"/>
                <w:szCs w:val="18"/>
              </w:rPr>
            </w:pPr>
            <w:r w:rsidRPr="00C36D66">
              <w:rPr>
                <w:b w:val="0"/>
                <w:szCs w:val="18"/>
              </w:rPr>
              <w:t>Environmental costs </w:t>
            </w:r>
          </w:p>
        </w:tc>
        <w:tc>
          <w:tcPr>
            <w:tcW w:w="616" w:type="pct"/>
            <w:vAlign w:val="center"/>
            <w:hideMark/>
          </w:tcPr>
          <w:p w14:paraId="21E819C1" w14:textId="6183979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0.30</w:t>
            </w:r>
          </w:p>
        </w:tc>
        <w:tc>
          <w:tcPr>
            <w:tcW w:w="616" w:type="pct"/>
            <w:vAlign w:val="center"/>
            <w:hideMark/>
          </w:tcPr>
          <w:p w14:paraId="6030C239" w14:textId="105CABF8"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0.53</w:t>
            </w:r>
          </w:p>
        </w:tc>
        <w:tc>
          <w:tcPr>
            <w:tcW w:w="616" w:type="pct"/>
            <w:vAlign w:val="center"/>
            <w:hideMark/>
          </w:tcPr>
          <w:p w14:paraId="4997FEFD" w14:textId="4E3E1093"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0.75</w:t>
            </w:r>
          </w:p>
        </w:tc>
        <w:tc>
          <w:tcPr>
            <w:tcW w:w="616" w:type="pct"/>
            <w:vAlign w:val="center"/>
            <w:hideMark/>
          </w:tcPr>
          <w:p w14:paraId="671E1A88" w14:textId="3E0EBC2E"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0.72</w:t>
            </w:r>
          </w:p>
        </w:tc>
        <w:tc>
          <w:tcPr>
            <w:tcW w:w="616" w:type="pct"/>
            <w:vAlign w:val="center"/>
            <w:hideMark/>
          </w:tcPr>
          <w:p w14:paraId="08ECBF75" w14:textId="56561650"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0.75</w:t>
            </w:r>
          </w:p>
        </w:tc>
        <w:tc>
          <w:tcPr>
            <w:tcW w:w="681" w:type="pct"/>
            <w:vAlign w:val="center"/>
            <w:hideMark/>
          </w:tcPr>
          <w:p w14:paraId="7D799C21" w14:textId="3FA2E097"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2.75</w:t>
            </w:r>
          </w:p>
        </w:tc>
      </w:tr>
      <w:tr w:rsidR="00DC6B36" w:rsidRPr="00DC6B36" w14:paraId="4A4EA32B"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4A82F71A" w14:textId="77777777" w:rsidR="00DC6B36" w:rsidRPr="00C36D66" w:rsidRDefault="00DC6B36" w:rsidP="00DC6B36">
            <w:pPr>
              <w:rPr>
                <w:szCs w:val="18"/>
              </w:rPr>
            </w:pPr>
            <w:r w:rsidRPr="00C36D66">
              <w:rPr>
                <w:szCs w:val="18"/>
              </w:rPr>
              <w:t>Total </w:t>
            </w:r>
          </w:p>
        </w:tc>
        <w:tc>
          <w:tcPr>
            <w:tcW w:w="616" w:type="pct"/>
            <w:vAlign w:val="center"/>
            <w:hideMark/>
          </w:tcPr>
          <w:p w14:paraId="1D4E86CD" w14:textId="668EDF6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6.70</w:t>
            </w:r>
          </w:p>
        </w:tc>
        <w:tc>
          <w:tcPr>
            <w:tcW w:w="616" w:type="pct"/>
            <w:vAlign w:val="center"/>
            <w:hideMark/>
          </w:tcPr>
          <w:p w14:paraId="68961E98" w14:textId="121DC831"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7.99</w:t>
            </w:r>
          </w:p>
        </w:tc>
        <w:tc>
          <w:tcPr>
            <w:tcW w:w="616" w:type="pct"/>
            <w:vAlign w:val="center"/>
            <w:hideMark/>
          </w:tcPr>
          <w:p w14:paraId="622088EE" w14:textId="1B95BBB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7.89</w:t>
            </w:r>
          </w:p>
        </w:tc>
        <w:tc>
          <w:tcPr>
            <w:tcW w:w="616" w:type="pct"/>
            <w:vAlign w:val="center"/>
            <w:hideMark/>
          </w:tcPr>
          <w:p w14:paraId="1531F8E4" w14:textId="5A504DD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7.43</w:t>
            </w:r>
          </w:p>
        </w:tc>
        <w:tc>
          <w:tcPr>
            <w:tcW w:w="616" w:type="pct"/>
            <w:vAlign w:val="center"/>
            <w:hideMark/>
          </w:tcPr>
          <w:p w14:paraId="392601EB" w14:textId="55C77844"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7.71</w:t>
            </w:r>
          </w:p>
        </w:tc>
        <w:tc>
          <w:tcPr>
            <w:tcW w:w="681" w:type="pct"/>
            <w:vAlign w:val="center"/>
            <w:hideMark/>
          </w:tcPr>
          <w:p w14:paraId="02246BF7" w14:textId="605D9AE6"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31.03</w:t>
            </w:r>
          </w:p>
        </w:tc>
      </w:tr>
    </w:tbl>
    <w:p w14:paraId="528E4393" w14:textId="1C9F81B2" w:rsidR="00DC6B36" w:rsidRPr="00DC6B36" w:rsidRDefault="00DC6B36" w:rsidP="004B1889">
      <w:pPr>
        <w:pStyle w:val="Heading4-nonumber"/>
      </w:pPr>
      <w:r w:rsidRPr="00DC6B36">
        <w:t>Input costs: IT </w:t>
      </w:r>
    </w:p>
    <w:p w14:paraId="36C33E03" w14:textId="77777777" w:rsidR="00DC6B36" w:rsidRPr="00DC6B36" w:rsidRDefault="00DC6B36" w:rsidP="00DC6B36">
      <w:r w:rsidRPr="00DC6B36">
        <w:t>IT expenditure is a key enabler of our business and prudent and efficient investment in IT delivers efficiencies in other parts of the organisation. IT enables the secure access to GWW's IT application resources where all processes, communications, data and reporting services. These facilitate business reliance as the use of technology and digital capabilities remains fundamental to virtually all business-as-usual activities.</w:t>
      </w:r>
    </w:p>
    <w:p w14:paraId="4D115522" w14:textId="0CB789C5" w:rsidR="00DC6B36" w:rsidRPr="00DC6B36" w:rsidRDefault="00DC6B36" w:rsidP="00DC6B36">
      <w:r w:rsidRPr="00DC6B36">
        <w:t xml:space="preserve">Our forecast IT expenditure covers managed IT services, IT licensing, IT support and IT maintenance across </w:t>
      </w:r>
      <w:proofErr w:type="gramStart"/>
      <w:r w:rsidRPr="00DC6B36">
        <w:t>on-premise</w:t>
      </w:r>
      <w:proofErr w:type="gramEnd"/>
      <w:r w:rsidRPr="00DC6B36">
        <w:t xml:space="preserve"> and cloud based services. Enabling secure and resilient data and cyber security across IT underpins GWW's IT/OT/SCADA solutions and remains of paramount importance to numerous critical infrastructure services.</w:t>
      </w:r>
    </w:p>
    <w:p w14:paraId="3BA52D34" w14:textId="6ACEBEE3" w:rsidR="003E319A" w:rsidRDefault="003E319A" w:rsidP="003E319A">
      <w:r>
        <w:t xml:space="preserve">The forecast has been developed using the 2022-23 total IT </w:t>
      </w:r>
      <w:proofErr w:type="spellStart"/>
      <w:r>
        <w:t>opex</w:t>
      </w:r>
      <w:proofErr w:type="spellEnd"/>
      <w:r>
        <w:t xml:space="preserve"> (excluding internal and contracted labour) of $16.6 million with no forecast growth in this base cost. IT costs increase of the period to reflect the requirements of Security of Critical Infrastructure and the new costs associated with the Billing and Collections system. This has been offset by two identified efficiencies of: </w:t>
      </w:r>
    </w:p>
    <w:p w14:paraId="4AC3F9FC" w14:textId="5738FC92" w:rsidR="003E319A" w:rsidRDefault="003E319A" w:rsidP="00AC4C0B">
      <w:pPr>
        <w:pStyle w:val="ListBullet"/>
      </w:pPr>
      <w:r>
        <w:t>the efficiencies in IT from the new Billing and Collection System ($1.3 million from 2024-25), and</w:t>
      </w:r>
    </w:p>
    <w:p w14:paraId="5D28242A" w14:textId="385E01EE" w:rsidR="003E319A" w:rsidRPr="00DC6B36" w:rsidRDefault="003E319A" w:rsidP="00AC4C0B">
      <w:pPr>
        <w:pStyle w:val="ListBullet"/>
      </w:pPr>
      <w:r>
        <w:t>integration efficiencies to be realised in 2026-27 as result of further system consolidation (&lt;$0.1 million).</w:t>
      </w:r>
    </w:p>
    <w:p w14:paraId="08D781FC" w14:textId="17904B5B" w:rsidR="00DC6B36" w:rsidRPr="00DC6B36" w:rsidRDefault="003E319A" w:rsidP="004B1889">
      <w:pPr>
        <w:pStyle w:val="Caption"/>
      </w:pPr>
      <w:r w:rsidRPr="008A105B">
        <w:rPr>
          <w:b/>
        </w:rPr>
        <w:t xml:space="preserve">Table </w:t>
      </w:r>
      <w:r w:rsidR="001F7221" w:rsidRPr="008A105B">
        <w:rPr>
          <w:b/>
        </w:rPr>
        <w:fldChar w:fldCharType="begin"/>
      </w:r>
      <w:r w:rsidR="001F7221" w:rsidRPr="008A105B">
        <w:rPr>
          <w:b/>
        </w:rPr>
        <w:instrText xml:space="preserve"> SEQ Table \* ARABIC </w:instrText>
      </w:r>
      <w:r w:rsidR="001F7221" w:rsidRPr="008A105B">
        <w:rPr>
          <w:b/>
        </w:rPr>
        <w:fldChar w:fldCharType="separate"/>
      </w:r>
      <w:r w:rsidR="003B42C6">
        <w:rPr>
          <w:b/>
          <w:noProof/>
        </w:rPr>
        <w:t>87</w:t>
      </w:r>
      <w:r w:rsidR="001F7221" w:rsidRPr="008A105B">
        <w:rPr>
          <w:b/>
        </w:rPr>
        <w:fldChar w:fldCharType="end"/>
      </w:r>
      <w:r w:rsidR="00F90450">
        <w:t xml:space="preserve"> </w:t>
      </w:r>
      <w:r w:rsidR="00DC6B36" w:rsidRPr="00DC6B36">
        <w:t>IT cost forecasts ($million, 2023-24) </w:t>
      </w:r>
    </w:p>
    <w:tbl>
      <w:tblPr>
        <w:tblStyle w:val="GWWDefaulttable"/>
        <w:tblW w:w="5000" w:type="pct"/>
        <w:tblLook w:val="04A0" w:firstRow="1" w:lastRow="0" w:firstColumn="1" w:lastColumn="0" w:noHBand="0" w:noVBand="1"/>
      </w:tblPr>
      <w:tblGrid>
        <w:gridCol w:w="2045"/>
        <w:gridCol w:w="1253"/>
        <w:gridCol w:w="1253"/>
        <w:gridCol w:w="1253"/>
        <w:gridCol w:w="1251"/>
        <w:gridCol w:w="1251"/>
        <w:gridCol w:w="1332"/>
      </w:tblGrid>
      <w:tr w:rsidR="00DC6B36" w:rsidRPr="00DC6B36" w14:paraId="4C05165C" w14:textId="77777777" w:rsidTr="002202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14:paraId="4EA25299" w14:textId="77777777" w:rsidR="00DC6B36" w:rsidRPr="00DC6B36" w:rsidRDefault="00DC6B36" w:rsidP="00DC6B36">
            <w:r w:rsidRPr="00DC6B36">
              <w:t> </w:t>
            </w:r>
          </w:p>
        </w:tc>
        <w:tc>
          <w:tcPr>
            <w:tcW w:w="650" w:type="pct"/>
            <w:vAlign w:val="center"/>
            <w:hideMark/>
          </w:tcPr>
          <w:p w14:paraId="44479E4F"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50" w:type="pct"/>
            <w:vAlign w:val="center"/>
            <w:hideMark/>
          </w:tcPr>
          <w:p w14:paraId="0A9117AA"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50" w:type="pct"/>
            <w:vAlign w:val="center"/>
            <w:hideMark/>
          </w:tcPr>
          <w:p w14:paraId="7B459BD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49" w:type="pct"/>
            <w:vAlign w:val="center"/>
            <w:hideMark/>
          </w:tcPr>
          <w:p w14:paraId="38795596"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49" w:type="pct"/>
            <w:vAlign w:val="center"/>
            <w:hideMark/>
          </w:tcPr>
          <w:p w14:paraId="21D52F5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91" w:type="pct"/>
            <w:vAlign w:val="center"/>
            <w:hideMark/>
          </w:tcPr>
          <w:p w14:paraId="0A85D9E7" w14:textId="66D9E285"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1B20EC86" w14:textId="77777777" w:rsidTr="00220276">
        <w:trPr>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14:paraId="7A379E09" w14:textId="77777777" w:rsidR="00DC6B36" w:rsidRPr="0052581B" w:rsidRDefault="00DC6B36" w:rsidP="00DC6B36">
            <w:r w:rsidRPr="008A105B">
              <w:rPr>
                <w:b w:val="0"/>
              </w:rPr>
              <w:t>Proposed</w:t>
            </w:r>
            <w:r w:rsidRPr="0052581B">
              <w:t>  </w:t>
            </w:r>
          </w:p>
        </w:tc>
        <w:tc>
          <w:tcPr>
            <w:tcW w:w="650" w:type="pct"/>
          </w:tcPr>
          <w:p w14:paraId="42B6BE93" w14:textId="306BD236"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18.71</w:t>
            </w:r>
          </w:p>
        </w:tc>
        <w:tc>
          <w:tcPr>
            <w:tcW w:w="650" w:type="pct"/>
          </w:tcPr>
          <w:p w14:paraId="77B9D841" w14:textId="336C2DAC"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20.13</w:t>
            </w:r>
          </w:p>
        </w:tc>
        <w:tc>
          <w:tcPr>
            <w:tcW w:w="650" w:type="pct"/>
          </w:tcPr>
          <w:p w14:paraId="2FAA2110" w14:textId="5820E0F8"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20.35</w:t>
            </w:r>
          </w:p>
        </w:tc>
        <w:tc>
          <w:tcPr>
            <w:tcW w:w="649" w:type="pct"/>
          </w:tcPr>
          <w:p w14:paraId="2CC32892" w14:textId="006380DC"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20.47</w:t>
            </w:r>
          </w:p>
        </w:tc>
        <w:tc>
          <w:tcPr>
            <w:tcW w:w="649" w:type="pct"/>
          </w:tcPr>
          <w:p w14:paraId="55F84700" w14:textId="04532795"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20.58</w:t>
            </w:r>
          </w:p>
        </w:tc>
        <w:tc>
          <w:tcPr>
            <w:tcW w:w="691" w:type="pct"/>
          </w:tcPr>
          <w:p w14:paraId="30C89C4C" w14:textId="05222054"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
              </w:rPr>
            </w:pPr>
            <w:r w:rsidRPr="0052581B">
              <w:rPr>
                <w:b/>
              </w:rPr>
              <w:t>81.52</w:t>
            </w:r>
          </w:p>
        </w:tc>
      </w:tr>
    </w:tbl>
    <w:p w14:paraId="0419B4B0" w14:textId="55377375" w:rsidR="00DC6B36" w:rsidRPr="00DC6B36" w:rsidRDefault="00DC6B36" w:rsidP="004B1889">
      <w:pPr>
        <w:pStyle w:val="Heading4-nonumber"/>
      </w:pPr>
      <w:r w:rsidRPr="00DC6B36">
        <w:lastRenderedPageBreak/>
        <w:t>Input costs: labour </w:t>
      </w:r>
    </w:p>
    <w:p w14:paraId="69357B28" w14:textId="77777777" w:rsidR="00DC6B36" w:rsidRPr="00DC6B36" w:rsidRDefault="00DC6B36" w:rsidP="00DC6B36">
      <w:r w:rsidRPr="00DC6B36">
        <w:t>Labour costs is GWW’s largest controllable operating expenditure item and comprises over one-third of controllable operating expenditure.</w:t>
      </w:r>
    </w:p>
    <w:p w14:paraId="1DCF3FA3" w14:textId="77777777" w:rsidR="00DC6B36" w:rsidRPr="00DC6B36" w:rsidRDefault="00DC6B36" w:rsidP="00DC6B36">
      <w:r w:rsidRPr="00DC6B36">
        <w:t>We have set ambitious efficiency targets across the next regulatory period for operating costs, including labour costs. These efficiencies are possible due to:</w:t>
      </w:r>
    </w:p>
    <w:p w14:paraId="32C90ACF" w14:textId="77777777" w:rsidR="00DC6B36" w:rsidRPr="00DC6B36" w:rsidRDefault="00DC6B36" w:rsidP="00537436">
      <w:pPr>
        <w:pStyle w:val="ListBullet"/>
      </w:pPr>
      <w:r w:rsidRPr="00DC6B36">
        <w:t>the increases in change management professionals employed through integration and transformation,</w:t>
      </w:r>
    </w:p>
    <w:p w14:paraId="65B082AF" w14:textId="77777777" w:rsidR="00DC6B36" w:rsidRPr="00DC6B36" w:rsidRDefault="00DC6B36" w:rsidP="00537436">
      <w:pPr>
        <w:pStyle w:val="ListBullet"/>
      </w:pPr>
      <w:r w:rsidRPr="00DC6B36">
        <w:t xml:space="preserve">slowly removing duplicate roles across the organisation, and </w:t>
      </w:r>
    </w:p>
    <w:p w14:paraId="3F926B76" w14:textId="68574D8C" w:rsidR="00DC6B36" w:rsidRPr="00DC6B36" w:rsidRDefault="00DC6B36" w:rsidP="00537436">
      <w:pPr>
        <w:pStyle w:val="ListBullet"/>
      </w:pPr>
      <w:r w:rsidRPr="00DC6B36">
        <w:t xml:space="preserve">increase in the enabling functions of the business (corporate services, human resources) during the transition period. </w:t>
      </w:r>
    </w:p>
    <w:p w14:paraId="6F315951" w14:textId="77777777" w:rsidR="00DC6B36" w:rsidRPr="00DC6B36" w:rsidRDefault="00DC6B36" w:rsidP="00DC6B36">
      <w:r w:rsidRPr="00DC6B36">
        <w:t>The proposed operational model review will deliver the benefits of the program.</w:t>
      </w:r>
    </w:p>
    <w:p w14:paraId="516B3021" w14:textId="05A57A47" w:rsidR="00DC6B36" w:rsidRPr="00DC6B36" w:rsidRDefault="00DC6B36" w:rsidP="00DC6B36">
      <w:r w:rsidRPr="00DC6B36">
        <w:t xml:space="preserve">Our labour costs overall are relatively steady over the forecast period. We anticipate the savings associated with labour costs to be equivalent to the step change in superannuation and payroll tax changes that have been incurred in 2023-24 and will occur during the regulatory period. This is equivalent to $7.9 million and is discussed further in </w:t>
      </w:r>
      <w:r w:rsidR="007D19C9">
        <w:t>Appendix</w:t>
      </w:r>
      <w:r w:rsidR="00CF0670">
        <w:t xml:space="preserve"> H</w:t>
      </w:r>
      <w:r w:rsidRPr="00DC6B36">
        <w:t xml:space="preserve"> below and not included in </w:t>
      </w:r>
      <w:r w:rsidR="00977E37">
        <w:fldChar w:fldCharType="begin"/>
      </w:r>
      <w:r w:rsidR="00977E37">
        <w:instrText xml:space="preserve"> REF _Ref146031865 \h </w:instrText>
      </w:r>
      <w:r w:rsidR="00977E37">
        <w:fldChar w:fldCharType="separate"/>
      </w:r>
      <w:r w:rsidR="003B42C6" w:rsidRPr="00450475">
        <w:rPr>
          <w:b/>
        </w:rPr>
        <w:t xml:space="preserve">Table </w:t>
      </w:r>
      <w:r w:rsidR="003B42C6">
        <w:rPr>
          <w:b/>
          <w:noProof/>
        </w:rPr>
        <w:t>88</w:t>
      </w:r>
      <w:r w:rsidR="00977E37">
        <w:fldChar w:fldCharType="end"/>
      </w:r>
      <w:r w:rsidRPr="00DC6B36">
        <w:t xml:space="preserve"> below.</w:t>
      </w:r>
    </w:p>
    <w:p w14:paraId="756F1966" w14:textId="78009756" w:rsidR="00DC6B36" w:rsidRPr="00DC6B36" w:rsidRDefault="00DC6B36" w:rsidP="00DC6B36">
      <w:r w:rsidRPr="00DC6B36">
        <w:t xml:space="preserve">The forecast is based on no real price increases in wages. This is consistent with the Victorian Government </w:t>
      </w:r>
      <w:hyperlink r:id="rId101" w:tgtFrame="_blank" w:history="1">
        <w:r w:rsidRPr="00DC6B36">
          <w:rPr>
            <w:rStyle w:val="Hyperlink"/>
          </w:rPr>
          <w:t>Wages Policy and Enterprise Bargaining Framework</w:t>
        </w:r>
      </w:hyperlink>
      <w:r w:rsidRPr="00DC6B36">
        <w:t>. This applies a 3.0 per annum growth in wages.</w:t>
      </w:r>
    </w:p>
    <w:p w14:paraId="06A3CA02" w14:textId="5905FE5D" w:rsidR="00DC6B36" w:rsidRPr="00DC6B36" w:rsidRDefault="00551287" w:rsidP="00823E77">
      <w:pPr>
        <w:pStyle w:val="Caption"/>
      </w:pPr>
      <w:bookmarkStart w:id="427" w:name="_Ref146031865"/>
      <w:r w:rsidRPr="00450475">
        <w:rPr>
          <w:b/>
        </w:rPr>
        <w:t xml:space="preserve">Table </w:t>
      </w:r>
      <w:r w:rsidR="001F7221" w:rsidRPr="00450475">
        <w:rPr>
          <w:b/>
        </w:rPr>
        <w:fldChar w:fldCharType="begin"/>
      </w:r>
      <w:r w:rsidR="001F7221" w:rsidRPr="00450475">
        <w:rPr>
          <w:b/>
        </w:rPr>
        <w:instrText xml:space="preserve"> SEQ Table \* ARABIC </w:instrText>
      </w:r>
      <w:r w:rsidR="001F7221" w:rsidRPr="00450475">
        <w:rPr>
          <w:b/>
        </w:rPr>
        <w:fldChar w:fldCharType="separate"/>
      </w:r>
      <w:r w:rsidR="003B42C6">
        <w:rPr>
          <w:b/>
          <w:noProof/>
        </w:rPr>
        <w:t>88</w:t>
      </w:r>
      <w:r w:rsidR="001F7221" w:rsidRPr="00450475">
        <w:rPr>
          <w:b/>
        </w:rPr>
        <w:fldChar w:fldCharType="end"/>
      </w:r>
      <w:bookmarkEnd w:id="427"/>
      <w:r>
        <w:t xml:space="preserve"> </w:t>
      </w:r>
      <w:r w:rsidR="00DC6B36" w:rsidRPr="00DC6B36">
        <w:t>Labour cost forecasts ($, 2023-24) </w:t>
      </w:r>
    </w:p>
    <w:tbl>
      <w:tblPr>
        <w:tblStyle w:val="GWWDefaulttable"/>
        <w:tblW w:w="5000" w:type="pct"/>
        <w:tblLook w:val="04A0" w:firstRow="1" w:lastRow="0" w:firstColumn="1" w:lastColumn="0" w:noHBand="0" w:noVBand="1"/>
      </w:tblPr>
      <w:tblGrid>
        <w:gridCol w:w="2316"/>
        <w:gridCol w:w="1221"/>
        <w:gridCol w:w="1221"/>
        <w:gridCol w:w="1220"/>
        <w:gridCol w:w="1220"/>
        <w:gridCol w:w="1220"/>
        <w:gridCol w:w="1220"/>
      </w:tblGrid>
      <w:tr w:rsidR="00DC6B36" w:rsidRPr="00DC6B36" w14:paraId="6AC1ED98" w14:textId="77777777" w:rsidTr="0045047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01" w:type="pct"/>
            <w:hideMark/>
          </w:tcPr>
          <w:p w14:paraId="54895ED4" w14:textId="77777777" w:rsidR="00DC6B36" w:rsidRPr="00450475" w:rsidRDefault="00DC6B36" w:rsidP="00DC6B36">
            <w:pPr>
              <w:rPr>
                <w:b w:val="0"/>
              </w:rPr>
            </w:pPr>
            <w:r w:rsidRPr="00450475">
              <w:rPr>
                <w:b w:val="0"/>
              </w:rPr>
              <w:t> </w:t>
            </w:r>
          </w:p>
        </w:tc>
        <w:tc>
          <w:tcPr>
            <w:tcW w:w="633" w:type="pct"/>
            <w:vAlign w:val="center"/>
            <w:hideMark/>
          </w:tcPr>
          <w:p w14:paraId="3507DC6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33" w:type="pct"/>
            <w:vAlign w:val="center"/>
            <w:hideMark/>
          </w:tcPr>
          <w:p w14:paraId="099E6EA0"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33" w:type="pct"/>
            <w:vAlign w:val="center"/>
            <w:hideMark/>
          </w:tcPr>
          <w:p w14:paraId="1E06AD7E"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33" w:type="pct"/>
            <w:vAlign w:val="center"/>
            <w:hideMark/>
          </w:tcPr>
          <w:p w14:paraId="013A8B8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33" w:type="pct"/>
            <w:vAlign w:val="center"/>
            <w:hideMark/>
          </w:tcPr>
          <w:p w14:paraId="3E084C5B"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33" w:type="pct"/>
            <w:vAlign w:val="center"/>
            <w:hideMark/>
          </w:tcPr>
          <w:p w14:paraId="5F66185F" w14:textId="09E93210"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F47E9C6" w14:textId="77777777" w:rsidTr="004E4FBD">
        <w:trPr>
          <w:trHeight w:val="257"/>
        </w:trPr>
        <w:tc>
          <w:tcPr>
            <w:cnfStyle w:val="001000000000" w:firstRow="0" w:lastRow="0" w:firstColumn="1" w:lastColumn="0" w:oddVBand="0" w:evenVBand="0" w:oddHBand="0" w:evenHBand="0" w:firstRowFirstColumn="0" w:firstRowLastColumn="0" w:lastRowFirstColumn="0" w:lastRowLastColumn="0"/>
            <w:tcW w:w="1201" w:type="pct"/>
            <w:vAlign w:val="center"/>
            <w:hideMark/>
          </w:tcPr>
          <w:p w14:paraId="2CC4CE71" w14:textId="60502799" w:rsidR="00DC6B36" w:rsidRPr="00816E36" w:rsidRDefault="00DC6B36" w:rsidP="00DC6B36">
            <w:pPr>
              <w:rPr>
                <w:b w:val="0"/>
                <w:bCs/>
              </w:rPr>
            </w:pPr>
            <w:r w:rsidRPr="00450475">
              <w:rPr>
                <w:b w:val="0"/>
              </w:rPr>
              <w:t>FTE forecast (excludes capitalised FTEs) </w:t>
            </w:r>
          </w:p>
        </w:tc>
        <w:tc>
          <w:tcPr>
            <w:tcW w:w="633" w:type="pct"/>
            <w:vAlign w:val="center"/>
            <w:hideMark/>
          </w:tcPr>
          <w:p w14:paraId="15307FF3" w14:textId="77777777" w:rsidR="00DC6B36" w:rsidRPr="00DC6B36" w:rsidRDefault="00DC6B36" w:rsidP="00EF3BFA">
            <w:pPr>
              <w:jc w:val="center"/>
              <w:cnfStyle w:val="000000000000" w:firstRow="0" w:lastRow="0" w:firstColumn="0" w:lastColumn="0" w:oddVBand="0" w:evenVBand="0" w:oddHBand="0" w:evenHBand="0" w:firstRowFirstColumn="0" w:firstRowLastColumn="0" w:lastRowFirstColumn="0" w:lastRowLastColumn="0"/>
            </w:pPr>
            <w:r w:rsidRPr="00DC6B36">
              <w:t>642</w:t>
            </w:r>
          </w:p>
        </w:tc>
        <w:tc>
          <w:tcPr>
            <w:tcW w:w="633" w:type="pct"/>
            <w:vAlign w:val="center"/>
            <w:hideMark/>
          </w:tcPr>
          <w:p w14:paraId="00A937EA"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637</w:t>
            </w:r>
          </w:p>
        </w:tc>
        <w:tc>
          <w:tcPr>
            <w:tcW w:w="633" w:type="pct"/>
            <w:vAlign w:val="center"/>
            <w:hideMark/>
          </w:tcPr>
          <w:p w14:paraId="76D2CD0B"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636</w:t>
            </w:r>
          </w:p>
        </w:tc>
        <w:tc>
          <w:tcPr>
            <w:tcW w:w="633" w:type="pct"/>
            <w:vAlign w:val="center"/>
            <w:hideMark/>
          </w:tcPr>
          <w:p w14:paraId="10111251" w14:textId="77777777" w:rsidR="00DC6B36" w:rsidRPr="00DC6B36" w:rsidRDefault="00DC6B36" w:rsidP="004E4FBD">
            <w:pPr>
              <w:jc w:val="right"/>
              <w:cnfStyle w:val="000000000000" w:firstRow="0" w:lastRow="0" w:firstColumn="0" w:lastColumn="0" w:oddVBand="0" w:evenVBand="0" w:oddHBand="0" w:evenHBand="0" w:firstRowFirstColumn="0" w:firstRowLastColumn="0" w:lastRowFirstColumn="0" w:lastRowLastColumn="0"/>
            </w:pPr>
            <w:r w:rsidRPr="00DC6B36">
              <w:t>635</w:t>
            </w:r>
          </w:p>
        </w:tc>
        <w:tc>
          <w:tcPr>
            <w:tcW w:w="633" w:type="pct"/>
            <w:vAlign w:val="center"/>
            <w:hideMark/>
          </w:tcPr>
          <w:p w14:paraId="79F85B0E"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635</w:t>
            </w:r>
          </w:p>
        </w:tc>
        <w:tc>
          <w:tcPr>
            <w:tcW w:w="633" w:type="pct"/>
            <w:vAlign w:val="center"/>
            <w:hideMark/>
          </w:tcPr>
          <w:p w14:paraId="47CA19AD" w14:textId="68591A52" w:rsidR="00DC6B36" w:rsidRPr="00DC6B36" w:rsidRDefault="00DC6B36" w:rsidP="00F46ABB">
            <w:pPr>
              <w:jc w:val="right"/>
              <w:cnfStyle w:val="000000000000" w:firstRow="0" w:lastRow="0" w:firstColumn="0" w:lastColumn="0" w:oddVBand="0" w:evenVBand="0" w:oddHBand="0" w:evenHBand="0" w:firstRowFirstColumn="0" w:firstRowLastColumn="0" w:lastRowFirstColumn="0" w:lastRowLastColumn="0"/>
            </w:pPr>
          </w:p>
        </w:tc>
      </w:tr>
      <w:tr w:rsidR="00DC6B36" w:rsidRPr="00DC6B36" w14:paraId="28678A04" w14:textId="77777777" w:rsidTr="00450475">
        <w:trPr>
          <w:trHeight w:val="257"/>
        </w:trPr>
        <w:tc>
          <w:tcPr>
            <w:cnfStyle w:val="001000000000" w:firstRow="0" w:lastRow="0" w:firstColumn="1" w:lastColumn="0" w:oddVBand="0" w:evenVBand="0" w:oddHBand="0" w:evenHBand="0" w:firstRowFirstColumn="0" w:firstRowLastColumn="0" w:lastRowFirstColumn="0" w:lastRowLastColumn="0"/>
            <w:tcW w:w="1201" w:type="pct"/>
            <w:hideMark/>
          </w:tcPr>
          <w:p w14:paraId="74E0284B" w14:textId="77777777" w:rsidR="00DC6B36" w:rsidRPr="00816E36" w:rsidRDefault="00DC6B36" w:rsidP="00DC6B36">
            <w:pPr>
              <w:rPr>
                <w:b w:val="0"/>
                <w:bCs/>
              </w:rPr>
            </w:pPr>
            <w:r w:rsidRPr="00450475">
              <w:rPr>
                <w:b w:val="0"/>
              </w:rPr>
              <w:t>Average cost per FTE ($)</w:t>
            </w:r>
          </w:p>
        </w:tc>
        <w:tc>
          <w:tcPr>
            <w:tcW w:w="633" w:type="pct"/>
            <w:vAlign w:val="center"/>
            <w:hideMark/>
          </w:tcPr>
          <w:p w14:paraId="5676BD81"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2450EC3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4F8382A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0337233F"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754FE9A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15C457C3"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 </w:t>
            </w:r>
          </w:p>
        </w:tc>
      </w:tr>
      <w:tr w:rsidR="00DC6B36" w:rsidRPr="00DC6B36" w14:paraId="788C8716" w14:textId="77777777" w:rsidTr="00450475">
        <w:trPr>
          <w:trHeight w:val="257"/>
        </w:trPr>
        <w:tc>
          <w:tcPr>
            <w:cnfStyle w:val="001000000000" w:firstRow="0" w:lastRow="0" w:firstColumn="1" w:lastColumn="0" w:oddVBand="0" w:evenVBand="0" w:oddHBand="0" w:evenHBand="0" w:firstRowFirstColumn="0" w:firstRowLastColumn="0" w:lastRowFirstColumn="0" w:lastRowLastColumn="0"/>
            <w:tcW w:w="1201" w:type="pct"/>
            <w:hideMark/>
          </w:tcPr>
          <w:p w14:paraId="27267B72" w14:textId="77777777" w:rsidR="00DC6B36" w:rsidRPr="00DC6B36" w:rsidRDefault="00DC6B36" w:rsidP="00DC6B36">
            <w:r w:rsidRPr="00DC6B36">
              <w:t>Total labour cost ($m)</w:t>
            </w:r>
          </w:p>
        </w:tc>
        <w:tc>
          <w:tcPr>
            <w:tcW w:w="633" w:type="pct"/>
            <w:vAlign w:val="center"/>
            <w:hideMark/>
          </w:tcPr>
          <w:p w14:paraId="0A5A7C8A"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78.97</w:t>
            </w:r>
          </w:p>
        </w:tc>
        <w:tc>
          <w:tcPr>
            <w:tcW w:w="633" w:type="pct"/>
            <w:vAlign w:val="center"/>
            <w:hideMark/>
          </w:tcPr>
          <w:p w14:paraId="4C686F7B"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78.36</w:t>
            </w:r>
          </w:p>
        </w:tc>
        <w:tc>
          <w:tcPr>
            <w:tcW w:w="633" w:type="pct"/>
            <w:vAlign w:val="center"/>
            <w:hideMark/>
          </w:tcPr>
          <w:p w14:paraId="5D89A81C"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78.21</w:t>
            </w:r>
          </w:p>
        </w:tc>
        <w:tc>
          <w:tcPr>
            <w:tcW w:w="633" w:type="pct"/>
            <w:vAlign w:val="center"/>
            <w:hideMark/>
          </w:tcPr>
          <w:p w14:paraId="05031FA1"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78.07</w:t>
            </w:r>
          </w:p>
        </w:tc>
        <w:tc>
          <w:tcPr>
            <w:tcW w:w="633" w:type="pct"/>
            <w:vAlign w:val="center"/>
            <w:hideMark/>
          </w:tcPr>
          <w:p w14:paraId="63E114B7"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78.07</w:t>
            </w:r>
          </w:p>
        </w:tc>
        <w:tc>
          <w:tcPr>
            <w:tcW w:w="633" w:type="pct"/>
            <w:vAlign w:val="center"/>
            <w:hideMark/>
          </w:tcPr>
          <w:p w14:paraId="4CE49748"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312.72</w:t>
            </w:r>
          </w:p>
        </w:tc>
      </w:tr>
    </w:tbl>
    <w:p w14:paraId="76DC326D" w14:textId="77777777" w:rsidR="00DC6B36" w:rsidRPr="00DC6B36" w:rsidRDefault="00DC6B36" w:rsidP="00823E77">
      <w:pPr>
        <w:pStyle w:val="Heading4-nonumber"/>
      </w:pPr>
      <w:r w:rsidRPr="00DC6B36">
        <w:t>Input costs: chemicals </w:t>
      </w:r>
    </w:p>
    <w:p w14:paraId="78878438" w14:textId="77777777" w:rsidR="00DC6B36" w:rsidRPr="00DC6B36" w:rsidRDefault="00DC6B36" w:rsidP="00DC6B36">
      <w:r w:rsidRPr="00DC6B36">
        <w:t xml:space="preserve">Over the next regulatory period, chemicals are forecast to increase on average by 3.5% per annum. This increase in costs is primarily driven by increases in the quantity of chemicals </w:t>
      </w:r>
      <w:proofErr w:type="gramStart"/>
      <w:r w:rsidRPr="00DC6B36">
        <w:t>as a result of</w:t>
      </w:r>
      <w:proofErr w:type="gramEnd"/>
      <w:r w:rsidRPr="00DC6B36">
        <w:t xml:space="preserve"> new customer connections. We have benchmarked our chemicals costs across </w:t>
      </w:r>
      <w:proofErr w:type="gramStart"/>
      <w:r w:rsidRPr="00DC6B36">
        <w:t>a number of</w:t>
      </w:r>
      <w:proofErr w:type="gramEnd"/>
      <w:r w:rsidRPr="00DC6B36">
        <w:t xml:space="preserve"> different suppliers to ensure that we have the lowest cost, reliable supplier to deliver value for our customers.</w:t>
      </w:r>
    </w:p>
    <w:p w14:paraId="46C56532" w14:textId="070E017E" w:rsidR="00DC6B36" w:rsidRPr="00DC6B36" w:rsidRDefault="00551287" w:rsidP="00823E77">
      <w:pPr>
        <w:pStyle w:val="Caption"/>
      </w:pPr>
      <w:r w:rsidRPr="009E67DF">
        <w:rPr>
          <w:b/>
        </w:rPr>
        <w:lastRenderedPageBreak/>
        <w:t xml:space="preserve">Table </w:t>
      </w:r>
      <w:r w:rsidR="001F7221" w:rsidRPr="009E67DF">
        <w:rPr>
          <w:b/>
        </w:rPr>
        <w:fldChar w:fldCharType="begin"/>
      </w:r>
      <w:r w:rsidR="001F7221" w:rsidRPr="009E67DF">
        <w:rPr>
          <w:b/>
        </w:rPr>
        <w:instrText xml:space="preserve"> SEQ Table \* ARABIC </w:instrText>
      </w:r>
      <w:r w:rsidR="001F7221" w:rsidRPr="009E67DF">
        <w:rPr>
          <w:b/>
        </w:rPr>
        <w:fldChar w:fldCharType="separate"/>
      </w:r>
      <w:r w:rsidR="003B42C6">
        <w:rPr>
          <w:b/>
          <w:noProof/>
        </w:rPr>
        <w:t>89</w:t>
      </w:r>
      <w:r w:rsidR="001F7221" w:rsidRPr="009E67DF">
        <w:rPr>
          <w:b/>
        </w:rPr>
        <w:fldChar w:fldCharType="end"/>
      </w:r>
      <w:r w:rsidR="00D6605B">
        <w:t xml:space="preserve"> </w:t>
      </w:r>
      <w:r w:rsidR="00DC6B36" w:rsidRPr="00DC6B36">
        <w:t>Chemical cost forecasts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C6B36" w:rsidRPr="00DC6B36" w14:paraId="48512857" w14:textId="77777777" w:rsidTr="009E6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1DC81239" w14:textId="77777777" w:rsidR="00DC6B36" w:rsidRPr="00DC6B36" w:rsidRDefault="00DC6B36" w:rsidP="00DC6B36">
            <w:r w:rsidRPr="00DC6B36">
              <w:t> </w:t>
            </w:r>
          </w:p>
        </w:tc>
        <w:tc>
          <w:tcPr>
            <w:tcW w:w="650" w:type="pct"/>
            <w:vAlign w:val="center"/>
          </w:tcPr>
          <w:p w14:paraId="1F6FE42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50" w:type="pct"/>
            <w:vAlign w:val="center"/>
          </w:tcPr>
          <w:p w14:paraId="228FB48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50" w:type="pct"/>
            <w:vAlign w:val="center"/>
          </w:tcPr>
          <w:p w14:paraId="7E0CB5F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50" w:type="pct"/>
            <w:vAlign w:val="center"/>
          </w:tcPr>
          <w:p w14:paraId="48AEB826"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50" w:type="pct"/>
            <w:vAlign w:val="center"/>
          </w:tcPr>
          <w:p w14:paraId="71DB72C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95" w:type="pct"/>
            <w:vAlign w:val="center"/>
          </w:tcPr>
          <w:p w14:paraId="0ACF287E" w14:textId="3C16EC44"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31746AA"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C855EC7" w14:textId="77777777" w:rsidR="00DC6B36" w:rsidRPr="00DC6B36" w:rsidRDefault="00DC6B36" w:rsidP="00DC6B36">
            <w:r w:rsidRPr="009E67DF">
              <w:rPr>
                <w:b w:val="0"/>
              </w:rPr>
              <w:t>Proposed</w:t>
            </w:r>
            <w:r w:rsidRPr="00DC6B36">
              <w:t>  </w:t>
            </w:r>
          </w:p>
        </w:tc>
        <w:tc>
          <w:tcPr>
            <w:tcW w:w="650" w:type="pct"/>
            <w:vAlign w:val="center"/>
            <w:hideMark/>
          </w:tcPr>
          <w:p w14:paraId="5391FBF1"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3.72 </w:t>
            </w:r>
          </w:p>
        </w:tc>
        <w:tc>
          <w:tcPr>
            <w:tcW w:w="650" w:type="pct"/>
            <w:vAlign w:val="center"/>
            <w:hideMark/>
          </w:tcPr>
          <w:p w14:paraId="227B2BF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3.89 </w:t>
            </w:r>
          </w:p>
        </w:tc>
        <w:tc>
          <w:tcPr>
            <w:tcW w:w="650" w:type="pct"/>
            <w:vAlign w:val="center"/>
            <w:hideMark/>
          </w:tcPr>
          <w:p w14:paraId="6A51526D"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4.04 </w:t>
            </w:r>
          </w:p>
        </w:tc>
        <w:tc>
          <w:tcPr>
            <w:tcW w:w="650" w:type="pct"/>
            <w:vAlign w:val="center"/>
            <w:hideMark/>
          </w:tcPr>
          <w:p w14:paraId="4CD4214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4.15 </w:t>
            </w:r>
          </w:p>
        </w:tc>
        <w:tc>
          <w:tcPr>
            <w:tcW w:w="650" w:type="pct"/>
            <w:vAlign w:val="center"/>
            <w:hideMark/>
          </w:tcPr>
          <w:p w14:paraId="010E4A9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4.27 </w:t>
            </w:r>
          </w:p>
        </w:tc>
        <w:tc>
          <w:tcPr>
            <w:tcW w:w="695" w:type="pct"/>
            <w:vAlign w:val="center"/>
            <w:hideMark/>
          </w:tcPr>
          <w:p w14:paraId="1C4F23A6"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16.35 </w:t>
            </w:r>
          </w:p>
        </w:tc>
      </w:tr>
    </w:tbl>
    <w:p w14:paraId="19246812" w14:textId="77777777" w:rsidR="00DC6B36" w:rsidRPr="00DC6B36" w:rsidRDefault="00DC6B36" w:rsidP="00823E77">
      <w:pPr>
        <w:pStyle w:val="Heading4-nonumber"/>
      </w:pPr>
      <w:r w:rsidRPr="00DC6B36">
        <w:t>Input costs: field maintenance </w:t>
      </w:r>
    </w:p>
    <w:p w14:paraId="24B93489" w14:textId="6B140971" w:rsidR="00DC6B36" w:rsidRPr="00DC6B36" w:rsidRDefault="00DC6B36" w:rsidP="00DC6B36">
      <w:r w:rsidRPr="00DC6B36">
        <w:t>We maintain over 15,000 km of network, and as this continues to grow and change, the cost of maintaining it will grow.</w:t>
      </w:r>
    </w:p>
    <w:p w14:paraId="702135DF" w14:textId="72EF8D7E" w:rsidR="00DC6B36" w:rsidRPr="00DC6B36" w:rsidRDefault="00DC6B36" w:rsidP="00DC6B36">
      <w:r w:rsidRPr="00DC6B36">
        <w:t>Operations and maintenance costs are:</w:t>
      </w:r>
    </w:p>
    <w:p w14:paraId="451C9E81" w14:textId="77777777" w:rsidR="00DC6B36" w:rsidRPr="00DC6B36" w:rsidRDefault="00DC6B36" w:rsidP="00823E77">
      <w:pPr>
        <w:pStyle w:val="ListBullet"/>
      </w:pPr>
      <w:r w:rsidRPr="00DC6B36">
        <w:t>Responsive maintenance: when there is an unexpected asset failure. </w:t>
      </w:r>
    </w:p>
    <w:p w14:paraId="75F98351" w14:textId="77777777" w:rsidR="00DC6B36" w:rsidRPr="00DC6B36" w:rsidRDefault="00DC6B36" w:rsidP="00823E77">
      <w:pPr>
        <w:pStyle w:val="ListBullet"/>
      </w:pPr>
      <w:r w:rsidRPr="00DC6B36">
        <w:t>Preventative maintenance: when GWW takes proactive maintenance on an asset to minimise its likelihood of failure. </w:t>
      </w:r>
    </w:p>
    <w:p w14:paraId="002FAD12" w14:textId="77777777" w:rsidR="00DC6B36" w:rsidRPr="00DC6B36" w:rsidRDefault="00DC6B36" w:rsidP="00823E77">
      <w:pPr>
        <w:pStyle w:val="ListBullet"/>
      </w:pPr>
      <w:r w:rsidRPr="00DC6B36">
        <w:t>Condition monitoring: when GWW undertakes activities to assess the condition of an asset, such as CCTV.  </w:t>
      </w:r>
    </w:p>
    <w:p w14:paraId="2372D3D2" w14:textId="77777777" w:rsidR="00DC6B36" w:rsidRPr="00DC6B36" w:rsidRDefault="00DC6B36" w:rsidP="00DC6B36">
      <w:r w:rsidRPr="00DC6B36">
        <w:t>GWW currently operates the two legacy CWW and WW models for operations with a mix of in-source and out-source functions. As with all costs, we will continue to optimise the delivery of operations and maintenance activities to ensure customers receive the service levels we have committed to at a fair and reasonable cost. We are not proposing any increases in operations and maintenance costs outside of inflation, and as such cost per connection is expected to decline over the period.</w:t>
      </w:r>
    </w:p>
    <w:p w14:paraId="110AB4EE" w14:textId="2CE8793B" w:rsidR="00DC6B36" w:rsidRPr="00DC6B36" w:rsidRDefault="00D6605B" w:rsidP="00823E77">
      <w:pPr>
        <w:pStyle w:val="Caption"/>
      </w:pPr>
      <w:r w:rsidRPr="009E67DF">
        <w:rPr>
          <w:b/>
        </w:rPr>
        <w:t xml:space="preserve">Table </w:t>
      </w:r>
      <w:r w:rsidR="001F7221" w:rsidRPr="009E67DF">
        <w:rPr>
          <w:b/>
        </w:rPr>
        <w:fldChar w:fldCharType="begin"/>
      </w:r>
      <w:r w:rsidR="001F7221" w:rsidRPr="009E67DF">
        <w:rPr>
          <w:b/>
        </w:rPr>
        <w:instrText xml:space="preserve"> SEQ Table \* ARABIC </w:instrText>
      </w:r>
      <w:r w:rsidR="001F7221" w:rsidRPr="009E67DF">
        <w:rPr>
          <w:b/>
        </w:rPr>
        <w:fldChar w:fldCharType="separate"/>
      </w:r>
      <w:r w:rsidR="003B42C6">
        <w:rPr>
          <w:b/>
          <w:noProof/>
        </w:rPr>
        <w:t>90</w:t>
      </w:r>
      <w:r w:rsidR="001F7221" w:rsidRPr="009E67DF">
        <w:rPr>
          <w:b/>
        </w:rPr>
        <w:fldChar w:fldCharType="end"/>
      </w:r>
      <w:r w:rsidR="00DC6B36" w:rsidRPr="00DC6B36">
        <w:t xml:space="preserve"> Field maintenance forecasts ($million, 2023-24) </w:t>
      </w:r>
    </w:p>
    <w:tbl>
      <w:tblPr>
        <w:tblStyle w:val="GWWDefaulttable"/>
        <w:tblW w:w="5000" w:type="pct"/>
        <w:tblLook w:val="04A0" w:firstRow="1" w:lastRow="0" w:firstColumn="1" w:lastColumn="0" w:noHBand="0" w:noVBand="1"/>
      </w:tblPr>
      <w:tblGrid>
        <w:gridCol w:w="1103"/>
        <w:gridCol w:w="1422"/>
        <w:gridCol w:w="1422"/>
        <w:gridCol w:w="1422"/>
        <w:gridCol w:w="1422"/>
        <w:gridCol w:w="1422"/>
        <w:gridCol w:w="1425"/>
      </w:tblGrid>
      <w:tr w:rsidR="00DC6B36" w:rsidRPr="00DC6B36" w14:paraId="46F85C40" w14:textId="77777777" w:rsidTr="009E6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62CBC3BC" w14:textId="77777777" w:rsidR="00DC6B36" w:rsidRPr="00DC6B36" w:rsidRDefault="00DC6B36" w:rsidP="00DC6B36">
            <w:r w:rsidRPr="00DC6B36">
              <w:t> </w:t>
            </w:r>
          </w:p>
        </w:tc>
        <w:tc>
          <w:tcPr>
            <w:tcW w:w="672" w:type="pct"/>
            <w:vAlign w:val="center"/>
          </w:tcPr>
          <w:p w14:paraId="3E20E2C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72" w:type="pct"/>
            <w:vAlign w:val="center"/>
          </w:tcPr>
          <w:p w14:paraId="0EA7EFB1"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72" w:type="pct"/>
            <w:vAlign w:val="center"/>
          </w:tcPr>
          <w:p w14:paraId="5BA30A2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72" w:type="pct"/>
            <w:vAlign w:val="center"/>
          </w:tcPr>
          <w:p w14:paraId="18C9647E"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72" w:type="pct"/>
            <w:vAlign w:val="center"/>
          </w:tcPr>
          <w:p w14:paraId="012105F3"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73" w:type="pct"/>
            <w:vAlign w:val="center"/>
          </w:tcPr>
          <w:p w14:paraId="6AEDFC63" w14:textId="3D7A117A"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26BBCF8" w14:textId="77777777" w:rsidTr="009E67DF">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0F7D30D" w14:textId="77777777" w:rsidR="00DC6B36" w:rsidRPr="00DC6B36" w:rsidRDefault="00DC6B36" w:rsidP="00DC6B36">
            <w:r w:rsidRPr="009E67DF">
              <w:rPr>
                <w:b w:val="0"/>
              </w:rPr>
              <w:t>Proposed</w:t>
            </w:r>
            <w:r w:rsidRPr="00DC6B36">
              <w:t>  </w:t>
            </w:r>
          </w:p>
        </w:tc>
        <w:tc>
          <w:tcPr>
            <w:tcW w:w="672" w:type="pct"/>
            <w:vAlign w:val="center"/>
            <w:hideMark/>
          </w:tcPr>
          <w:p w14:paraId="7E685E5A" w14:textId="70077ADD"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49.16</w:t>
            </w:r>
          </w:p>
        </w:tc>
        <w:tc>
          <w:tcPr>
            <w:tcW w:w="672" w:type="pct"/>
            <w:vAlign w:val="center"/>
            <w:hideMark/>
          </w:tcPr>
          <w:p w14:paraId="04F8B196" w14:textId="0166A67C"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46.79</w:t>
            </w:r>
          </w:p>
        </w:tc>
        <w:tc>
          <w:tcPr>
            <w:tcW w:w="672" w:type="pct"/>
            <w:vAlign w:val="center"/>
            <w:hideMark/>
          </w:tcPr>
          <w:p w14:paraId="53C189F4" w14:textId="50208CF4"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2" w:type="pct"/>
            <w:vAlign w:val="center"/>
            <w:hideMark/>
          </w:tcPr>
          <w:p w14:paraId="42D633E7" w14:textId="36AA4F01"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2" w:type="pct"/>
            <w:vAlign w:val="center"/>
            <w:hideMark/>
          </w:tcPr>
          <w:p w14:paraId="2E91EBBA" w14:textId="731E22FC"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3" w:type="pct"/>
            <w:vAlign w:val="center"/>
            <w:hideMark/>
          </w:tcPr>
          <w:p w14:paraId="2F0D0B00" w14:textId="7F803346" w:rsidR="00DC6B36" w:rsidRPr="00816E36" w:rsidRDefault="00DC6B36" w:rsidP="00816E36">
            <w:pPr>
              <w:jc w:val="right"/>
              <w:cnfStyle w:val="000000000000" w:firstRow="0" w:lastRow="0" w:firstColumn="0" w:lastColumn="0" w:oddVBand="0" w:evenVBand="0" w:oddHBand="0" w:evenHBand="0" w:firstRowFirstColumn="0" w:firstRowLastColumn="0" w:lastRowFirstColumn="0" w:lastRowLastColumn="0"/>
              <w:rPr>
                <w:b/>
                <w:bCs/>
              </w:rPr>
            </w:pPr>
            <w:r w:rsidRPr="00816E36">
              <w:rPr>
                <w:b/>
                <w:bCs/>
              </w:rPr>
              <w:t>187.20</w:t>
            </w:r>
          </w:p>
        </w:tc>
      </w:tr>
    </w:tbl>
    <w:p w14:paraId="14E5C602" w14:textId="37CBAE1B" w:rsidR="00A60341" w:rsidRDefault="00A60341" w:rsidP="00D95364">
      <w:pPr>
        <w:pStyle w:val="H2xappendixlevel3H"/>
      </w:pPr>
      <w:r w:rsidRPr="00A60341">
        <w:t>Operating expenditure baseline adjustments</w:t>
      </w:r>
    </w:p>
    <w:p w14:paraId="61899835" w14:textId="06948266" w:rsidR="00FA7F19" w:rsidRDefault="00897AE9" w:rsidP="00897AE9">
      <w:r>
        <w:t xml:space="preserve">This section steps through the detail that comprises our proposed baseline adjustments of $34.5 million over the </w:t>
      </w:r>
      <w:proofErr w:type="gramStart"/>
      <w:r>
        <w:t>four year</w:t>
      </w:r>
      <w:proofErr w:type="gramEnd"/>
      <w:r>
        <w:t xml:space="preserve"> regulatory </w:t>
      </w:r>
      <w:r w:rsidR="00B75DE1">
        <w:t xml:space="preserve">period, as described in </w:t>
      </w:r>
      <w:r w:rsidR="0009324B">
        <w:fldChar w:fldCharType="begin"/>
      </w:r>
      <w:r w:rsidR="0009324B">
        <w:instrText xml:space="preserve"> REF _Ref145979772 \h </w:instrText>
      </w:r>
      <w:r w:rsidR="0009324B">
        <w:fldChar w:fldCharType="separate"/>
      </w:r>
      <w:r w:rsidR="003B42C6" w:rsidRPr="009E67DF">
        <w:rPr>
          <w:b/>
        </w:rPr>
        <w:t xml:space="preserve">Table </w:t>
      </w:r>
      <w:r w:rsidR="003B42C6">
        <w:rPr>
          <w:b/>
          <w:noProof/>
        </w:rPr>
        <w:t>91</w:t>
      </w:r>
      <w:r w:rsidR="0009324B">
        <w:fldChar w:fldCharType="end"/>
      </w:r>
      <w:r w:rsidR="000A076B">
        <w:t>.</w:t>
      </w:r>
    </w:p>
    <w:p w14:paraId="4B4236AC" w14:textId="5378B0D4" w:rsidR="00816E36" w:rsidRDefault="00816E36" w:rsidP="00816E36">
      <w:pPr>
        <w:pStyle w:val="Caption"/>
      </w:pPr>
      <w:bookmarkStart w:id="428" w:name="_Ref145979772"/>
      <w:r w:rsidRPr="009E67DF">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91</w:t>
      </w:r>
      <w:r w:rsidR="001F7221" w:rsidRPr="00021420">
        <w:rPr>
          <w:b/>
        </w:rPr>
        <w:fldChar w:fldCharType="end"/>
      </w:r>
      <w:bookmarkEnd w:id="428"/>
      <w:r w:rsidR="009E67DF">
        <w:rPr>
          <w:b/>
          <w:bCs/>
          <w:noProof/>
        </w:rPr>
        <w:t xml:space="preserve"> </w:t>
      </w:r>
      <w:r>
        <w:t>Baseline adjustments</w:t>
      </w:r>
    </w:p>
    <w:tbl>
      <w:tblPr>
        <w:tblStyle w:val="GWWDefaulttable"/>
        <w:tblW w:w="5000" w:type="pct"/>
        <w:tblLook w:val="04A0" w:firstRow="1" w:lastRow="0" w:firstColumn="1" w:lastColumn="0" w:noHBand="0" w:noVBand="1"/>
      </w:tblPr>
      <w:tblGrid>
        <w:gridCol w:w="1084"/>
        <w:gridCol w:w="1425"/>
        <w:gridCol w:w="1425"/>
        <w:gridCol w:w="1426"/>
        <w:gridCol w:w="1426"/>
        <w:gridCol w:w="1426"/>
        <w:gridCol w:w="1426"/>
      </w:tblGrid>
      <w:tr w:rsidR="00C62AE1" w:rsidRPr="00C62AE1" w14:paraId="061C4CCA" w14:textId="77777777" w:rsidTr="00816E3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pct"/>
          </w:tcPr>
          <w:p w14:paraId="208B4571" w14:textId="77777777" w:rsidR="003E42C3" w:rsidRPr="00C62AE1" w:rsidRDefault="003E42C3" w:rsidP="00C62AE1"/>
        </w:tc>
        <w:tc>
          <w:tcPr>
            <w:tcW w:w="739" w:type="pct"/>
            <w:vAlign w:val="center"/>
          </w:tcPr>
          <w:p w14:paraId="19F3B986"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2023-24</w:t>
            </w:r>
          </w:p>
        </w:tc>
        <w:tc>
          <w:tcPr>
            <w:tcW w:w="739" w:type="pct"/>
            <w:vAlign w:val="center"/>
          </w:tcPr>
          <w:p w14:paraId="3621095F"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2024-25</w:t>
            </w:r>
          </w:p>
        </w:tc>
        <w:tc>
          <w:tcPr>
            <w:tcW w:w="740" w:type="pct"/>
            <w:vAlign w:val="center"/>
          </w:tcPr>
          <w:p w14:paraId="2C714420"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2025-26</w:t>
            </w:r>
          </w:p>
        </w:tc>
        <w:tc>
          <w:tcPr>
            <w:tcW w:w="740" w:type="pct"/>
            <w:vAlign w:val="center"/>
          </w:tcPr>
          <w:p w14:paraId="104F4576"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2026-27</w:t>
            </w:r>
          </w:p>
        </w:tc>
        <w:tc>
          <w:tcPr>
            <w:tcW w:w="740" w:type="pct"/>
            <w:vAlign w:val="center"/>
          </w:tcPr>
          <w:p w14:paraId="4C287E6F"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2027-28</w:t>
            </w:r>
          </w:p>
        </w:tc>
        <w:tc>
          <w:tcPr>
            <w:tcW w:w="740" w:type="pct"/>
            <w:vAlign w:val="center"/>
          </w:tcPr>
          <w:p w14:paraId="48873580" w14:textId="38D0CD20"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 xml:space="preserve">Total </w:t>
            </w:r>
            <w:r w:rsidR="00931ADA">
              <w:br/>
            </w:r>
            <w:r w:rsidRPr="00C62AE1">
              <w:t>(4 year</w:t>
            </w:r>
            <w:r w:rsidR="009E67DF">
              <w:t>s</w:t>
            </w:r>
            <w:r w:rsidRPr="00C62AE1">
              <w:t>)</w:t>
            </w:r>
          </w:p>
        </w:tc>
      </w:tr>
      <w:tr w:rsidR="00C62AE1" w:rsidRPr="00C62AE1" w14:paraId="0CA696D8" w14:textId="77777777" w:rsidTr="00816E36">
        <w:trPr>
          <w:trHeight w:val="304"/>
        </w:trPr>
        <w:tc>
          <w:tcPr>
            <w:cnfStyle w:val="001000000000" w:firstRow="0" w:lastRow="0" w:firstColumn="1" w:lastColumn="0" w:oddVBand="0" w:evenVBand="0" w:oddHBand="0" w:evenHBand="0" w:firstRowFirstColumn="0" w:firstRowLastColumn="0" w:lastRowFirstColumn="0" w:lastRowLastColumn="0"/>
            <w:tcW w:w="562" w:type="pct"/>
          </w:tcPr>
          <w:p w14:paraId="06BA9A55" w14:textId="77777777" w:rsidR="003E42C3" w:rsidRPr="009E67DF" w:rsidRDefault="003E42C3" w:rsidP="00C62AE1">
            <w:pPr>
              <w:rPr>
                <w:b w:val="0"/>
              </w:rPr>
            </w:pPr>
            <w:r w:rsidRPr="009E67DF">
              <w:rPr>
                <w:b w:val="0"/>
              </w:rPr>
              <w:t>Step changes</w:t>
            </w:r>
          </w:p>
        </w:tc>
        <w:tc>
          <w:tcPr>
            <w:tcW w:w="739" w:type="pct"/>
            <w:vAlign w:val="center"/>
          </w:tcPr>
          <w:p w14:paraId="3FBF6427" w14:textId="3398E8C3"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4.47 </w:t>
            </w:r>
          </w:p>
        </w:tc>
        <w:tc>
          <w:tcPr>
            <w:tcW w:w="739" w:type="pct"/>
            <w:vAlign w:val="center"/>
          </w:tcPr>
          <w:p w14:paraId="2C720BA1" w14:textId="512978A9"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7.49 </w:t>
            </w:r>
          </w:p>
        </w:tc>
        <w:tc>
          <w:tcPr>
            <w:tcW w:w="740" w:type="pct"/>
            <w:vAlign w:val="center"/>
          </w:tcPr>
          <w:p w14:paraId="2E34E2B3" w14:textId="4FB0773E"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8.23 </w:t>
            </w:r>
          </w:p>
        </w:tc>
        <w:tc>
          <w:tcPr>
            <w:tcW w:w="740" w:type="pct"/>
            <w:vAlign w:val="center"/>
          </w:tcPr>
          <w:p w14:paraId="3DE9C43F" w14:textId="515B22AC"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9.08 </w:t>
            </w:r>
          </w:p>
        </w:tc>
        <w:tc>
          <w:tcPr>
            <w:tcW w:w="740" w:type="pct"/>
            <w:vAlign w:val="center"/>
          </w:tcPr>
          <w:p w14:paraId="4C1A68D9" w14:textId="6CE84526"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9.69 </w:t>
            </w:r>
          </w:p>
        </w:tc>
        <w:tc>
          <w:tcPr>
            <w:tcW w:w="740" w:type="pct"/>
            <w:vAlign w:val="center"/>
          </w:tcPr>
          <w:p w14:paraId="2C351D02" w14:textId="61F98952"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rPr>
                <w:b/>
                <w:bCs/>
              </w:rPr>
            </w:pPr>
            <w:r w:rsidRPr="001F0E26">
              <w:rPr>
                <w:rFonts w:asciiTheme="majorHAnsi" w:eastAsia="Times New Roman" w:hAnsiTheme="majorHAnsi" w:cs="Calibri"/>
                <w:b/>
                <w:bCs/>
                <w:color w:val="000000"/>
                <w:spacing w:val="0"/>
                <w:szCs w:val="18"/>
                <w:shd w:val="clear" w:color="auto" w:fill="FFFFFF"/>
                <w:lang w:eastAsia="en-AU"/>
              </w:rPr>
              <w:t xml:space="preserve">34.49 </w:t>
            </w:r>
          </w:p>
        </w:tc>
      </w:tr>
    </w:tbl>
    <w:p w14:paraId="6F0C0356" w14:textId="77777777" w:rsidR="009E5A8C" w:rsidRPr="00D40265" w:rsidRDefault="009E5A8C" w:rsidP="00D40265">
      <w:pPr>
        <w:pStyle w:val="Heading4-nonumber"/>
      </w:pPr>
      <w:r w:rsidRPr="00D40265">
        <w:t>Baseline adjustments: obligations and policy and changes </w:t>
      </w:r>
    </w:p>
    <w:p w14:paraId="3AE8DD5F" w14:textId="77777777" w:rsidR="009E5A8C" w:rsidRPr="00D40265" w:rsidRDefault="009E5A8C" w:rsidP="00D40265">
      <w:r w:rsidRPr="00D40265">
        <w:t>This section outlines the changes in obligations and policy that are driving our proposed baseline adjustments.</w:t>
      </w:r>
    </w:p>
    <w:p w14:paraId="09FFBCAE" w14:textId="77777777" w:rsidR="009E5A8C" w:rsidRPr="00D40265" w:rsidRDefault="009E5A8C" w:rsidP="00D40265">
      <w:pPr>
        <w:pStyle w:val="Heading5-nonumber"/>
      </w:pPr>
      <w:r w:rsidRPr="00D40265">
        <w:lastRenderedPageBreak/>
        <w:t>First Nations and Traditional Owner engagement </w:t>
      </w:r>
    </w:p>
    <w:p w14:paraId="32F60B0C" w14:textId="60579C79" w:rsidR="009E5A8C" w:rsidRPr="00D40265" w:rsidRDefault="009E5A8C" w:rsidP="00D40265">
      <w:pPr>
        <w:pStyle w:val="ListBullet"/>
      </w:pPr>
      <w:r w:rsidRPr="00D40265">
        <w:t>Our obligations to formally engage with Traditional Owners have increased since the last price review and the Water for Victoria (2016) policy was enacted. Since the</w:t>
      </w:r>
      <w:r w:rsidR="00024A7D">
        <w:t>n</w:t>
      </w:r>
      <w:r w:rsidRPr="00D40265">
        <w:t>, commitments have been made in the Central and Gippsland Region Sustainable Water Strategy (CGRSWS 2022) that require water corporations to: </w:t>
      </w:r>
    </w:p>
    <w:p w14:paraId="241288CD" w14:textId="5B63FBEA" w:rsidR="009E5A8C" w:rsidRPr="00D40265" w:rsidRDefault="009E5A8C" w:rsidP="00D40265">
      <w:pPr>
        <w:pStyle w:val="ListBullet"/>
      </w:pPr>
      <w:r w:rsidRPr="00D40265">
        <w:t>return water to Traditional Owners </w:t>
      </w:r>
    </w:p>
    <w:p w14:paraId="7616F836" w14:textId="1DE02162" w:rsidR="009E5A8C" w:rsidRPr="00D40265" w:rsidRDefault="009E5A8C" w:rsidP="00D40265">
      <w:pPr>
        <w:pStyle w:val="ListBullet"/>
      </w:pPr>
      <w:r w:rsidRPr="00D40265">
        <w:t>support removal of barriers to water ownership</w:t>
      </w:r>
    </w:p>
    <w:p w14:paraId="6A3D245A" w14:textId="245299C3" w:rsidR="009E5A8C" w:rsidRPr="00D40265" w:rsidRDefault="009E5A8C" w:rsidP="00D40265">
      <w:pPr>
        <w:pStyle w:val="ListBullet"/>
      </w:pPr>
      <w:r w:rsidRPr="00D40265">
        <w:t>strengthen the role of TOs in water planning and management.</w:t>
      </w:r>
    </w:p>
    <w:p w14:paraId="4BCB993A" w14:textId="77777777" w:rsidR="009E5A8C" w:rsidRPr="00D40265" w:rsidRDefault="009E5A8C" w:rsidP="00D40265">
      <w:r w:rsidRPr="00D40265">
        <w:t>The Victorian government released Water is Life in 2023. This is a key policy initiative to increase Traditional Owner access to water and management of water landscapes on Country. It builds on legislation that was passed in 2019 to enshrine Aboriginal cultural values and knowledge in water and catchment management into law for the first time and to include Traditional Owners in these processes.  </w:t>
      </w:r>
    </w:p>
    <w:p w14:paraId="1E3DC018" w14:textId="3A8596D3" w:rsidR="009E5A8C" w:rsidRPr="00D40265" w:rsidRDefault="009E5A8C" w:rsidP="00D40265">
      <w:r w:rsidRPr="00D40265">
        <w:t>The Melbourne metropolitan water corporations’ joint Urban Water Strategy, the Greater Melbourne Urban Water and System Strategy: Water for Life (GMUWSS), underpins these commitments through its approach to building partnerships with Traditional Owners.</w:t>
      </w:r>
    </w:p>
    <w:p w14:paraId="41FF2479" w14:textId="3D7DC756" w:rsidR="009E5A8C" w:rsidRPr="00D40265" w:rsidRDefault="009E5A8C" w:rsidP="00D40265">
      <w:r w:rsidRPr="00D40265">
        <w:t xml:space="preserve">GWW is committed to partnering with </w:t>
      </w:r>
      <w:r w:rsidR="00024A7D" w:rsidRPr="00D40265">
        <w:t xml:space="preserve">Traditional </w:t>
      </w:r>
      <w:r w:rsidR="00466644">
        <w:t xml:space="preserve">quality of </w:t>
      </w:r>
      <w:r w:rsidR="00024A7D" w:rsidRPr="00D40265">
        <w:t>Owners</w:t>
      </w:r>
      <w:r w:rsidR="00024A7D" w:rsidRPr="00D40265" w:rsidDel="00024A7D">
        <w:t xml:space="preserve"> </w:t>
      </w:r>
      <w:r w:rsidRPr="00D40265">
        <w:t>to provide the opportunity for their voices to be included in our water planning and management decisions.</w:t>
      </w:r>
      <w:r w:rsidR="00DB308C">
        <w:t xml:space="preserve"> </w:t>
      </w:r>
      <w:r w:rsidRPr="00D40265">
        <w:t xml:space="preserve">We have five formally recognised </w:t>
      </w:r>
      <w:r w:rsidR="00024A7D" w:rsidRPr="00D40265">
        <w:t>Traditional Owner</w:t>
      </w:r>
      <w:r w:rsidR="00024A7D">
        <w:t xml:space="preserve"> organisation</w:t>
      </w:r>
      <w:r w:rsidR="00024A7D" w:rsidRPr="00D40265">
        <w:t>s</w:t>
      </w:r>
      <w:r w:rsidR="00024A7D" w:rsidRPr="00D40265" w:rsidDel="00024A7D">
        <w:t xml:space="preserve"> </w:t>
      </w:r>
      <w:proofErr w:type="spellStart"/>
      <w:r w:rsidR="00671458">
        <w:t>in</w:t>
      </w:r>
      <w:r w:rsidRPr="00D40265">
        <w:t>our</w:t>
      </w:r>
      <w:proofErr w:type="spellEnd"/>
      <w:r w:rsidRPr="00D40265">
        <w:t xml:space="preserve"> service region: </w:t>
      </w:r>
    </w:p>
    <w:p w14:paraId="742701EE" w14:textId="77777777" w:rsidR="009E5A8C" w:rsidRPr="00D40265" w:rsidRDefault="009E5A8C" w:rsidP="00D40265">
      <w:pPr>
        <w:pStyle w:val="ListBullet"/>
      </w:pPr>
      <w:r w:rsidRPr="00D40265">
        <w:t>Bunurong Land Council Aboriginal Corporation </w:t>
      </w:r>
    </w:p>
    <w:p w14:paraId="17820EB6" w14:textId="77777777" w:rsidR="009E5A8C" w:rsidRPr="00D40265" w:rsidRDefault="009E5A8C" w:rsidP="00D40265">
      <w:pPr>
        <w:pStyle w:val="ListBullet"/>
      </w:pPr>
      <w:r w:rsidRPr="00D40265">
        <w:t xml:space="preserve">DJAARA (formerly Dja </w:t>
      </w:r>
      <w:proofErr w:type="spellStart"/>
      <w:r w:rsidRPr="00D40265">
        <w:t>Dja</w:t>
      </w:r>
      <w:proofErr w:type="spellEnd"/>
      <w:r w:rsidRPr="00D40265">
        <w:t xml:space="preserve"> Wurrung Clans Aboriginal Corporation) </w:t>
      </w:r>
    </w:p>
    <w:p w14:paraId="737B0A58" w14:textId="77777777" w:rsidR="009E5A8C" w:rsidRPr="00D40265" w:rsidRDefault="009E5A8C" w:rsidP="00D40265">
      <w:pPr>
        <w:pStyle w:val="ListBullet"/>
      </w:pPr>
      <w:proofErr w:type="spellStart"/>
      <w:r w:rsidRPr="00D40265">
        <w:t>Taungurung</w:t>
      </w:r>
      <w:proofErr w:type="spellEnd"/>
      <w:r w:rsidRPr="00D40265">
        <w:t xml:space="preserve"> Land and Waters Council </w:t>
      </w:r>
    </w:p>
    <w:p w14:paraId="5248D4F1" w14:textId="48B87C47" w:rsidR="009E5A8C" w:rsidRPr="00D40265" w:rsidRDefault="009E5A8C" w:rsidP="00D40265">
      <w:pPr>
        <w:pStyle w:val="ListBullet"/>
      </w:pPr>
      <w:proofErr w:type="spellStart"/>
      <w:r w:rsidRPr="00D40265">
        <w:t>Wadawurrung</w:t>
      </w:r>
      <w:proofErr w:type="spellEnd"/>
      <w:r w:rsidRPr="00D40265">
        <w:t xml:space="preserve"> Traditional Owners Aboriginal Corporation </w:t>
      </w:r>
    </w:p>
    <w:p w14:paraId="4F1E0EDF" w14:textId="77777777" w:rsidR="009E5A8C" w:rsidRPr="00D40265" w:rsidRDefault="009E5A8C" w:rsidP="00D40265">
      <w:pPr>
        <w:pStyle w:val="ListBullet"/>
      </w:pPr>
      <w:r w:rsidRPr="00D40265">
        <w:t xml:space="preserve">Wurundjeri </w:t>
      </w:r>
      <w:proofErr w:type="spellStart"/>
      <w:r w:rsidRPr="00D40265">
        <w:t>Woi</w:t>
      </w:r>
      <w:proofErr w:type="spellEnd"/>
      <w:r w:rsidRPr="00D40265">
        <w:t xml:space="preserve"> Wurrung Cultural Heritage Aboriginal Corporation.</w:t>
      </w:r>
    </w:p>
    <w:p w14:paraId="1A174DF7" w14:textId="7246D595" w:rsidR="009E5A8C" w:rsidRPr="00D40265" w:rsidRDefault="009E5A8C" w:rsidP="00D40265">
      <w:r w:rsidRPr="00D40265">
        <w:t xml:space="preserve">Over the coming regulatory period, we will uplift our internal capability and understanding of how to engage and partner with </w:t>
      </w:r>
      <w:r w:rsidR="00671458">
        <w:t xml:space="preserve">the </w:t>
      </w:r>
      <w:r w:rsidRPr="00D40265">
        <w:t>Traditional Owners in our service area to support their water aspirations and meet our obligations. At the same time, we will also need to provide funding: </w:t>
      </w:r>
    </w:p>
    <w:p w14:paraId="0B16B947" w14:textId="0CE12EA5" w:rsidR="009E5A8C" w:rsidRPr="00D40265" w:rsidRDefault="009E5A8C" w:rsidP="00D40265">
      <w:pPr>
        <w:pStyle w:val="ListBullet"/>
      </w:pPr>
      <w:r w:rsidRPr="00D40265">
        <w:t xml:space="preserve">to support </w:t>
      </w:r>
      <w:r w:rsidR="00671458" w:rsidRPr="00D40265">
        <w:t>Traditional Owners</w:t>
      </w:r>
      <w:r w:rsidRPr="00D40265">
        <w:t xml:space="preserve"> to increase their foundational knowledge at priority sites (including Cultural Values and Aboriginal Waterway assessments) </w:t>
      </w:r>
    </w:p>
    <w:p w14:paraId="01CE8348" w14:textId="7EDC0405" w:rsidR="009E5A8C" w:rsidRPr="00D40265" w:rsidRDefault="009E5A8C" w:rsidP="00D40265">
      <w:pPr>
        <w:pStyle w:val="ListBullet"/>
      </w:pPr>
      <w:r w:rsidRPr="00D40265">
        <w:t xml:space="preserve">for policy and partnership agreements </w:t>
      </w:r>
    </w:p>
    <w:p w14:paraId="6A8F1441" w14:textId="115BA669" w:rsidR="009E5A8C" w:rsidRPr="00D40265" w:rsidRDefault="009E5A8C" w:rsidP="00D40265">
      <w:pPr>
        <w:pStyle w:val="ListBullet"/>
      </w:pPr>
      <w:r w:rsidRPr="00D40265">
        <w:t xml:space="preserve">to increase </w:t>
      </w:r>
      <w:r w:rsidR="00671458" w:rsidRPr="00D40265">
        <w:t>Traditional Owner</w:t>
      </w:r>
      <w:r w:rsidR="00671458">
        <w:t xml:space="preserve"> </w:t>
      </w:r>
      <w:r w:rsidRPr="00D40265">
        <w:t>capacity to meaningfully engagement with us on our projects and initiatives. </w:t>
      </w:r>
    </w:p>
    <w:p w14:paraId="09E55F9F" w14:textId="418C16A7" w:rsidR="009E5A8C" w:rsidRPr="00D40265" w:rsidRDefault="009E5A8C" w:rsidP="00D40265">
      <w:r w:rsidRPr="00D40265">
        <w:t xml:space="preserve">The program was informed through discussions with </w:t>
      </w:r>
      <w:r w:rsidR="00671458" w:rsidRPr="00D40265">
        <w:t>Traditional Owner</w:t>
      </w:r>
      <w:r w:rsidR="00671458" w:rsidRPr="00D40265" w:rsidDel="00671458">
        <w:t xml:space="preserve"> </w:t>
      </w:r>
      <w:r w:rsidRPr="00D40265">
        <w:t>groups, learnings from existing engagement, Traditional Owner</w:t>
      </w:r>
      <w:r w:rsidR="001F6970">
        <w:t>s</w:t>
      </w:r>
      <w:r>
        <w:t>’</w:t>
      </w:r>
      <w:r w:rsidRPr="00D40265">
        <w:t xml:space="preserve"> aspirations articulated in Nation statements, Country plans and available water strategies, and utilising Water is Life over the next five years. It aligns with the aspirations of our individual Traditional Owner</w:t>
      </w:r>
      <w:r w:rsidRPr="00D40265" w:rsidDel="001F6970">
        <w:t xml:space="preserve"> </w:t>
      </w:r>
      <w:r w:rsidRPr="00D40265">
        <w:t xml:space="preserve">groups. The annual forecast, on average, of $1.0 million per year over the four-year regulatory period </w:t>
      </w:r>
      <w:proofErr w:type="gramStart"/>
      <w:r w:rsidRPr="00D40265">
        <w:t>as a result of</w:t>
      </w:r>
      <w:proofErr w:type="gramEnd"/>
      <w:r w:rsidRPr="00D40265">
        <w:t xml:space="preserve"> the new obligation. This is $4.0 million cost is in addition to the small cost (&lt;$0.1 million) in the base year, as identified above. The operating expenditure cost allows for an additional staff, Aboriginal Waterway and Cultural Value assessments, and funding for partnerships and engagement fees. </w:t>
      </w:r>
    </w:p>
    <w:p w14:paraId="62FE1C8B" w14:textId="655827B0" w:rsidR="009E5A8C" w:rsidRPr="00D40265" w:rsidRDefault="00D6605B" w:rsidP="00D40265">
      <w:pPr>
        <w:pStyle w:val="Caption"/>
      </w:pPr>
      <w:r w:rsidRPr="002F08AA">
        <w:rPr>
          <w:b/>
        </w:rPr>
        <w:lastRenderedPageBreak/>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92</w:t>
      </w:r>
      <w:r w:rsidR="001F7221" w:rsidRPr="002F08AA">
        <w:rPr>
          <w:b/>
        </w:rPr>
        <w:fldChar w:fldCharType="end"/>
      </w:r>
      <w:r>
        <w:t xml:space="preserve"> </w:t>
      </w:r>
      <w:r w:rsidR="009E5A8C" w:rsidRPr="00D40265">
        <w:t>First Nations and Traditional Owner engagement adjustments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40265" w:rsidRPr="00D40265" w14:paraId="300A14C6" w14:textId="77777777" w:rsidTr="00C25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4999E6B3" w14:textId="77777777" w:rsidR="009E5A8C" w:rsidRPr="00D40265" w:rsidRDefault="009E5A8C" w:rsidP="00D40265">
            <w:r w:rsidRPr="00D40265">
              <w:t> </w:t>
            </w:r>
          </w:p>
        </w:tc>
        <w:tc>
          <w:tcPr>
            <w:tcW w:w="650" w:type="pct"/>
            <w:vAlign w:val="center"/>
            <w:hideMark/>
          </w:tcPr>
          <w:p w14:paraId="30343194"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2023-24 </w:t>
            </w:r>
          </w:p>
        </w:tc>
        <w:tc>
          <w:tcPr>
            <w:tcW w:w="650" w:type="pct"/>
            <w:vAlign w:val="center"/>
            <w:hideMark/>
          </w:tcPr>
          <w:p w14:paraId="5D5EB85B"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2024-25 </w:t>
            </w:r>
          </w:p>
        </w:tc>
        <w:tc>
          <w:tcPr>
            <w:tcW w:w="650" w:type="pct"/>
            <w:vAlign w:val="center"/>
            <w:hideMark/>
          </w:tcPr>
          <w:p w14:paraId="15D360BD"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2025-26 </w:t>
            </w:r>
          </w:p>
        </w:tc>
        <w:tc>
          <w:tcPr>
            <w:tcW w:w="650" w:type="pct"/>
            <w:vAlign w:val="center"/>
            <w:hideMark/>
          </w:tcPr>
          <w:p w14:paraId="6932F8CA"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2026-27 </w:t>
            </w:r>
          </w:p>
        </w:tc>
        <w:tc>
          <w:tcPr>
            <w:tcW w:w="650" w:type="pct"/>
            <w:vAlign w:val="center"/>
            <w:hideMark/>
          </w:tcPr>
          <w:p w14:paraId="637F5E2F"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2027-28 </w:t>
            </w:r>
          </w:p>
        </w:tc>
        <w:tc>
          <w:tcPr>
            <w:tcW w:w="695" w:type="pct"/>
            <w:vAlign w:val="center"/>
            <w:hideMark/>
          </w:tcPr>
          <w:p w14:paraId="284D1422" w14:textId="3A69CF1B"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Total </w:t>
            </w:r>
            <w:r w:rsidR="00931ADA">
              <w:br/>
            </w:r>
            <w:r w:rsidRPr="00D40265">
              <w:t xml:space="preserve">(4 years) </w:t>
            </w:r>
          </w:p>
        </w:tc>
      </w:tr>
      <w:tr w:rsidR="00D40265" w:rsidRPr="00D40265" w14:paraId="19AD27B1" w14:textId="77777777" w:rsidTr="00C256B5">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0DCBC128" w14:textId="77777777" w:rsidR="009E5A8C" w:rsidRPr="00D40265" w:rsidRDefault="009E5A8C" w:rsidP="00D40265">
            <w:r w:rsidRPr="00C256B5">
              <w:rPr>
                <w:b w:val="0"/>
              </w:rPr>
              <w:t>Proposed</w:t>
            </w:r>
            <w:r w:rsidRPr="00D40265">
              <w:t>  </w:t>
            </w:r>
          </w:p>
        </w:tc>
        <w:tc>
          <w:tcPr>
            <w:tcW w:w="650" w:type="pct"/>
            <w:vAlign w:val="center"/>
          </w:tcPr>
          <w:p w14:paraId="5CBDCB1C"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0.22 </w:t>
            </w:r>
          </w:p>
        </w:tc>
        <w:tc>
          <w:tcPr>
            <w:tcW w:w="650" w:type="pct"/>
            <w:vAlign w:val="center"/>
          </w:tcPr>
          <w:p w14:paraId="7825D81F"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0.62 </w:t>
            </w:r>
          </w:p>
        </w:tc>
        <w:tc>
          <w:tcPr>
            <w:tcW w:w="650" w:type="pct"/>
            <w:vAlign w:val="center"/>
          </w:tcPr>
          <w:p w14:paraId="5EE10D21"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0.92 </w:t>
            </w:r>
          </w:p>
        </w:tc>
        <w:tc>
          <w:tcPr>
            <w:tcW w:w="650" w:type="pct"/>
            <w:vAlign w:val="center"/>
          </w:tcPr>
          <w:p w14:paraId="7AC18C2B"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1.22</w:t>
            </w:r>
          </w:p>
        </w:tc>
        <w:tc>
          <w:tcPr>
            <w:tcW w:w="650" w:type="pct"/>
            <w:vAlign w:val="center"/>
            <w:hideMark/>
          </w:tcPr>
          <w:p w14:paraId="6E2B3E03"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1.22</w:t>
            </w:r>
          </w:p>
        </w:tc>
        <w:tc>
          <w:tcPr>
            <w:tcW w:w="695" w:type="pct"/>
            <w:vAlign w:val="center"/>
            <w:hideMark/>
          </w:tcPr>
          <w:p w14:paraId="0BF6E49E"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rPr>
                <w:b/>
                <w:bCs/>
              </w:rPr>
            </w:pPr>
            <w:r w:rsidRPr="00D40265">
              <w:rPr>
                <w:b/>
                <w:bCs/>
              </w:rPr>
              <w:t>3.97 </w:t>
            </w:r>
          </w:p>
        </w:tc>
      </w:tr>
    </w:tbl>
    <w:p w14:paraId="6193A3FE" w14:textId="77777777" w:rsidR="009E5A8C" w:rsidRPr="00D40265" w:rsidRDefault="009E5A8C" w:rsidP="00D40265">
      <w:pPr>
        <w:pStyle w:val="Heading5-nonumber"/>
      </w:pPr>
      <w:r w:rsidRPr="00D40265">
        <w:t>Security of Critical Infrastructure </w:t>
      </w:r>
    </w:p>
    <w:p w14:paraId="78072049" w14:textId="77777777" w:rsidR="009E5A8C" w:rsidRPr="00D40265" w:rsidRDefault="009E5A8C" w:rsidP="00D40265">
      <w:r w:rsidRPr="00D40265">
        <w:t xml:space="preserve">The Security of Critical Infrastructure (SOCI) Act came into effect in 2018. State the obligations under the act. The </w:t>
      </w:r>
      <w:r w:rsidRPr="007C0634">
        <w:rPr>
          <w:i/>
        </w:rPr>
        <w:t>Security Legislation Amendment (Critical Infrastructure Protection) Act 2022</w:t>
      </w:r>
      <w:r w:rsidRPr="00D40265">
        <w:t xml:space="preserve"> (SLACIP Act) amends the </w:t>
      </w:r>
      <w:r w:rsidRPr="007C0634">
        <w:rPr>
          <w:i/>
        </w:rPr>
        <w:t>Security of Critical Infrastructure Act 2018</w:t>
      </w:r>
      <w:r w:rsidRPr="00D40265">
        <w:t xml:space="preserve"> (the SOCI Act) to build upon the existing framework and uplift the security and resilience of Australia’s critical infrastructure.</w:t>
      </w:r>
    </w:p>
    <w:p w14:paraId="5F7C68EB" w14:textId="1CF8B7CE" w:rsidR="009E5A8C" w:rsidRPr="00D40265" w:rsidRDefault="00BF54FE" w:rsidP="00D40265">
      <w:r>
        <w:t>GWW</w:t>
      </w:r>
      <w:r w:rsidR="009E5A8C" w:rsidRPr="00D40265">
        <w:t xml:space="preserve"> has been identified as a critical infrastructure entity by the Department of Home Affairs under the amended Act. As an Australian Critical Infrastructure organisation, we are required to meet the requirements of the Security of Critical Infrastructure Act. G</w:t>
      </w:r>
      <w:r>
        <w:t>WW</w:t>
      </w:r>
      <w:r w:rsidR="009E5A8C" w:rsidRPr="00D40265">
        <w:t xml:space="preserve"> must implement adequate risk management controls to secure our critical infrastructure (this includes physical, personnel and logical security, supply chain and natural hazards). The Risk Management Program rules commenced as of 17 February 2023 and the amended legislation that identified us as critical infrastructure entity was released in March 2023, as such the expenditure commences in 2023-24.</w:t>
      </w:r>
    </w:p>
    <w:p w14:paraId="0BF62B35" w14:textId="6F831608" w:rsidR="009E5A8C" w:rsidRPr="00D40265" w:rsidRDefault="009E5A8C" w:rsidP="00D40265">
      <w:r w:rsidRPr="00D40265">
        <w:t>The additional operating expenditure will be for: </w:t>
      </w:r>
    </w:p>
    <w:p w14:paraId="7DE45915" w14:textId="7CDF8577" w:rsidR="009E5A8C" w:rsidRPr="00D40265" w:rsidRDefault="00DB308C" w:rsidP="00D40265">
      <w:pPr>
        <w:pStyle w:val="ListBullet"/>
      </w:pPr>
      <w:r>
        <w:t>a</w:t>
      </w:r>
      <w:r w:rsidR="009E5A8C" w:rsidRPr="00D40265">
        <w:t xml:space="preserve">n additional resource to increase internal capability in dealing with operational technology </w:t>
      </w:r>
      <w:proofErr w:type="gramStart"/>
      <w:r w:rsidR="009E5A8C" w:rsidRPr="00D40265">
        <w:t>security</w:t>
      </w:r>
      <w:proofErr w:type="gramEnd"/>
      <w:r w:rsidR="009E5A8C" w:rsidRPr="00D40265">
        <w:t> </w:t>
      </w:r>
    </w:p>
    <w:p w14:paraId="3C3A69C0" w14:textId="079B7051" w:rsidR="009E5A8C" w:rsidRPr="00D40265" w:rsidRDefault="00DB308C" w:rsidP="00D40265">
      <w:pPr>
        <w:pStyle w:val="ListBullet"/>
      </w:pPr>
      <w:r>
        <w:t>l</w:t>
      </w:r>
      <w:r w:rsidR="009E5A8C" w:rsidRPr="00D40265">
        <w:t xml:space="preserve">icence costs to manage operational technology and vulnerability, supply chain monitoring solution, physical security solution (access controls), and implementation of AUSCHECK for critical </w:t>
      </w:r>
      <w:proofErr w:type="gramStart"/>
      <w:r w:rsidR="009E5A8C" w:rsidRPr="00D40265">
        <w:t>workers</w:t>
      </w:r>
      <w:proofErr w:type="gramEnd"/>
      <w:r w:rsidR="009E5A8C" w:rsidRPr="00D40265">
        <w:t> </w:t>
      </w:r>
    </w:p>
    <w:p w14:paraId="27F7AC9D" w14:textId="50B8F384" w:rsidR="009E5A8C" w:rsidRPr="00D40265" w:rsidRDefault="00DB308C" w:rsidP="00D40265">
      <w:pPr>
        <w:pStyle w:val="ListBullet"/>
      </w:pPr>
      <w:r>
        <w:t>c</w:t>
      </w:r>
      <w:r w:rsidR="009E5A8C" w:rsidRPr="00D40265">
        <w:t>yber and other emergency incident preparedness </w:t>
      </w:r>
    </w:p>
    <w:p w14:paraId="63A5CFE9" w14:textId="2ACAACDE" w:rsidR="009E5A8C" w:rsidRPr="00D40265" w:rsidRDefault="00DB308C" w:rsidP="00D40265">
      <w:pPr>
        <w:pStyle w:val="ListBullet"/>
      </w:pPr>
      <w:r>
        <w:t>s</w:t>
      </w:r>
      <w:r w:rsidR="009E5A8C" w:rsidRPr="00D40265">
        <w:t>ecurity operations centre, independent maturity reviews and training for key staff.  </w:t>
      </w:r>
    </w:p>
    <w:p w14:paraId="2CAAC9AA" w14:textId="2B677331" w:rsidR="009E5A8C" w:rsidRPr="00D40265" w:rsidRDefault="00D6605B" w:rsidP="00D40265">
      <w:pPr>
        <w:pStyle w:val="Caption"/>
      </w:pPr>
      <w:r w:rsidRPr="002F08AA">
        <w:rPr>
          <w:b/>
        </w:rPr>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93</w:t>
      </w:r>
      <w:r w:rsidR="001F7221" w:rsidRPr="002F08AA">
        <w:rPr>
          <w:b/>
        </w:rPr>
        <w:fldChar w:fldCharType="end"/>
      </w:r>
      <w:r w:rsidR="00E2090A">
        <w:t xml:space="preserve"> </w:t>
      </w:r>
      <w:r w:rsidR="009E5A8C" w:rsidRPr="00D40265">
        <w:t>SOCI adjustments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40265" w:rsidRPr="00D40265" w14:paraId="73A05CB9" w14:textId="77777777" w:rsidTr="00C25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2F0758E6" w14:textId="77777777" w:rsidR="009E5A8C" w:rsidRPr="00D40265" w:rsidRDefault="009E5A8C" w:rsidP="00D40265">
            <w:r w:rsidRPr="00D40265">
              <w:t> </w:t>
            </w:r>
          </w:p>
        </w:tc>
        <w:tc>
          <w:tcPr>
            <w:tcW w:w="650" w:type="pct"/>
            <w:vAlign w:val="center"/>
            <w:hideMark/>
          </w:tcPr>
          <w:p w14:paraId="47EA36BD"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2023-24 </w:t>
            </w:r>
          </w:p>
        </w:tc>
        <w:tc>
          <w:tcPr>
            <w:tcW w:w="650" w:type="pct"/>
            <w:vAlign w:val="center"/>
            <w:hideMark/>
          </w:tcPr>
          <w:p w14:paraId="7F42B990"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2024-25 </w:t>
            </w:r>
          </w:p>
        </w:tc>
        <w:tc>
          <w:tcPr>
            <w:tcW w:w="650" w:type="pct"/>
            <w:vAlign w:val="center"/>
            <w:hideMark/>
          </w:tcPr>
          <w:p w14:paraId="3DD5BF66"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2025-26 </w:t>
            </w:r>
          </w:p>
        </w:tc>
        <w:tc>
          <w:tcPr>
            <w:tcW w:w="650" w:type="pct"/>
            <w:vAlign w:val="center"/>
            <w:hideMark/>
          </w:tcPr>
          <w:p w14:paraId="4C1C9015"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2026-27 </w:t>
            </w:r>
          </w:p>
        </w:tc>
        <w:tc>
          <w:tcPr>
            <w:tcW w:w="650" w:type="pct"/>
            <w:vAlign w:val="center"/>
            <w:hideMark/>
          </w:tcPr>
          <w:p w14:paraId="7ED06245"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2027-28 </w:t>
            </w:r>
          </w:p>
        </w:tc>
        <w:tc>
          <w:tcPr>
            <w:tcW w:w="695" w:type="pct"/>
            <w:vAlign w:val="center"/>
            <w:hideMark/>
          </w:tcPr>
          <w:p w14:paraId="1B56FFCF" w14:textId="15841B21"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Total </w:t>
            </w:r>
            <w:r w:rsidR="00931ADA">
              <w:br/>
            </w:r>
            <w:r w:rsidRPr="00D40265">
              <w:t xml:space="preserve">(4 years) </w:t>
            </w:r>
          </w:p>
        </w:tc>
      </w:tr>
      <w:tr w:rsidR="00D40265" w:rsidRPr="00D40265" w14:paraId="1A77F58C" w14:textId="77777777" w:rsidTr="00C256B5">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A120BB5" w14:textId="77777777" w:rsidR="009E5A8C" w:rsidRPr="00D40265" w:rsidRDefault="009E5A8C" w:rsidP="00D40265">
            <w:r w:rsidRPr="00C256B5">
              <w:rPr>
                <w:b w:val="0"/>
              </w:rPr>
              <w:t>Proposed</w:t>
            </w:r>
            <w:r w:rsidRPr="00D40265">
              <w:t>  </w:t>
            </w:r>
          </w:p>
        </w:tc>
        <w:tc>
          <w:tcPr>
            <w:tcW w:w="650" w:type="pct"/>
            <w:vAlign w:val="center"/>
            <w:hideMark/>
          </w:tcPr>
          <w:p w14:paraId="51580B2D"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0.68 </w:t>
            </w:r>
          </w:p>
        </w:tc>
        <w:tc>
          <w:tcPr>
            <w:tcW w:w="650" w:type="pct"/>
            <w:vAlign w:val="center"/>
            <w:hideMark/>
          </w:tcPr>
          <w:p w14:paraId="39B190D2"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0.99 </w:t>
            </w:r>
          </w:p>
        </w:tc>
        <w:tc>
          <w:tcPr>
            <w:tcW w:w="650" w:type="pct"/>
            <w:vAlign w:val="center"/>
            <w:hideMark/>
          </w:tcPr>
          <w:p w14:paraId="6C0D891A"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1.09 </w:t>
            </w:r>
          </w:p>
        </w:tc>
        <w:tc>
          <w:tcPr>
            <w:tcW w:w="650" w:type="pct"/>
            <w:vAlign w:val="center"/>
            <w:hideMark/>
          </w:tcPr>
          <w:p w14:paraId="5E5188DA"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1.20</w:t>
            </w:r>
          </w:p>
        </w:tc>
        <w:tc>
          <w:tcPr>
            <w:tcW w:w="650" w:type="pct"/>
            <w:vAlign w:val="center"/>
            <w:hideMark/>
          </w:tcPr>
          <w:p w14:paraId="78FC0E4D"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1.20 </w:t>
            </w:r>
          </w:p>
        </w:tc>
        <w:tc>
          <w:tcPr>
            <w:tcW w:w="695" w:type="pct"/>
            <w:vAlign w:val="center"/>
            <w:hideMark/>
          </w:tcPr>
          <w:p w14:paraId="78BD8A84"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D40265">
              <w:rPr>
                <w:b/>
                <w:bCs/>
              </w:rPr>
              <w:t>4.47 </w:t>
            </w:r>
          </w:p>
        </w:tc>
      </w:tr>
    </w:tbl>
    <w:p w14:paraId="1B84AD89" w14:textId="77777777" w:rsidR="009E5A8C" w:rsidRPr="00D40265" w:rsidRDefault="009E5A8C" w:rsidP="00D40265">
      <w:pPr>
        <w:pStyle w:val="Heading5-nonumber"/>
      </w:pPr>
      <w:bookmarkStart w:id="429" w:name="_Ref144475573"/>
      <w:r w:rsidRPr="00D40265">
        <w:t>Superannuation and payroll tax</w:t>
      </w:r>
      <w:bookmarkEnd w:id="429"/>
      <w:r w:rsidRPr="00D40265">
        <w:t> </w:t>
      </w:r>
    </w:p>
    <w:p w14:paraId="4C021718" w14:textId="77777777" w:rsidR="009E5A8C" w:rsidRPr="00D40265" w:rsidRDefault="009E5A8C" w:rsidP="00D40265">
      <w:r w:rsidRPr="00D40265">
        <w:t>The federal government is increasing the superannuation guarantee over the next regulatory period. It will increase from the current rate applied in 2022-23, the base year, of 10.5%, to 12% in 2025-26 by 0.5% increments.  </w:t>
      </w:r>
    </w:p>
    <w:p w14:paraId="6FBB3675" w14:textId="77777777" w:rsidR="00D40265" w:rsidRDefault="009E5A8C" w:rsidP="00D40265">
      <w:r w:rsidRPr="00D40265">
        <w:t>In the 2023 and 2024 budgets, the Victorian Government introduced additional payroll tax levies that apply for the upcoming regulatory period. In total, GWW will pay an additional 1% of payroll tax, half of which has been captured in the base year of 2022-23.</w:t>
      </w:r>
    </w:p>
    <w:p w14:paraId="0F6C2728" w14:textId="77616DB8" w:rsidR="009E5A8C" w:rsidRPr="00D40265" w:rsidRDefault="009E5A8C" w:rsidP="00D40265">
      <w:r w:rsidRPr="00D40265">
        <w:lastRenderedPageBreak/>
        <w:t>As we are undergoing a workforce optimisation and operating model review, we are not proposing to pass on these additional costs. Any addition costs associated with payroll tax and superannuation will be offset by the change in FTEs.  </w:t>
      </w:r>
    </w:p>
    <w:p w14:paraId="4649B844" w14:textId="2AABC7EC" w:rsidR="009E5A8C" w:rsidRPr="00D40265" w:rsidRDefault="009E5A8C" w:rsidP="00D40265">
      <w:r w:rsidRPr="00D40265">
        <w:t xml:space="preserve">The incremental cost of this superannuation and payroll tax change, considering any changes in forecast FTEs, is presented in </w:t>
      </w:r>
      <w:r w:rsidR="00C81368">
        <w:fldChar w:fldCharType="begin"/>
      </w:r>
      <w:r w:rsidR="00C81368">
        <w:instrText xml:space="preserve"> REF _Ref146030697 \h </w:instrText>
      </w:r>
      <w:r w:rsidR="00C81368">
        <w:fldChar w:fldCharType="separate"/>
      </w:r>
      <w:r w:rsidR="003B42C6" w:rsidRPr="00021420">
        <w:rPr>
          <w:b/>
        </w:rPr>
        <w:t xml:space="preserve">Table </w:t>
      </w:r>
      <w:r w:rsidR="003B42C6">
        <w:rPr>
          <w:b/>
          <w:noProof/>
        </w:rPr>
        <w:t>94</w:t>
      </w:r>
      <w:r w:rsidR="00C81368">
        <w:fldChar w:fldCharType="end"/>
      </w:r>
      <w:r w:rsidR="00AC3E2C">
        <w:t>.</w:t>
      </w:r>
    </w:p>
    <w:p w14:paraId="2BBB055D" w14:textId="4315F868" w:rsidR="00DC6B46" w:rsidRPr="00021420" w:rsidRDefault="00DC6B46" w:rsidP="00DC6B46">
      <w:pPr>
        <w:pStyle w:val="Caption"/>
        <w:rPr>
          <w:bCs/>
        </w:rPr>
      </w:pPr>
      <w:bookmarkStart w:id="430" w:name="_Ref146030697"/>
      <w:r w:rsidRPr="00021420">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94</w:t>
      </w:r>
      <w:r w:rsidR="001F7221" w:rsidRPr="00021420">
        <w:rPr>
          <w:b/>
        </w:rPr>
        <w:fldChar w:fldCharType="end"/>
      </w:r>
      <w:bookmarkEnd w:id="430"/>
      <w:r w:rsidRPr="00021420">
        <w:rPr>
          <w:bCs/>
        </w:rPr>
        <w:t xml:space="preserve"> Superannuation and payroll tax adjustments ($million, 2023-24)</w:t>
      </w:r>
    </w:p>
    <w:tbl>
      <w:tblPr>
        <w:tblStyle w:val="GWWDefaulttable"/>
        <w:tblW w:w="5000" w:type="pct"/>
        <w:tblLook w:val="04A0" w:firstRow="1" w:lastRow="0" w:firstColumn="1" w:lastColumn="0" w:noHBand="0" w:noVBand="1"/>
      </w:tblPr>
      <w:tblGrid>
        <w:gridCol w:w="2316"/>
        <w:gridCol w:w="1221"/>
        <w:gridCol w:w="1221"/>
        <w:gridCol w:w="1220"/>
        <w:gridCol w:w="1220"/>
        <w:gridCol w:w="1220"/>
        <w:gridCol w:w="1220"/>
      </w:tblGrid>
      <w:tr w:rsidR="009E5A8C" w:rsidRPr="001256BB" w14:paraId="4E9C81F6" w14:textId="77777777" w:rsidTr="002F08AA">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pct"/>
            <w:hideMark/>
          </w:tcPr>
          <w:p w14:paraId="6EBCF980" w14:textId="77777777" w:rsidR="009E5A8C" w:rsidRPr="001256BB" w:rsidRDefault="009E5A8C" w:rsidP="001256BB">
            <w:r w:rsidRPr="001256BB">
              <w:t> </w:t>
            </w:r>
          </w:p>
        </w:tc>
        <w:tc>
          <w:tcPr>
            <w:tcW w:w="633" w:type="pct"/>
            <w:vAlign w:val="center"/>
            <w:hideMark/>
          </w:tcPr>
          <w:p w14:paraId="62BC9BE8"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2023-24 </w:t>
            </w:r>
          </w:p>
        </w:tc>
        <w:tc>
          <w:tcPr>
            <w:tcW w:w="633" w:type="pct"/>
            <w:vAlign w:val="center"/>
            <w:hideMark/>
          </w:tcPr>
          <w:p w14:paraId="78B60F96"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2024-25 </w:t>
            </w:r>
          </w:p>
        </w:tc>
        <w:tc>
          <w:tcPr>
            <w:tcW w:w="633" w:type="pct"/>
            <w:vAlign w:val="center"/>
            <w:hideMark/>
          </w:tcPr>
          <w:p w14:paraId="7B80D471"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2025-26 </w:t>
            </w:r>
          </w:p>
        </w:tc>
        <w:tc>
          <w:tcPr>
            <w:tcW w:w="633" w:type="pct"/>
            <w:vAlign w:val="center"/>
            <w:hideMark/>
          </w:tcPr>
          <w:p w14:paraId="1862E312"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2026-27 </w:t>
            </w:r>
          </w:p>
        </w:tc>
        <w:tc>
          <w:tcPr>
            <w:tcW w:w="633" w:type="pct"/>
            <w:vAlign w:val="center"/>
            <w:hideMark/>
          </w:tcPr>
          <w:p w14:paraId="24ADF24C"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2027-28 </w:t>
            </w:r>
          </w:p>
        </w:tc>
        <w:tc>
          <w:tcPr>
            <w:tcW w:w="633" w:type="pct"/>
            <w:vAlign w:val="center"/>
            <w:hideMark/>
          </w:tcPr>
          <w:p w14:paraId="40350F66" w14:textId="2B47E118"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Total </w:t>
            </w:r>
            <w:r w:rsidR="00931ADA">
              <w:br/>
            </w:r>
            <w:r w:rsidRPr="001256BB">
              <w:t xml:space="preserve">(4 years) </w:t>
            </w:r>
          </w:p>
        </w:tc>
      </w:tr>
      <w:tr w:rsidR="009E5A8C" w:rsidRPr="001256BB" w14:paraId="04175B19" w14:textId="77777777" w:rsidTr="002F08AA">
        <w:trPr>
          <w:trHeight w:val="259"/>
        </w:trPr>
        <w:tc>
          <w:tcPr>
            <w:cnfStyle w:val="001000000000" w:firstRow="0" w:lastRow="0" w:firstColumn="1" w:lastColumn="0" w:oddVBand="0" w:evenVBand="0" w:oddHBand="0" w:evenHBand="0" w:firstRowFirstColumn="0" w:firstRowLastColumn="0" w:lastRowFirstColumn="0" w:lastRowLastColumn="0"/>
            <w:tcW w:w="1201" w:type="pct"/>
            <w:hideMark/>
          </w:tcPr>
          <w:p w14:paraId="6532A643" w14:textId="77777777" w:rsidR="009E5A8C" w:rsidRPr="00DC6B46" w:rsidRDefault="009E5A8C" w:rsidP="001256BB">
            <w:pPr>
              <w:rPr>
                <w:b w:val="0"/>
                <w:bCs/>
              </w:rPr>
            </w:pPr>
            <w:r w:rsidRPr="002F08AA">
              <w:rPr>
                <w:b w:val="0"/>
              </w:rPr>
              <w:t xml:space="preserve">Superannuation </w:t>
            </w:r>
          </w:p>
        </w:tc>
        <w:tc>
          <w:tcPr>
            <w:tcW w:w="633" w:type="pct"/>
            <w:vAlign w:val="center"/>
            <w:hideMark/>
          </w:tcPr>
          <w:p w14:paraId="632147C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0.48</w:t>
            </w:r>
          </w:p>
        </w:tc>
        <w:tc>
          <w:tcPr>
            <w:tcW w:w="633" w:type="pct"/>
            <w:vAlign w:val="center"/>
            <w:hideMark/>
          </w:tcPr>
          <w:p w14:paraId="0ECABB2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0.97</w:t>
            </w:r>
          </w:p>
        </w:tc>
        <w:tc>
          <w:tcPr>
            <w:tcW w:w="633" w:type="pct"/>
            <w:vAlign w:val="center"/>
            <w:hideMark/>
          </w:tcPr>
          <w:p w14:paraId="127A0981"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6ECB60E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0B51128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404076B9"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5.31</w:t>
            </w:r>
          </w:p>
        </w:tc>
      </w:tr>
      <w:tr w:rsidR="009E5A8C" w:rsidRPr="001256BB" w14:paraId="2703FA36" w14:textId="77777777" w:rsidTr="002F08AA">
        <w:trPr>
          <w:trHeight w:val="259"/>
        </w:trPr>
        <w:tc>
          <w:tcPr>
            <w:cnfStyle w:val="001000000000" w:firstRow="0" w:lastRow="0" w:firstColumn="1" w:lastColumn="0" w:oddVBand="0" w:evenVBand="0" w:oddHBand="0" w:evenHBand="0" w:firstRowFirstColumn="0" w:firstRowLastColumn="0" w:lastRowFirstColumn="0" w:lastRowLastColumn="0"/>
            <w:tcW w:w="1201" w:type="pct"/>
            <w:hideMark/>
          </w:tcPr>
          <w:p w14:paraId="0F0E70ED" w14:textId="77777777" w:rsidR="009E5A8C" w:rsidRPr="00DC6B46" w:rsidRDefault="009E5A8C" w:rsidP="001256BB">
            <w:pPr>
              <w:rPr>
                <w:b w:val="0"/>
                <w:bCs/>
              </w:rPr>
            </w:pPr>
            <w:r w:rsidRPr="002F08AA">
              <w:rPr>
                <w:b w:val="0"/>
              </w:rPr>
              <w:t xml:space="preserve">Payroll tax </w:t>
            </w:r>
          </w:p>
        </w:tc>
        <w:tc>
          <w:tcPr>
            <w:tcW w:w="633" w:type="pct"/>
            <w:vAlign w:val="center"/>
            <w:hideMark/>
          </w:tcPr>
          <w:p w14:paraId="380EF95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3180056D"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175CEE6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0.51</w:t>
            </w:r>
          </w:p>
        </w:tc>
        <w:tc>
          <w:tcPr>
            <w:tcW w:w="633" w:type="pct"/>
            <w:vAlign w:val="center"/>
            <w:hideMark/>
          </w:tcPr>
          <w:p w14:paraId="6331D986"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0A72E52A"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74CE3CEB"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2.02</w:t>
            </w:r>
          </w:p>
        </w:tc>
      </w:tr>
      <w:tr w:rsidR="009E5A8C" w:rsidRPr="001256BB" w14:paraId="167330FE" w14:textId="77777777" w:rsidTr="002F08AA">
        <w:trPr>
          <w:trHeight w:val="274"/>
        </w:trPr>
        <w:tc>
          <w:tcPr>
            <w:cnfStyle w:val="001000000000" w:firstRow="0" w:lastRow="0" w:firstColumn="1" w:lastColumn="0" w:oddVBand="0" w:evenVBand="0" w:oddHBand="0" w:evenHBand="0" w:firstRowFirstColumn="0" w:firstRowLastColumn="0" w:lastRowFirstColumn="0" w:lastRowLastColumn="0"/>
            <w:tcW w:w="1201" w:type="pct"/>
            <w:hideMark/>
          </w:tcPr>
          <w:p w14:paraId="5EA2A063" w14:textId="77777777" w:rsidR="009E5A8C" w:rsidRPr="001256BB" w:rsidRDefault="009E5A8C" w:rsidP="001256BB">
            <w:r w:rsidRPr="001256BB">
              <w:t xml:space="preserve">Total cost on current workforce </w:t>
            </w:r>
          </w:p>
        </w:tc>
        <w:tc>
          <w:tcPr>
            <w:tcW w:w="633" w:type="pct"/>
            <w:vAlign w:val="center"/>
            <w:hideMark/>
          </w:tcPr>
          <w:p w14:paraId="1FEFEDB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0.98</w:t>
            </w:r>
          </w:p>
        </w:tc>
        <w:tc>
          <w:tcPr>
            <w:tcW w:w="633" w:type="pct"/>
            <w:vAlign w:val="center"/>
            <w:hideMark/>
          </w:tcPr>
          <w:p w14:paraId="527ECFE8"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1.47</w:t>
            </w:r>
          </w:p>
        </w:tc>
        <w:tc>
          <w:tcPr>
            <w:tcW w:w="633" w:type="pct"/>
            <w:vAlign w:val="center"/>
            <w:hideMark/>
          </w:tcPr>
          <w:p w14:paraId="65FAD5FD"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1.96</w:t>
            </w:r>
          </w:p>
        </w:tc>
        <w:tc>
          <w:tcPr>
            <w:tcW w:w="633" w:type="pct"/>
            <w:vAlign w:val="center"/>
            <w:hideMark/>
          </w:tcPr>
          <w:p w14:paraId="62F03B8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1.95</w:t>
            </w:r>
          </w:p>
        </w:tc>
        <w:tc>
          <w:tcPr>
            <w:tcW w:w="633" w:type="pct"/>
            <w:vAlign w:val="center"/>
            <w:hideMark/>
          </w:tcPr>
          <w:p w14:paraId="3528841C"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1.95</w:t>
            </w:r>
          </w:p>
        </w:tc>
        <w:tc>
          <w:tcPr>
            <w:tcW w:w="633" w:type="pct"/>
            <w:vAlign w:val="center"/>
            <w:hideMark/>
          </w:tcPr>
          <w:p w14:paraId="6E60E66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7.33</w:t>
            </w:r>
          </w:p>
        </w:tc>
      </w:tr>
      <w:tr w:rsidR="009E5A8C" w:rsidRPr="001256BB" w14:paraId="713AF38C" w14:textId="77777777" w:rsidTr="002F08AA">
        <w:trPr>
          <w:trHeight w:val="274"/>
        </w:trPr>
        <w:tc>
          <w:tcPr>
            <w:cnfStyle w:val="001000000000" w:firstRow="0" w:lastRow="0" w:firstColumn="1" w:lastColumn="0" w:oddVBand="0" w:evenVBand="0" w:oddHBand="0" w:evenHBand="0" w:firstRowFirstColumn="0" w:firstRowLastColumn="0" w:lastRowFirstColumn="0" w:lastRowLastColumn="0"/>
            <w:tcW w:w="1201" w:type="pct"/>
            <w:hideMark/>
          </w:tcPr>
          <w:p w14:paraId="5C2B4F9F" w14:textId="77777777" w:rsidR="009E5A8C" w:rsidRPr="001256BB" w:rsidRDefault="009E5A8C" w:rsidP="001256BB">
            <w:r w:rsidRPr="001256BB">
              <w:t>Total proposed</w:t>
            </w:r>
          </w:p>
        </w:tc>
        <w:tc>
          <w:tcPr>
            <w:tcW w:w="633" w:type="pct"/>
            <w:vAlign w:val="center"/>
            <w:hideMark/>
          </w:tcPr>
          <w:p w14:paraId="049A6E51"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3386CDF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5597C9C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3B24C3B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0C7516F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02FE4F7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r>
    </w:tbl>
    <w:p w14:paraId="4F46F71C" w14:textId="77777777" w:rsidR="00965E23" w:rsidRPr="00965E23" w:rsidRDefault="00965E23" w:rsidP="00965E23">
      <w:pPr>
        <w:pStyle w:val="Heading4-nonumber"/>
      </w:pPr>
      <w:r w:rsidRPr="00965E23">
        <w:t>Baseline adjustments: operating costs from new assets </w:t>
      </w:r>
    </w:p>
    <w:p w14:paraId="7082BC98" w14:textId="77777777" w:rsidR="00965E23" w:rsidRPr="00965E23" w:rsidRDefault="00965E23" w:rsidP="00965E23">
      <w:r w:rsidRPr="00965E23">
        <w:t>A step change is proposed to reflect the additional operating expenditure of the following new assets: </w:t>
      </w:r>
    </w:p>
    <w:p w14:paraId="628A01BC" w14:textId="77777777" w:rsidR="00965E23" w:rsidRPr="00965E23" w:rsidRDefault="00965E23" w:rsidP="00965E23">
      <w:pPr>
        <w:pStyle w:val="ListBullet"/>
      </w:pPr>
      <w:r w:rsidRPr="00965E23">
        <w:t xml:space="preserve">Macedon ranges transfer augmentation: The augmentation for water </w:t>
      </w:r>
      <w:proofErr w:type="gramStart"/>
      <w:r w:rsidRPr="00965E23">
        <w:t>transfer</w:t>
      </w:r>
      <w:proofErr w:type="gramEnd"/>
      <w:r w:rsidRPr="00965E23">
        <w:t xml:space="preserve"> up to Macedon Ranges changes the operation of </w:t>
      </w:r>
      <w:proofErr w:type="spellStart"/>
      <w:r w:rsidRPr="00965E23">
        <w:t>Rosslynne</w:t>
      </w:r>
      <w:proofErr w:type="spellEnd"/>
      <w:r w:rsidRPr="00965E23">
        <w:t xml:space="preserve"> Water Filtration Plant. Water will now be received into the reservoir and plant from Melbourne Water all year round compared to only during peak times (November to March). This results in an increase in operating expenditure of $0.68 million ongoing, with a partial increase of $0.21 million in 2026-27 to align with project completion.  </w:t>
      </w:r>
    </w:p>
    <w:p w14:paraId="63718680" w14:textId="10EC5D52" w:rsidR="00965E23" w:rsidRPr="00965E23" w:rsidRDefault="00965E23" w:rsidP="00965E23">
      <w:pPr>
        <w:pStyle w:val="ListBullet"/>
      </w:pPr>
      <w:r w:rsidRPr="00965E23">
        <w:t xml:space="preserve">Romsey Recycled Water Plant upgrade: The additional expenditure for the Romsey Recycled Water Plant is required once the plant is commissioned in 2026-27. The additional expenditure of $0.14 million per year due to increase in energy used, chemicals used and regular maintenance </w:t>
      </w:r>
      <w:proofErr w:type="gramStart"/>
      <w:r w:rsidRPr="00965E23">
        <w:t>as a result of</w:t>
      </w:r>
      <w:proofErr w:type="gramEnd"/>
      <w:r w:rsidRPr="00965E23">
        <w:t xml:space="preserve"> the upgrade.</w:t>
      </w:r>
    </w:p>
    <w:p w14:paraId="1541CA59" w14:textId="77777777" w:rsidR="00965E23" w:rsidRPr="00965E23" w:rsidRDefault="00965E23" w:rsidP="00965E23">
      <w:pPr>
        <w:pStyle w:val="ListBullet"/>
      </w:pPr>
      <w:r w:rsidRPr="00965E23">
        <w:t>Romsey Water Filtration Plant upgrade: The water filtration plant at Romsey will be commissioned in 2025-26 to improve the water treatment process and ensure that it complies with the Health Based Targets for drinking water. The delivery of safe drinking water requires additional operating expenditure of $0.22 million per year to maintain the plant along with small additional costs for chemicals and power. </w:t>
      </w:r>
    </w:p>
    <w:p w14:paraId="17FC76C0" w14:textId="4BB6F3BE" w:rsidR="00965E23" w:rsidRPr="00965E23" w:rsidRDefault="00965E23" w:rsidP="00965E23">
      <w:pPr>
        <w:pStyle w:val="ListBullet"/>
      </w:pPr>
      <w:r w:rsidRPr="00965E23">
        <w:t xml:space="preserve">Western Irrigation Network: </w:t>
      </w:r>
      <w:r w:rsidR="00BF54FE">
        <w:t>GWW</w:t>
      </w:r>
      <w:r w:rsidRPr="00965E23">
        <w:t xml:space="preserve"> has been investing in a major recycled water irrigation scheme in the Parwan-Balliang agricultural district. The supply of recycled water to irrigators in the area provides a solution for the sewage produced from the growing population of Melton, </w:t>
      </w:r>
      <w:proofErr w:type="gramStart"/>
      <w:r w:rsidRPr="00965E23">
        <w:t>Sunbury</w:t>
      </w:r>
      <w:proofErr w:type="gramEnd"/>
      <w:r w:rsidRPr="00965E23">
        <w:t xml:space="preserve"> and Bacchus Marsh regions. The additional costs identified commence in 2023-24 and increase throughout the period as the uptake of recycled water increases.</w:t>
      </w:r>
    </w:p>
    <w:p w14:paraId="65366970" w14:textId="77777777" w:rsidR="00965E23" w:rsidRPr="00965E23" w:rsidRDefault="00965E23" w:rsidP="00965E23">
      <w:r w:rsidRPr="00965E23">
        <w:t>All other capital expenditure does not have a significant change to existing operating expenditure and can be managed within existing budgets.  </w:t>
      </w:r>
    </w:p>
    <w:p w14:paraId="55E36F91" w14:textId="63BA3578" w:rsidR="00965E23" w:rsidRPr="00965E23" w:rsidRDefault="00E2090A" w:rsidP="00965E23">
      <w:pPr>
        <w:pStyle w:val="Caption"/>
      </w:pPr>
      <w:r w:rsidRPr="00021420">
        <w:rPr>
          <w:b/>
          <w:bCs/>
        </w:rPr>
        <w:lastRenderedPageBreak/>
        <w:t xml:space="preserve">Table </w:t>
      </w:r>
      <w:r w:rsidR="001F7221" w:rsidRPr="00021420">
        <w:rPr>
          <w:b/>
          <w:bCs/>
        </w:rPr>
        <w:fldChar w:fldCharType="begin"/>
      </w:r>
      <w:r w:rsidR="001F7221" w:rsidRPr="00021420">
        <w:rPr>
          <w:b/>
          <w:bCs/>
        </w:rPr>
        <w:instrText xml:space="preserve"> SEQ Table \* ARABIC </w:instrText>
      </w:r>
      <w:r w:rsidR="001F7221" w:rsidRPr="00021420">
        <w:rPr>
          <w:b/>
          <w:bCs/>
        </w:rPr>
        <w:fldChar w:fldCharType="separate"/>
      </w:r>
      <w:r w:rsidR="003B42C6">
        <w:rPr>
          <w:b/>
          <w:bCs/>
          <w:noProof/>
        </w:rPr>
        <w:t>95</w:t>
      </w:r>
      <w:r w:rsidR="001F7221" w:rsidRPr="00021420">
        <w:rPr>
          <w:b/>
          <w:bCs/>
          <w:noProof/>
        </w:rPr>
        <w:fldChar w:fldCharType="end"/>
      </w:r>
      <w:r w:rsidR="008B6F2B">
        <w:t xml:space="preserve"> </w:t>
      </w:r>
      <w:r w:rsidR="00965E23" w:rsidRPr="00965E23">
        <w:t>New asset adjustments ($million, 2023-24) </w:t>
      </w:r>
    </w:p>
    <w:tbl>
      <w:tblPr>
        <w:tblStyle w:val="GWWDefaulttable"/>
        <w:tblW w:w="5000" w:type="pct"/>
        <w:tblLook w:val="04A0" w:firstRow="1" w:lastRow="0" w:firstColumn="1" w:lastColumn="0" w:noHBand="0" w:noVBand="1"/>
      </w:tblPr>
      <w:tblGrid>
        <w:gridCol w:w="1940"/>
        <w:gridCol w:w="1255"/>
        <w:gridCol w:w="1268"/>
        <w:gridCol w:w="1270"/>
        <w:gridCol w:w="1270"/>
        <w:gridCol w:w="1270"/>
        <w:gridCol w:w="1365"/>
      </w:tblGrid>
      <w:tr w:rsidR="00965E23" w:rsidRPr="00965E23" w14:paraId="51B7E50D" w14:textId="77777777" w:rsidTr="00931A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113BF00F" w14:textId="77777777" w:rsidR="00965E23" w:rsidRPr="00965E23" w:rsidRDefault="00965E23" w:rsidP="00965E23">
            <w:r w:rsidRPr="00965E23">
              <w:t>  </w:t>
            </w:r>
          </w:p>
        </w:tc>
        <w:tc>
          <w:tcPr>
            <w:tcW w:w="651" w:type="pct"/>
            <w:vAlign w:val="center"/>
            <w:hideMark/>
          </w:tcPr>
          <w:p w14:paraId="437535E2"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2023-24 </w:t>
            </w:r>
          </w:p>
        </w:tc>
        <w:tc>
          <w:tcPr>
            <w:tcW w:w="658" w:type="pct"/>
            <w:vAlign w:val="center"/>
            <w:hideMark/>
          </w:tcPr>
          <w:p w14:paraId="02A0EF0E"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2024-25 </w:t>
            </w:r>
          </w:p>
        </w:tc>
        <w:tc>
          <w:tcPr>
            <w:tcW w:w="659" w:type="pct"/>
            <w:vAlign w:val="center"/>
            <w:hideMark/>
          </w:tcPr>
          <w:p w14:paraId="72FF984A"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2025-26 </w:t>
            </w:r>
          </w:p>
        </w:tc>
        <w:tc>
          <w:tcPr>
            <w:tcW w:w="659" w:type="pct"/>
            <w:vAlign w:val="center"/>
            <w:hideMark/>
          </w:tcPr>
          <w:p w14:paraId="52825588"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2026-27 </w:t>
            </w:r>
          </w:p>
        </w:tc>
        <w:tc>
          <w:tcPr>
            <w:tcW w:w="659" w:type="pct"/>
            <w:vAlign w:val="center"/>
            <w:hideMark/>
          </w:tcPr>
          <w:p w14:paraId="6D181C8B"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2027-28 </w:t>
            </w:r>
          </w:p>
        </w:tc>
        <w:tc>
          <w:tcPr>
            <w:tcW w:w="709" w:type="pct"/>
            <w:vAlign w:val="center"/>
            <w:hideMark/>
          </w:tcPr>
          <w:p w14:paraId="510BEE0A" w14:textId="7C1FA434"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Total </w:t>
            </w:r>
            <w:r w:rsidR="00931ADA">
              <w:br/>
            </w:r>
            <w:r w:rsidRPr="00965E23">
              <w:t xml:space="preserve">(4 years) </w:t>
            </w:r>
          </w:p>
        </w:tc>
      </w:tr>
      <w:tr w:rsidR="00965E23" w:rsidRPr="00965E23" w14:paraId="1D922D80"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16DB0163" w14:textId="4826E7C6" w:rsidR="00965E23" w:rsidRPr="00DC6B46" w:rsidRDefault="00965E23" w:rsidP="00965E23">
            <w:pPr>
              <w:rPr>
                <w:b w:val="0"/>
                <w:bCs/>
              </w:rPr>
            </w:pPr>
            <w:r w:rsidRPr="002F08AA">
              <w:rPr>
                <w:b w:val="0"/>
              </w:rPr>
              <w:t xml:space="preserve">Macedon </w:t>
            </w:r>
            <w:r w:rsidR="00B35423" w:rsidRPr="002F08AA">
              <w:rPr>
                <w:b w:val="0"/>
              </w:rPr>
              <w:t>R</w:t>
            </w:r>
            <w:r w:rsidRPr="002F08AA">
              <w:rPr>
                <w:b w:val="0"/>
              </w:rPr>
              <w:t>anges Transfer Augmentation </w:t>
            </w:r>
          </w:p>
        </w:tc>
        <w:tc>
          <w:tcPr>
            <w:tcW w:w="651" w:type="pct"/>
            <w:vAlign w:val="center"/>
            <w:hideMark/>
          </w:tcPr>
          <w:p w14:paraId="6AD0E86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6B700B5C"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4470A9C1"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312D2928"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0.21 </w:t>
            </w:r>
          </w:p>
        </w:tc>
        <w:tc>
          <w:tcPr>
            <w:tcW w:w="659" w:type="pct"/>
            <w:vAlign w:val="center"/>
            <w:hideMark/>
          </w:tcPr>
          <w:p w14:paraId="2C90A76B"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0.68 </w:t>
            </w:r>
          </w:p>
        </w:tc>
        <w:tc>
          <w:tcPr>
            <w:tcW w:w="709" w:type="pct"/>
            <w:vAlign w:val="center"/>
            <w:hideMark/>
          </w:tcPr>
          <w:p w14:paraId="44737D1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0.89</w:t>
            </w:r>
          </w:p>
        </w:tc>
      </w:tr>
      <w:tr w:rsidR="00965E23" w:rsidRPr="00965E23" w14:paraId="0A061C86"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0BE85B0C" w14:textId="77777777" w:rsidR="00965E23" w:rsidRPr="00DC6B46" w:rsidRDefault="00965E23" w:rsidP="00965E23">
            <w:pPr>
              <w:rPr>
                <w:b w:val="0"/>
                <w:bCs/>
              </w:rPr>
            </w:pPr>
            <w:r w:rsidRPr="002F08AA">
              <w:rPr>
                <w:b w:val="0"/>
              </w:rPr>
              <w:t>Romsey RWP </w:t>
            </w:r>
          </w:p>
        </w:tc>
        <w:tc>
          <w:tcPr>
            <w:tcW w:w="651" w:type="pct"/>
            <w:vAlign w:val="center"/>
            <w:hideMark/>
          </w:tcPr>
          <w:p w14:paraId="6BF9A32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62F4765D"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576DC957"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29D1FC9A"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0.10 </w:t>
            </w:r>
          </w:p>
        </w:tc>
        <w:tc>
          <w:tcPr>
            <w:tcW w:w="659" w:type="pct"/>
            <w:vAlign w:val="center"/>
            <w:hideMark/>
          </w:tcPr>
          <w:p w14:paraId="77D46C4B"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0.14 </w:t>
            </w:r>
          </w:p>
        </w:tc>
        <w:tc>
          <w:tcPr>
            <w:tcW w:w="709" w:type="pct"/>
            <w:vAlign w:val="center"/>
            <w:hideMark/>
          </w:tcPr>
          <w:p w14:paraId="2B4B7CF9"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0.24</w:t>
            </w:r>
          </w:p>
        </w:tc>
      </w:tr>
      <w:tr w:rsidR="00965E23" w:rsidRPr="00965E23" w14:paraId="2DE7138D"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2780FFC5" w14:textId="77777777" w:rsidR="00965E23" w:rsidRPr="00DC6B46" w:rsidRDefault="00965E23" w:rsidP="00965E23">
            <w:pPr>
              <w:rPr>
                <w:b w:val="0"/>
                <w:bCs/>
              </w:rPr>
            </w:pPr>
            <w:r w:rsidRPr="002F08AA">
              <w:rPr>
                <w:b w:val="0"/>
              </w:rPr>
              <w:t>Romsey WFP </w:t>
            </w:r>
          </w:p>
        </w:tc>
        <w:tc>
          <w:tcPr>
            <w:tcW w:w="651" w:type="pct"/>
            <w:vAlign w:val="center"/>
            <w:hideMark/>
          </w:tcPr>
          <w:p w14:paraId="1AE10029"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44CFE555"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769DCFC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0.20 </w:t>
            </w:r>
          </w:p>
        </w:tc>
        <w:tc>
          <w:tcPr>
            <w:tcW w:w="659" w:type="pct"/>
            <w:vAlign w:val="center"/>
            <w:hideMark/>
          </w:tcPr>
          <w:p w14:paraId="1F3A218D"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0.22 </w:t>
            </w:r>
          </w:p>
        </w:tc>
        <w:tc>
          <w:tcPr>
            <w:tcW w:w="659" w:type="pct"/>
            <w:vAlign w:val="center"/>
            <w:hideMark/>
          </w:tcPr>
          <w:p w14:paraId="1425E0B0"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0.22 </w:t>
            </w:r>
          </w:p>
        </w:tc>
        <w:tc>
          <w:tcPr>
            <w:tcW w:w="709" w:type="pct"/>
            <w:vAlign w:val="center"/>
            <w:hideMark/>
          </w:tcPr>
          <w:p w14:paraId="0C2977D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0.64</w:t>
            </w:r>
          </w:p>
        </w:tc>
      </w:tr>
      <w:tr w:rsidR="00965E23" w:rsidRPr="00965E23" w14:paraId="1D98BF7C"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tcPr>
          <w:p w14:paraId="14E5D4A7" w14:textId="77777777" w:rsidR="00965E23" w:rsidRPr="00DC6B46" w:rsidRDefault="00965E23" w:rsidP="00965E23">
            <w:pPr>
              <w:rPr>
                <w:b w:val="0"/>
                <w:bCs/>
              </w:rPr>
            </w:pPr>
            <w:r w:rsidRPr="002F08AA">
              <w:rPr>
                <w:b w:val="0"/>
              </w:rPr>
              <w:t>Western Irrigation Network</w:t>
            </w:r>
          </w:p>
        </w:tc>
        <w:tc>
          <w:tcPr>
            <w:tcW w:w="651" w:type="pct"/>
            <w:vAlign w:val="center"/>
          </w:tcPr>
          <w:p w14:paraId="501BC8A2"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0.78</w:t>
            </w:r>
          </w:p>
        </w:tc>
        <w:tc>
          <w:tcPr>
            <w:tcW w:w="658" w:type="pct"/>
            <w:vAlign w:val="center"/>
          </w:tcPr>
          <w:p w14:paraId="54ECD102"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0.80</w:t>
            </w:r>
          </w:p>
        </w:tc>
        <w:tc>
          <w:tcPr>
            <w:tcW w:w="659" w:type="pct"/>
            <w:vAlign w:val="center"/>
          </w:tcPr>
          <w:p w14:paraId="1C1B119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0.82</w:t>
            </w:r>
          </w:p>
        </w:tc>
        <w:tc>
          <w:tcPr>
            <w:tcW w:w="659" w:type="pct"/>
            <w:vAlign w:val="center"/>
          </w:tcPr>
          <w:p w14:paraId="557FB6B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0.84</w:t>
            </w:r>
          </w:p>
        </w:tc>
        <w:tc>
          <w:tcPr>
            <w:tcW w:w="659" w:type="pct"/>
            <w:vAlign w:val="center"/>
          </w:tcPr>
          <w:p w14:paraId="1F913591"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0.85</w:t>
            </w:r>
          </w:p>
        </w:tc>
        <w:tc>
          <w:tcPr>
            <w:tcW w:w="709" w:type="pct"/>
            <w:vAlign w:val="center"/>
          </w:tcPr>
          <w:p w14:paraId="20C0C02A"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3.31</w:t>
            </w:r>
          </w:p>
        </w:tc>
      </w:tr>
      <w:tr w:rsidR="00965E23" w:rsidRPr="00965E23" w14:paraId="730652A2"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07F6C2AE" w14:textId="77777777" w:rsidR="00965E23" w:rsidRPr="00965E23" w:rsidRDefault="00965E23" w:rsidP="00965E23">
            <w:r w:rsidRPr="00965E23">
              <w:t>Total </w:t>
            </w:r>
          </w:p>
        </w:tc>
        <w:tc>
          <w:tcPr>
            <w:tcW w:w="651" w:type="pct"/>
            <w:vAlign w:val="center"/>
            <w:hideMark/>
          </w:tcPr>
          <w:p w14:paraId="20973D64"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0.78 </w:t>
            </w:r>
          </w:p>
        </w:tc>
        <w:tc>
          <w:tcPr>
            <w:tcW w:w="658" w:type="pct"/>
            <w:vAlign w:val="center"/>
            <w:hideMark/>
          </w:tcPr>
          <w:p w14:paraId="651AF74C"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0.80</w:t>
            </w:r>
          </w:p>
        </w:tc>
        <w:tc>
          <w:tcPr>
            <w:tcW w:w="659" w:type="pct"/>
            <w:vAlign w:val="center"/>
            <w:hideMark/>
          </w:tcPr>
          <w:p w14:paraId="568E13D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1.03</w:t>
            </w:r>
          </w:p>
        </w:tc>
        <w:tc>
          <w:tcPr>
            <w:tcW w:w="659" w:type="pct"/>
            <w:vAlign w:val="center"/>
            <w:hideMark/>
          </w:tcPr>
          <w:p w14:paraId="239D361E"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1.38</w:t>
            </w:r>
          </w:p>
        </w:tc>
        <w:tc>
          <w:tcPr>
            <w:tcW w:w="659" w:type="pct"/>
            <w:vAlign w:val="center"/>
            <w:hideMark/>
          </w:tcPr>
          <w:p w14:paraId="6131EA2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1.88</w:t>
            </w:r>
          </w:p>
        </w:tc>
        <w:tc>
          <w:tcPr>
            <w:tcW w:w="709" w:type="pct"/>
            <w:vAlign w:val="center"/>
            <w:hideMark/>
          </w:tcPr>
          <w:p w14:paraId="52F0980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5.08</w:t>
            </w:r>
          </w:p>
        </w:tc>
      </w:tr>
    </w:tbl>
    <w:p w14:paraId="28F77402" w14:textId="78BACB93" w:rsidR="00965E23" w:rsidRPr="00965E23" w:rsidRDefault="00965E23" w:rsidP="00965E23">
      <w:pPr>
        <w:pStyle w:val="Heading4-nonumber"/>
      </w:pPr>
      <w:r w:rsidRPr="00965E23">
        <w:t>Baseline adjustments: IT operating costs </w:t>
      </w:r>
    </w:p>
    <w:p w14:paraId="382A45B2" w14:textId="4D68A86A" w:rsidR="00965E23" w:rsidRPr="00965E23" w:rsidRDefault="00965E23" w:rsidP="00965E23">
      <w:r w:rsidRPr="00965E23">
        <w:t xml:space="preserve">With the new billing and collections system (top 10 major project summary included in </w:t>
      </w:r>
      <w:r w:rsidR="004B77FF">
        <w:t xml:space="preserve">Appendix F </w:t>
      </w:r>
      <w:r w:rsidRPr="00965E23">
        <w:t>GWW will have an increase in operating expenditure of $15.</w:t>
      </w:r>
      <w:r w:rsidR="008B6F2B">
        <w:t>8</w:t>
      </w:r>
      <w:r w:rsidRPr="00965E23">
        <w:t> million over the four-year regulatory period. It is a result of additional operating expenditure in licence fees that are relatively consistent over the period at $4.1 million per year by 2027-28.</w:t>
      </w:r>
    </w:p>
    <w:p w14:paraId="1F6442D5" w14:textId="466F34F0" w:rsidR="00965E23" w:rsidRPr="00965E23" w:rsidRDefault="00965E23" w:rsidP="00965E23">
      <w:r w:rsidRPr="00965E23">
        <w:t xml:space="preserve">The new billing and collections system will deliver efficiencies and has been captured as an identified transformation efficiency in the financial template and itemised in the efficiency section above. </w:t>
      </w:r>
    </w:p>
    <w:p w14:paraId="02A4D719" w14:textId="06FBF1EE" w:rsidR="00965E23" w:rsidRPr="00965E23" w:rsidRDefault="00965E23" w:rsidP="00DC76CC">
      <w:pPr>
        <w:pStyle w:val="Caption"/>
      </w:pPr>
      <w:bookmarkStart w:id="431" w:name="_Ref145979656"/>
      <w:r w:rsidRPr="002F08AA">
        <w:rPr>
          <w:b/>
        </w:rPr>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96</w:t>
      </w:r>
      <w:r w:rsidR="001F7221" w:rsidRPr="002F08AA">
        <w:rPr>
          <w:b/>
        </w:rPr>
        <w:fldChar w:fldCharType="end"/>
      </w:r>
      <w:bookmarkEnd w:id="431"/>
      <w:r w:rsidR="008B6F2B">
        <w:t xml:space="preserve"> </w:t>
      </w:r>
      <w:r w:rsidRPr="00965E23">
        <w:t>Incremental IT operating costs ($million, 2023-24) </w:t>
      </w:r>
    </w:p>
    <w:tbl>
      <w:tblPr>
        <w:tblStyle w:val="GWWDefaulttable"/>
        <w:tblW w:w="5000" w:type="pct"/>
        <w:tblLook w:val="04A0" w:firstRow="1" w:lastRow="0" w:firstColumn="1" w:lastColumn="0" w:noHBand="0" w:noVBand="1"/>
      </w:tblPr>
      <w:tblGrid>
        <w:gridCol w:w="1757"/>
        <w:gridCol w:w="1286"/>
        <w:gridCol w:w="1286"/>
        <w:gridCol w:w="1286"/>
        <w:gridCol w:w="1286"/>
        <w:gridCol w:w="1286"/>
        <w:gridCol w:w="1451"/>
      </w:tblGrid>
      <w:tr w:rsidR="00965E23" w:rsidRPr="00DC76CC" w14:paraId="2E3145C3" w14:textId="77777777" w:rsidTr="002F08AA">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12" w:type="pct"/>
            <w:hideMark/>
          </w:tcPr>
          <w:p w14:paraId="08DC7C54" w14:textId="77777777" w:rsidR="00965E23" w:rsidRPr="00DC76CC" w:rsidRDefault="00965E23" w:rsidP="00DC76CC">
            <w:r w:rsidRPr="00DC76CC">
              <w:t> </w:t>
            </w:r>
          </w:p>
        </w:tc>
        <w:tc>
          <w:tcPr>
            <w:tcW w:w="667" w:type="pct"/>
            <w:vAlign w:val="center"/>
            <w:hideMark/>
          </w:tcPr>
          <w:p w14:paraId="0D9A565F"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2023-24 </w:t>
            </w:r>
          </w:p>
        </w:tc>
        <w:tc>
          <w:tcPr>
            <w:tcW w:w="667" w:type="pct"/>
            <w:vAlign w:val="center"/>
            <w:hideMark/>
          </w:tcPr>
          <w:p w14:paraId="74F0394A"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2024-25 </w:t>
            </w:r>
          </w:p>
        </w:tc>
        <w:tc>
          <w:tcPr>
            <w:tcW w:w="667" w:type="pct"/>
            <w:vAlign w:val="center"/>
            <w:hideMark/>
          </w:tcPr>
          <w:p w14:paraId="3ED2C514"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2025-26 </w:t>
            </w:r>
          </w:p>
        </w:tc>
        <w:tc>
          <w:tcPr>
            <w:tcW w:w="667" w:type="pct"/>
            <w:vAlign w:val="center"/>
            <w:hideMark/>
          </w:tcPr>
          <w:p w14:paraId="36DF75CB"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2026-27 </w:t>
            </w:r>
          </w:p>
        </w:tc>
        <w:tc>
          <w:tcPr>
            <w:tcW w:w="667" w:type="pct"/>
            <w:vAlign w:val="center"/>
            <w:hideMark/>
          </w:tcPr>
          <w:p w14:paraId="35B6CB4E"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2027-28 </w:t>
            </w:r>
          </w:p>
        </w:tc>
        <w:tc>
          <w:tcPr>
            <w:tcW w:w="754" w:type="pct"/>
            <w:vAlign w:val="center"/>
            <w:hideMark/>
          </w:tcPr>
          <w:p w14:paraId="40A25204" w14:textId="4C7964EB"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Total </w:t>
            </w:r>
            <w:r w:rsidR="004D343E">
              <w:br/>
            </w:r>
            <w:r w:rsidRPr="00DC76CC">
              <w:t xml:space="preserve">(4 years) </w:t>
            </w:r>
          </w:p>
        </w:tc>
      </w:tr>
      <w:tr w:rsidR="00965E23" w:rsidRPr="00DC76CC" w14:paraId="2BD3C77D" w14:textId="77777777" w:rsidTr="002F08AA">
        <w:trPr>
          <w:trHeight w:val="300"/>
        </w:trPr>
        <w:tc>
          <w:tcPr>
            <w:cnfStyle w:val="001000000000" w:firstRow="0" w:lastRow="0" w:firstColumn="1" w:lastColumn="0" w:oddVBand="0" w:evenVBand="0" w:oddHBand="0" w:evenHBand="0" w:firstRowFirstColumn="0" w:firstRowLastColumn="0" w:lastRowFirstColumn="0" w:lastRowLastColumn="0"/>
            <w:tcW w:w="909" w:type="pct"/>
            <w:hideMark/>
          </w:tcPr>
          <w:p w14:paraId="334E094E" w14:textId="77777777" w:rsidR="00965E23" w:rsidRPr="00DC76CC" w:rsidRDefault="00965E23" w:rsidP="00DC76CC">
            <w:r w:rsidRPr="002F08AA">
              <w:rPr>
                <w:b w:val="0"/>
              </w:rPr>
              <w:t>Proposed</w:t>
            </w:r>
          </w:p>
        </w:tc>
        <w:tc>
          <w:tcPr>
            <w:tcW w:w="667" w:type="pct"/>
            <w:vAlign w:val="center"/>
            <w:hideMark/>
          </w:tcPr>
          <w:p w14:paraId="53C7C968"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1.40 </w:t>
            </w:r>
          </w:p>
        </w:tc>
        <w:tc>
          <w:tcPr>
            <w:tcW w:w="667" w:type="pct"/>
            <w:vAlign w:val="center"/>
            <w:hideMark/>
          </w:tcPr>
          <w:p w14:paraId="32866CFB"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3.79 </w:t>
            </w:r>
          </w:p>
        </w:tc>
        <w:tc>
          <w:tcPr>
            <w:tcW w:w="667" w:type="pct"/>
            <w:vAlign w:val="center"/>
            <w:hideMark/>
          </w:tcPr>
          <w:p w14:paraId="6A0F969F"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3.90 </w:t>
            </w:r>
          </w:p>
        </w:tc>
        <w:tc>
          <w:tcPr>
            <w:tcW w:w="667" w:type="pct"/>
            <w:vAlign w:val="center"/>
            <w:hideMark/>
          </w:tcPr>
          <w:p w14:paraId="73124FDD"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3.99 </w:t>
            </w:r>
          </w:p>
        </w:tc>
        <w:tc>
          <w:tcPr>
            <w:tcW w:w="667" w:type="pct"/>
            <w:vAlign w:val="center"/>
            <w:hideMark/>
          </w:tcPr>
          <w:p w14:paraId="208EC607"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4.09 </w:t>
            </w:r>
          </w:p>
        </w:tc>
        <w:tc>
          <w:tcPr>
            <w:tcW w:w="754" w:type="pct"/>
            <w:vAlign w:val="center"/>
            <w:hideMark/>
          </w:tcPr>
          <w:p w14:paraId="204FAE05"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DC76CC">
              <w:rPr>
                <w:b/>
                <w:bCs/>
              </w:rPr>
              <w:t>15.77 </w:t>
            </w:r>
          </w:p>
        </w:tc>
      </w:tr>
    </w:tbl>
    <w:p w14:paraId="61CE89B2" w14:textId="1AA11B13" w:rsidR="00965E23" w:rsidRPr="00965E23" w:rsidRDefault="00965E23" w:rsidP="00DC76CC">
      <w:pPr>
        <w:pStyle w:val="Heading4-nonumber"/>
      </w:pPr>
      <w:r w:rsidRPr="00965E23">
        <w:t xml:space="preserve">Baseline adjustments: customer led changes to the </w:t>
      </w:r>
      <w:r w:rsidR="00DC6B46">
        <w:t xml:space="preserve">customer support </w:t>
      </w:r>
      <w:proofErr w:type="gramStart"/>
      <w:r w:rsidRPr="00965E23">
        <w:t>program</w:t>
      </w:r>
      <w:proofErr w:type="gramEnd"/>
      <w:r w:rsidRPr="00965E23">
        <w:t> </w:t>
      </w:r>
    </w:p>
    <w:p w14:paraId="4B8563C8" w14:textId="25FE8CE9" w:rsidR="00965E23" w:rsidRPr="00965E23" w:rsidRDefault="00965E23" w:rsidP="00965E23">
      <w:r w:rsidRPr="00965E23">
        <w:t xml:space="preserve">During our customer engagement program, there was significant support for increasing our services to support </w:t>
      </w:r>
      <w:r w:rsidR="00F94198">
        <w:t xml:space="preserve">vulnerable </w:t>
      </w:r>
      <w:r w:rsidRPr="00965E23">
        <w:t xml:space="preserve">customers </w:t>
      </w:r>
      <w:r w:rsidR="00F94198">
        <w:t>and people experiencing payment difficulties</w:t>
      </w:r>
      <w:r w:rsidRPr="00965E23">
        <w:t xml:space="preserve">. </w:t>
      </w:r>
      <w:r w:rsidR="00F94198">
        <w:t xml:space="preserve">A significant </w:t>
      </w:r>
      <w:r w:rsidRPr="00965E23">
        <w:t xml:space="preserve">driver of this </w:t>
      </w:r>
      <w:r w:rsidR="00F94198">
        <w:t xml:space="preserve">is </w:t>
      </w:r>
      <w:r w:rsidRPr="00965E23">
        <w:t xml:space="preserve">the </w:t>
      </w:r>
      <w:proofErr w:type="gramStart"/>
      <w:r w:rsidRPr="00965E23">
        <w:t>cost of living</w:t>
      </w:r>
      <w:proofErr w:type="gramEnd"/>
      <w:r w:rsidRPr="00965E23">
        <w:t xml:space="preserve"> crisis and high inflationary period. This is likely to increase the number of customers experiencing financial difficulty over the next few </w:t>
      </w:r>
      <w:r w:rsidR="008B6F2B" w:rsidRPr="00965E23">
        <w:t>years.</w:t>
      </w:r>
    </w:p>
    <w:p w14:paraId="759816BB" w14:textId="57667C0A" w:rsidR="00965E23" w:rsidRPr="00965E23" w:rsidRDefault="00965E23" w:rsidP="00965E23">
      <w:r w:rsidRPr="00965E23">
        <w:t xml:space="preserve">Further to this, changes to the recent Water Industry Standard – Urban has increased the eligibility for </w:t>
      </w:r>
      <w:r w:rsidR="00FA7F19">
        <w:t xml:space="preserve">customer support </w:t>
      </w:r>
      <w:r w:rsidRPr="00965E23">
        <w:t>program to small businesses. As GWW has a high proportion of non-residential customers, this may result in a significant increase in the support required.</w:t>
      </w:r>
    </w:p>
    <w:p w14:paraId="15B86D92" w14:textId="77777777" w:rsidR="00965E23" w:rsidRPr="00965E23" w:rsidRDefault="00965E23" w:rsidP="00965E23">
      <w:r w:rsidRPr="00965E23">
        <w:lastRenderedPageBreak/>
        <w:t>The proposed $1.3 million per annum increase in the hardship program is an almost doubling of the program. It will provide for: </w:t>
      </w:r>
    </w:p>
    <w:p w14:paraId="5F50451E" w14:textId="2C1507DA" w:rsidR="00965E23" w:rsidRPr="00965E23" w:rsidRDefault="00965E23" w:rsidP="00DC76CC">
      <w:pPr>
        <w:pStyle w:val="ListBullet"/>
      </w:pPr>
      <w:r w:rsidRPr="00965E23">
        <w:t xml:space="preserve">Additional staff to enable us to send consultants to </w:t>
      </w:r>
      <w:r w:rsidR="001C79CB" w:rsidRPr="00965E23">
        <w:t>customers’</w:t>
      </w:r>
      <w:r w:rsidRPr="00965E23">
        <w:t xml:space="preserve"> homes to assist our culturally and linguistically diverse community and customers who may have lower literacy levels. </w:t>
      </w:r>
    </w:p>
    <w:p w14:paraId="257869E4" w14:textId="7D565142" w:rsidR="00965E23" w:rsidRPr="00965E23" w:rsidRDefault="00FA7F19" w:rsidP="00DC76CC">
      <w:pPr>
        <w:pStyle w:val="ListBullet"/>
      </w:pPr>
      <w:r>
        <w:t>P</w:t>
      </w:r>
      <w:r w:rsidR="00965E23" w:rsidRPr="00965E23">
        <w:t>roactive identification of more customers experiencing hardship and vulnerability that will allow for early intervention and support. </w:t>
      </w:r>
    </w:p>
    <w:p w14:paraId="14F5C8B1" w14:textId="4B2BFEC2" w:rsidR="00FA7F19" w:rsidRDefault="00FA7F19" w:rsidP="00FA7F19">
      <w:pPr>
        <w:pStyle w:val="Caption"/>
      </w:pPr>
      <w:r w:rsidRPr="002F08AA">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97</w:t>
      </w:r>
      <w:r w:rsidR="001F7221" w:rsidRPr="00021420">
        <w:rPr>
          <w:b/>
        </w:rPr>
        <w:fldChar w:fldCharType="end"/>
      </w:r>
      <w:r>
        <w:t xml:space="preserve"> </w:t>
      </w:r>
      <w:r w:rsidRPr="00570E32">
        <w:t>Customer support adjustments ($million, 2023-24)</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965E23" w:rsidRPr="00DC76CC" w14:paraId="3903C25E" w14:textId="77777777" w:rsidTr="002F0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2D8294B3" w14:textId="77777777" w:rsidR="00965E23" w:rsidRPr="00DC76CC" w:rsidRDefault="00965E23" w:rsidP="00DC76CC">
            <w:r w:rsidRPr="00DC76CC">
              <w:t> </w:t>
            </w:r>
          </w:p>
        </w:tc>
        <w:tc>
          <w:tcPr>
            <w:tcW w:w="650" w:type="pct"/>
            <w:vAlign w:val="center"/>
            <w:hideMark/>
          </w:tcPr>
          <w:p w14:paraId="058F5BBE"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2023-24 </w:t>
            </w:r>
          </w:p>
        </w:tc>
        <w:tc>
          <w:tcPr>
            <w:tcW w:w="650" w:type="pct"/>
            <w:vAlign w:val="center"/>
            <w:hideMark/>
          </w:tcPr>
          <w:p w14:paraId="67BF2ACA"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2024-25 </w:t>
            </w:r>
          </w:p>
        </w:tc>
        <w:tc>
          <w:tcPr>
            <w:tcW w:w="650" w:type="pct"/>
            <w:vAlign w:val="center"/>
            <w:hideMark/>
          </w:tcPr>
          <w:p w14:paraId="2BD96C03"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2025-26 </w:t>
            </w:r>
          </w:p>
        </w:tc>
        <w:tc>
          <w:tcPr>
            <w:tcW w:w="650" w:type="pct"/>
            <w:vAlign w:val="center"/>
            <w:hideMark/>
          </w:tcPr>
          <w:p w14:paraId="4F1186C1"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2026-27 </w:t>
            </w:r>
          </w:p>
        </w:tc>
        <w:tc>
          <w:tcPr>
            <w:tcW w:w="650" w:type="pct"/>
            <w:vAlign w:val="center"/>
            <w:hideMark/>
          </w:tcPr>
          <w:p w14:paraId="6E6B87E1"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2027-28 </w:t>
            </w:r>
          </w:p>
        </w:tc>
        <w:tc>
          <w:tcPr>
            <w:tcW w:w="695" w:type="pct"/>
            <w:vAlign w:val="center"/>
            <w:hideMark/>
          </w:tcPr>
          <w:p w14:paraId="2E48C6EA" w14:textId="234972C8"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Total </w:t>
            </w:r>
            <w:r w:rsidR="004D343E">
              <w:br/>
            </w:r>
            <w:r w:rsidRPr="00DC76CC">
              <w:t xml:space="preserve">(4 years) </w:t>
            </w:r>
          </w:p>
        </w:tc>
      </w:tr>
      <w:tr w:rsidR="00965E23" w:rsidRPr="00DC76CC" w14:paraId="294D41C1" w14:textId="77777777" w:rsidTr="002F08AA">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044754D" w14:textId="77777777" w:rsidR="00965E23" w:rsidRPr="00DC76CC" w:rsidRDefault="00965E23" w:rsidP="00DC76CC">
            <w:r w:rsidRPr="002F08AA">
              <w:rPr>
                <w:b w:val="0"/>
              </w:rPr>
              <w:t>Proposed</w:t>
            </w:r>
            <w:r w:rsidRPr="00DC76CC">
              <w:t>  </w:t>
            </w:r>
          </w:p>
        </w:tc>
        <w:tc>
          <w:tcPr>
            <w:tcW w:w="650" w:type="pct"/>
            <w:vAlign w:val="center"/>
            <w:hideMark/>
          </w:tcPr>
          <w:p w14:paraId="3D54ED0E"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7E170301"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53DB4429"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1DD2AA0B"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35D236F9"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95" w:type="pct"/>
            <w:vAlign w:val="center"/>
            <w:hideMark/>
          </w:tcPr>
          <w:p w14:paraId="5C93B32A" w14:textId="77777777" w:rsidR="00965E23" w:rsidRPr="00E11455" w:rsidRDefault="00965E23" w:rsidP="00E11455">
            <w:pPr>
              <w:jc w:val="right"/>
              <w:cnfStyle w:val="000000000000" w:firstRow="0" w:lastRow="0" w:firstColumn="0" w:lastColumn="0" w:oddVBand="0" w:evenVBand="0" w:oddHBand="0" w:evenHBand="0" w:firstRowFirstColumn="0" w:firstRowLastColumn="0" w:lastRowFirstColumn="0" w:lastRowLastColumn="0"/>
              <w:rPr>
                <w:b/>
                <w:bCs/>
              </w:rPr>
            </w:pPr>
            <w:r w:rsidRPr="00E11455">
              <w:rPr>
                <w:b/>
                <w:bCs/>
              </w:rPr>
              <w:t>5.20 </w:t>
            </w:r>
          </w:p>
        </w:tc>
      </w:tr>
    </w:tbl>
    <w:p w14:paraId="6183DBB8" w14:textId="4CDA5A5E" w:rsidR="00965E23" w:rsidRPr="00965E23" w:rsidRDefault="00965E23" w:rsidP="003B1CF4">
      <w:pPr>
        <w:pStyle w:val="H2xappendixlevel3H"/>
      </w:pPr>
      <w:r w:rsidRPr="00965E23">
        <w:t>Controllable operating expenditure proposal</w:t>
      </w:r>
    </w:p>
    <w:p w14:paraId="1A911EAD" w14:textId="204711B8" w:rsidR="00965E23" w:rsidRPr="00965E23" w:rsidRDefault="00965E23" w:rsidP="00965E23">
      <w:r w:rsidRPr="00965E23">
        <w:t>GWW’s total controllable operating expenditure for the four-year period ending 2027-28 is $</w:t>
      </w:r>
      <w:r w:rsidR="00874981" w:rsidRPr="00965E23">
        <w:t>8</w:t>
      </w:r>
      <w:r w:rsidR="00874981">
        <w:t xml:space="preserve">76.1 </w:t>
      </w:r>
      <w:r w:rsidRPr="00965E23">
        <w:t xml:space="preserve">million. </w:t>
      </w:r>
    </w:p>
    <w:p w14:paraId="7A581618" w14:textId="7C1502B5" w:rsidR="007A0EF5" w:rsidRPr="00965E23" w:rsidRDefault="00965E23" w:rsidP="00965E23">
      <w:r w:rsidRPr="00965E23">
        <w:t>Our proposal provides for a material decline in operating expenditure per connection from $341 in 2022-23 to $31</w:t>
      </w:r>
      <w:r w:rsidR="00874981">
        <w:t>0</w:t>
      </w:r>
      <w:r w:rsidRPr="00965E23">
        <w:t xml:space="preserve"> by the end of the upcoming regulatory period.</w:t>
      </w:r>
    </w:p>
    <w:p w14:paraId="26B7A40B" w14:textId="29AB58E1" w:rsidR="00FA7F19" w:rsidRDefault="00FA7F19" w:rsidP="00FA7F19">
      <w:pPr>
        <w:pStyle w:val="Caption"/>
      </w:pPr>
      <w:r w:rsidRPr="002F08AA">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98</w:t>
      </w:r>
      <w:r w:rsidR="001F7221" w:rsidRPr="00021420">
        <w:rPr>
          <w:b/>
        </w:rPr>
        <w:fldChar w:fldCharType="end"/>
      </w:r>
      <w:r>
        <w:t xml:space="preserve"> </w:t>
      </w:r>
      <w:r w:rsidRPr="007C1C4D">
        <w:t>Forecast controllable operating expenditure ($, 2023-24)</w:t>
      </w:r>
    </w:p>
    <w:tbl>
      <w:tblPr>
        <w:tblStyle w:val="GWWDefaulttable"/>
        <w:tblW w:w="5000" w:type="pct"/>
        <w:tblLook w:val="04A0" w:firstRow="1" w:lastRow="0" w:firstColumn="1" w:lastColumn="0" w:noHBand="0" w:noVBand="1"/>
      </w:tblPr>
      <w:tblGrid>
        <w:gridCol w:w="1691"/>
        <w:gridCol w:w="1157"/>
        <w:gridCol w:w="1112"/>
        <w:gridCol w:w="1112"/>
        <w:gridCol w:w="1112"/>
        <w:gridCol w:w="1112"/>
        <w:gridCol w:w="1112"/>
        <w:gridCol w:w="1230"/>
      </w:tblGrid>
      <w:tr w:rsidR="00965E23" w:rsidRPr="003B1BAA" w14:paraId="6C4289BC" w14:textId="77777777" w:rsidTr="004D343E">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77" w:type="pct"/>
            <w:hideMark/>
          </w:tcPr>
          <w:p w14:paraId="49162CB6" w14:textId="77777777" w:rsidR="00965E23" w:rsidRPr="003B1BAA" w:rsidRDefault="00965E23" w:rsidP="003B1BAA">
            <w:r w:rsidRPr="003B1BAA">
              <w:t> </w:t>
            </w:r>
          </w:p>
        </w:tc>
        <w:tc>
          <w:tcPr>
            <w:tcW w:w="600" w:type="pct"/>
            <w:vAlign w:val="center"/>
            <w:hideMark/>
          </w:tcPr>
          <w:p w14:paraId="72BE12E3"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2022-23</w:t>
            </w:r>
          </w:p>
        </w:tc>
        <w:tc>
          <w:tcPr>
            <w:tcW w:w="577" w:type="pct"/>
            <w:vAlign w:val="center"/>
            <w:hideMark/>
          </w:tcPr>
          <w:p w14:paraId="00E78754"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2023-24</w:t>
            </w:r>
          </w:p>
        </w:tc>
        <w:tc>
          <w:tcPr>
            <w:tcW w:w="577" w:type="pct"/>
            <w:vAlign w:val="center"/>
            <w:hideMark/>
          </w:tcPr>
          <w:p w14:paraId="4D3F548B"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2024-25</w:t>
            </w:r>
          </w:p>
        </w:tc>
        <w:tc>
          <w:tcPr>
            <w:tcW w:w="577" w:type="pct"/>
            <w:vAlign w:val="center"/>
            <w:hideMark/>
          </w:tcPr>
          <w:p w14:paraId="119B26BA"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2025-26</w:t>
            </w:r>
          </w:p>
        </w:tc>
        <w:tc>
          <w:tcPr>
            <w:tcW w:w="577" w:type="pct"/>
            <w:vAlign w:val="center"/>
            <w:hideMark/>
          </w:tcPr>
          <w:p w14:paraId="08295E6D"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2026-27</w:t>
            </w:r>
          </w:p>
        </w:tc>
        <w:tc>
          <w:tcPr>
            <w:tcW w:w="577" w:type="pct"/>
            <w:vAlign w:val="center"/>
            <w:hideMark/>
          </w:tcPr>
          <w:p w14:paraId="36183F8F"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2027-28</w:t>
            </w:r>
          </w:p>
        </w:tc>
        <w:tc>
          <w:tcPr>
            <w:tcW w:w="638" w:type="pct"/>
            <w:vAlign w:val="center"/>
            <w:hideMark/>
          </w:tcPr>
          <w:p w14:paraId="5B4B211F" w14:textId="575BEB3B"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 xml:space="preserve">Average / Total </w:t>
            </w:r>
            <w:r w:rsidR="004D343E">
              <w:br/>
            </w:r>
            <w:r w:rsidRPr="003B1BAA">
              <w:t>(4 years)</w:t>
            </w:r>
          </w:p>
        </w:tc>
      </w:tr>
      <w:tr w:rsidR="00965E23" w:rsidRPr="003B1BAA" w14:paraId="4C8AE21D"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4FAAEB94" w14:textId="32531961" w:rsidR="00965E23" w:rsidRPr="00E22F5F" w:rsidRDefault="0032152F" w:rsidP="003B1BAA">
            <w:pPr>
              <w:rPr>
                <w:b w:val="0"/>
              </w:rPr>
            </w:pPr>
            <w:r w:rsidRPr="00E22F5F">
              <w:rPr>
                <w:rFonts w:ascii="Verdana" w:eastAsia="Times New Roman" w:hAnsi="Verdana" w:cs="Arial"/>
                <w:b w:val="0"/>
                <w:color w:val="1A206C"/>
                <w:spacing w:val="0"/>
                <w:szCs w:val="20"/>
                <w:lang w:eastAsia="en-AU"/>
              </w:rPr>
              <w:t>Growth</w:t>
            </w:r>
          </w:p>
        </w:tc>
        <w:tc>
          <w:tcPr>
            <w:tcW w:w="600" w:type="pct"/>
            <w:vAlign w:val="center"/>
            <w:hideMark/>
          </w:tcPr>
          <w:p w14:paraId="6B1C7763" w14:textId="39016D83"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3E1CFD03" w14:textId="06D31B2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3.29%</w:t>
            </w:r>
          </w:p>
        </w:tc>
        <w:tc>
          <w:tcPr>
            <w:tcW w:w="577" w:type="pct"/>
            <w:vAlign w:val="center"/>
            <w:hideMark/>
          </w:tcPr>
          <w:p w14:paraId="7923333A" w14:textId="6BC645FE"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3.03%</w:t>
            </w:r>
          </w:p>
        </w:tc>
        <w:tc>
          <w:tcPr>
            <w:tcW w:w="577" w:type="pct"/>
            <w:vAlign w:val="center"/>
            <w:hideMark/>
          </w:tcPr>
          <w:p w14:paraId="567141CA" w14:textId="3078076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3.11%</w:t>
            </w:r>
          </w:p>
        </w:tc>
        <w:tc>
          <w:tcPr>
            <w:tcW w:w="577" w:type="pct"/>
            <w:vAlign w:val="center"/>
            <w:hideMark/>
          </w:tcPr>
          <w:p w14:paraId="51F5B6D4" w14:textId="07C0C41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2.58%</w:t>
            </w:r>
          </w:p>
        </w:tc>
        <w:tc>
          <w:tcPr>
            <w:tcW w:w="577" w:type="pct"/>
            <w:vAlign w:val="center"/>
            <w:hideMark/>
          </w:tcPr>
          <w:p w14:paraId="5A73B1B0" w14:textId="092ED596"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2.54%</w:t>
            </w:r>
          </w:p>
        </w:tc>
        <w:tc>
          <w:tcPr>
            <w:tcW w:w="638" w:type="pct"/>
            <w:vAlign w:val="center"/>
            <w:hideMark/>
          </w:tcPr>
          <w:p w14:paraId="2374A281" w14:textId="64C4964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2.81%</w:t>
            </w:r>
          </w:p>
        </w:tc>
      </w:tr>
      <w:tr w:rsidR="00965E23" w:rsidRPr="003B1BAA" w14:paraId="72BEFB99"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071155AB" w14:textId="64C74517" w:rsidR="00965E23" w:rsidRPr="00E22F5F" w:rsidRDefault="0032152F" w:rsidP="003B1BAA">
            <w:pPr>
              <w:rPr>
                <w:b w:val="0"/>
              </w:rPr>
            </w:pPr>
            <w:r w:rsidRPr="00E22F5F">
              <w:rPr>
                <w:rFonts w:ascii="Verdana" w:eastAsia="Times New Roman" w:hAnsi="Verdana" w:cs="Arial"/>
                <w:b w:val="0"/>
                <w:color w:val="1A206C"/>
                <w:spacing w:val="0"/>
                <w:szCs w:val="20"/>
                <w:lang w:eastAsia="en-AU"/>
              </w:rPr>
              <w:t>Efficiency</w:t>
            </w:r>
          </w:p>
        </w:tc>
        <w:tc>
          <w:tcPr>
            <w:tcW w:w="600" w:type="pct"/>
            <w:vAlign w:val="center"/>
            <w:hideMark/>
          </w:tcPr>
          <w:p w14:paraId="3F104083" w14:textId="4BB26EE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6D87AEB0" w14:textId="17547A5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2.00%</w:t>
            </w:r>
          </w:p>
        </w:tc>
        <w:tc>
          <w:tcPr>
            <w:tcW w:w="577" w:type="pct"/>
            <w:vAlign w:val="center"/>
            <w:hideMark/>
          </w:tcPr>
          <w:p w14:paraId="0945929F" w14:textId="1EE5415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3.80%</w:t>
            </w:r>
          </w:p>
        </w:tc>
        <w:tc>
          <w:tcPr>
            <w:tcW w:w="577" w:type="pct"/>
            <w:vAlign w:val="center"/>
            <w:hideMark/>
          </w:tcPr>
          <w:p w14:paraId="4D169AD4" w14:textId="5C080D6E"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3.30%</w:t>
            </w:r>
          </w:p>
        </w:tc>
        <w:tc>
          <w:tcPr>
            <w:tcW w:w="577" w:type="pct"/>
            <w:vAlign w:val="center"/>
            <w:hideMark/>
          </w:tcPr>
          <w:p w14:paraId="773E9246" w14:textId="3BF80D9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2.75%</w:t>
            </w:r>
          </w:p>
        </w:tc>
        <w:tc>
          <w:tcPr>
            <w:tcW w:w="577" w:type="pct"/>
            <w:vAlign w:val="center"/>
            <w:hideMark/>
          </w:tcPr>
          <w:p w14:paraId="367E90C6" w14:textId="362EA23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2.15%</w:t>
            </w:r>
          </w:p>
        </w:tc>
        <w:tc>
          <w:tcPr>
            <w:tcW w:w="638" w:type="pct"/>
            <w:vAlign w:val="center"/>
            <w:hideMark/>
          </w:tcPr>
          <w:p w14:paraId="3084D3D2" w14:textId="3611E69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3.00%</w:t>
            </w:r>
          </w:p>
        </w:tc>
      </w:tr>
      <w:tr w:rsidR="00965E23" w:rsidRPr="003B1BAA" w14:paraId="69D99A66"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23C71465" w14:textId="71DF6928" w:rsidR="00965E23" w:rsidRPr="00E22F5F" w:rsidRDefault="0032152F" w:rsidP="003B1BAA">
            <w:pPr>
              <w:rPr>
                <w:b w:val="0"/>
              </w:rPr>
            </w:pPr>
            <w:r w:rsidRPr="00E22F5F">
              <w:rPr>
                <w:rFonts w:ascii="Verdana" w:eastAsia="Times New Roman" w:hAnsi="Verdana" w:cs="Arial"/>
                <w:b w:val="0"/>
                <w:color w:val="1A206C"/>
                <w:spacing w:val="0"/>
                <w:szCs w:val="20"/>
                <w:lang w:eastAsia="en-AU"/>
              </w:rPr>
              <w:t>Net Efficiency</w:t>
            </w:r>
          </w:p>
        </w:tc>
        <w:tc>
          <w:tcPr>
            <w:tcW w:w="600" w:type="pct"/>
            <w:vAlign w:val="center"/>
            <w:hideMark/>
          </w:tcPr>
          <w:p w14:paraId="27662B41" w14:textId="22D2064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159617CF" w14:textId="6E4807F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-1.29%</w:t>
            </w:r>
          </w:p>
        </w:tc>
        <w:tc>
          <w:tcPr>
            <w:tcW w:w="577" w:type="pct"/>
            <w:vAlign w:val="center"/>
            <w:hideMark/>
          </w:tcPr>
          <w:p w14:paraId="3A1C26B5" w14:textId="5C65983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0.77%</w:t>
            </w:r>
          </w:p>
        </w:tc>
        <w:tc>
          <w:tcPr>
            <w:tcW w:w="577" w:type="pct"/>
            <w:vAlign w:val="center"/>
            <w:hideMark/>
          </w:tcPr>
          <w:p w14:paraId="6505C4AB" w14:textId="408C828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0.19%</w:t>
            </w:r>
          </w:p>
        </w:tc>
        <w:tc>
          <w:tcPr>
            <w:tcW w:w="577" w:type="pct"/>
            <w:vAlign w:val="center"/>
            <w:hideMark/>
          </w:tcPr>
          <w:p w14:paraId="2956C8F0" w14:textId="6977DF5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0.17%</w:t>
            </w:r>
          </w:p>
        </w:tc>
        <w:tc>
          <w:tcPr>
            <w:tcW w:w="577" w:type="pct"/>
            <w:vAlign w:val="center"/>
            <w:hideMark/>
          </w:tcPr>
          <w:p w14:paraId="0167597C" w14:textId="36BEE65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-0.39%</w:t>
            </w:r>
          </w:p>
        </w:tc>
        <w:tc>
          <w:tcPr>
            <w:tcW w:w="638" w:type="pct"/>
            <w:vAlign w:val="center"/>
            <w:hideMark/>
          </w:tcPr>
          <w:p w14:paraId="74E0A9A8" w14:textId="54976F1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0.19%</w:t>
            </w:r>
          </w:p>
        </w:tc>
      </w:tr>
      <w:tr w:rsidR="00965E23" w:rsidRPr="003B1BAA" w14:paraId="7220DB9B"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5831A624" w14:textId="6734A69A" w:rsidR="00965E23" w:rsidRPr="00E22F5F" w:rsidRDefault="0032152F" w:rsidP="003B1BAA">
            <w:pPr>
              <w:rPr>
                <w:b w:val="0"/>
              </w:rPr>
            </w:pPr>
            <w:r w:rsidRPr="00E22F5F">
              <w:rPr>
                <w:rFonts w:ascii="Verdana" w:eastAsia="Times New Roman" w:hAnsi="Verdana" w:cs="Arial"/>
                <w:b w:val="0"/>
                <w:color w:val="1A206C"/>
                <w:spacing w:val="0"/>
                <w:szCs w:val="20"/>
                <w:lang w:eastAsia="en-AU"/>
              </w:rPr>
              <w:t>Baseline forecast ($m)</w:t>
            </w:r>
          </w:p>
        </w:tc>
        <w:tc>
          <w:tcPr>
            <w:tcW w:w="600" w:type="pct"/>
            <w:vAlign w:val="center"/>
            <w:hideMark/>
          </w:tcPr>
          <w:p w14:paraId="03BF94DD" w14:textId="69E8416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209.63</w:t>
            </w:r>
          </w:p>
        </w:tc>
        <w:tc>
          <w:tcPr>
            <w:tcW w:w="577" w:type="pct"/>
            <w:vAlign w:val="center"/>
            <w:hideMark/>
          </w:tcPr>
          <w:p w14:paraId="67BE9755" w14:textId="0E21F5F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212.34</w:t>
            </w:r>
          </w:p>
        </w:tc>
        <w:tc>
          <w:tcPr>
            <w:tcW w:w="577" w:type="pct"/>
            <w:vAlign w:val="center"/>
            <w:hideMark/>
          </w:tcPr>
          <w:p w14:paraId="15C088CC" w14:textId="47E6E87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210.69</w:t>
            </w:r>
          </w:p>
        </w:tc>
        <w:tc>
          <w:tcPr>
            <w:tcW w:w="577" w:type="pct"/>
            <w:vAlign w:val="center"/>
            <w:hideMark/>
          </w:tcPr>
          <w:p w14:paraId="164CC9B0" w14:textId="0071EDB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210.29</w:t>
            </w:r>
          </w:p>
        </w:tc>
        <w:tc>
          <w:tcPr>
            <w:tcW w:w="577" w:type="pct"/>
            <w:vAlign w:val="center"/>
            <w:hideMark/>
          </w:tcPr>
          <w:p w14:paraId="1AE214AB" w14:textId="2DBA157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209.92</w:t>
            </w:r>
          </w:p>
        </w:tc>
        <w:tc>
          <w:tcPr>
            <w:tcW w:w="577" w:type="pct"/>
            <w:vAlign w:val="center"/>
            <w:hideMark/>
          </w:tcPr>
          <w:p w14:paraId="6E3FB2A5" w14:textId="56D68412"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210.73</w:t>
            </w:r>
          </w:p>
        </w:tc>
        <w:tc>
          <w:tcPr>
            <w:tcW w:w="638" w:type="pct"/>
            <w:vAlign w:val="center"/>
            <w:hideMark/>
          </w:tcPr>
          <w:p w14:paraId="1CB54B92" w14:textId="7E9585F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841.63</w:t>
            </w:r>
          </w:p>
        </w:tc>
      </w:tr>
      <w:tr w:rsidR="00965E23" w:rsidRPr="003B1BAA" w14:paraId="355659A0"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7195B2A8" w14:textId="4941013D" w:rsidR="00965E23" w:rsidRPr="00E22F5F" w:rsidRDefault="0032152F" w:rsidP="003B1BAA">
            <w:pPr>
              <w:rPr>
                <w:b w:val="0"/>
              </w:rPr>
            </w:pPr>
            <w:r w:rsidRPr="00E22F5F">
              <w:rPr>
                <w:rFonts w:ascii="Verdana" w:eastAsia="Times New Roman" w:hAnsi="Verdana" w:cs="Arial"/>
                <w:b w:val="0"/>
                <w:color w:val="1A206C"/>
                <w:spacing w:val="0"/>
                <w:szCs w:val="20"/>
                <w:lang w:eastAsia="en-AU"/>
              </w:rPr>
              <w:t>Baseline adjustments ($m)</w:t>
            </w:r>
          </w:p>
        </w:tc>
        <w:tc>
          <w:tcPr>
            <w:tcW w:w="600" w:type="pct"/>
            <w:vAlign w:val="center"/>
            <w:hideMark/>
          </w:tcPr>
          <w:p w14:paraId="16F3BFDC" w14:textId="5DD9571A" w:rsidR="00965E23" w:rsidRPr="003B1BAA" w:rsidRDefault="00965E23" w:rsidP="00FA7F19">
            <w:pPr>
              <w:jc w:val="right"/>
              <w:cnfStyle w:val="000000000000" w:firstRow="0" w:lastRow="0" w:firstColumn="0" w:lastColumn="0" w:oddVBand="0" w:evenVBand="0" w:oddHBand="0" w:evenHBand="0" w:firstRowFirstColumn="0" w:firstRowLastColumn="0" w:lastRowFirstColumn="0" w:lastRowLastColumn="0"/>
            </w:pPr>
          </w:p>
        </w:tc>
        <w:tc>
          <w:tcPr>
            <w:tcW w:w="577" w:type="pct"/>
            <w:vAlign w:val="center"/>
            <w:hideMark/>
          </w:tcPr>
          <w:p w14:paraId="201412E5" w14:textId="58EFBC6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4.47 </w:t>
            </w:r>
          </w:p>
        </w:tc>
        <w:tc>
          <w:tcPr>
            <w:tcW w:w="577" w:type="pct"/>
            <w:vAlign w:val="center"/>
            <w:hideMark/>
          </w:tcPr>
          <w:p w14:paraId="3D25A8F8" w14:textId="1ABB685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7.49 </w:t>
            </w:r>
          </w:p>
        </w:tc>
        <w:tc>
          <w:tcPr>
            <w:tcW w:w="577" w:type="pct"/>
            <w:vAlign w:val="center"/>
            <w:hideMark/>
          </w:tcPr>
          <w:p w14:paraId="68CFFA66" w14:textId="0DD0A173"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8.23 </w:t>
            </w:r>
          </w:p>
        </w:tc>
        <w:tc>
          <w:tcPr>
            <w:tcW w:w="577" w:type="pct"/>
            <w:vAlign w:val="center"/>
            <w:hideMark/>
          </w:tcPr>
          <w:p w14:paraId="0DC5FFC3" w14:textId="724BC3A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9.08 </w:t>
            </w:r>
          </w:p>
        </w:tc>
        <w:tc>
          <w:tcPr>
            <w:tcW w:w="577" w:type="pct"/>
            <w:vAlign w:val="center"/>
            <w:hideMark/>
          </w:tcPr>
          <w:p w14:paraId="7FF1941B" w14:textId="47CF045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9.69 </w:t>
            </w:r>
          </w:p>
        </w:tc>
        <w:tc>
          <w:tcPr>
            <w:tcW w:w="638" w:type="pct"/>
            <w:vAlign w:val="center"/>
            <w:hideMark/>
          </w:tcPr>
          <w:p w14:paraId="71CBDFD1" w14:textId="21C10EE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34.49</w:t>
            </w:r>
          </w:p>
        </w:tc>
      </w:tr>
      <w:tr w:rsidR="00965E23" w:rsidRPr="003B1BAA" w14:paraId="1E439305"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4CB91CFA" w14:textId="6A97AC0D" w:rsidR="00965E23" w:rsidRPr="003B1BAA" w:rsidRDefault="0032152F" w:rsidP="003B1BAA">
            <w:r w:rsidRPr="00696800">
              <w:rPr>
                <w:rFonts w:ascii="Verdana" w:eastAsia="Times New Roman" w:hAnsi="Verdana" w:cs="Arial"/>
                <w:bCs/>
                <w:color w:val="1A206C"/>
                <w:spacing w:val="0"/>
                <w:szCs w:val="20"/>
                <w:lang w:eastAsia="en-AU"/>
              </w:rPr>
              <w:t>Total ($m)</w:t>
            </w:r>
          </w:p>
        </w:tc>
        <w:tc>
          <w:tcPr>
            <w:tcW w:w="600" w:type="pct"/>
            <w:vAlign w:val="center"/>
            <w:hideMark/>
          </w:tcPr>
          <w:p w14:paraId="74997217" w14:textId="169FFFF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209.63 </w:t>
            </w:r>
          </w:p>
        </w:tc>
        <w:tc>
          <w:tcPr>
            <w:tcW w:w="577" w:type="pct"/>
            <w:vAlign w:val="center"/>
            <w:hideMark/>
          </w:tcPr>
          <w:p w14:paraId="3DBAE34D" w14:textId="57A8FD0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216.81 </w:t>
            </w:r>
          </w:p>
        </w:tc>
        <w:tc>
          <w:tcPr>
            <w:tcW w:w="577" w:type="pct"/>
            <w:vAlign w:val="center"/>
            <w:hideMark/>
          </w:tcPr>
          <w:p w14:paraId="45AEE00E" w14:textId="01365EA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218.18 </w:t>
            </w:r>
          </w:p>
        </w:tc>
        <w:tc>
          <w:tcPr>
            <w:tcW w:w="577" w:type="pct"/>
            <w:vAlign w:val="center"/>
            <w:hideMark/>
          </w:tcPr>
          <w:p w14:paraId="60D6662E" w14:textId="492308B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218.52 </w:t>
            </w:r>
          </w:p>
        </w:tc>
        <w:tc>
          <w:tcPr>
            <w:tcW w:w="577" w:type="pct"/>
            <w:vAlign w:val="center"/>
            <w:hideMark/>
          </w:tcPr>
          <w:p w14:paraId="1C1ADE89" w14:textId="3E81920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219.00 </w:t>
            </w:r>
          </w:p>
        </w:tc>
        <w:tc>
          <w:tcPr>
            <w:tcW w:w="577" w:type="pct"/>
            <w:vAlign w:val="center"/>
            <w:hideMark/>
          </w:tcPr>
          <w:p w14:paraId="4DD7EFDB" w14:textId="0F95C22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220.42 </w:t>
            </w:r>
          </w:p>
        </w:tc>
        <w:tc>
          <w:tcPr>
            <w:tcW w:w="638" w:type="pct"/>
            <w:vAlign w:val="center"/>
            <w:hideMark/>
          </w:tcPr>
          <w:p w14:paraId="70198656" w14:textId="0A83501C"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 xml:space="preserve">876.12 </w:t>
            </w:r>
          </w:p>
        </w:tc>
      </w:tr>
      <w:tr w:rsidR="00965E23" w:rsidRPr="003B1BAA" w14:paraId="3BE5CF53"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216BF15F" w14:textId="6E382462" w:rsidR="00965E23" w:rsidRPr="003B1BAA" w:rsidRDefault="0032152F" w:rsidP="003B1BAA">
            <w:r w:rsidRPr="00696800">
              <w:rPr>
                <w:rFonts w:ascii="Verdana" w:eastAsia="Times New Roman" w:hAnsi="Verdana" w:cs="Arial"/>
                <w:bCs/>
                <w:color w:val="1A206C"/>
                <w:spacing w:val="0"/>
                <w:szCs w:val="20"/>
                <w:lang w:eastAsia="en-AU"/>
              </w:rPr>
              <w:t>Total ($ per connection)</w:t>
            </w:r>
          </w:p>
        </w:tc>
        <w:tc>
          <w:tcPr>
            <w:tcW w:w="600" w:type="pct"/>
            <w:vAlign w:val="center"/>
            <w:hideMark/>
          </w:tcPr>
          <w:p w14:paraId="45179916" w14:textId="7AD8B7E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341</w:t>
            </w:r>
          </w:p>
        </w:tc>
        <w:tc>
          <w:tcPr>
            <w:tcW w:w="577" w:type="pct"/>
            <w:vAlign w:val="center"/>
            <w:hideMark/>
          </w:tcPr>
          <w:p w14:paraId="3558B716" w14:textId="6713932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341</w:t>
            </w:r>
          </w:p>
        </w:tc>
        <w:tc>
          <w:tcPr>
            <w:tcW w:w="577" w:type="pct"/>
            <w:vAlign w:val="center"/>
            <w:hideMark/>
          </w:tcPr>
          <w:p w14:paraId="27749585" w14:textId="7500F33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333</w:t>
            </w:r>
          </w:p>
        </w:tc>
        <w:tc>
          <w:tcPr>
            <w:tcW w:w="577" w:type="pct"/>
            <w:vAlign w:val="center"/>
            <w:hideMark/>
          </w:tcPr>
          <w:p w14:paraId="3E98D094" w14:textId="4080749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324</w:t>
            </w:r>
          </w:p>
        </w:tc>
        <w:tc>
          <w:tcPr>
            <w:tcW w:w="577" w:type="pct"/>
            <w:vAlign w:val="center"/>
            <w:hideMark/>
          </w:tcPr>
          <w:p w14:paraId="07869FA0" w14:textId="1B0530B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316</w:t>
            </w:r>
          </w:p>
        </w:tc>
        <w:tc>
          <w:tcPr>
            <w:tcW w:w="577" w:type="pct"/>
            <w:vAlign w:val="center"/>
            <w:hideMark/>
          </w:tcPr>
          <w:p w14:paraId="52A67924" w14:textId="312A223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310</w:t>
            </w:r>
          </w:p>
        </w:tc>
        <w:tc>
          <w:tcPr>
            <w:tcW w:w="638" w:type="pct"/>
            <w:vAlign w:val="center"/>
            <w:hideMark/>
          </w:tcPr>
          <w:p w14:paraId="578246DF" w14:textId="386E592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 </w:t>
            </w:r>
          </w:p>
        </w:tc>
      </w:tr>
    </w:tbl>
    <w:p w14:paraId="6C9D76D7" w14:textId="77777777" w:rsidR="00965E23" w:rsidRPr="00965E23" w:rsidRDefault="00965E23" w:rsidP="003B1CF4">
      <w:pPr>
        <w:pStyle w:val="H2xappendixlevel3H"/>
      </w:pPr>
      <w:r w:rsidRPr="00965E23">
        <w:lastRenderedPageBreak/>
        <w:t>Non-controllable operating expenditure</w:t>
      </w:r>
    </w:p>
    <w:p w14:paraId="6FE50047" w14:textId="77777777" w:rsidR="00965E23" w:rsidRPr="00965E23" w:rsidRDefault="00965E23" w:rsidP="00965E23">
      <w:r w:rsidRPr="00965E23">
        <w:t xml:space="preserve">We source over 90% of our water from our bulk suppliers, Melbourne Water and Southern Rural Water. Melbourne Water treats over 85% of our sewage. Along with bulk costs, we also pay licence fees and levies to government authorities. Over the next four years, we are forecast to pay $1,644.8 million in non-controllable operating expenditure. This accounts for two-thirds of total operating expenditure. </w:t>
      </w:r>
    </w:p>
    <w:p w14:paraId="3F488C78" w14:textId="0C22E114" w:rsidR="00965E23" w:rsidRPr="00965E23" w:rsidRDefault="00EA310A" w:rsidP="00965E23">
      <w:r>
        <w:fldChar w:fldCharType="begin"/>
      </w:r>
      <w:r>
        <w:instrText xml:space="preserve"> REF _Ref146030736 \h </w:instrText>
      </w:r>
      <w:r>
        <w:fldChar w:fldCharType="separate"/>
      </w:r>
      <w:r w:rsidR="003B42C6" w:rsidRPr="00E22F5F">
        <w:rPr>
          <w:b/>
        </w:rPr>
        <w:t xml:space="preserve">Table </w:t>
      </w:r>
      <w:r w:rsidR="003B42C6">
        <w:rPr>
          <w:b/>
          <w:noProof/>
        </w:rPr>
        <w:t>99</w:t>
      </w:r>
      <w:r>
        <w:fldChar w:fldCharType="end"/>
      </w:r>
      <w:r w:rsidR="00454744">
        <w:t xml:space="preserve"> </w:t>
      </w:r>
      <w:r w:rsidR="00965E23" w:rsidRPr="00965E23">
        <w:t>provides an itemised list of non-controllable costs that are paid to different entities.</w:t>
      </w:r>
    </w:p>
    <w:p w14:paraId="2FCDEE2F" w14:textId="716B4905" w:rsidR="00FA7F19" w:rsidRDefault="00FA7F19" w:rsidP="00FA7F19">
      <w:pPr>
        <w:pStyle w:val="Caption"/>
      </w:pPr>
      <w:bookmarkStart w:id="432" w:name="_Ref146030736"/>
      <w:r w:rsidRPr="00E22F5F">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99</w:t>
      </w:r>
      <w:r w:rsidR="001F7221" w:rsidRPr="00021420">
        <w:rPr>
          <w:b/>
        </w:rPr>
        <w:fldChar w:fldCharType="end"/>
      </w:r>
      <w:bookmarkEnd w:id="432"/>
      <w:r>
        <w:t xml:space="preserve"> </w:t>
      </w:r>
      <w:proofErr w:type="gramStart"/>
      <w:r w:rsidRPr="00F24DC8">
        <w:t>Non-controllable</w:t>
      </w:r>
      <w:proofErr w:type="gramEnd"/>
      <w:r w:rsidRPr="00F24DC8">
        <w:t xml:space="preserve"> operating expenditure ($million, 2023-24)</w:t>
      </w:r>
    </w:p>
    <w:tbl>
      <w:tblPr>
        <w:tblStyle w:val="GWWDefaulttable"/>
        <w:tblW w:w="5000" w:type="pct"/>
        <w:tblLook w:val="04A0" w:firstRow="1" w:lastRow="0" w:firstColumn="1" w:lastColumn="0" w:noHBand="0" w:noVBand="1"/>
      </w:tblPr>
      <w:tblGrid>
        <w:gridCol w:w="2246"/>
        <w:gridCol w:w="1232"/>
        <w:gridCol w:w="1232"/>
        <w:gridCol w:w="1232"/>
        <w:gridCol w:w="1232"/>
        <w:gridCol w:w="1232"/>
        <w:gridCol w:w="1232"/>
      </w:tblGrid>
      <w:tr w:rsidR="00965E23" w:rsidRPr="003B1BAA" w14:paraId="24EEE8B5" w14:textId="77777777" w:rsidTr="00E22F5F">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3AD6914B" w14:textId="77777777" w:rsidR="00965E23" w:rsidRPr="00E22F5F" w:rsidRDefault="00965E23" w:rsidP="003B1BAA">
            <w:pPr>
              <w:rPr>
                <w:szCs w:val="18"/>
              </w:rPr>
            </w:pPr>
            <w:r w:rsidRPr="00E22F5F">
              <w:rPr>
                <w:szCs w:val="18"/>
              </w:rPr>
              <w:t> </w:t>
            </w:r>
          </w:p>
        </w:tc>
        <w:tc>
          <w:tcPr>
            <w:tcW w:w="639" w:type="pct"/>
            <w:vAlign w:val="center"/>
            <w:hideMark/>
          </w:tcPr>
          <w:p w14:paraId="5490B1CD"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2023-24</w:t>
            </w:r>
          </w:p>
        </w:tc>
        <w:tc>
          <w:tcPr>
            <w:tcW w:w="639" w:type="pct"/>
            <w:vAlign w:val="center"/>
            <w:hideMark/>
          </w:tcPr>
          <w:p w14:paraId="4E01F138"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2024-25</w:t>
            </w:r>
          </w:p>
        </w:tc>
        <w:tc>
          <w:tcPr>
            <w:tcW w:w="639" w:type="pct"/>
            <w:vAlign w:val="center"/>
            <w:hideMark/>
          </w:tcPr>
          <w:p w14:paraId="3B8FD2D3"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2025-26</w:t>
            </w:r>
          </w:p>
        </w:tc>
        <w:tc>
          <w:tcPr>
            <w:tcW w:w="639" w:type="pct"/>
            <w:vAlign w:val="center"/>
            <w:hideMark/>
          </w:tcPr>
          <w:p w14:paraId="1797CE8F"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2026-27</w:t>
            </w:r>
          </w:p>
        </w:tc>
        <w:tc>
          <w:tcPr>
            <w:tcW w:w="639" w:type="pct"/>
            <w:vAlign w:val="center"/>
            <w:hideMark/>
          </w:tcPr>
          <w:p w14:paraId="35DBF8A0"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2027-28</w:t>
            </w:r>
          </w:p>
        </w:tc>
        <w:tc>
          <w:tcPr>
            <w:tcW w:w="639" w:type="pct"/>
            <w:vAlign w:val="center"/>
            <w:hideMark/>
          </w:tcPr>
          <w:p w14:paraId="52DDE033" w14:textId="7F15454F"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 xml:space="preserve">Total </w:t>
            </w:r>
            <w:r w:rsidR="004D343E">
              <w:rPr>
                <w:szCs w:val="18"/>
              </w:rPr>
              <w:br/>
            </w:r>
            <w:r w:rsidRPr="00E22F5F">
              <w:rPr>
                <w:szCs w:val="18"/>
              </w:rPr>
              <w:t>(4</w:t>
            </w:r>
            <w:r w:rsidR="00E22F5F" w:rsidRPr="00E22F5F">
              <w:rPr>
                <w:szCs w:val="18"/>
              </w:rPr>
              <w:t xml:space="preserve"> </w:t>
            </w:r>
            <w:r w:rsidRPr="00E22F5F">
              <w:rPr>
                <w:szCs w:val="18"/>
              </w:rPr>
              <w:t>years)</w:t>
            </w:r>
          </w:p>
        </w:tc>
      </w:tr>
      <w:tr w:rsidR="00965E23" w:rsidRPr="003B1BAA" w14:paraId="4F0C108C"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7C623BF8" w14:textId="77777777" w:rsidR="00965E23" w:rsidRPr="00E22F5F" w:rsidRDefault="00965E23" w:rsidP="003B1BAA">
            <w:pPr>
              <w:rPr>
                <w:b w:val="0"/>
                <w:szCs w:val="18"/>
              </w:rPr>
            </w:pPr>
            <w:r w:rsidRPr="00E22F5F">
              <w:rPr>
                <w:b w:val="0"/>
                <w:szCs w:val="18"/>
              </w:rPr>
              <w:t>Melbourne Water – water  </w:t>
            </w:r>
          </w:p>
        </w:tc>
        <w:tc>
          <w:tcPr>
            <w:tcW w:w="639" w:type="pct"/>
            <w:vAlign w:val="center"/>
            <w:hideMark/>
          </w:tcPr>
          <w:p w14:paraId="5FA39F9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257.89</w:t>
            </w:r>
          </w:p>
        </w:tc>
        <w:tc>
          <w:tcPr>
            <w:tcW w:w="639" w:type="pct"/>
            <w:vAlign w:val="center"/>
            <w:hideMark/>
          </w:tcPr>
          <w:p w14:paraId="232E3F7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256.53</w:t>
            </w:r>
          </w:p>
        </w:tc>
        <w:tc>
          <w:tcPr>
            <w:tcW w:w="639" w:type="pct"/>
            <w:vAlign w:val="center"/>
            <w:hideMark/>
          </w:tcPr>
          <w:p w14:paraId="4046A43B"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255.41</w:t>
            </w:r>
          </w:p>
        </w:tc>
        <w:tc>
          <w:tcPr>
            <w:tcW w:w="639" w:type="pct"/>
            <w:vAlign w:val="center"/>
            <w:hideMark/>
          </w:tcPr>
          <w:p w14:paraId="7117550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255.78</w:t>
            </w:r>
          </w:p>
        </w:tc>
        <w:tc>
          <w:tcPr>
            <w:tcW w:w="639" w:type="pct"/>
            <w:vAlign w:val="center"/>
            <w:hideMark/>
          </w:tcPr>
          <w:p w14:paraId="272504F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257.10</w:t>
            </w:r>
          </w:p>
        </w:tc>
        <w:tc>
          <w:tcPr>
            <w:tcW w:w="639" w:type="pct"/>
            <w:vAlign w:val="center"/>
            <w:hideMark/>
          </w:tcPr>
          <w:p w14:paraId="523B7BE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1,024.82</w:t>
            </w:r>
          </w:p>
        </w:tc>
      </w:tr>
      <w:tr w:rsidR="00965E23" w:rsidRPr="003B1BAA" w14:paraId="5A14DD18"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1CE3B256" w14:textId="77777777" w:rsidR="00965E23" w:rsidRPr="00E22F5F" w:rsidRDefault="00965E23" w:rsidP="003B1BAA">
            <w:pPr>
              <w:rPr>
                <w:b w:val="0"/>
                <w:szCs w:val="18"/>
              </w:rPr>
            </w:pPr>
            <w:r w:rsidRPr="00E22F5F">
              <w:rPr>
                <w:b w:val="0"/>
                <w:szCs w:val="18"/>
              </w:rPr>
              <w:t>Melbourne Water – sewerage </w:t>
            </w:r>
          </w:p>
        </w:tc>
        <w:tc>
          <w:tcPr>
            <w:tcW w:w="639" w:type="pct"/>
            <w:vAlign w:val="center"/>
            <w:hideMark/>
          </w:tcPr>
          <w:p w14:paraId="663D612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112.61</w:t>
            </w:r>
          </w:p>
        </w:tc>
        <w:tc>
          <w:tcPr>
            <w:tcW w:w="639" w:type="pct"/>
            <w:vAlign w:val="center"/>
            <w:hideMark/>
          </w:tcPr>
          <w:p w14:paraId="5BC54C8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115.92</w:t>
            </w:r>
          </w:p>
        </w:tc>
        <w:tc>
          <w:tcPr>
            <w:tcW w:w="639" w:type="pct"/>
            <w:vAlign w:val="center"/>
            <w:hideMark/>
          </w:tcPr>
          <w:p w14:paraId="3B15500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119.64</w:t>
            </w:r>
          </w:p>
        </w:tc>
        <w:tc>
          <w:tcPr>
            <w:tcW w:w="639" w:type="pct"/>
            <w:vAlign w:val="center"/>
            <w:hideMark/>
          </w:tcPr>
          <w:p w14:paraId="3BAAE6F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119.78</w:t>
            </w:r>
          </w:p>
        </w:tc>
        <w:tc>
          <w:tcPr>
            <w:tcW w:w="639" w:type="pct"/>
            <w:vAlign w:val="center"/>
            <w:hideMark/>
          </w:tcPr>
          <w:p w14:paraId="266C73B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120.10</w:t>
            </w:r>
          </w:p>
        </w:tc>
        <w:tc>
          <w:tcPr>
            <w:tcW w:w="639" w:type="pct"/>
            <w:vAlign w:val="center"/>
            <w:hideMark/>
          </w:tcPr>
          <w:p w14:paraId="299F29D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475.45</w:t>
            </w:r>
          </w:p>
        </w:tc>
      </w:tr>
      <w:tr w:rsidR="00965E23" w:rsidRPr="003B1BAA" w14:paraId="1886925F"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6D72C033" w14:textId="77777777" w:rsidR="00965E23" w:rsidRPr="00E22F5F" w:rsidRDefault="00965E23" w:rsidP="003B1BAA">
            <w:pPr>
              <w:rPr>
                <w:b w:val="0"/>
                <w:szCs w:val="18"/>
              </w:rPr>
            </w:pPr>
            <w:r w:rsidRPr="00E22F5F">
              <w:rPr>
                <w:b w:val="0"/>
                <w:szCs w:val="18"/>
              </w:rPr>
              <w:t>Melbourne Water – recycled water </w:t>
            </w:r>
          </w:p>
        </w:tc>
        <w:tc>
          <w:tcPr>
            <w:tcW w:w="639" w:type="pct"/>
            <w:vAlign w:val="center"/>
            <w:hideMark/>
          </w:tcPr>
          <w:p w14:paraId="6644669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6921085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334B09F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60CA205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4546D09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48BD12C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2.92</w:t>
            </w:r>
          </w:p>
        </w:tc>
      </w:tr>
      <w:tr w:rsidR="00965E23" w:rsidRPr="003B1BAA" w14:paraId="3547584E"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7DAA08D2" w14:textId="77777777" w:rsidR="00965E23" w:rsidRPr="00E22F5F" w:rsidRDefault="00965E23" w:rsidP="003B1BAA">
            <w:pPr>
              <w:rPr>
                <w:b w:val="0"/>
                <w:szCs w:val="18"/>
              </w:rPr>
            </w:pPr>
            <w:r w:rsidRPr="00E22F5F">
              <w:rPr>
                <w:b w:val="0"/>
                <w:szCs w:val="18"/>
              </w:rPr>
              <w:t>Southern Rural Water – water </w:t>
            </w:r>
          </w:p>
        </w:tc>
        <w:tc>
          <w:tcPr>
            <w:tcW w:w="639" w:type="pct"/>
            <w:vAlign w:val="center"/>
            <w:hideMark/>
          </w:tcPr>
          <w:p w14:paraId="7F2156F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2.58</w:t>
            </w:r>
          </w:p>
        </w:tc>
        <w:tc>
          <w:tcPr>
            <w:tcW w:w="639" w:type="pct"/>
            <w:vAlign w:val="center"/>
            <w:hideMark/>
          </w:tcPr>
          <w:p w14:paraId="3D1283D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2.59</w:t>
            </w:r>
          </w:p>
        </w:tc>
        <w:tc>
          <w:tcPr>
            <w:tcW w:w="639" w:type="pct"/>
            <w:vAlign w:val="center"/>
            <w:hideMark/>
          </w:tcPr>
          <w:p w14:paraId="0A59CDC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2.60</w:t>
            </w:r>
          </w:p>
        </w:tc>
        <w:tc>
          <w:tcPr>
            <w:tcW w:w="639" w:type="pct"/>
            <w:vAlign w:val="center"/>
            <w:hideMark/>
          </w:tcPr>
          <w:p w14:paraId="3237A42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2.66</w:t>
            </w:r>
          </w:p>
        </w:tc>
        <w:tc>
          <w:tcPr>
            <w:tcW w:w="639" w:type="pct"/>
            <w:vAlign w:val="center"/>
            <w:hideMark/>
          </w:tcPr>
          <w:p w14:paraId="1BA2599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2.71</w:t>
            </w:r>
          </w:p>
        </w:tc>
        <w:tc>
          <w:tcPr>
            <w:tcW w:w="639" w:type="pct"/>
            <w:vAlign w:val="center"/>
            <w:hideMark/>
          </w:tcPr>
          <w:p w14:paraId="3E53F0B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10.56</w:t>
            </w:r>
          </w:p>
        </w:tc>
      </w:tr>
      <w:tr w:rsidR="00965E23" w:rsidRPr="003B1BAA" w14:paraId="7A25AC3E"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D13736B" w14:textId="77777777" w:rsidR="00965E23" w:rsidRPr="00E22F5F" w:rsidRDefault="00965E23" w:rsidP="003B1BAA">
            <w:pPr>
              <w:rPr>
                <w:b w:val="0"/>
                <w:szCs w:val="18"/>
              </w:rPr>
            </w:pPr>
            <w:r w:rsidRPr="00E22F5F">
              <w:rPr>
                <w:b w:val="0"/>
                <w:szCs w:val="18"/>
              </w:rPr>
              <w:t>Goulburn-Murray Water – Goulburn and Murray water entitlements </w:t>
            </w:r>
          </w:p>
        </w:tc>
        <w:tc>
          <w:tcPr>
            <w:tcW w:w="639" w:type="pct"/>
            <w:vAlign w:val="center"/>
            <w:hideMark/>
          </w:tcPr>
          <w:p w14:paraId="3E3F837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0.47</w:t>
            </w:r>
          </w:p>
        </w:tc>
        <w:tc>
          <w:tcPr>
            <w:tcW w:w="639" w:type="pct"/>
            <w:vAlign w:val="center"/>
            <w:hideMark/>
          </w:tcPr>
          <w:p w14:paraId="25A47EB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0.42</w:t>
            </w:r>
          </w:p>
        </w:tc>
        <w:tc>
          <w:tcPr>
            <w:tcW w:w="639" w:type="pct"/>
            <w:vAlign w:val="center"/>
            <w:hideMark/>
          </w:tcPr>
          <w:p w14:paraId="329F368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0.40</w:t>
            </w:r>
          </w:p>
        </w:tc>
        <w:tc>
          <w:tcPr>
            <w:tcW w:w="639" w:type="pct"/>
            <w:vAlign w:val="center"/>
            <w:hideMark/>
          </w:tcPr>
          <w:p w14:paraId="20FBF4B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0.40</w:t>
            </w:r>
          </w:p>
        </w:tc>
        <w:tc>
          <w:tcPr>
            <w:tcW w:w="639" w:type="pct"/>
            <w:vAlign w:val="center"/>
            <w:hideMark/>
          </w:tcPr>
          <w:p w14:paraId="7CE90818"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0.39</w:t>
            </w:r>
          </w:p>
        </w:tc>
        <w:tc>
          <w:tcPr>
            <w:tcW w:w="639" w:type="pct"/>
            <w:vAlign w:val="center"/>
            <w:hideMark/>
          </w:tcPr>
          <w:p w14:paraId="12E8703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1.61</w:t>
            </w:r>
          </w:p>
        </w:tc>
      </w:tr>
      <w:tr w:rsidR="00965E23" w:rsidRPr="003B1BAA" w14:paraId="7707CA33"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124DC48E" w14:textId="77777777" w:rsidR="00965E23" w:rsidRPr="00E22F5F" w:rsidRDefault="00965E23" w:rsidP="003B1BAA">
            <w:pPr>
              <w:rPr>
                <w:b w:val="0"/>
                <w:szCs w:val="18"/>
              </w:rPr>
            </w:pPr>
            <w:r w:rsidRPr="00E22F5F">
              <w:rPr>
                <w:b w:val="0"/>
                <w:szCs w:val="18"/>
              </w:rPr>
              <w:t>Barwon Water – Access to Melbourne Geelong Pipeline </w:t>
            </w:r>
          </w:p>
        </w:tc>
        <w:tc>
          <w:tcPr>
            <w:tcW w:w="639" w:type="pct"/>
            <w:vAlign w:val="center"/>
            <w:hideMark/>
          </w:tcPr>
          <w:p w14:paraId="4C7A432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096EA7D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75292B2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47689D4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1365A1A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3CF751B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1.30</w:t>
            </w:r>
          </w:p>
        </w:tc>
      </w:tr>
      <w:tr w:rsidR="00965E23" w:rsidRPr="003B1BAA" w14:paraId="6CC3A58A"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0E5011D" w14:textId="77777777" w:rsidR="00965E23" w:rsidRPr="00E22F5F" w:rsidRDefault="00965E23" w:rsidP="003B1BAA">
            <w:pPr>
              <w:rPr>
                <w:b w:val="0"/>
                <w:szCs w:val="18"/>
              </w:rPr>
            </w:pPr>
            <w:r w:rsidRPr="00E22F5F">
              <w:rPr>
                <w:b w:val="0"/>
                <w:szCs w:val="18"/>
              </w:rPr>
              <w:t>Licence fees – Essential Services Commission </w:t>
            </w:r>
          </w:p>
        </w:tc>
        <w:tc>
          <w:tcPr>
            <w:tcW w:w="639" w:type="pct"/>
            <w:vAlign w:val="center"/>
            <w:hideMark/>
          </w:tcPr>
          <w:p w14:paraId="6C686F4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7D82DEE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20AE0196"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4E7F9DD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10D77D2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35E9FE0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2.26</w:t>
            </w:r>
          </w:p>
        </w:tc>
      </w:tr>
      <w:tr w:rsidR="00965E23" w:rsidRPr="003B1BAA" w14:paraId="2F76ED94"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28B28C28" w14:textId="77777777" w:rsidR="00965E23" w:rsidRPr="00E22F5F" w:rsidRDefault="00965E23" w:rsidP="003B1BAA">
            <w:pPr>
              <w:rPr>
                <w:b w:val="0"/>
                <w:szCs w:val="18"/>
              </w:rPr>
            </w:pPr>
            <w:r w:rsidRPr="00E22F5F">
              <w:rPr>
                <w:b w:val="0"/>
                <w:szCs w:val="18"/>
              </w:rPr>
              <w:t>Licence fees – Department of Health </w:t>
            </w:r>
          </w:p>
        </w:tc>
        <w:tc>
          <w:tcPr>
            <w:tcW w:w="639" w:type="pct"/>
            <w:vAlign w:val="center"/>
            <w:hideMark/>
          </w:tcPr>
          <w:p w14:paraId="64B79918"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7279214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2BFDBE4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4078EFB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7A916EC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3854FCE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0.76</w:t>
            </w:r>
          </w:p>
        </w:tc>
      </w:tr>
      <w:tr w:rsidR="00965E23" w:rsidRPr="003B1BAA" w14:paraId="4D8AB05A"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085216F" w14:textId="77777777" w:rsidR="00965E23" w:rsidRPr="00E22F5F" w:rsidRDefault="00965E23" w:rsidP="003B1BAA">
            <w:pPr>
              <w:rPr>
                <w:b w:val="0"/>
                <w:szCs w:val="18"/>
              </w:rPr>
            </w:pPr>
            <w:r w:rsidRPr="00E22F5F">
              <w:rPr>
                <w:b w:val="0"/>
                <w:szCs w:val="18"/>
              </w:rPr>
              <w:t>Licence fees – Environment Protection Authority </w:t>
            </w:r>
          </w:p>
        </w:tc>
        <w:tc>
          <w:tcPr>
            <w:tcW w:w="639" w:type="pct"/>
            <w:vAlign w:val="center"/>
            <w:hideMark/>
          </w:tcPr>
          <w:p w14:paraId="0E604A9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1F19226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2248745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0A4C77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C8456B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BFE803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0.54</w:t>
            </w:r>
          </w:p>
        </w:tc>
      </w:tr>
      <w:tr w:rsidR="00965E23" w:rsidRPr="003B1BAA" w14:paraId="4E4F3A91"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5C9C40C3" w14:textId="77777777" w:rsidR="00965E23" w:rsidRPr="00E22F5F" w:rsidRDefault="00965E23" w:rsidP="003B1BAA">
            <w:pPr>
              <w:rPr>
                <w:b w:val="0"/>
                <w:szCs w:val="18"/>
              </w:rPr>
            </w:pPr>
            <w:r w:rsidRPr="00E22F5F">
              <w:rPr>
                <w:b w:val="0"/>
                <w:szCs w:val="18"/>
              </w:rPr>
              <w:t>Environmental Contribution Levy </w:t>
            </w:r>
          </w:p>
        </w:tc>
        <w:tc>
          <w:tcPr>
            <w:tcW w:w="639" w:type="pct"/>
            <w:vAlign w:val="center"/>
            <w:hideMark/>
          </w:tcPr>
          <w:p w14:paraId="716D7166"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33.91</w:t>
            </w:r>
          </w:p>
        </w:tc>
        <w:tc>
          <w:tcPr>
            <w:tcW w:w="639" w:type="pct"/>
            <w:vAlign w:val="center"/>
            <w:hideMark/>
          </w:tcPr>
          <w:p w14:paraId="0EA439D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32.77</w:t>
            </w:r>
          </w:p>
        </w:tc>
        <w:tc>
          <w:tcPr>
            <w:tcW w:w="639" w:type="pct"/>
            <w:vAlign w:val="center"/>
            <w:hideMark/>
          </w:tcPr>
          <w:p w14:paraId="4D4C84A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31.66</w:t>
            </w:r>
          </w:p>
        </w:tc>
        <w:tc>
          <w:tcPr>
            <w:tcW w:w="639" w:type="pct"/>
            <w:vAlign w:val="center"/>
            <w:hideMark/>
          </w:tcPr>
          <w:p w14:paraId="0B8A3C2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30.59</w:t>
            </w:r>
          </w:p>
        </w:tc>
        <w:tc>
          <w:tcPr>
            <w:tcW w:w="639" w:type="pct"/>
            <w:vAlign w:val="center"/>
            <w:hideMark/>
          </w:tcPr>
          <w:p w14:paraId="5131BE0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29.55</w:t>
            </w:r>
          </w:p>
        </w:tc>
        <w:tc>
          <w:tcPr>
            <w:tcW w:w="639" w:type="pct"/>
            <w:vAlign w:val="center"/>
            <w:hideMark/>
          </w:tcPr>
          <w:p w14:paraId="7C546FB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124.56</w:t>
            </w:r>
          </w:p>
        </w:tc>
      </w:tr>
      <w:tr w:rsidR="00965E23" w:rsidRPr="003B1BAA" w14:paraId="409A34BC"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50869A3A" w14:textId="77777777" w:rsidR="00965E23" w:rsidRPr="00E22F5F" w:rsidRDefault="00965E23" w:rsidP="003B1BAA">
            <w:pPr>
              <w:rPr>
                <w:szCs w:val="18"/>
              </w:rPr>
            </w:pPr>
            <w:r w:rsidRPr="00E22F5F">
              <w:rPr>
                <w:szCs w:val="18"/>
              </w:rPr>
              <w:lastRenderedPageBreak/>
              <w:t>Total </w:t>
            </w:r>
          </w:p>
        </w:tc>
        <w:tc>
          <w:tcPr>
            <w:tcW w:w="639" w:type="pct"/>
            <w:vAlign w:val="center"/>
            <w:hideMark/>
          </w:tcPr>
          <w:p w14:paraId="56D77CD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409.41</w:t>
            </w:r>
          </w:p>
        </w:tc>
        <w:tc>
          <w:tcPr>
            <w:tcW w:w="639" w:type="pct"/>
            <w:vAlign w:val="center"/>
            <w:hideMark/>
          </w:tcPr>
          <w:p w14:paraId="23DCE87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410.17</w:t>
            </w:r>
          </w:p>
        </w:tc>
        <w:tc>
          <w:tcPr>
            <w:tcW w:w="639" w:type="pct"/>
            <w:vAlign w:val="center"/>
            <w:hideMark/>
          </w:tcPr>
          <w:p w14:paraId="6CCE3AEC"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411.65</w:t>
            </w:r>
          </w:p>
        </w:tc>
        <w:tc>
          <w:tcPr>
            <w:tcW w:w="639" w:type="pct"/>
            <w:vAlign w:val="center"/>
            <w:hideMark/>
          </w:tcPr>
          <w:p w14:paraId="3EB763F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411.16</w:t>
            </w:r>
          </w:p>
        </w:tc>
        <w:tc>
          <w:tcPr>
            <w:tcW w:w="639" w:type="pct"/>
            <w:vAlign w:val="center"/>
            <w:hideMark/>
          </w:tcPr>
          <w:p w14:paraId="1C8230A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411.80</w:t>
            </w:r>
          </w:p>
        </w:tc>
        <w:tc>
          <w:tcPr>
            <w:tcW w:w="639" w:type="pct"/>
            <w:vAlign w:val="center"/>
            <w:hideMark/>
          </w:tcPr>
          <w:p w14:paraId="499051A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1,644.78</w:t>
            </w:r>
          </w:p>
        </w:tc>
      </w:tr>
    </w:tbl>
    <w:p w14:paraId="6F39DC87" w14:textId="77777777" w:rsidR="00965E23" w:rsidRPr="00965E23" w:rsidRDefault="00965E23" w:rsidP="003B1BAA">
      <w:pPr>
        <w:pStyle w:val="Heading4-nonumber"/>
      </w:pPr>
      <w:r w:rsidRPr="00965E23">
        <w:t>Melbourne Water bulk charges</w:t>
      </w:r>
    </w:p>
    <w:p w14:paraId="19CE20F4" w14:textId="77777777" w:rsidR="00965E23" w:rsidRPr="00965E23" w:rsidRDefault="00965E23" w:rsidP="00965E23">
      <w:r w:rsidRPr="00965E23">
        <w:t xml:space="preserve">GWW pays bulk charges to Melbourne Water for treatment and transport of water and sewage. This is our largest single operating expenditure cost, accounting for 59% of total operating expenditure. Melbourne Water has provided us with a forecast of prices for the 2024-28 regulatory period. </w:t>
      </w:r>
    </w:p>
    <w:p w14:paraId="13D2F880" w14:textId="77777777" w:rsidR="00965E23" w:rsidRPr="00965E23" w:rsidRDefault="00965E23" w:rsidP="00965E23">
      <w:r w:rsidRPr="00965E23">
        <w:t>GWW also pays Melbourne Water for the supply of Class A recycled water. This water is further treated at the West Werribee Salt Reduction Plant to lower its salt content.</w:t>
      </w:r>
    </w:p>
    <w:p w14:paraId="1F940165" w14:textId="77777777" w:rsidR="00965E23" w:rsidRPr="00965E23" w:rsidRDefault="00965E23" w:rsidP="00965E23">
      <w:r w:rsidRPr="00965E23">
        <w:t>These costs are forecast to grow in line with GWW’s demand for bulk services and, in the case of water and sewage, in line with the price paths set out in Melbourne Water’s 2021 determination, with stable prices assumed thereafter. We have assumed that current negotiated rates for bulk recycled water will remain stable.</w:t>
      </w:r>
    </w:p>
    <w:p w14:paraId="0C0650B1" w14:textId="77777777" w:rsidR="00965E23" w:rsidRPr="00965E23" w:rsidRDefault="00965E23" w:rsidP="003B1BAA">
      <w:pPr>
        <w:pStyle w:val="Heading4-nonumber"/>
      </w:pPr>
      <w:r w:rsidRPr="00965E23">
        <w:t>Southern Rural Water bulk water charges</w:t>
      </w:r>
    </w:p>
    <w:p w14:paraId="69525756" w14:textId="77777777" w:rsidR="00965E23" w:rsidRPr="00965E23" w:rsidRDefault="00965E23" w:rsidP="00965E23">
      <w:r w:rsidRPr="00965E23">
        <w:t>GWW sources raw water from storages owned and operated by Southern Rural Water. We pay an annual fixed fee regardless of the volume of water drawn. Southern Rural Water provided us with a forecast annual fixed fee from its 2023 price determination.</w:t>
      </w:r>
    </w:p>
    <w:p w14:paraId="16ED718F" w14:textId="77777777" w:rsidR="00965E23" w:rsidRPr="00965E23" w:rsidRDefault="00965E23" w:rsidP="003B1BAA">
      <w:pPr>
        <w:pStyle w:val="Heading4-nonumber"/>
      </w:pPr>
      <w:r w:rsidRPr="00965E23">
        <w:t>Goulburn-Murray Water Bulk water charges</w:t>
      </w:r>
    </w:p>
    <w:p w14:paraId="2E2A4355" w14:textId="77777777" w:rsidR="00965E23" w:rsidRPr="00965E23" w:rsidRDefault="00965E23" w:rsidP="00965E23">
      <w:r w:rsidRPr="00965E23">
        <w:t xml:space="preserve">GWW has a total of 30.5 GL of entitlements within the Murray and Goulburn systems. We will continue to pay bulk entitlement storage fees to Goulburn-Murray Water during the next regulatory period. As Goulburn-Murray Water’s price review is running concurrently to ours, we have based our forecast on data provided to us on 18 July 2023. </w:t>
      </w:r>
    </w:p>
    <w:p w14:paraId="2665D931" w14:textId="77777777" w:rsidR="00965E23" w:rsidRPr="00965E23" w:rsidRDefault="00965E23" w:rsidP="00965E23">
      <w:r w:rsidRPr="00965E23">
        <w:t>Prior to the final determination, we will work with the Goulburn-Murray Water and the ESC to finalise this forecast.</w:t>
      </w:r>
    </w:p>
    <w:p w14:paraId="2C49E0F4" w14:textId="77777777" w:rsidR="00965E23" w:rsidRPr="00965E23" w:rsidRDefault="00965E23" w:rsidP="003B1BAA">
      <w:pPr>
        <w:pStyle w:val="Heading4-nonumber"/>
      </w:pPr>
      <w:r w:rsidRPr="00965E23">
        <w:t>Access to Melbourne Geelong Pipeline</w:t>
      </w:r>
    </w:p>
    <w:p w14:paraId="2947B44D" w14:textId="77777777" w:rsidR="00965E23" w:rsidRPr="00965E23" w:rsidRDefault="00965E23" w:rsidP="00965E23">
      <w:r w:rsidRPr="00965E23">
        <w:t xml:space="preserve">GWW </w:t>
      </w:r>
      <w:proofErr w:type="gramStart"/>
      <w:r w:rsidRPr="00965E23">
        <w:t>entered into</w:t>
      </w:r>
      <w:proofErr w:type="gramEnd"/>
      <w:r w:rsidRPr="00965E23">
        <w:t xml:space="preserve"> an access arrangement with Barwon Water to use the Melbourne Geelong Pipeline. This pipeline has been an important to ensure reliability of water in the south-western part of our network.</w:t>
      </w:r>
    </w:p>
    <w:p w14:paraId="3EDCC8A3" w14:textId="77777777" w:rsidR="00965E23" w:rsidRPr="00965E23" w:rsidRDefault="00965E23" w:rsidP="003B1BAA">
      <w:pPr>
        <w:pStyle w:val="Heading4-nonumber"/>
      </w:pPr>
      <w:r w:rsidRPr="00965E23">
        <w:t>Licence fees</w:t>
      </w:r>
    </w:p>
    <w:p w14:paraId="3709E6D0" w14:textId="77777777" w:rsidR="00965E23" w:rsidRPr="00965E23" w:rsidRDefault="00965E23" w:rsidP="00965E23">
      <w:r w:rsidRPr="00965E23">
        <w:t>We pay licence fees to three government agencies as part of our operating licence. These are paid to Department of Human Services (Drinking Water), Environment Protection Authority (EPA Licence), and Essential Services Commission (ESC licence). These are based on the costs incurred in 2022-23 and are consistent with the financial template.</w:t>
      </w:r>
    </w:p>
    <w:p w14:paraId="11E88BFD" w14:textId="77777777" w:rsidR="00965E23" w:rsidRPr="00965E23" w:rsidRDefault="00965E23" w:rsidP="00965E23">
      <w:r w:rsidRPr="00965E23">
        <w:t>We allocate drinking water to our water costs, EPA licence to sewerage and recycled water, and the ESC licence fee is across all products.</w:t>
      </w:r>
    </w:p>
    <w:p w14:paraId="214F14E5" w14:textId="77777777" w:rsidR="00965E23" w:rsidRPr="00965E23" w:rsidRDefault="00965E23" w:rsidP="003B1BAA">
      <w:pPr>
        <w:pStyle w:val="Heading4-nonumber"/>
      </w:pPr>
      <w:r w:rsidRPr="00965E23">
        <w:lastRenderedPageBreak/>
        <w:t>Environmental Contribution Levy</w:t>
      </w:r>
    </w:p>
    <w:p w14:paraId="71E16091" w14:textId="77777777" w:rsidR="00965E23" w:rsidRDefault="00965E23" w:rsidP="00965E23">
      <w:r w:rsidRPr="00965E23">
        <w:t>GWW pays the Environmental Contribution Levy to DEECA. This is a nominal cost to us of $34 million per year and has been deflated by the inflation assumptions in our financial template. These are based on the costs incurred in 2022-23 and is consistent with the financial template.</w:t>
      </w:r>
    </w:p>
    <w:p w14:paraId="19823BA5" w14:textId="77777777" w:rsidR="00566DA5" w:rsidRDefault="00566DA5" w:rsidP="008840C1">
      <w:pPr>
        <w:sectPr w:rsidR="00566DA5" w:rsidSect="008C1A38">
          <w:headerReference w:type="default" r:id="rId102"/>
          <w:pgSz w:w="11906" w:h="16838" w:code="9"/>
          <w:pgMar w:top="1134" w:right="1134" w:bottom="1134" w:left="1134" w:header="709" w:footer="652" w:gutter="0"/>
          <w:cols w:space="708"/>
          <w:docGrid w:linePitch="360"/>
        </w:sectPr>
      </w:pPr>
    </w:p>
    <w:p w14:paraId="392EE8FF" w14:textId="28782D8F" w:rsidR="00FA75AA" w:rsidRDefault="00F6593B" w:rsidP="00885E34">
      <w:pPr>
        <w:pStyle w:val="AppendixL1LPcreated"/>
      </w:pPr>
      <w:bookmarkStart w:id="433" w:name="_Toc146004923"/>
      <w:bookmarkStart w:id="434" w:name="_Toc146004811"/>
      <w:bookmarkStart w:id="435" w:name="_Ref146005189"/>
      <w:bookmarkStart w:id="436" w:name="_Toc146746754"/>
      <w:r>
        <w:lastRenderedPageBreak/>
        <w:t>Capitalisation</w:t>
      </w:r>
      <w:r w:rsidR="003811AC">
        <w:t xml:space="preserve"> of ope</w:t>
      </w:r>
      <w:r w:rsidR="005551BD">
        <w:t xml:space="preserve">rating </w:t>
      </w:r>
      <w:bookmarkEnd w:id="433"/>
      <w:bookmarkEnd w:id="434"/>
      <w:r w:rsidR="005551BD">
        <w:t>exp</w:t>
      </w:r>
      <w:r w:rsidR="00CF5DE7">
        <w:t>enditure</w:t>
      </w:r>
      <w:bookmarkEnd w:id="435"/>
      <w:bookmarkEnd w:id="436"/>
    </w:p>
    <w:p w14:paraId="136BEE39" w14:textId="77777777" w:rsidR="007B494B" w:rsidRDefault="007B494B" w:rsidP="00885E34">
      <w:pPr>
        <w:pStyle w:val="appLP1x"/>
      </w:pPr>
      <w:bookmarkStart w:id="437" w:name="_Toc146746755"/>
      <w:r>
        <w:t>Regulatory treatment of SaaS/IT projects</w:t>
      </w:r>
      <w:bookmarkEnd w:id="437"/>
    </w:p>
    <w:p w14:paraId="2E9EB84E" w14:textId="1E7AF585" w:rsidR="007B494B" w:rsidRDefault="007B494B" w:rsidP="007B494B">
      <w:r>
        <w:t>The accounting treatment of the expenditure associated with these projects would see it expensed and not capitalised. The accounting rationale is based on the license for Oracle CCS under a SaaS arrangement provides a right to receive access rather than a right to use the software. As such it does not meet the requirements to be classified as either a lease or an intangible asset.</w:t>
      </w:r>
    </w:p>
    <w:p w14:paraId="1A1159A3" w14:textId="77777777" w:rsidR="007B494B" w:rsidRDefault="007B494B" w:rsidP="007B494B">
      <w:r>
        <w:t xml:space="preserve">This element of ‘control’ is not defined in the regulatory space, and the differentiation of capital and operating expenditures refers more to whether it is day-to-day operations or an investment in non-current assets. </w:t>
      </w:r>
    </w:p>
    <w:p w14:paraId="26A878C4" w14:textId="4F1A16CA" w:rsidR="007B494B" w:rsidRDefault="007B494B" w:rsidP="007B494B">
      <w:r>
        <w:t>This is consistent with the Regulatory Accounting Code:</w:t>
      </w:r>
      <w:r>
        <w:rPr>
          <w:rStyle w:val="EndnoteReference"/>
        </w:rPr>
        <w:endnoteReference w:id="31"/>
      </w:r>
    </w:p>
    <w:p w14:paraId="282DB3AC" w14:textId="77777777" w:rsidR="007B494B" w:rsidRDefault="007B494B">
      <w:pPr>
        <w:pStyle w:val="ListBullet"/>
        <w:numPr>
          <w:ilvl w:val="0"/>
          <w:numId w:val="39"/>
        </w:numPr>
      </w:pPr>
      <w:r>
        <w:t xml:space="preserve">Operating costs means those costs which relate to the day-to-day operations of the water </w:t>
      </w:r>
      <w:proofErr w:type="gramStart"/>
      <w:r>
        <w:t>business</w:t>
      </w:r>
      <w:proofErr w:type="gramEnd"/>
    </w:p>
    <w:p w14:paraId="7C52975C" w14:textId="77777777" w:rsidR="007B494B" w:rsidRDefault="007B494B">
      <w:pPr>
        <w:pStyle w:val="ListBullet"/>
        <w:numPr>
          <w:ilvl w:val="0"/>
          <w:numId w:val="39"/>
        </w:numPr>
      </w:pPr>
      <w:r>
        <w:t>Capital expenditure means any expenditure, which has been disclosed as a non-current asset in the balance sheet of the water business’ statutory accounts provided that the expenditure conforms with at least one of the following:</w:t>
      </w:r>
    </w:p>
    <w:p w14:paraId="0785A860" w14:textId="77777777" w:rsidR="007B494B" w:rsidRDefault="007B494B">
      <w:pPr>
        <w:pStyle w:val="ListBullet2"/>
        <w:numPr>
          <w:ilvl w:val="1"/>
          <w:numId w:val="39"/>
        </w:numPr>
      </w:pPr>
      <w:r>
        <w:t xml:space="preserve">the expenditure relates to the purchase, development or construction of a new non-current asset of the water </w:t>
      </w:r>
      <w:proofErr w:type="gramStart"/>
      <w:r>
        <w:t>business;</w:t>
      </w:r>
      <w:proofErr w:type="gramEnd"/>
    </w:p>
    <w:p w14:paraId="2D991968" w14:textId="77777777" w:rsidR="007B494B" w:rsidRDefault="007B494B">
      <w:pPr>
        <w:pStyle w:val="ListBullet2"/>
        <w:numPr>
          <w:ilvl w:val="1"/>
          <w:numId w:val="39"/>
        </w:numPr>
      </w:pPr>
      <w:r>
        <w:t xml:space="preserve">the expenditure will increase the capacity or functionality of the water business’ non-current </w:t>
      </w:r>
      <w:proofErr w:type="gramStart"/>
      <w:r>
        <w:t>assets;</w:t>
      </w:r>
      <w:proofErr w:type="gramEnd"/>
    </w:p>
    <w:p w14:paraId="65707CE7" w14:textId="77777777" w:rsidR="007B494B" w:rsidRDefault="007B494B">
      <w:pPr>
        <w:pStyle w:val="ListBullet2"/>
        <w:numPr>
          <w:ilvl w:val="1"/>
          <w:numId w:val="39"/>
        </w:numPr>
      </w:pPr>
      <w:r>
        <w:t>the expenditure will significantly reduce the ongoing maintenance of the water business’ non-current assets; and/or</w:t>
      </w:r>
    </w:p>
    <w:p w14:paraId="277486C2" w14:textId="77777777" w:rsidR="007B494B" w:rsidRDefault="007B494B">
      <w:pPr>
        <w:pStyle w:val="ListBullet2"/>
        <w:numPr>
          <w:ilvl w:val="1"/>
          <w:numId w:val="39"/>
        </w:numPr>
      </w:pPr>
      <w:r>
        <w:t>the expenditure will extend the service life of the water business’ non-current assets beyond that expected when the assets were originally installed.</w:t>
      </w:r>
    </w:p>
    <w:p w14:paraId="3C6275FA" w14:textId="77777777" w:rsidR="007B494B" w:rsidRDefault="007B494B" w:rsidP="007B494B">
      <w:r>
        <w:t xml:space="preserve">As such, we are proposing to treat SaaS and other discrete IT projects operating expenditure as capital expenditure and align the cost recovery of the program with the </w:t>
      </w:r>
      <w:proofErr w:type="gramStart"/>
      <w:r>
        <w:t>time period</w:t>
      </w:r>
      <w:proofErr w:type="gramEnd"/>
      <w:r>
        <w:t xml:space="preserve"> of the benefits. This is based on the following rationale:</w:t>
      </w:r>
    </w:p>
    <w:p w14:paraId="2854C5D3" w14:textId="77777777" w:rsidR="007B494B" w:rsidRDefault="007B494B">
      <w:pPr>
        <w:pStyle w:val="ListBullet"/>
        <w:numPr>
          <w:ilvl w:val="0"/>
          <w:numId w:val="41"/>
        </w:numPr>
      </w:pPr>
      <w:r>
        <w:t xml:space="preserve">Our new billing and collections system (Platypus) and the other discrete IT projects are expected to have a life and provide benefits to GWW and its customers over a period greater than one year. This would align the cost recovery of the program with the </w:t>
      </w:r>
      <w:proofErr w:type="gramStart"/>
      <w:r>
        <w:t>time period</w:t>
      </w:r>
      <w:proofErr w:type="gramEnd"/>
      <w:r>
        <w:t xml:space="preserve"> of the benefits.</w:t>
      </w:r>
    </w:p>
    <w:p w14:paraId="5735E680" w14:textId="77777777" w:rsidR="007B494B" w:rsidRDefault="007B494B">
      <w:pPr>
        <w:pStyle w:val="ListBullet"/>
        <w:numPr>
          <w:ilvl w:val="0"/>
          <w:numId w:val="41"/>
        </w:numPr>
      </w:pPr>
      <w:r>
        <w:t>Consistent with ESC’s approach of forecasting operating expenditure as to comprise of the recurring controllable costs (Box 3.2 of 2024 Guidance Paper) as Program Platypus is lumpy and once-off.</w:t>
      </w:r>
    </w:p>
    <w:p w14:paraId="49D894D7" w14:textId="77777777" w:rsidR="007B494B" w:rsidRDefault="007B494B">
      <w:pPr>
        <w:pStyle w:val="ListBullet"/>
        <w:numPr>
          <w:ilvl w:val="0"/>
          <w:numId w:val="41"/>
        </w:numPr>
      </w:pPr>
      <w:r>
        <w:t>Consistent with ESC’s 2024 Guidance Paper (pages 34-35), where businesses may propose to capitalise certain statutory operating expense:</w:t>
      </w:r>
    </w:p>
    <w:p w14:paraId="14D2DBDE" w14:textId="77777777" w:rsidR="007B494B" w:rsidRDefault="007B494B">
      <w:pPr>
        <w:pStyle w:val="ListBullet2"/>
        <w:numPr>
          <w:ilvl w:val="1"/>
          <w:numId w:val="41"/>
        </w:numPr>
      </w:pPr>
      <w:r>
        <w:t xml:space="preserve">‘In the case of a major IT-related project, the development and implementation costs of a new system might be justified as capital expenditure and recovered over the expected life of the new </w:t>
      </w:r>
      <w:proofErr w:type="gramStart"/>
      <w:r>
        <w:t>system’</w:t>
      </w:r>
      <w:proofErr w:type="gramEnd"/>
    </w:p>
    <w:p w14:paraId="78498C5E" w14:textId="77777777" w:rsidR="007B494B" w:rsidRDefault="007B494B">
      <w:pPr>
        <w:pStyle w:val="ListBullet2"/>
        <w:numPr>
          <w:ilvl w:val="1"/>
          <w:numId w:val="41"/>
        </w:numPr>
      </w:pPr>
      <w:r>
        <w:lastRenderedPageBreak/>
        <w:t>’</w:t>
      </w:r>
      <w:proofErr w:type="gramStart"/>
      <w:r>
        <w:t>large</w:t>
      </w:r>
      <w:proofErr w:type="gramEnd"/>
      <w:r>
        <w:t xml:space="preserve"> irregular operating costs that are not incurred every regulatory pricing period but provide a customer benefit over two or more regulatory periods’.</w:t>
      </w:r>
    </w:p>
    <w:p w14:paraId="6AC2B7B4" w14:textId="77777777" w:rsidR="00AE1017" w:rsidRDefault="007B494B" w:rsidP="00AE1017">
      <w:r>
        <w:t>The ESC had already approved the capitalisation of operating expenditure related to Platypus in the 2021-22 regulatory accounts, this accounted</w:t>
      </w:r>
      <w:r w:rsidR="00AE1017">
        <w:t xml:space="preserve"> for $22 million (real, $2023-24) in the opening RAB for 2022-23. In nominal terms, this is made up of $0.3 million for 2019-20, $5.4 million for 2020-21, and $13.8 million for 2021-22, which sums to $19.5 million over the three-year period.</w:t>
      </w:r>
    </w:p>
    <w:p w14:paraId="4B0E690E" w14:textId="0841BABE" w:rsidR="00AE1017" w:rsidRDefault="00AE1017" w:rsidP="00AE1017">
      <w:r w:rsidRPr="005A1164">
        <w:t xml:space="preserve">In line with the above treatment, we are proposing to capitalise operating expenditure of $28.1 million related to the Platypus program, and a further $10.4 million operating expenditure related to other discrete IT projects. In total, we are proposing to capitalise $38.6 million of SaaS/IT projects for 2022-23, which is reflected in our 2022-23 regulatory accounts, as shown in </w:t>
      </w:r>
      <w:r w:rsidR="00CA5A14">
        <w:fldChar w:fldCharType="begin"/>
      </w:r>
      <w:r w:rsidR="00CA5A14">
        <w:instrText xml:space="preserve"> REF _Ref146031923 \h </w:instrText>
      </w:r>
      <w:r w:rsidR="00CA5A14">
        <w:fldChar w:fldCharType="separate"/>
      </w:r>
      <w:r w:rsidR="003B42C6" w:rsidRPr="00021420">
        <w:rPr>
          <w:b/>
          <w:bCs/>
        </w:rPr>
        <w:t xml:space="preserve">Table </w:t>
      </w:r>
      <w:r w:rsidR="003B42C6">
        <w:rPr>
          <w:b/>
          <w:bCs/>
          <w:noProof/>
        </w:rPr>
        <w:t>100</w:t>
      </w:r>
      <w:r w:rsidR="00CA5A14">
        <w:fldChar w:fldCharType="end"/>
      </w:r>
      <w:r w:rsidRPr="005A1164">
        <w:t>. We have identified and excluded all operating expenditure related to licencing and ongoing operating costs such as operations and maintenance of the network.</w:t>
      </w:r>
    </w:p>
    <w:p w14:paraId="02E110D0" w14:textId="4AA2B6B7" w:rsidR="00AE1017" w:rsidRDefault="00AE1017" w:rsidP="00AE1017">
      <w:pPr>
        <w:pStyle w:val="Caption"/>
      </w:pPr>
      <w:bookmarkStart w:id="438" w:name="_Ref146031923"/>
      <w:r w:rsidRPr="00021420">
        <w:rPr>
          <w:b/>
          <w:bCs/>
        </w:rPr>
        <w:t xml:space="preserve">Table </w:t>
      </w:r>
      <w:r w:rsidRPr="00021420">
        <w:rPr>
          <w:b/>
          <w:bCs/>
        </w:rPr>
        <w:fldChar w:fldCharType="begin"/>
      </w:r>
      <w:r w:rsidRPr="00021420">
        <w:rPr>
          <w:b/>
          <w:bCs/>
        </w:rPr>
        <w:instrText>SEQ Table \* ARABIC</w:instrText>
      </w:r>
      <w:r w:rsidRPr="00021420">
        <w:rPr>
          <w:b/>
          <w:bCs/>
        </w:rPr>
        <w:fldChar w:fldCharType="separate"/>
      </w:r>
      <w:r w:rsidR="003B42C6">
        <w:rPr>
          <w:b/>
          <w:bCs/>
          <w:noProof/>
        </w:rPr>
        <w:t>100</w:t>
      </w:r>
      <w:r w:rsidRPr="00021420">
        <w:rPr>
          <w:b/>
          <w:bCs/>
        </w:rPr>
        <w:fldChar w:fldCharType="end"/>
      </w:r>
      <w:bookmarkEnd w:id="438"/>
      <w:r>
        <w:t xml:space="preserve"> </w:t>
      </w:r>
      <w:r w:rsidRPr="00F063DA">
        <w:t>Capitalisation of operating expenditure for SaaS/IT projects ($million, 2023-24)</w:t>
      </w:r>
    </w:p>
    <w:tbl>
      <w:tblPr>
        <w:tblStyle w:val="GWWDefaulttable"/>
        <w:tblW w:w="5000" w:type="pct"/>
        <w:tblLook w:val="04A0" w:firstRow="1" w:lastRow="0" w:firstColumn="1" w:lastColumn="0" w:noHBand="0" w:noVBand="1"/>
      </w:tblPr>
      <w:tblGrid>
        <w:gridCol w:w="3945"/>
        <w:gridCol w:w="1139"/>
        <w:gridCol w:w="1139"/>
        <w:gridCol w:w="1139"/>
        <w:gridCol w:w="1139"/>
        <w:gridCol w:w="1137"/>
      </w:tblGrid>
      <w:tr w:rsidR="00AE1017" w:rsidRPr="003169B3" w14:paraId="105A6170" w14:textId="77777777" w:rsidTr="00FE1E9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0F4E9D0F" w14:textId="77777777" w:rsidR="00AE1017" w:rsidRPr="003169B3" w:rsidRDefault="00AE1017">
            <w:r w:rsidRPr="003169B3">
              <w:t> </w:t>
            </w:r>
          </w:p>
        </w:tc>
        <w:tc>
          <w:tcPr>
            <w:tcW w:w="591" w:type="pct"/>
            <w:vAlign w:val="center"/>
            <w:hideMark/>
          </w:tcPr>
          <w:p w14:paraId="55EC0358"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2019-20</w:t>
            </w:r>
          </w:p>
        </w:tc>
        <w:tc>
          <w:tcPr>
            <w:tcW w:w="591" w:type="pct"/>
            <w:vAlign w:val="center"/>
            <w:hideMark/>
          </w:tcPr>
          <w:p w14:paraId="5A492EF8"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2020-21</w:t>
            </w:r>
          </w:p>
        </w:tc>
        <w:tc>
          <w:tcPr>
            <w:tcW w:w="591" w:type="pct"/>
            <w:vAlign w:val="center"/>
            <w:hideMark/>
          </w:tcPr>
          <w:p w14:paraId="449BBE6E"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2021-22</w:t>
            </w:r>
          </w:p>
        </w:tc>
        <w:tc>
          <w:tcPr>
            <w:tcW w:w="591" w:type="pct"/>
            <w:vAlign w:val="center"/>
            <w:hideMark/>
          </w:tcPr>
          <w:p w14:paraId="25E54FBD"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2022-23</w:t>
            </w:r>
          </w:p>
        </w:tc>
        <w:tc>
          <w:tcPr>
            <w:tcW w:w="591" w:type="pct"/>
            <w:vAlign w:val="center"/>
            <w:hideMark/>
          </w:tcPr>
          <w:p w14:paraId="6930CDF7"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Total</w:t>
            </w:r>
          </w:p>
        </w:tc>
      </w:tr>
      <w:tr w:rsidR="00AE1017" w:rsidRPr="003169B3" w14:paraId="4E32F5F8" w14:textId="77777777" w:rsidTr="00FE1E94">
        <w:trPr>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7658BDF5" w14:textId="77777777" w:rsidR="00AE1017" w:rsidRPr="00D92E1D" w:rsidRDefault="00AE1017">
            <w:pPr>
              <w:rPr>
                <w:b w:val="0"/>
                <w:bCs/>
              </w:rPr>
            </w:pPr>
            <w:r w:rsidRPr="00E22F5F">
              <w:rPr>
                <w:b w:val="0"/>
              </w:rPr>
              <w:t>Platypus (SaaS)</w:t>
            </w:r>
          </w:p>
        </w:tc>
        <w:tc>
          <w:tcPr>
            <w:tcW w:w="591" w:type="pct"/>
            <w:vAlign w:val="center"/>
            <w:hideMark/>
          </w:tcPr>
          <w:p w14:paraId="457C49A7"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0.38</w:t>
            </w:r>
          </w:p>
        </w:tc>
        <w:tc>
          <w:tcPr>
            <w:tcW w:w="591" w:type="pct"/>
            <w:vAlign w:val="center"/>
            <w:hideMark/>
          </w:tcPr>
          <w:p w14:paraId="4C226A01"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6.17</w:t>
            </w:r>
          </w:p>
        </w:tc>
        <w:tc>
          <w:tcPr>
            <w:tcW w:w="591" w:type="pct"/>
            <w:vAlign w:val="center"/>
            <w:hideMark/>
          </w:tcPr>
          <w:p w14:paraId="5F497623"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15.48</w:t>
            </w:r>
          </w:p>
        </w:tc>
        <w:tc>
          <w:tcPr>
            <w:tcW w:w="591" w:type="pct"/>
            <w:vAlign w:val="center"/>
            <w:hideMark/>
          </w:tcPr>
          <w:p w14:paraId="20460B63"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28.12</w:t>
            </w:r>
          </w:p>
        </w:tc>
        <w:tc>
          <w:tcPr>
            <w:tcW w:w="591" w:type="pct"/>
            <w:vAlign w:val="center"/>
            <w:hideMark/>
          </w:tcPr>
          <w:p w14:paraId="3A2F934E"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50.16</w:t>
            </w:r>
          </w:p>
        </w:tc>
      </w:tr>
      <w:tr w:rsidR="00AE1017" w:rsidRPr="003169B3" w14:paraId="0BF6142E" w14:textId="77777777" w:rsidTr="00FE1E94">
        <w:trPr>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141314BF" w14:textId="77777777" w:rsidR="00AE1017" w:rsidRPr="00D92E1D" w:rsidRDefault="00AE1017">
            <w:pPr>
              <w:rPr>
                <w:b w:val="0"/>
                <w:bCs/>
              </w:rPr>
            </w:pPr>
            <w:r w:rsidRPr="00E22F5F">
              <w:rPr>
                <w:b w:val="0"/>
              </w:rPr>
              <w:t>Other discrete IT projects</w:t>
            </w:r>
          </w:p>
        </w:tc>
        <w:tc>
          <w:tcPr>
            <w:tcW w:w="591" w:type="pct"/>
            <w:vAlign w:val="center"/>
            <w:hideMark/>
          </w:tcPr>
          <w:p w14:paraId="3B0F9B35"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60C22674"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134A270E"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1EC901AE"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10.44</w:t>
            </w:r>
          </w:p>
        </w:tc>
        <w:tc>
          <w:tcPr>
            <w:tcW w:w="591" w:type="pct"/>
            <w:vAlign w:val="center"/>
            <w:hideMark/>
          </w:tcPr>
          <w:p w14:paraId="20522F8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10.44</w:t>
            </w:r>
          </w:p>
        </w:tc>
      </w:tr>
      <w:tr w:rsidR="00AE1017" w:rsidRPr="003169B3" w14:paraId="3B240CB0" w14:textId="77777777" w:rsidTr="00FE1E94">
        <w:trPr>
          <w:trHeight w:val="330"/>
        </w:trPr>
        <w:tc>
          <w:tcPr>
            <w:cnfStyle w:val="001000000000" w:firstRow="0" w:lastRow="0" w:firstColumn="1" w:lastColumn="0" w:oddVBand="0" w:evenVBand="0" w:oddHBand="0" w:evenHBand="0" w:firstRowFirstColumn="0" w:firstRowLastColumn="0" w:lastRowFirstColumn="0" w:lastRowLastColumn="0"/>
            <w:tcW w:w="2046" w:type="pct"/>
            <w:hideMark/>
          </w:tcPr>
          <w:p w14:paraId="7A70DCC8" w14:textId="77777777" w:rsidR="00AE1017" w:rsidRPr="003169B3" w:rsidRDefault="00AE1017">
            <w:r w:rsidRPr="003169B3">
              <w:t xml:space="preserve">Total SaaS/IT capitalised </w:t>
            </w:r>
            <w:proofErr w:type="spellStart"/>
            <w:r w:rsidRPr="003169B3">
              <w:t>opex</w:t>
            </w:r>
            <w:proofErr w:type="spellEnd"/>
          </w:p>
        </w:tc>
        <w:tc>
          <w:tcPr>
            <w:tcW w:w="591" w:type="pct"/>
            <w:vAlign w:val="center"/>
            <w:hideMark/>
          </w:tcPr>
          <w:p w14:paraId="56D2EE13"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0.38</w:t>
            </w:r>
          </w:p>
        </w:tc>
        <w:tc>
          <w:tcPr>
            <w:tcW w:w="591" w:type="pct"/>
            <w:vAlign w:val="center"/>
            <w:hideMark/>
          </w:tcPr>
          <w:p w14:paraId="75042DD5"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6.17</w:t>
            </w:r>
          </w:p>
        </w:tc>
        <w:tc>
          <w:tcPr>
            <w:tcW w:w="591" w:type="pct"/>
            <w:vAlign w:val="center"/>
            <w:hideMark/>
          </w:tcPr>
          <w:p w14:paraId="3C5F49E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15.48</w:t>
            </w:r>
          </w:p>
        </w:tc>
        <w:tc>
          <w:tcPr>
            <w:tcW w:w="591" w:type="pct"/>
            <w:vAlign w:val="center"/>
            <w:hideMark/>
          </w:tcPr>
          <w:p w14:paraId="2EA2F0C5"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38.56</w:t>
            </w:r>
          </w:p>
        </w:tc>
        <w:tc>
          <w:tcPr>
            <w:tcW w:w="591" w:type="pct"/>
            <w:vAlign w:val="center"/>
            <w:hideMark/>
          </w:tcPr>
          <w:p w14:paraId="3BFB84D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60.60</w:t>
            </w:r>
          </w:p>
        </w:tc>
      </w:tr>
    </w:tbl>
    <w:p w14:paraId="71079AF2" w14:textId="77777777" w:rsidR="00AE1017" w:rsidRDefault="00AE1017" w:rsidP="00AE1017">
      <w:r>
        <w:t xml:space="preserve">We are proposing to depreciate the above total SaaS/IT capitalised </w:t>
      </w:r>
      <w:proofErr w:type="spellStart"/>
      <w:r>
        <w:t>opex</w:t>
      </w:r>
      <w:proofErr w:type="spellEnd"/>
      <w:r>
        <w:t xml:space="preserve"> over a period of 15 years. These IT projects involved significant upfront investments in hardware, software, and staff, and will provide long-term benefits to GWW and its customers. A 15-year period allows for the costs to be spread out over a longer duration, aligning with the expected lifespan and usefulness of these projects.</w:t>
      </w:r>
    </w:p>
    <w:p w14:paraId="4BD01C0A" w14:textId="77777777" w:rsidR="00AE1017" w:rsidRDefault="00AE1017" w:rsidP="00AE1017">
      <w:r>
        <w:t>We have accounted for this regulatory treatment as follows:</w:t>
      </w:r>
    </w:p>
    <w:p w14:paraId="09D09BA7" w14:textId="77777777" w:rsidR="00AE1017" w:rsidRDefault="00AE1017">
      <w:pPr>
        <w:pStyle w:val="ListBullet"/>
        <w:numPr>
          <w:ilvl w:val="0"/>
          <w:numId w:val="30"/>
        </w:numPr>
      </w:pPr>
      <w:r>
        <w:t>$38.6 million has been transferred from operating expenditure to the capital expenditure in the 2022-23 regulatory accounts; therefore, it is reflected in the opening RAB for 2023-24 in ESC’s pricing model (specifically, it is included in the 2022-23 gross capex of $342.4 million).</w:t>
      </w:r>
    </w:p>
    <w:p w14:paraId="637BFA2A" w14:textId="248F1798" w:rsidR="00E90753" w:rsidRDefault="00AE1017">
      <w:pPr>
        <w:pStyle w:val="ListParagraph"/>
        <w:numPr>
          <w:ilvl w:val="0"/>
          <w:numId w:val="30"/>
        </w:numPr>
      </w:pPr>
      <w:r>
        <w:t>$60.6 million (book value) and 15 years (average asset life) is reflected in the ESC’s pricing template (</w:t>
      </w:r>
      <w:proofErr w:type="spellStart"/>
      <w:r>
        <w:t>RollForward_FO</w:t>
      </w:r>
      <w:proofErr w:type="spellEnd"/>
      <w:r>
        <w:t xml:space="preserve"> tab), to ensure the regulatory depreciation is applied over the useful life of these capitalised amounts</w:t>
      </w:r>
      <w:r w:rsidR="00755BCE">
        <w:t>.</w:t>
      </w:r>
    </w:p>
    <w:p w14:paraId="76F59781" w14:textId="77777777" w:rsidR="00026861" w:rsidRDefault="00026861" w:rsidP="00407A1B"/>
    <w:p w14:paraId="64A03537" w14:textId="77777777" w:rsidR="00C32DB5" w:rsidRPr="00803AB2" w:rsidRDefault="00C32DB5" w:rsidP="004D1DF6">
      <w:pPr>
        <w:pStyle w:val="appLP1x"/>
      </w:pPr>
      <w:bookmarkStart w:id="439" w:name="_Toc146004924"/>
      <w:bookmarkStart w:id="440" w:name="_Toc146004812"/>
      <w:bookmarkStart w:id="441" w:name="_Toc146746756"/>
      <w:r w:rsidRPr="00803AB2">
        <w:t>Regulatory treatment of Asset Delivery Organisational Review</w:t>
      </w:r>
      <w:r>
        <w:t xml:space="preserve"> (ADOR)</w:t>
      </w:r>
      <w:r w:rsidRPr="00803AB2">
        <w:t xml:space="preserve"> program</w:t>
      </w:r>
      <w:bookmarkEnd w:id="439"/>
      <w:bookmarkEnd w:id="440"/>
      <w:bookmarkEnd w:id="441"/>
    </w:p>
    <w:p w14:paraId="71265BE4" w14:textId="77777777" w:rsidR="00C32DB5" w:rsidRPr="00803AB2" w:rsidRDefault="00C32DB5" w:rsidP="00C32DB5">
      <w:r w:rsidRPr="00803AB2">
        <w:t>In 2022-23, GWW implemented a program call Asset Delivery Optimisation Review</w:t>
      </w:r>
      <w:r>
        <w:t xml:space="preserve">. </w:t>
      </w:r>
      <w:r w:rsidRPr="00803AB2">
        <w:t xml:space="preserve">The current capital delivery function was tailored to the management of CWW’s and WW’s </w:t>
      </w:r>
      <w:r w:rsidRPr="00803AB2">
        <w:lastRenderedPageBreak/>
        <w:t>simpler capital programs which were predominately focused on pipes and pumps, without largescale treatment plant upgrades. After integration and an assessment of asset condition and risks, the Asset Delivery Organisational Review program was developed to enable more complex program and projects to be delivered in a cost-effective way.</w:t>
      </w:r>
    </w:p>
    <w:p w14:paraId="67A01CA8" w14:textId="77777777" w:rsidR="00C32DB5" w:rsidRPr="00803AB2" w:rsidRDefault="00C32DB5" w:rsidP="00C32DB5">
      <w:r w:rsidRPr="00803AB2">
        <w:t>In 2022-23, we incurred operating costs related to ADOR of $4 million. Of this, $1.2 million operating expenditure associated with training and capability uplift ($0.5 million) and pro-active procurement practices ($0.7 million). These have been identified as ongoing costs related to Asset Delivery Organisational Review. We are proposing to treat the remainder $2.8 million of the operating expenditure as capital expenditure and roll it into the opening RAB for 2023-24.</w:t>
      </w:r>
    </w:p>
    <w:p w14:paraId="0478495A" w14:textId="77777777" w:rsidR="00C32DB5" w:rsidRPr="00803AB2" w:rsidRDefault="00C32DB5" w:rsidP="00C32DB5">
      <w:r w:rsidRPr="00803AB2">
        <w:t>We are proposing to capitalise this on the basis that it is a large irregular operating cost that will not be incurred every regulatory pricing period but will provide customers benefit over two or more regulatory periods.</w:t>
      </w:r>
    </w:p>
    <w:p w14:paraId="15A2BFE4" w14:textId="3CB3ADF9" w:rsidR="00C32DB5" w:rsidRPr="00803AB2" w:rsidRDefault="00C32DB5" w:rsidP="00C32DB5">
      <w:r w:rsidRPr="00803AB2">
        <w:t>Moreover, we are forecasting Asset Delivery Organisational Review</w:t>
      </w:r>
      <w:r w:rsidRPr="00803AB2" w:rsidDel="00650DC4">
        <w:t xml:space="preserve"> </w:t>
      </w:r>
      <w:r w:rsidRPr="00803AB2">
        <w:t>-related total expenditure (</w:t>
      </w:r>
      <w:proofErr w:type="spellStart"/>
      <w:r w:rsidRPr="00803AB2">
        <w:t>totex</w:t>
      </w:r>
      <w:proofErr w:type="spellEnd"/>
      <w:r w:rsidRPr="00803AB2">
        <w:t xml:space="preserve">) of $5.2 million (2023-24) and $3 million (2024-25), which will be expensed as operating expenditure in the statutory accounts. However, we are proposing for a similar split as applied in the 2022-23 regulatory accounts, where after removing for ongoing costs of $1.2 million, we propose to capitalise the remaining $4 million for 2023-24 and $1.8 million for 2024-25, as shown in </w:t>
      </w:r>
      <w:r w:rsidR="00CA5A14">
        <w:fldChar w:fldCharType="begin"/>
      </w:r>
      <w:r w:rsidR="00CA5A14">
        <w:instrText xml:space="preserve"> REF _Ref146031939 \h </w:instrText>
      </w:r>
      <w:r w:rsidR="00CA5A14">
        <w:fldChar w:fldCharType="separate"/>
      </w:r>
      <w:r w:rsidR="003B42C6" w:rsidRPr="00FE1E94">
        <w:rPr>
          <w:b/>
        </w:rPr>
        <w:t xml:space="preserve">Table </w:t>
      </w:r>
      <w:r w:rsidR="003B42C6">
        <w:rPr>
          <w:b/>
          <w:noProof/>
        </w:rPr>
        <w:t>101</w:t>
      </w:r>
      <w:r w:rsidR="00CA5A14">
        <w:fldChar w:fldCharType="end"/>
      </w:r>
      <w:r w:rsidRPr="00803AB2">
        <w:t>.</w:t>
      </w:r>
    </w:p>
    <w:p w14:paraId="1FA8382A" w14:textId="70A684E8" w:rsidR="00C32DB5" w:rsidRPr="00803AB2" w:rsidRDefault="00C32DB5" w:rsidP="00C32DB5">
      <w:pPr>
        <w:pStyle w:val="Caption"/>
      </w:pPr>
      <w:bookmarkStart w:id="442" w:name="_Ref146031939"/>
      <w:r w:rsidRPr="00FE1E94">
        <w:rPr>
          <w:b/>
        </w:rPr>
        <w:t xml:space="preserve">Table </w:t>
      </w:r>
      <w:r w:rsidRPr="00FE1E94">
        <w:rPr>
          <w:b/>
        </w:rPr>
        <w:fldChar w:fldCharType="begin"/>
      </w:r>
      <w:r w:rsidRPr="00FE1E94">
        <w:rPr>
          <w:b/>
        </w:rPr>
        <w:instrText>SEQ Table \* ARABIC</w:instrText>
      </w:r>
      <w:r w:rsidRPr="00FE1E94">
        <w:rPr>
          <w:b/>
        </w:rPr>
        <w:fldChar w:fldCharType="separate"/>
      </w:r>
      <w:r w:rsidR="003B42C6">
        <w:rPr>
          <w:b/>
          <w:noProof/>
        </w:rPr>
        <w:t>101</w:t>
      </w:r>
      <w:r w:rsidRPr="00FE1E94">
        <w:rPr>
          <w:b/>
        </w:rPr>
        <w:fldChar w:fldCharType="end"/>
      </w:r>
      <w:bookmarkEnd w:id="442"/>
      <w:r>
        <w:t xml:space="preserve"> </w:t>
      </w:r>
      <w:r w:rsidRPr="00803AB2">
        <w:t>Capitalisation of operating expenditure for ADOR program ($million, 2023-24)</w:t>
      </w:r>
    </w:p>
    <w:tbl>
      <w:tblPr>
        <w:tblStyle w:val="GWWDefaulttable"/>
        <w:tblW w:w="5000" w:type="pct"/>
        <w:tblLook w:val="04A0" w:firstRow="1" w:lastRow="0" w:firstColumn="1" w:lastColumn="0" w:noHBand="0" w:noVBand="1"/>
      </w:tblPr>
      <w:tblGrid>
        <w:gridCol w:w="2553"/>
        <w:gridCol w:w="1772"/>
        <w:gridCol w:w="1771"/>
        <w:gridCol w:w="1771"/>
        <w:gridCol w:w="1771"/>
      </w:tblGrid>
      <w:tr w:rsidR="00C32DB5" w:rsidRPr="00803AB2" w14:paraId="65F33604" w14:textId="77777777" w:rsidTr="00EE6C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137F6ECA" w14:textId="77777777" w:rsidR="00C32DB5" w:rsidRPr="00803AB2" w:rsidRDefault="00C32DB5">
            <w:r w:rsidRPr="00803AB2">
              <w:t> </w:t>
            </w:r>
          </w:p>
        </w:tc>
        <w:tc>
          <w:tcPr>
            <w:tcW w:w="919" w:type="pct"/>
            <w:vAlign w:val="center"/>
            <w:hideMark/>
          </w:tcPr>
          <w:p w14:paraId="1AC9F275"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2022-23</w:t>
            </w:r>
          </w:p>
        </w:tc>
        <w:tc>
          <w:tcPr>
            <w:tcW w:w="919" w:type="pct"/>
            <w:vAlign w:val="center"/>
            <w:hideMark/>
          </w:tcPr>
          <w:p w14:paraId="50673963"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2023-24</w:t>
            </w:r>
          </w:p>
        </w:tc>
        <w:tc>
          <w:tcPr>
            <w:tcW w:w="919" w:type="pct"/>
            <w:vAlign w:val="center"/>
            <w:hideMark/>
          </w:tcPr>
          <w:p w14:paraId="23115E5D"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2024-25</w:t>
            </w:r>
          </w:p>
        </w:tc>
        <w:tc>
          <w:tcPr>
            <w:tcW w:w="919" w:type="pct"/>
            <w:vAlign w:val="center"/>
            <w:hideMark/>
          </w:tcPr>
          <w:p w14:paraId="6C5DCFA1"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Total</w:t>
            </w:r>
          </w:p>
        </w:tc>
      </w:tr>
      <w:tr w:rsidR="00EE6CEB" w:rsidRPr="00803AB2" w14:paraId="22E10083"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51B10137" w14:textId="16D23941" w:rsidR="00EE6CEB" w:rsidRPr="00EE6CEB" w:rsidRDefault="00EE6CEB">
            <w:pPr>
              <w:rPr>
                <w:b w:val="0"/>
                <w:bCs/>
              </w:rPr>
            </w:pPr>
            <w:r w:rsidRPr="00EE6CEB">
              <w:rPr>
                <w:b w:val="0"/>
                <w:bCs/>
              </w:rPr>
              <w:t xml:space="preserve">ADOR </w:t>
            </w:r>
            <w:proofErr w:type="spellStart"/>
            <w:r w:rsidRPr="00EE6CEB">
              <w:rPr>
                <w:b w:val="0"/>
                <w:bCs/>
              </w:rPr>
              <w:t>opex</w:t>
            </w:r>
            <w:proofErr w:type="spellEnd"/>
            <w:r>
              <w:rPr>
                <w:b w:val="0"/>
                <w:bCs/>
              </w:rPr>
              <w:t xml:space="preserve"> (</w:t>
            </w:r>
            <w:r w:rsidRPr="00EE6CEB">
              <w:rPr>
                <w:b w:val="0"/>
                <w:bCs/>
              </w:rPr>
              <w:t>regulatory)</w:t>
            </w:r>
          </w:p>
        </w:tc>
        <w:tc>
          <w:tcPr>
            <w:tcW w:w="919" w:type="pct"/>
            <w:vAlign w:val="center"/>
            <w:hideMark/>
          </w:tcPr>
          <w:p w14:paraId="0E888934" w14:textId="35F9CFEC"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27044AC9" w14:textId="107D7176"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6AB5D204" w14:textId="716095D7"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5C46CADA" w14:textId="29D5D984"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
              </w:rPr>
            </w:pPr>
            <w:r w:rsidRPr="00EE6CEB">
              <w:rPr>
                <w:b/>
              </w:rPr>
              <w:t>3.57</w:t>
            </w:r>
          </w:p>
        </w:tc>
      </w:tr>
      <w:tr w:rsidR="00EE6CEB" w:rsidRPr="00EE6CEB" w14:paraId="6741685C"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666CA88D" w14:textId="77777777" w:rsidR="00EE6CEB" w:rsidRPr="00EE6CEB" w:rsidRDefault="00EE6CEB">
            <w:pPr>
              <w:rPr>
                <w:b w:val="0"/>
                <w:bCs/>
              </w:rPr>
            </w:pPr>
            <w:r w:rsidRPr="00EE6CEB">
              <w:rPr>
                <w:b w:val="0"/>
                <w:bCs/>
              </w:rPr>
              <w:t>ADOR capex (regulatory)</w:t>
            </w:r>
          </w:p>
        </w:tc>
        <w:tc>
          <w:tcPr>
            <w:tcW w:w="919" w:type="pct"/>
            <w:vAlign w:val="center"/>
            <w:hideMark/>
          </w:tcPr>
          <w:p w14:paraId="718B09BA"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2.82</w:t>
            </w:r>
          </w:p>
        </w:tc>
        <w:tc>
          <w:tcPr>
            <w:tcW w:w="919" w:type="pct"/>
            <w:vAlign w:val="center"/>
            <w:hideMark/>
          </w:tcPr>
          <w:p w14:paraId="7E0122F9"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4.01</w:t>
            </w:r>
          </w:p>
        </w:tc>
        <w:tc>
          <w:tcPr>
            <w:tcW w:w="919" w:type="pct"/>
            <w:vAlign w:val="center"/>
            <w:hideMark/>
          </w:tcPr>
          <w:p w14:paraId="0CA794C9"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1.81</w:t>
            </w:r>
          </w:p>
        </w:tc>
        <w:tc>
          <w:tcPr>
            <w:tcW w:w="919" w:type="pct"/>
            <w:vAlign w:val="center"/>
            <w:hideMark/>
          </w:tcPr>
          <w:p w14:paraId="14038CE8"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
              </w:rPr>
            </w:pPr>
            <w:r w:rsidRPr="00EE6CEB">
              <w:rPr>
                <w:b/>
              </w:rPr>
              <w:t>8.64</w:t>
            </w:r>
          </w:p>
        </w:tc>
      </w:tr>
      <w:tr w:rsidR="00C32DB5" w:rsidRPr="00803AB2" w14:paraId="3FD80A59"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3E6C3243" w14:textId="77777777" w:rsidR="00C32DB5" w:rsidRPr="00EE6CEB" w:rsidRDefault="00C32DB5">
            <w:r w:rsidRPr="00B2268D">
              <w:t xml:space="preserve">ADOR </w:t>
            </w:r>
            <w:proofErr w:type="spellStart"/>
            <w:r w:rsidRPr="00B2268D">
              <w:t>opex</w:t>
            </w:r>
            <w:proofErr w:type="spellEnd"/>
            <w:r w:rsidRPr="00B2268D">
              <w:t xml:space="preserve"> (statutory)</w:t>
            </w:r>
          </w:p>
        </w:tc>
        <w:tc>
          <w:tcPr>
            <w:tcW w:w="919" w:type="pct"/>
            <w:vAlign w:val="center"/>
            <w:hideMark/>
          </w:tcPr>
          <w:p w14:paraId="57D10303"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4.01</w:t>
            </w:r>
          </w:p>
        </w:tc>
        <w:tc>
          <w:tcPr>
            <w:tcW w:w="919" w:type="pct"/>
            <w:vAlign w:val="center"/>
            <w:hideMark/>
          </w:tcPr>
          <w:p w14:paraId="086D7FA8"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5.20</w:t>
            </w:r>
          </w:p>
        </w:tc>
        <w:tc>
          <w:tcPr>
            <w:tcW w:w="919" w:type="pct"/>
            <w:vAlign w:val="center"/>
            <w:hideMark/>
          </w:tcPr>
          <w:p w14:paraId="6BC70348"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3.00</w:t>
            </w:r>
          </w:p>
        </w:tc>
        <w:tc>
          <w:tcPr>
            <w:tcW w:w="919" w:type="pct"/>
            <w:vAlign w:val="center"/>
            <w:hideMark/>
          </w:tcPr>
          <w:p w14:paraId="4CD5C449" w14:textId="77777777" w:rsidR="00C32DB5" w:rsidRPr="00444A44" w:rsidRDefault="00C32DB5">
            <w:pPr>
              <w:jc w:val="right"/>
              <w:cnfStyle w:val="000000000000" w:firstRow="0" w:lastRow="0" w:firstColumn="0" w:lastColumn="0" w:oddVBand="0" w:evenVBand="0" w:oddHBand="0" w:evenHBand="0" w:firstRowFirstColumn="0" w:firstRowLastColumn="0" w:lastRowFirstColumn="0" w:lastRowLastColumn="0"/>
              <w:rPr>
                <w:b/>
              </w:rPr>
            </w:pPr>
            <w:r w:rsidRPr="00444A44">
              <w:rPr>
                <w:b/>
              </w:rPr>
              <w:t>12.21</w:t>
            </w:r>
          </w:p>
        </w:tc>
      </w:tr>
    </w:tbl>
    <w:p w14:paraId="5BFC5587" w14:textId="77777777" w:rsidR="00C32DB5" w:rsidRPr="00803AB2" w:rsidRDefault="00C32DB5" w:rsidP="00C32DB5">
      <w:r w:rsidRPr="00803AB2">
        <w:t xml:space="preserve">We are proposing to depreciate the above total Asset Delivery Organisational Review capitalised </w:t>
      </w:r>
      <w:proofErr w:type="spellStart"/>
      <w:r w:rsidRPr="00803AB2">
        <w:t>opex</w:t>
      </w:r>
      <w:proofErr w:type="spellEnd"/>
      <w:r w:rsidRPr="00803AB2">
        <w:t xml:space="preserve"> over a period of 15 years. This period will allow for the costs to be spread out over a longer duration, aligning with the expected lifespan and usefulness of this program.</w:t>
      </w:r>
    </w:p>
    <w:p w14:paraId="7A69FFEB" w14:textId="77777777" w:rsidR="00C32DB5" w:rsidRPr="00803AB2" w:rsidRDefault="00C32DB5" w:rsidP="00C32DB5">
      <w:r w:rsidRPr="00803AB2">
        <w:t>We have accounted for this regulatory treatment as follows:</w:t>
      </w:r>
    </w:p>
    <w:p w14:paraId="4F8BDF71" w14:textId="77777777" w:rsidR="00C32DB5" w:rsidRPr="00803AB2" w:rsidRDefault="00C32DB5" w:rsidP="00C32DB5">
      <w:pPr>
        <w:pStyle w:val="ListBullet"/>
      </w:pPr>
      <w:r w:rsidRPr="00803AB2">
        <w:t>$2.8 million has been transferred from operating expenditure to the capital expenditure in the 2022-23 regulatory accounts; therefore, it is reflected in the opening RAB for 2023-24 in ESC’s pricing model (specifically, it is included in the 2022-23 gross capex of $342.4 million).</w:t>
      </w:r>
    </w:p>
    <w:p w14:paraId="4407E2AB" w14:textId="77777777" w:rsidR="00C32DB5" w:rsidRPr="00803AB2" w:rsidRDefault="00C32DB5" w:rsidP="00C32DB5">
      <w:pPr>
        <w:pStyle w:val="ListBullet"/>
      </w:pPr>
      <w:r w:rsidRPr="00803AB2">
        <w:t>$2.8 million (book value) and 15 years (average asset life) is reflected in the ESC’s pricing template (</w:t>
      </w:r>
      <w:proofErr w:type="spellStart"/>
      <w:r w:rsidRPr="00803AB2">
        <w:t>RollForward_FO</w:t>
      </w:r>
      <w:proofErr w:type="spellEnd"/>
      <w:r w:rsidRPr="00803AB2">
        <w:t xml:space="preserve"> tab), to ensure the regulatory depreciation is applied over the useful life of these capitalised amounts.</w:t>
      </w:r>
    </w:p>
    <w:p w14:paraId="7D8F942E" w14:textId="77777777" w:rsidR="00C32DB5" w:rsidRPr="00803AB2" w:rsidRDefault="00C32DB5" w:rsidP="00C32DB5">
      <w:pPr>
        <w:pStyle w:val="ListBullet"/>
      </w:pPr>
      <w:r w:rsidRPr="00803AB2">
        <w:t xml:space="preserve">$4 million for 2023-24 and $1.8 million for 2024-25 capitalised </w:t>
      </w:r>
      <w:proofErr w:type="spellStart"/>
      <w:r w:rsidRPr="00803AB2">
        <w:t>opex</w:t>
      </w:r>
      <w:proofErr w:type="spellEnd"/>
      <w:r w:rsidRPr="00803AB2">
        <w:t xml:space="preserve"> is reflected as forecast capital expenditure (split by the service: water, sewerage, and recycled water) in the ESC’s pricing template (Capex</w:t>
      </w:r>
      <w:r>
        <w:t xml:space="preserve"> </w:t>
      </w:r>
      <w:r w:rsidRPr="00803AB2">
        <w:t>FO input tab) with 15 years of useful asset life.</w:t>
      </w:r>
    </w:p>
    <w:p w14:paraId="0834B5A8" w14:textId="77777777" w:rsidR="00C32DB5" w:rsidRPr="00B022B1" w:rsidRDefault="00C32DB5" w:rsidP="004D1DF6">
      <w:pPr>
        <w:pStyle w:val="appLP1x"/>
      </w:pPr>
      <w:bookmarkStart w:id="443" w:name="_Toc146004925"/>
      <w:bookmarkStart w:id="444" w:name="_Toc146004813"/>
      <w:bookmarkStart w:id="445" w:name="_Toc146746757"/>
      <w:r w:rsidRPr="00B022B1">
        <w:lastRenderedPageBreak/>
        <w:t xml:space="preserve">Impact of </w:t>
      </w:r>
      <w:proofErr w:type="spellStart"/>
      <w:r w:rsidRPr="00B022B1">
        <w:t>opex</w:t>
      </w:r>
      <w:proofErr w:type="spellEnd"/>
      <w:r w:rsidRPr="00B022B1">
        <w:t xml:space="preserve"> capitalisation on the revenue requirement</w:t>
      </w:r>
      <w:bookmarkEnd w:id="443"/>
      <w:bookmarkEnd w:id="444"/>
      <w:bookmarkEnd w:id="445"/>
    </w:p>
    <w:p w14:paraId="692994C4" w14:textId="664B4384" w:rsidR="00C32DB5" w:rsidRPr="00B022B1" w:rsidRDefault="00CA5A14" w:rsidP="00C32DB5">
      <w:r>
        <w:fldChar w:fldCharType="begin"/>
      </w:r>
      <w:r>
        <w:instrText xml:space="preserve"> REF _Ref146031961 \h </w:instrText>
      </w:r>
      <w:r>
        <w:fldChar w:fldCharType="separate"/>
      </w:r>
      <w:r w:rsidR="003B42C6" w:rsidRPr="005C766D">
        <w:rPr>
          <w:b/>
        </w:rPr>
        <w:t xml:space="preserve">Table </w:t>
      </w:r>
      <w:r w:rsidR="003B42C6">
        <w:rPr>
          <w:b/>
          <w:noProof/>
        </w:rPr>
        <w:t>102</w:t>
      </w:r>
      <w:r>
        <w:fldChar w:fldCharType="end"/>
      </w:r>
      <w:r w:rsidR="00C32DB5" w:rsidRPr="00B022B1">
        <w:t xml:space="preserve"> below shows a comparison of the impact from capitalising operating expenditure related to IT/SaaS and Asset Delivery Organisational Review</w:t>
      </w:r>
      <w:r w:rsidR="00C32DB5" w:rsidRPr="00B022B1" w:rsidDel="00650DC4">
        <w:t xml:space="preserve"> </w:t>
      </w:r>
      <w:r w:rsidR="00C32DB5" w:rsidRPr="00B022B1">
        <w:t xml:space="preserve">on the revenue requirement for the next regulatory period (2024-28). </w:t>
      </w:r>
    </w:p>
    <w:p w14:paraId="7B3D1FE1" w14:textId="77777777" w:rsidR="00C32DB5" w:rsidRDefault="00C32DB5" w:rsidP="00C32DB5">
      <w:r w:rsidRPr="00B022B1">
        <w:t xml:space="preserve">Our modelling indicates that if we do not capitalise the $38.6 million of SaaS/IT </w:t>
      </w:r>
      <w:proofErr w:type="spellStart"/>
      <w:r w:rsidRPr="00B022B1">
        <w:t>opex</w:t>
      </w:r>
      <w:proofErr w:type="spellEnd"/>
      <w:r w:rsidRPr="00B022B1">
        <w:t xml:space="preserve"> for 2022-23 and $8.6 million of Asset Delivery Organisational Review </w:t>
      </w:r>
      <w:proofErr w:type="spellStart"/>
      <w:r w:rsidRPr="00B022B1">
        <w:t>opex</w:t>
      </w:r>
      <w:proofErr w:type="spellEnd"/>
      <w:r w:rsidRPr="00B022B1">
        <w:t xml:space="preserve"> over the period 2022-23 to 2024-25, the revenue requirement for the next regulatory period will </w:t>
      </w:r>
      <w:r>
        <w:t>be lower by $22.3 million to $3,460.7 million</w:t>
      </w:r>
      <w:r w:rsidRPr="00B022B1">
        <w:t>.</w:t>
      </w:r>
      <w:r>
        <w:t xml:space="preserve"> This </w:t>
      </w:r>
      <w:proofErr w:type="gramStart"/>
      <w:r>
        <w:t>is based on the assumption</w:t>
      </w:r>
      <w:proofErr w:type="gramEnd"/>
      <w:r>
        <w:t xml:space="preserve"> that we forgo the $38.6 million (SaaS/IT) and $2.8 million (ADOR) expenditure in 2022-23 – as they are removed off the base year as non-recurring items.</w:t>
      </w:r>
    </w:p>
    <w:p w14:paraId="72FD0487" w14:textId="4C6A6410" w:rsidR="00C32DB5" w:rsidRDefault="00C32DB5" w:rsidP="00C32DB5">
      <w:r>
        <w:t xml:space="preserve">However, this method does not align the benefits to the customers (through efficiencies and better customer service experience) over the useful lives of the SaaS/IT project and ADOR program. This will result in a mismatch between the benefits gained and costs incurred over the project/program life. Capitalisation of these items will </w:t>
      </w:r>
      <w:r w:rsidRPr="00F91981">
        <w:t>align</w:t>
      </w:r>
      <w:r>
        <w:t xml:space="preserve"> the cost </w:t>
      </w:r>
      <w:r w:rsidRPr="00F91981">
        <w:t>recovery</w:t>
      </w:r>
      <w:r>
        <w:t xml:space="preserve"> of the program </w:t>
      </w:r>
      <w:r w:rsidRPr="00F91981">
        <w:t>with</w:t>
      </w:r>
      <w:r>
        <w:t xml:space="preserve"> the</w:t>
      </w:r>
      <w:r w:rsidRPr="00F91981">
        <w:t xml:space="preserve"> </w:t>
      </w:r>
      <w:proofErr w:type="gramStart"/>
      <w:r w:rsidRPr="00F91981">
        <w:t>time period</w:t>
      </w:r>
      <w:proofErr w:type="gramEnd"/>
      <w:r w:rsidRPr="00F91981">
        <w:t xml:space="preserve"> of</w:t>
      </w:r>
      <w:r>
        <w:t xml:space="preserve"> the </w:t>
      </w:r>
      <w:r w:rsidRPr="00F91981">
        <w:t>benefits</w:t>
      </w:r>
      <w:r>
        <w:t>, and thus provide better outcomes to our customers over the long-term.</w:t>
      </w:r>
    </w:p>
    <w:p w14:paraId="6FA3B0BE" w14:textId="77777777" w:rsidR="00C32DB5" w:rsidRPr="00B022B1" w:rsidRDefault="00C32DB5" w:rsidP="00C32DB5"/>
    <w:p w14:paraId="75C0530B" w14:textId="3527CA79" w:rsidR="00C32DB5" w:rsidRPr="00B022B1" w:rsidRDefault="00C32DB5" w:rsidP="00C32DB5">
      <w:pPr>
        <w:pStyle w:val="Caption"/>
      </w:pPr>
      <w:bookmarkStart w:id="446" w:name="_Ref146031961"/>
      <w:r w:rsidRPr="005C766D">
        <w:rPr>
          <w:b/>
        </w:rPr>
        <w:t xml:space="preserve">Table </w:t>
      </w:r>
      <w:r w:rsidRPr="005C766D">
        <w:rPr>
          <w:b/>
        </w:rPr>
        <w:fldChar w:fldCharType="begin"/>
      </w:r>
      <w:r w:rsidRPr="005C766D">
        <w:rPr>
          <w:b/>
        </w:rPr>
        <w:instrText>SEQ Table \* ARABIC</w:instrText>
      </w:r>
      <w:r w:rsidRPr="005C766D">
        <w:rPr>
          <w:b/>
        </w:rPr>
        <w:fldChar w:fldCharType="separate"/>
      </w:r>
      <w:r w:rsidR="003B42C6">
        <w:rPr>
          <w:b/>
          <w:noProof/>
        </w:rPr>
        <w:t>102</w:t>
      </w:r>
      <w:r w:rsidRPr="005C766D">
        <w:rPr>
          <w:b/>
        </w:rPr>
        <w:fldChar w:fldCharType="end"/>
      </w:r>
      <w:bookmarkEnd w:id="446"/>
      <w:r>
        <w:t xml:space="preserve"> </w:t>
      </w:r>
      <w:r w:rsidRPr="00B022B1">
        <w:t xml:space="preserve">Comparison of the impact of </w:t>
      </w:r>
      <w:proofErr w:type="spellStart"/>
      <w:r w:rsidRPr="00B022B1">
        <w:t>opex</w:t>
      </w:r>
      <w:proofErr w:type="spellEnd"/>
      <w:r w:rsidRPr="00B022B1">
        <w:t xml:space="preserve"> capitalisation on revenue requirement ($million, 2023-24)</w:t>
      </w:r>
    </w:p>
    <w:tbl>
      <w:tblPr>
        <w:tblStyle w:val="GWWDefaulttable"/>
        <w:tblW w:w="5000" w:type="pct"/>
        <w:tblLook w:val="04A0" w:firstRow="1" w:lastRow="0" w:firstColumn="1" w:lastColumn="0" w:noHBand="0" w:noVBand="1"/>
      </w:tblPr>
      <w:tblGrid>
        <w:gridCol w:w="2976"/>
        <w:gridCol w:w="1332"/>
        <w:gridCol w:w="1332"/>
        <w:gridCol w:w="1332"/>
        <w:gridCol w:w="1332"/>
        <w:gridCol w:w="1334"/>
      </w:tblGrid>
      <w:tr w:rsidR="00C32DB5" w:rsidRPr="00B022B1" w14:paraId="4D79EE8F" w14:textId="77777777" w:rsidTr="002D64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6E3ECE18" w14:textId="77777777" w:rsidR="00C32DB5" w:rsidRPr="00B022B1" w:rsidRDefault="00C32DB5">
            <w:r w:rsidRPr="00B022B1">
              <w:t> </w:t>
            </w:r>
          </w:p>
        </w:tc>
        <w:tc>
          <w:tcPr>
            <w:tcW w:w="691" w:type="pct"/>
            <w:vAlign w:val="center"/>
            <w:hideMark/>
          </w:tcPr>
          <w:p w14:paraId="7A756DB8"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2024-25</w:t>
            </w:r>
          </w:p>
        </w:tc>
        <w:tc>
          <w:tcPr>
            <w:tcW w:w="691" w:type="pct"/>
            <w:vAlign w:val="center"/>
            <w:hideMark/>
          </w:tcPr>
          <w:p w14:paraId="05FF278E"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2025-26</w:t>
            </w:r>
          </w:p>
        </w:tc>
        <w:tc>
          <w:tcPr>
            <w:tcW w:w="691" w:type="pct"/>
            <w:vAlign w:val="center"/>
            <w:hideMark/>
          </w:tcPr>
          <w:p w14:paraId="289D21DE"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2026-27</w:t>
            </w:r>
          </w:p>
        </w:tc>
        <w:tc>
          <w:tcPr>
            <w:tcW w:w="691" w:type="pct"/>
            <w:vAlign w:val="center"/>
            <w:hideMark/>
          </w:tcPr>
          <w:p w14:paraId="2F290CBA"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2027-28</w:t>
            </w:r>
          </w:p>
        </w:tc>
        <w:tc>
          <w:tcPr>
            <w:tcW w:w="692" w:type="pct"/>
            <w:vAlign w:val="center"/>
            <w:hideMark/>
          </w:tcPr>
          <w:p w14:paraId="54DA158F"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Total</w:t>
            </w:r>
          </w:p>
        </w:tc>
      </w:tr>
      <w:tr w:rsidR="00C32DB5" w:rsidRPr="00B022B1" w14:paraId="18105927"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59C1B518" w14:textId="77777777" w:rsidR="00C32DB5" w:rsidRPr="00610894" w:rsidRDefault="00C32DB5">
            <w:pPr>
              <w:rPr>
                <w:b w:val="0"/>
                <w:bCs/>
              </w:rPr>
            </w:pPr>
            <w:r w:rsidRPr="002D64D7">
              <w:rPr>
                <w:b w:val="0"/>
              </w:rPr>
              <w:t xml:space="preserve">Revenue requirement with capitalised </w:t>
            </w:r>
            <w:proofErr w:type="spellStart"/>
            <w:r w:rsidRPr="002D64D7">
              <w:rPr>
                <w:b w:val="0"/>
              </w:rPr>
              <w:t>opex</w:t>
            </w:r>
            <w:proofErr w:type="spellEnd"/>
            <w:r w:rsidRPr="002D64D7">
              <w:rPr>
                <w:b w:val="0"/>
              </w:rPr>
              <w:t xml:space="preserve"> (IT/SaaS and ADOR)</w:t>
            </w:r>
          </w:p>
        </w:tc>
        <w:tc>
          <w:tcPr>
            <w:tcW w:w="691" w:type="pct"/>
            <w:vAlign w:val="center"/>
            <w:hideMark/>
          </w:tcPr>
          <w:p w14:paraId="774D4F0E" w14:textId="0A52BE04"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846.</w:t>
            </w:r>
            <w:r w:rsidR="008135CF" w:rsidRPr="003F5B7F">
              <w:t>75</w:t>
            </w:r>
          </w:p>
        </w:tc>
        <w:tc>
          <w:tcPr>
            <w:tcW w:w="691" w:type="pct"/>
            <w:vAlign w:val="center"/>
            <w:hideMark/>
          </w:tcPr>
          <w:p w14:paraId="6BDEB728" w14:textId="5E1F6863"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864.</w:t>
            </w:r>
            <w:r w:rsidR="008135CF" w:rsidRPr="003F5B7F">
              <w:t>05</w:t>
            </w:r>
          </w:p>
        </w:tc>
        <w:tc>
          <w:tcPr>
            <w:tcW w:w="691" w:type="pct"/>
            <w:vAlign w:val="center"/>
            <w:hideMark/>
          </w:tcPr>
          <w:p w14:paraId="5A256919" w14:textId="4042D8E3"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877.</w:t>
            </w:r>
            <w:r w:rsidR="008135CF" w:rsidRPr="003F5B7F">
              <w:t>54</w:t>
            </w:r>
          </w:p>
        </w:tc>
        <w:tc>
          <w:tcPr>
            <w:tcW w:w="691" w:type="pct"/>
            <w:vAlign w:val="center"/>
            <w:hideMark/>
          </w:tcPr>
          <w:p w14:paraId="683DCFC0" w14:textId="63495F90"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894.</w:t>
            </w:r>
            <w:r w:rsidR="008135CF" w:rsidRPr="003F5B7F">
              <w:t>69</w:t>
            </w:r>
          </w:p>
        </w:tc>
        <w:tc>
          <w:tcPr>
            <w:tcW w:w="692" w:type="pct"/>
            <w:vAlign w:val="center"/>
            <w:hideMark/>
          </w:tcPr>
          <w:p w14:paraId="2657F9A1" w14:textId="14CC69A7"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sidRPr="008135CF">
              <w:rPr>
                <w:b/>
              </w:rPr>
              <w:t>3,483.</w:t>
            </w:r>
            <w:r w:rsidR="008135CF" w:rsidRPr="008135CF">
              <w:rPr>
                <w:b/>
                <w:bCs/>
              </w:rPr>
              <w:t>03</w:t>
            </w:r>
          </w:p>
        </w:tc>
      </w:tr>
      <w:tr w:rsidR="00C32DB5" w:rsidRPr="00B022B1" w14:paraId="39844A22"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4638E178" w14:textId="77777777" w:rsidR="00C32DB5" w:rsidRPr="00610894" w:rsidRDefault="00C32DB5">
            <w:pPr>
              <w:rPr>
                <w:b w:val="0"/>
                <w:bCs/>
              </w:rPr>
            </w:pPr>
            <w:r w:rsidRPr="002D64D7">
              <w:rPr>
                <w:b w:val="0"/>
              </w:rPr>
              <w:t xml:space="preserve">Revenue requirement without capitalised </w:t>
            </w:r>
            <w:proofErr w:type="spellStart"/>
            <w:r w:rsidRPr="002D64D7">
              <w:rPr>
                <w:b w:val="0"/>
              </w:rPr>
              <w:t>opex</w:t>
            </w:r>
            <w:proofErr w:type="spellEnd"/>
            <w:r w:rsidRPr="002D64D7">
              <w:rPr>
                <w:b w:val="0"/>
              </w:rPr>
              <w:t xml:space="preserve"> (IT/SaaS and ADOR)</w:t>
            </w:r>
          </w:p>
        </w:tc>
        <w:tc>
          <w:tcPr>
            <w:tcW w:w="691" w:type="pct"/>
            <w:vAlign w:val="center"/>
            <w:hideMark/>
          </w:tcPr>
          <w:p w14:paraId="0F2E8A32" w14:textId="26945E0C"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841.</w:t>
            </w:r>
            <w:r w:rsidR="008135CF" w:rsidRPr="003F5B7F">
              <w:t>14</w:t>
            </w:r>
          </w:p>
        </w:tc>
        <w:tc>
          <w:tcPr>
            <w:tcW w:w="691" w:type="pct"/>
            <w:vAlign w:val="center"/>
            <w:hideMark/>
          </w:tcPr>
          <w:p w14:paraId="07784C3A" w14:textId="0DBB8E12"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858.</w:t>
            </w:r>
            <w:r w:rsidR="008135CF" w:rsidRPr="003F5B7F">
              <w:t>41</w:t>
            </w:r>
          </w:p>
        </w:tc>
        <w:tc>
          <w:tcPr>
            <w:tcW w:w="691" w:type="pct"/>
            <w:vAlign w:val="center"/>
            <w:hideMark/>
          </w:tcPr>
          <w:p w14:paraId="2D10F90E" w14:textId="6E0562FA" w:rsidR="00C32DB5" w:rsidRPr="00B022B1" w:rsidRDefault="008135CF">
            <w:pPr>
              <w:jc w:val="right"/>
              <w:cnfStyle w:val="000000000000" w:firstRow="0" w:lastRow="0" w:firstColumn="0" w:lastColumn="0" w:oddVBand="0" w:evenVBand="0" w:oddHBand="0" w:evenHBand="0" w:firstRowFirstColumn="0" w:firstRowLastColumn="0" w:lastRowFirstColumn="0" w:lastRowLastColumn="0"/>
            </w:pPr>
            <w:r w:rsidRPr="003F5B7F">
              <w:t>871.96</w:t>
            </w:r>
          </w:p>
        </w:tc>
        <w:tc>
          <w:tcPr>
            <w:tcW w:w="691" w:type="pct"/>
            <w:vAlign w:val="center"/>
            <w:hideMark/>
          </w:tcPr>
          <w:p w14:paraId="7F2F5976" w14:textId="708D485C"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889.</w:t>
            </w:r>
            <w:r w:rsidR="008135CF" w:rsidRPr="003F5B7F">
              <w:t>18</w:t>
            </w:r>
          </w:p>
        </w:tc>
        <w:tc>
          <w:tcPr>
            <w:tcW w:w="692" w:type="pct"/>
            <w:vAlign w:val="center"/>
            <w:hideMark/>
          </w:tcPr>
          <w:p w14:paraId="5687F9BA" w14:textId="5083D30D"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sidRPr="008135CF">
              <w:rPr>
                <w:b/>
              </w:rPr>
              <w:t>3,460.</w:t>
            </w:r>
            <w:r w:rsidR="008135CF" w:rsidRPr="008135CF">
              <w:rPr>
                <w:b/>
                <w:bCs/>
              </w:rPr>
              <w:t>70</w:t>
            </w:r>
          </w:p>
        </w:tc>
      </w:tr>
      <w:tr w:rsidR="00C32DB5" w:rsidRPr="00B022B1" w14:paraId="5E425091"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231CD3F8" w14:textId="77777777" w:rsidR="00C32DB5" w:rsidRPr="00B022B1" w:rsidRDefault="00C32DB5">
            <w:r w:rsidRPr="00B022B1">
              <w:t xml:space="preserve">Variance </w:t>
            </w:r>
            <w:r>
              <w:t xml:space="preserve">due to </w:t>
            </w:r>
            <w:proofErr w:type="spellStart"/>
            <w:r>
              <w:t>opex</w:t>
            </w:r>
            <w:proofErr w:type="spellEnd"/>
            <w:r>
              <w:t xml:space="preserve"> capitalisation</w:t>
            </w:r>
          </w:p>
        </w:tc>
        <w:tc>
          <w:tcPr>
            <w:tcW w:w="691" w:type="pct"/>
            <w:vAlign w:val="center"/>
            <w:hideMark/>
          </w:tcPr>
          <w:p w14:paraId="23FC8DDD" w14:textId="4EC2FF82"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61</w:t>
            </w:r>
          </w:p>
        </w:tc>
        <w:tc>
          <w:tcPr>
            <w:tcW w:w="691" w:type="pct"/>
            <w:vAlign w:val="center"/>
            <w:hideMark/>
          </w:tcPr>
          <w:p w14:paraId="2ADB16AD" w14:textId="72577DD7"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64</w:t>
            </w:r>
          </w:p>
        </w:tc>
        <w:tc>
          <w:tcPr>
            <w:tcW w:w="691" w:type="pct"/>
            <w:vAlign w:val="center"/>
            <w:hideMark/>
          </w:tcPr>
          <w:p w14:paraId="3201B7F3" w14:textId="55EA5A7B"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57</w:t>
            </w:r>
          </w:p>
        </w:tc>
        <w:tc>
          <w:tcPr>
            <w:tcW w:w="691" w:type="pct"/>
            <w:vAlign w:val="center"/>
            <w:hideMark/>
          </w:tcPr>
          <w:p w14:paraId="06FABB99" w14:textId="3FCC0616"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51</w:t>
            </w:r>
          </w:p>
        </w:tc>
        <w:tc>
          <w:tcPr>
            <w:tcW w:w="692" w:type="pct"/>
            <w:vAlign w:val="center"/>
            <w:hideMark/>
          </w:tcPr>
          <w:p w14:paraId="5BFB99A6" w14:textId="63B05335"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22.</w:t>
            </w:r>
            <w:r w:rsidR="008135CF" w:rsidRPr="008135CF">
              <w:rPr>
                <w:b/>
                <w:bCs/>
              </w:rPr>
              <w:t>33</w:t>
            </w:r>
          </w:p>
        </w:tc>
      </w:tr>
    </w:tbl>
    <w:p w14:paraId="0857430B" w14:textId="77777777" w:rsidR="00E90753" w:rsidRDefault="00E90753" w:rsidP="003236F8">
      <w:pPr>
        <w:tabs>
          <w:tab w:val="left" w:pos="2512"/>
        </w:tabs>
      </w:pPr>
    </w:p>
    <w:p w14:paraId="1A62D7F9" w14:textId="77777777" w:rsidR="00D3676A" w:rsidRDefault="00D3676A" w:rsidP="006826F0"/>
    <w:p w14:paraId="2F2EFE83" w14:textId="77777777" w:rsidR="00D3676A" w:rsidRDefault="00D3676A" w:rsidP="006826F0"/>
    <w:p w14:paraId="01606B62" w14:textId="2165FC40" w:rsidR="002D2765" w:rsidRDefault="00780A79">
      <w:pPr>
        <w:rPr>
          <w:noProof/>
        </w:rPr>
      </w:pPr>
      <w:r>
        <w:rPr>
          <w:noProof/>
        </w:rPr>
        <w:lastRenderedPageBreak/>
        <mc:AlternateContent>
          <mc:Choice Requires="wpg">
            <w:drawing>
              <wp:anchor distT="0" distB="0" distL="114300" distR="114300" simplePos="0" relativeHeight="251658254" behindDoc="0" locked="1" layoutInCell="1" allowOverlap="1" wp14:anchorId="351250E1" wp14:editId="43E97288">
                <wp:simplePos x="0" y="0"/>
                <wp:positionH relativeFrom="page">
                  <wp:align>left</wp:align>
                </wp:positionH>
                <wp:positionV relativeFrom="page">
                  <wp:align>top</wp:align>
                </wp:positionV>
                <wp:extent cx="7560000" cy="10692000"/>
                <wp:effectExtent l="0" t="0" r="41275" b="14605"/>
                <wp:wrapTopAndBottom/>
                <wp:docPr id="2103281760" name="Group 2103281760"/>
                <wp:cNvGraphicFramePr/>
                <a:graphic xmlns:a="http://schemas.openxmlformats.org/drawingml/2006/main">
                  <a:graphicData uri="http://schemas.microsoft.com/office/word/2010/wordprocessingGroup">
                    <wpg:wgp>
                      <wpg:cNvGrpSpPr/>
                      <wpg:grpSpPr>
                        <a:xfrm>
                          <a:off x="0" y="0"/>
                          <a:ext cx="7573028" cy="10712855"/>
                          <a:chOff x="0" y="0"/>
                          <a:chExt cx="1106804" cy="1565147"/>
                        </a:xfrm>
                      </wpg:grpSpPr>
                      <wps:wsp>
                        <wps:cNvPr id="312339861" name="Free-form: Shape 312339861"/>
                        <wps:cNvSpPr/>
                        <wps:spPr>
                          <a:xfrm>
                            <a:off x="712865" y="188880"/>
                            <a:ext cx="393654" cy="1356741"/>
                          </a:xfrm>
                          <a:custGeom>
                            <a:avLst/>
                            <a:gdLst>
                              <a:gd name="connsiteX0" fmla="*/ 272496 w 393654"/>
                              <a:gd name="connsiteY0" fmla="*/ 119729 h 1356741"/>
                              <a:gd name="connsiteX1" fmla="*/ 168388 w 393654"/>
                              <a:gd name="connsiteY1" fmla="*/ 218027 h 1356741"/>
                              <a:gd name="connsiteX2" fmla="*/ 115619 w 393654"/>
                              <a:gd name="connsiteY2" fmla="*/ 1139476 h 1356741"/>
                              <a:gd name="connsiteX3" fmla="*/ 393654 w 393654"/>
                              <a:gd name="connsiteY3" fmla="*/ 1356741 h 1356741"/>
                              <a:gd name="connsiteX4" fmla="*/ 393654 w 393654"/>
                              <a:gd name="connsiteY4" fmla="*/ 0 h 1356741"/>
                              <a:gd name="connsiteX5" fmla="*/ 272401 w 393654"/>
                              <a:gd name="connsiteY5" fmla="*/ 119729 h 1356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3654" h="1356741">
                                <a:moveTo>
                                  <a:pt x="272496" y="119729"/>
                                </a:moveTo>
                                <a:cubicBezTo>
                                  <a:pt x="236587" y="150305"/>
                                  <a:pt x="199439" y="181928"/>
                                  <a:pt x="168388" y="218027"/>
                                </a:cubicBezTo>
                                <a:cubicBezTo>
                                  <a:pt x="-134888" y="571214"/>
                                  <a:pt x="51326" y="1012603"/>
                                  <a:pt x="115619" y="1139476"/>
                                </a:cubicBezTo>
                                <a:cubicBezTo>
                                  <a:pt x="175436" y="1257491"/>
                                  <a:pt x="272877" y="1333024"/>
                                  <a:pt x="393654" y="1356741"/>
                                </a:cubicBezTo>
                                <a:lnTo>
                                  <a:pt x="393654" y="0"/>
                                </a:lnTo>
                                <a:cubicBezTo>
                                  <a:pt x="359459" y="45530"/>
                                  <a:pt x="315263" y="83249"/>
                                  <a:pt x="272401" y="119729"/>
                                </a:cubicBezTo>
                                <a:close/>
                              </a:path>
                            </a:pathLst>
                          </a:custGeom>
                          <a:solidFill>
                            <a:srgbClr val="2925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749146" name="Free-form: Shape 1837749146"/>
                        <wps:cNvSpPr/>
                        <wps:spPr>
                          <a:xfrm>
                            <a:off x="0" y="95"/>
                            <a:ext cx="1011078" cy="1565052"/>
                          </a:xfrm>
                          <a:custGeom>
                            <a:avLst/>
                            <a:gdLst>
                              <a:gd name="connsiteX0" fmla="*/ 808863 w 1011078"/>
                              <a:gd name="connsiteY0" fmla="*/ 1387031 h 1565052"/>
                              <a:gd name="connsiteX1" fmla="*/ 669703 w 1011078"/>
                              <a:gd name="connsiteY1" fmla="*/ 1067467 h 1565052"/>
                              <a:gd name="connsiteX2" fmla="*/ 567119 w 1011078"/>
                              <a:gd name="connsiteY2" fmla="*/ 948499 h 1565052"/>
                              <a:gd name="connsiteX3" fmla="*/ 478917 w 1011078"/>
                              <a:gd name="connsiteY3" fmla="*/ 836867 h 1565052"/>
                              <a:gd name="connsiteX4" fmla="*/ 510635 w 1011078"/>
                              <a:gd name="connsiteY4" fmla="*/ 777716 h 1565052"/>
                              <a:gd name="connsiteX5" fmla="*/ 632174 w 1011078"/>
                              <a:gd name="connsiteY5" fmla="*/ 359093 h 1565052"/>
                              <a:gd name="connsiteX6" fmla="*/ 651320 w 1011078"/>
                              <a:gd name="connsiteY6" fmla="*/ 0 h 1565052"/>
                              <a:gd name="connsiteX7" fmla="*/ 0 w 1011078"/>
                              <a:gd name="connsiteY7" fmla="*/ 0 h 1565052"/>
                              <a:gd name="connsiteX8" fmla="*/ 0 w 1011078"/>
                              <a:gd name="connsiteY8" fmla="*/ 1565053 h 1565052"/>
                              <a:gd name="connsiteX9" fmla="*/ 1011079 w 1011078"/>
                              <a:gd name="connsiteY9" fmla="*/ 1565053 h 1565052"/>
                              <a:gd name="connsiteX10" fmla="*/ 998792 w 1011078"/>
                              <a:gd name="connsiteY10" fmla="*/ 1559814 h 1565052"/>
                              <a:gd name="connsiteX11" fmla="*/ 808863 w 1011078"/>
                              <a:gd name="connsiteY11" fmla="*/ 1387031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11078" h="1565052">
                                <a:moveTo>
                                  <a:pt x="808863" y="1387031"/>
                                </a:moveTo>
                                <a:cubicBezTo>
                                  <a:pt x="756285" y="1307116"/>
                                  <a:pt x="710756" y="1202627"/>
                                  <a:pt x="669703" y="1067467"/>
                                </a:cubicBezTo>
                                <a:cubicBezTo>
                                  <a:pt x="655987" y="1022414"/>
                                  <a:pt x="610838" y="984790"/>
                                  <a:pt x="567119" y="948499"/>
                                </a:cubicBezTo>
                                <a:cubicBezTo>
                                  <a:pt x="522161" y="911162"/>
                                  <a:pt x="479774" y="875824"/>
                                  <a:pt x="478917" y="836867"/>
                                </a:cubicBezTo>
                                <a:cubicBezTo>
                                  <a:pt x="478441" y="816864"/>
                                  <a:pt x="488823" y="797528"/>
                                  <a:pt x="510635" y="777716"/>
                                </a:cubicBezTo>
                                <a:cubicBezTo>
                                  <a:pt x="637318" y="662654"/>
                                  <a:pt x="652748" y="464344"/>
                                  <a:pt x="632174" y="359093"/>
                                </a:cubicBezTo>
                                <a:cubicBezTo>
                                  <a:pt x="608648" y="238220"/>
                                  <a:pt x="615887" y="115634"/>
                                  <a:pt x="651320" y="0"/>
                                </a:cubicBezTo>
                                <a:lnTo>
                                  <a:pt x="0" y="0"/>
                                </a:lnTo>
                                <a:lnTo>
                                  <a:pt x="0" y="1565053"/>
                                </a:lnTo>
                                <a:lnTo>
                                  <a:pt x="1011079" y="1565053"/>
                                </a:lnTo>
                                <a:cubicBezTo>
                                  <a:pt x="1006983" y="1563338"/>
                                  <a:pt x="1002792" y="1561719"/>
                                  <a:pt x="998792" y="1559814"/>
                                </a:cubicBezTo>
                                <a:cubicBezTo>
                                  <a:pt x="925449" y="1526286"/>
                                  <a:pt x="863346" y="1469708"/>
                                  <a:pt x="808863" y="1387031"/>
                                </a:cubicBezTo>
                                <a:close/>
                              </a:path>
                            </a:pathLst>
                          </a:custGeom>
                          <a:solidFill>
                            <a:srgbClr val="292562"/>
                          </a:solidFill>
                          <a:ln w="9525" cap="flat">
                            <a:noFill/>
                            <a:prstDash val="solid"/>
                            <a:miter/>
                          </a:ln>
                        </wps:spPr>
                        <wps:txbx>
                          <w:txbxContent>
                            <w:p w14:paraId="0798664B" w14:textId="7E875F21" w:rsidR="00780A79" w:rsidRDefault="003D68AD" w:rsidP="004F273D">
                              <w:pPr>
                                <w:pStyle w:val="SectioncoverTitle"/>
                              </w:pPr>
                              <w:r>
                                <w:t>Thriving People and Country</w:t>
                              </w:r>
                            </w:p>
                            <w:p w14:paraId="7C990889" w14:textId="3F09699A" w:rsidR="00780A79" w:rsidRPr="004F273D" w:rsidRDefault="00780A79" w:rsidP="004F273D">
                              <w:pPr>
                                <w:pStyle w:val="SectioncoverSubtitle"/>
                              </w:pPr>
                            </w:p>
                          </w:txbxContent>
                        </wps:txbx>
                        <wps:bodyPr rot="0" spcFirstLastPara="0" vert="horz" wrap="square" lIns="720000" tIns="1440000" rIns="2880000" bIns="1440000" numCol="1" spcCol="0" rtlCol="0" fromWordArt="0" anchor="b" anchorCtr="0" forceAA="0" compatLnSpc="1">
                          <a:prstTxWarp prst="textNoShape">
                            <a:avLst/>
                          </a:prstTxWarp>
                          <a:noAutofit/>
                        </wps:bodyPr>
                      </wps:wsp>
                      <wps:wsp>
                        <wps:cNvPr id="9649049" name="Free-form: Shape 9649049"/>
                        <wps:cNvSpPr/>
                        <wps:spPr>
                          <a:xfrm>
                            <a:off x="481287" y="0"/>
                            <a:ext cx="625326" cy="1565052"/>
                          </a:xfrm>
                          <a:custGeom>
                            <a:avLst/>
                            <a:gdLst>
                              <a:gd name="connsiteX0" fmla="*/ 153268 w 625326"/>
                              <a:gd name="connsiteY0" fmla="*/ 358616 h 1565052"/>
                              <a:gd name="connsiteX1" fmla="*/ 30967 w 625326"/>
                              <a:gd name="connsiteY1" fmla="*/ 779526 h 1565052"/>
                              <a:gd name="connsiteX2" fmla="*/ 10 w 625326"/>
                              <a:gd name="connsiteY2" fmla="*/ 836867 h 1565052"/>
                              <a:gd name="connsiteX3" fmla="*/ 87355 w 625326"/>
                              <a:gd name="connsiteY3" fmla="*/ 946785 h 1565052"/>
                              <a:gd name="connsiteX4" fmla="*/ 190701 w 625326"/>
                              <a:gd name="connsiteY4" fmla="*/ 1066895 h 1565052"/>
                              <a:gd name="connsiteX5" fmla="*/ 518456 w 625326"/>
                              <a:gd name="connsiteY5" fmla="*/ 1557718 h 1565052"/>
                              <a:gd name="connsiteX6" fmla="*/ 535887 w 625326"/>
                              <a:gd name="connsiteY6" fmla="*/ 1565053 h 1565052"/>
                              <a:gd name="connsiteX7" fmla="*/ 625327 w 625326"/>
                              <a:gd name="connsiteY7" fmla="*/ 1565053 h 1565052"/>
                              <a:gd name="connsiteX8" fmla="*/ 625327 w 625326"/>
                              <a:gd name="connsiteY8" fmla="*/ 1550480 h 1565052"/>
                              <a:gd name="connsiteX9" fmla="*/ 343006 w 625326"/>
                              <a:gd name="connsiteY9" fmla="*/ 1330452 h 1565052"/>
                              <a:gd name="connsiteX10" fmla="*/ 396346 w 625326"/>
                              <a:gd name="connsiteY10" fmla="*/ 403670 h 1565052"/>
                              <a:gd name="connsiteX11" fmla="*/ 500930 w 625326"/>
                              <a:gd name="connsiteY11" fmla="*/ 304895 h 1565052"/>
                              <a:gd name="connsiteX12" fmla="*/ 623326 w 625326"/>
                              <a:gd name="connsiteY12" fmla="*/ 183452 h 1565052"/>
                              <a:gd name="connsiteX13" fmla="*/ 625231 w 625326"/>
                              <a:gd name="connsiteY13" fmla="*/ 180689 h 1565052"/>
                              <a:gd name="connsiteX14" fmla="*/ 625231 w 625326"/>
                              <a:gd name="connsiteY14" fmla="*/ 0 h 1565052"/>
                              <a:gd name="connsiteX15" fmla="*/ 172413 w 625326"/>
                              <a:gd name="connsiteY15" fmla="*/ 0 h 1565052"/>
                              <a:gd name="connsiteX16" fmla="*/ 153077 w 625326"/>
                              <a:gd name="connsiteY16" fmla="*/ 358616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5326" h="1565052">
                                <a:moveTo>
                                  <a:pt x="153268" y="358616"/>
                                </a:moveTo>
                                <a:cubicBezTo>
                                  <a:pt x="173937" y="464439"/>
                                  <a:pt x="158316" y="663797"/>
                                  <a:pt x="30967" y="779526"/>
                                </a:cubicBezTo>
                                <a:cubicBezTo>
                                  <a:pt x="9726" y="798862"/>
                                  <a:pt x="-371" y="817626"/>
                                  <a:pt x="10" y="836867"/>
                                </a:cubicBezTo>
                                <a:cubicBezTo>
                                  <a:pt x="868" y="874776"/>
                                  <a:pt x="42873" y="909733"/>
                                  <a:pt x="87355" y="946785"/>
                                </a:cubicBezTo>
                                <a:cubicBezTo>
                                  <a:pt x="131360" y="983361"/>
                                  <a:pt x="176794" y="1021175"/>
                                  <a:pt x="190701" y="1066895"/>
                                </a:cubicBezTo>
                                <a:cubicBezTo>
                                  <a:pt x="272616" y="1336929"/>
                                  <a:pt x="376819" y="1492853"/>
                                  <a:pt x="518456" y="1557718"/>
                                </a:cubicBezTo>
                                <a:cubicBezTo>
                                  <a:pt x="524171" y="1560290"/>
                                  <a:pt x="529981" y="1562767"/>
                                  <a:pt x="535887" y="1565053"/>
                                </a:cubicBezTo>
                                <a:lnTo>
                                  <a:pt x="625327" y="1565053"/>
                                </a:lnTo>
                                <a:lnTo>
                                  <a:pt x="625327" y="1550480"/>
                                </a:lnTo>
                                <a:cubicBezTo>
                                  <a:pt x="502645" y="1526667"/>
                                  <a:pt x="403680" y="1450181"/>
                                  <a:pt x="343006" y="1330452"/>
                                </a:cubicBezTo>
                                <a:cubicBezTo>
                                  <a:pt x="278331" y="1202912"/>
                                  <a:pt x="91165" y="759143"/>
                                  <a:pt x="396346" y="403670"/>
                                </a:cubicBezTo>
                                <a:cubicBezTo>
                                  <a:pt x="427588" y="367284"/>
                                  <a:pt x="464830" y="335566"/>
                                  <a:pt x="500930" y="304895"/>
                                </a:cubicBezTo>
                                <a:cubicBezTo>
                                  <a:pt x="544364" y="267938"/>
                                  <a:pt x="589227" y="229743"/>
                                  <a:pt x="623326" y="183452"/>
                                </a:cubicBezTo>
                                <a:cubicBezTo>
                                  <a:pt x="623993" y="182594"/>
                                  <a:pt x="624565" y="181642"/>
                                  <a:pt x="625231" y="180689"/>
                                </a:cubicBezTo>
                                <a:lnTo>
                                  <a:pt x="625231" y="0"/>
                                </a:lnTo>
                                <a:lnTo>
                                  <a:pt x="172413" y="0"/>
                                </a:lnTo>
                                <a:cubicBezTo>
                                  <a:pt x="136885" y="115443"/>
                                  <a:pt x="129550" y="237935"/>
                                  <a:pt x="153077" y="358616"/>
                                </a:cubicBezTo>
                                <a:close/>
                              </a:path>
                            </a:pathLst>
                          </a:custGeom>
                          <a:solidFill>
                            <a:srgbClr val="2925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590504" name="Free-form: Shape 1722590504"/>
                        <wps:cNvSpPr/>
                        <wps:spPr>
                          <a:xfrm>
                            <a:off x="478996" y="0"/>
                            <a:ext cx="538273" cy="1565052"/>
                          </a:xfrm>
                          <a:custGeom>
                            <a:avLst/>
                            <a:gdLst>
                              <a:gd name="connsiteX0" fmla="*/ 520747 w 538273"/>
                              <a:gd name="connsiteY0" fmla="*/ 1557718 h 1565052"/>
                              <a:gd name="connsiteX1" fmla="*/ 192992 w 538273"/>
                              <a:gd name="connsiteY1" fmla="*/ 1066895 h 1565052"/>
                              <a:gd name="connsiteX2" fmla="*/ 89646 w 538273"/>
                              <a:gd name="connsiteY2" fmla="*/ 946785 h 1565052"/>
                              <a:gd name="connsiteX3" fmla="*/ 2302 w 538273"/>
                              <a:gd name="connsiteY3" fmla="*/ 836867 h 1565052"/>
                              <a:gd name="connsiteX4" fmla="*/ 33258 w 538273"/>
                              <a:gd name="connsiteY4" fmla="*/ 779526 h 1565052"/>
                              <a:gd name="connsiteX5" fmla="*/ 155559 w 538273"/>
                              <a:gd name="connsiteY5" fmla="*/ 358616 h 1565052"/>
                              <a:gd name="connsiteX6" fmla="*/ 174895 w 538273"/>
                              <a:gd name="connsiteY6" fmla="*/ 0 h 1565052"/>
                              <a:gd name="connsiteX7" fmla="*/ 172418 w 538273"/>
                              <a:gd name="connsiteY7" fmla="*/ 0 h 1565052"/>
                              <a:gd name="connsiteX8" fmla="*/ 153273 w 538273"/>
                              <a:gd name="connsiteY8" fmla="*/ 359093 h 1565052"/>
                              <a:gd name="connsiteX9" fmla="*/ 31734 w 538273"/>
                              <a:gd name="connsiteY9" fmla="*/ 777716 h 1565052"/>
                              <a:gd name="connsiteX10" fmla="*/ 16 w 538273"/>
                              <a:gd name="connsiteY10" fmla="*/ 836867 h 1565052"/>
                              <a:gd name="connsiteX11" fmla="*/ 88217 w 538273"/>
                              <a:gd name="connsiteY11" fmla="*/ 948500 h 1565052"/>
                              <a:gd name="connsiteX12" fmla="*/ 190801 w 538273"/>
                              <a:gd name="connsiteY12" fmla="*/ 1067467 h 1565052"/>
                              <a:gd name="connsiteX13" fmla="*/ 329962 w 538273"/>
                              <a:gd name="connsiteY13" fmla="*/ 1387031 h 1565052"/>
                              <a:gd name="connsiteX14" fmla="*/ 519890 w 538273"/>
                              <a:gd name="connsiteY14" fmla="*/ 1559814 h 1565052"/>
                              <a:gd name="connsiteX15" fmla="*/ 532177 w 538273"/>
                              <a:gd name="connsiteY15" fmla="*/ 1565053 h 1565052"/>
                              <a:gd name="connsiteX16" fmla="*/ 538273 w 538273"/>
                              <a:gd name="connsiteY16" fmla="*/ 1565053 h 1565052"/>
                              <a:gd name="connsiteX17" fmla="*/ 520843 w 538273"/>
                              <a:gd name="connsiteY17" fmla="*/ 1557718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8273" h="1565052">
                                <a:moveTo>
                                  <a:pt x="520747" y="1557718"/>
                                </a:moveTo>
                                <a:cubicBezTo>
                                  <a:pt x="379111" y="1492853"/>
                                  <a:pt x="274907" y="1336834"/>
                                  <a:pt x="192992" y="1066895"/>
                                </a:cubicBezTo>
                                <a:cubicBezTo>
                                  <a:pt x="179086" y="1021080"/>
                                  <a:pt x="133651" y="983361"/>
                                  <a:pt x="89646" y="946785"/>
                                </a:cubicBezTo>
                                <a:cubicBezTo>
                                  <a:pt x="45164" y="909828"/>
                                  <a:pt x="3064" y="874871"/>
                                  <a:pt x="2302" y="836867"/>
                                </a:cubicBezTo>
                                <a:cubicBezTo>
                                  <a:pt x="1921" y="817626"/>
                                  <a:pt x="12017" y="798862"/>
                                  <a:pt x="33258" y="779526"/>
                                </a:cubicBezTo>
                                <a:cubicBezTo>
                                  <a:pt x="160607" y="663797"/>
                                  <a:pt x="176133" y="464439"/>
                                  <a:pt x="155559" y="358616"/>
                                </a:cubicBezTo>
                                <a:cubicBezTo>
                                  <a:pt x="132032" y="237935"/>
                                  <a:pt x="139271" y="115443"/>
                                  <a:pt x="174895" y="0"/>
                                </a:cubicBezTo>
                                <a:lnTo>
                                  <a:pt x="172418" y="0"/>
                                </a:lnTo>
                                <a:cubicBezTo>
                                  <a:pt x="136985" y="115634"/>
                                  <a:pt x="129746" y="238220"/>
                                  <a:pt x="153273" y="359093"/>
                                </a:cubicBezTo>
                                <a:cubicBezTo>
                                  <a:pt x="173752" y="464344"/>
                                  <a:pt x="158321" y="662654"/>
                                  <a:pt x="31734" y="777716"/>
                                </a:cubicBezTo>
                                <a:cubicBezTo>
                                  <a:pt x="9922" y="797528"/>
                                  <a:pt x="-461" y="816864"/>
                                  <a:pt x="16" y="836867"/>
                                </a:cubicBezTo>
                                <a:cubicBezTo>
                                  <a:pt x="873" y="875919"/>
                                  <a:pt x="43354" y="911162"/>
                                  <a:pt x="88217" y="948500"/>
                                </a:cubicBezTo>
                                <a:cubicBezTo>
                                  <a:pt x="131937" y="984790"/>
                                  <a:pt x="177085" y="1022413"/>
                                  <a:pt x="190801" y="1067467"/>
                                </a:cubicBezTo>
                                <a:cubicBezTo>
                                  <a:pt x="231854" y="1202627"/>
                                  <a:pt x="277288" y="1307116"/>
                                  <a:pt x="329962" y="1387031"/>
                                </a:cubicBezTo>
                                <a:cubicBezTo>
                                  <a:pt x="384445" y="1469708"/>
                                  <a:pt x="446548" y="1526191"/>
                                  <a:pt x="519890" y="1559814"/>
                                </a:cubicBezTo>
                                <a:cubicBezTo>
                                  <a:pt x="523986" y="1561624"/>
                                  <a:pt x="528082" y="1563338"/>
                                  <a:pt x="532177" y="1565053"/>
                                </a:cubicBezTo>
                                <a:lnTo>
                                  <a:pt x="538273" y="1565053"/>
                                </a:lnTo>
                                <a:cubicBezTo>
                                  <a:pt x="532368" y="1562672"/>
                                  <a:pt x="526558" y="1560290"/>
                                  <a:pt x="520843" y="1557718"/>
                                </a:cubicBezTo>
                                <a:close/>
                              </a:path>
                            </a:pathLst>
                          </a:custGeom>
                          <a:solidFill>
                            <a:srgbClr val="C1CDE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442990" name="Free-form: Shape 329442990"/>
                        <wps:cNvSpPr/>
                        <wps:spPr>
                          <a:xfrm>
                            <a:off x="708253" y="180879"/>
                            <a:ext cx="398551" cy="1369790"/>
                          </a:xfrm>
                          <a:custGeom>
                            <a:avLst/>
                            <a:gdLst>
                              <a:gd name="connsiteX0" fmla="*/ 120326 w 398551"/>
                              <a:gd name="connsiteY0" fmla="*/ 1147477 h 1369790"/>
                              <a:gd name="connsiteX1" fmla="*/ 173095 w 398551"/>
                              <a:gd name="connsiteY1" fmla="*/ 226028 h 1369790"/>
                              <a:gd name="connsiteX2" fmla="*/ 277203 w 398551"/>
                              <a:gd name="connsiteY2" fmla="*/ 127730 h 1369790"/>
                              <a:gd name="connsiteX3" fmla="*/ 398456 w 398551"/>
                              <a:gd name="connsiteY3" fmla="*/ 8001 h 1369790"/>
                              <a:gd name="connsiteX4" fmla="*/ 398456 w 398551"/>
                              <a:gd name="connsiteY4" fmla="*/ 0 h 1369790"/>
                              <a:gd name="connsiteX5" fmla="*/ 396551 w 398551"/>
                              <a:gd name="connsiteY5" fmla="*/ 2762 h 1369790"/>
                              <a:gd name="connsiteX6" fmla="*/ 274155 w 398551"/>
                              <a:gd name="connsiteY6" fmla="*/ 124206 h 1369790"/>
                              <a:gd name="connsiteX7" fmla="*/ 169570 w 398551"/>
                              <a:gd name="connsiteY7" fmla="*/ 222980 h 1369790"/>
                              <a:gd name="connsiteX8" fmla="*/ 116230 w 398551"/>
                              <a:gd name="connsiteY8" fmla="*/ 1149763 h 1369790"/>
                              <a:gd name="connsiteX9" fmla="*/ 398551 w 398551"/>
                              <a:gd name="connsiteY9" fmla="*/ 1369790 h 1369790"/>
                              <a:gd name="connsiteX10" fmla="*/ 398551 w 398551"/>
                              <a:gd name="connsiteY10" fmla="*/ 1364933 h 1369790"/>
                              <a:gd name="connsiteX11" fmla="*/ 120517 w 398551"/>
                              <a:gd name="connsiteY11" fmla="*/ 1147667 h 136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8551" h="1369790">
                                <a:moveTo>
                                  <a:pt x="120326" y="1147477"/>
                                </a:moveTo>
                                <a:cubicBezTo>
                                  <a:pt x="56032" y="1020604"/>
                                  <a:pt x="-130277" y="579215"/>
                                  <a:pt x="173095" y="226028"/>
                                </a:cubicBezTo>
                                <a:cubicBezTo>
                                  <a:pt x="204051" y="189929"/>
                                  <a:pt x="241198" y="158306"/>
                                  <a:pt x="277203" y="127730"/>
                                </a:cubicBezTo>
                                <a:cubicBezTo>
                                  <a:pt x="320065" y="91250"/>
                                  <a:pt x="364261" y="53531"/>
                                  <a:pt x="398456" y="8001"/>
                                </a:cubicBezTo>
                                <a:lnTo>
                                  <a:pt x="398456" y="0"/>
                                </a:lnTo>
                                <a:cubicBezTo>
                                  <a:pt x="397789" y="953"/>
                                  <a:pt x="397218" y="1810"/>
                                  <a:pt x="396551" y="2762"/>
                                </a:cubicBezTo>
                                <a:cubicBezTo>
                                  <a:pt x="362452" y="48958"/>
                                  <a:pt x="317589" y="87249"/>
                                  <a:pt x="274155" y="124206"/>
                                </a:cubicBezTo>
                                <a:cubicBezTo>
                                  <a:pt x="238055" y="154877"/>
                                  <a:pt x="200812" y="186690"/>
                                  <a:pt x="169570" y="222980"/>
                                </a:cubicBezTo>
                                <a:cubicBezTo>
                                  <a:pt x="-135706" y="578453"/>
                                  <a:pt x="51556" y="1022223"/>
                                  <a:pt x="116230" y="1149763"/>
                                </a:cubicBezTo>
                                <a:cubicBezTo>
                                  <a:pt x="176905" y="1269492"/>
                                  <a:pt x="275869" y="1345978"/>
                                  <a:pt x="398551" y="1369790"/>
                                </a:cubicBezTo>
                                <a:lnTo>
                                  <a:pt x="398551" y="1364933"/>
                                </a:lnTo>
                                <a:cubicBezTo>
                                  <a:pt x="277774" y="1341120"/>
                                  <a:pt x="180334" y="1265682"/>
                                  <a:pt x="120517" y="1147667"/>
                                </a:cubicBezTo>
                                <a:close/>
                              </a:path>
                            </a:pathLst>
                          </a:custGeom>
                          <a:solidFill>
                            <a:srgbClr val="40AC73"/>
                          </a:solidFill>
                          <a:ln w="12700" cap="flat">
                            <a:solidFill>
                              <a:schemeClr val="accent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936174" name="Free-form: Shape 1899936174"/>
                        <wps:cNvSpPr/>
                        <wps:spPr>
                          <a:xfrm>
                            <a:off x="0" y="0"/>
                            <a:ext cx="1106614" cy="1565052"/>
                          </a:xfrm>
                          <a:custGeom>
                            <a:avLst/>
                            <a:gdLst>
                              <a:gd name="connsiteX0" fmla="*/ 0 w 1106614"/>
                              <a:gd name="connsiteY0" fmla="*/ 0 h 1565052"/>
                              <a:gd name="connsiteX1" fmla="*/ 1106615 w 1106614"/>
                              <a:gd name="connsiteY1" fmla="*/ 0 h 1565052"/>
                              <a:gd name="connsiteX2" fmla="*/ 1106615 w 1106614"/>
                              <a:gd name="connsiteY2" fmla="*/ 1565053 h 1565052"/>
                              <a:gd name="connsiteX3" fmla="*/ 0 w 1106614"/>
                              <a:gd name="connsiteY3" fmla="*/ 1565053 h 1565052"/>
                            </a:gdLst>
                            <a:ahLst/>
                            <a:cxnLst>
                              <a:cxn ang="0">
                                <a:pos x="connsiteX0" y="connsiteY0"/>
                              </a:cxn>
                              <a:cxn ang="0">
                                <a:pos x="connsiteX1" y="connsiteY1"/>
                              </a:cxn>
                              <a:cxn ang="0">
                                <a:pos x="connsiteX2" y="connsiteY2"/>
                              </a:cxn>
                              <a:cxn ang="0">
                                <a:pos x="connsiteX3" y="connsiteY3"/>
                              </a:cxn>
                            </a:cxnLst>
                            <a:rect l="l" t="t" r="r" b="b"/>
                            <a:pathLst>
                              <a:path w="1106614" h="1565052">
                                <a:moveTo>
                                  <a:pt x="0" y="0"/>
                                </a:moveTo>
                                <a:lnTo>
                                  <a:pt x="1106615" y="0"/>
                                </a:lnTo>
                                <a:lnTo>
                                  <a:pt x="1106615" y="1565053"/>
                                </a:lnTo>
                                <a:lnTo>
                                  <a:pt x="0" y="1565053"/>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250E1" id="Group 2103281760" o:spid="_x0000_s1028" style="position:absolute;margin-left:0;margin-top:0;width:595.3pt;height:841.9pt;z-index:251658254;mso-position-horizontal:left;mso-position-horizontal-relative:page;mso-position-vertical:top;mso-position-vertical-relative:page;mso-width-relative:margin;mso-height-relative:margin" coordsize="11068,1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&#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">
                <v:shape id="Free-form: Shape 312339861" o:spid="_x0000_s1029" style="position:absolute;left:7128;top:1888;width:3937;height:13568;visibility:visible;mso-wrap-style:square;v-text-anchor:middle" coordsize="393654,135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" path="m272496,119729v-35909,30576,-73057,62199,-104108,98298c-134888,571214,51326,1012603,115619,1139476v59817,118015,157258,193548,278035,217265l393654,c359459,45530,315263,83249,272401,119729r95,xe" fillcolor="#292562" stroked="f">
                  <v:stroke joinstyle="miter"/>
                  <v:path arrowok="t" o:connecttype="custom" o:connectlocs="272496,119729;168388,218027;115619,1139476;393654,1356741;393654,0;272401,119729" o:connectangles="0,0,0,0,0,0"/>
                </v:shape>
                <v:shape id="Free-form: Shape 1837749146" o:spid="_x0000_s1030" style="position:absolute;width:10110;height:15651;visibility:visible;mso-wrap-style:square;v-text-anchor:bottom" coordsize="1011078,156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" adj="-11796480,,5400" path="m808863,1387031c756285,1307116,710756,1202627,669703,1067467,655987,1022414,610838,984790,567119,948499,522161,911162,479774,875824,478917,836867v-476,-20003,9906,-39339,31718,-59151c637318,662654,652748,464344,632174,359093,608648,238220,615887,115634,651320,l,,,1565053r1011079,c1006983,1563338,1002792,1561719,998792,1559814,925449,1526286,863346,1469708,808863,1387031xe" fillcolor="#292562" stroked="f">
                  <v:stroke joinstyle="miter"/>
                  <v:formulas/>
                  <v:path arrowok="t" o:connecttype="custom" o:connectlocs="808863,1387031;669703,1067467;567119,948499;478917,836867;510635,777716;632174,359093;651320,0;0,0;0,1565053;1011079,1565053;998792,1559814;808863,1387031" o:connectangles="0,0,0,0,0,0,0,0,0,0,0,0" textboxrect="0,0,1011078,1565052"/>
                  <v:textbox inset="20mm,40mm,80mm,40mm">
                    <w:txbxContent>
                      <w:p w14:paraId="0798664B" w14:textId="7E875F21" w:rsidR="00780A79" w:rsidRDefault="003D68AD" w:rsidP="004F273D">
                        <w:pPr>
                          <w:pStyle w:val="SectioncoverTitle"/>
                        </w:pPr>
                        <w:r>
                          <w:t>Thriving People and Country</w:t>
                        </w:r>
                      </w:p>
                      <w:p w14:paraId="7C990889" w14:textId="3F09699A" w:rsidR="00780A79" w:rsidRPr="004F273D" w:rsidRDefault="00780A79" w:rsidP="004F273D">
                        <w:pPr>
                          <w:pStyle w:val="SectioncoverSubtitle"/>
                        </w:pPr>
                      </w:p>
                    </w:txbxContent>
                  </v:textbox>
                </v:shape>
                <v:shape id="Free-form: Shape 9649049" o:spid="_x0000_s1031" style="position:absolute;left:4812;width:6254;height:15650;visibility:visible;mso-wrap-style:square;v-text-anchor:middle" coordsize="625326,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" path="m153268,358616v20669,105823,5048,305181,-122301,420910c9726,798862,-371,817626,10,836867v858,37909,42863,72866,87345,109918c131360,983361,176794,1021175,190701,1066895v81915,270034,186118,425958,327755,490823c524171,1560290,529981,1562767,535887,1565053r89440,l625327,1550480c502645,1526667,403680,1450181,343006,1330452,278331,1202912,91165,759143,396346,403670v31242,-36386,68484,-68104,104584,-98775c544364,267938,589227,229743,623326,183452v667,-858,1239,-1810,1905,-2763l625231,,172413,c136885,115443,129550,237935,153077,358616r191,xe" fillcolor="#292562" stroked="f">
                  <v:stroke joinstyle="miter"/>
                  <v:path arrowok="t" o:connecttype="custom" o:connectlocs="153268,358616;30967,779526;10,836867;87355,946785;190701,1066895;518456,1557718;535887,1565053;625327,1565053;625327,1550480;343006,1330452;396346,403670;500930,304895;623326,183452;625231,180689;625231,0;172413,0;153077,358616" o:connectangles="0,0,0,0,0,0,0,0,0,0,0,0,0,0,0,0,0"/>
                </v:shape>
                <v:shape id="Free-form: Shape 1722590504" o:spid="_x0000_s1032" style="position:absolute;left:4789;width:5383;height:15650;visibility:visible;mso-wrap-style:square;v-text-anchor:middle" coordsize="538273,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" path="m520747,1557718c379111,1492853,274907,1336834,192992,1066895,179086,1021080,133651,983361,89646,946785,45164,909828,3064,874871,2302,836867v-381,-19241,9715,-38005,30956,-57341c160607,663797,176133,464439,155559,358616,132032,237935,139271,115443,174895,r-2477,c136985,115634,129746,238220,153273,359093v20479,105251,5048,303561,-121539,418623c9922,797528,-461,816864,16,836867v857,39052,43338,74295,88201,111633c131937,984790,177085,1022413,190801,1067467v41053,135160,86487,239649,139161,319564c384445,1469708,446548,1526191,519890,1559814v4096,1810,8192,3524,12287,5239l538273,1565053v-5905,-2381,-11715,-4763,-17430,-7335l520747,1557718xe" fillcolor="#c1cde9" stroked="f">
                  <v:stroke joinstyle="miter"/>
                  <v:path arrowok="t" o:connecttype="custom" o:connectlocs="520747,1557718;192992,1066895;89646,946785;2302,836867;33258,779526;155559,358616;174895,0;172418,0;153273,359093;31734,777716;16,836867;88217,948500;190801,1067467;329962,1387031;519890,1559814;532177,1565053;538273,1565053;520843,1557718" o:connectangles="0,0,0,0,0,0,0,0,0,0,0,0,0,0,0,0,0,0"/>
                </v:shape>
                <v:shape id="Free-form: Shape 329442990" o:spid="_x0000_s1033" style="position:absolute;left:7082;top:1808;width:3986;height:13698;visibility:visible;mso-wrap-style:square;v-text-anchor:middle" coordsize="398551,136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" path="m120326,1147477c56032,1020604,-130277,579215,173095,226028v30956,-36099,68103,-67722,104108,-98298c320065,91250,364261,53531,398456,8001r,-8001c397789,953,397218,1810,396551,2762,362452,48958,317589,87249,274155,124206v-36100,30671,-73343,62484,-104585,98774c-135706,578453,51556,1022223,116230,1149763v60675,119729,159639,196215,282321,220027l398551,1364933c277774,1341120,180334,1265682,120517,1147667r-191,-190xe" fillcolor="#40ac73" strokecolor="#41b27d [3204]" strokeweight="1pt">
                  <v:stroke joinstyle="miter"/>
                  <v:path arrowok="t" o:connecttype="custom" o:connectlocs="120326,1147477;173095,226028;277203,127730;398456,8001;398456,0;396551,2762;274155,124206;169570,222980;116230,1149763;398551,1369790;398551,1364933;120517,1147667" o:connectangles="0,0,0,0,0,0,0,0,0,0,0,0"/>
                </v:shape>
                <v:shape id="Free-form: Shape 1899936174" o:spid="_x0000_s1034" style="position:absolute;width:11066;height:15650;visibility:visible;mso-wrap-style:square;v-text-anchor:middle" coordsize="1106614,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" path="m,l1106615,r,1565053l,1565053,,xe" filled="f" stroked="f">
                  <v:stroke joinstyle="miter"/>
                  <v:path arrowok="t" o:connecttype="custom" o:connectlocs="0,0;1106615,0;1106615,1565053;0,1565053" o:connectangles="0,0,0,0"/>
                </v:shape>
                <w10:wrap type="topAndBottom" anchorx="page" anchory="page"/>
                <w10:anchorlock/>
              </v:group>
            </w:pict>
          </mc:Fallback>
        </mc:AlternateContent>
      </w:r>
      <w:r>
        <w:rPr>
          <w:noProof/>
        </w:rPr>
        <w:br w:type="page"/>
      </w:r>
    </w:p>
    <w:p w14:paraId="0072E404" w14:textId="50EBB8F9" w:rsidR="005654EF" w:rsidRDefault="00780A79" w:rsidP="00E840AE">
      <w:r>
        <w:rPr>
          <w:noProof/>
        </w:rPr>
        <w:lastRenderedPageBreak/>
        <mc:AlternateContent>
          <mc:Choice Requires="wpg">
            <w:drawing>
              <wp:anchor distT="0" distB="0" distL="114300" distR="114300" simplePos="0" relativeHeight="251658256" behindDoc="1" locked="0" layoutInCell="1" allowOverlap="1" wp14:anchorId="66C09642" wp14:editId="7B5F3681">
                <wp:simplePos x="0" y="0"/>
                <wp:positionH relativeFrom="page">
                  <wp:posOffset>0</wp:posOffset>
                </wp:positionH>
                <wp:positionV relativeFrom="page">
                  <wp:posOffset>0</wp:posOffset>
                </wp:positionV>
                <wp:extent cx="7579133" cy="10722815"/>
                <wp:effectExtent l="0" t="0" r="3175" b="2540"/>
                <wp:wrapTopAndBottom/>
                <wp:docPr id="1235642463" name="Group 1235642463"/>
                <wp:cNvGraphicFramePr/>
                <a:graphic xmlns:a="http://schemas.openxmlformats.org/drawingml/2006/main">
                  <a:graphicData uri="http://schemas.microsoft.com/office/word/2010/wordprocessingGroup">
                    <wpg:wgp>
                      <wpg:cNvGrpSpPr/>
                      <wpg:grpSpPr>
                        <a:xfrm>
                          <a:off x="0" y="0"/>
                          <a:ext cx="7579133" cy="10722815"/>
                          <a:chOff x="0" y="0"/>
                          <a:chExt cx="7579133" cy="10722815"/>
                        </a:xfrm>
                      </wpg:grpSpPr>
                      <wps:wsp>
                        <wps:cNvPr id="299759729" name="Free-form: Shape 28"/>
                        <wps:cNvSpPr/>
                        <wps:spPr>
                          <a:xfrm>
                            <a:off x="0" y="0"/>
                            <a:ext cx="7579133" cy="10718223"/>
                          </a:xfrm>
                          <a:custGeom>
                            <a:avLst/>
                            <a:gdLst>
                              <a:gd name="connsiteX0" fmla="*/ 0 w 7579133"/>
                              <a:gd name="connsiteY0" fmla="*/ 0 h 10718223"/>
                              <a:gd name="connsiteX1" fmla="*/ 0 w 7579133"/>
                              <a:gd name="connsiteY1" fmla="*/ 10718224 h 10718223"/>
                              <a:gd name="connsiteX2" fmla="*/ 526184 w 7579133"/>
                              <a:gd name="connsiteY2" fmla="*/ 10718224 h 10718223"/>
                              <a:gd name="connsiteX3" fmla="*/ 966952 w 7579133"/>
                              <a:gd name="connsiteY3" fmla="*/ 9598877 h 10718223"/>
                              <a:gd name="connsiteX4" fmla="*/ 1736993 w 7579133"/>
                              <a:gd name="connsiteY4" fmla="*/ 8712265 h 10718223"/>
                              <a:gd name="connsiteX5" fmla="*/ 2392930 w 7579133"/>
                              <a:gd name="connsiteY5" fmla="*/ 6959903 h 10718223"/>
                              <a:gd name="connsiteX6" fmla="*/ 3518977 w 7579133"/>
                              <a:gd name="connsiteY6" fmla="*/ 6710217 h 10718223"/>
                              <a:gd name="connsiteX7" fmla="*/ 5914515 w 7579133"/>
                              <a:gd name="connsiteY7" fmla="*/ 3750498 h 10718223"/>
                              <a:gd name="connsiteX8" fmla="*/ 7579134 w 7579133"/>
                              <a:gd name="connsiteY8" fmla="*/ 2579649 h 10718223"/>
                              <a:gd name="connsiteX9" fmla="*/ 7579134 w 7579133"/>
                              <a:gd name="connsiteY9" fmla="*/ 0 h 10718223"/>
                              <a:gd name="connsiteX10" fmla="*/ 0 w 7579133"/>
                              <a:gd name="connsiteY10" fmla="*/ 0 h 10718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9133" h="10718223">
                                <a:moveTo>
                                  <a:pt x="0" y="0"/>
                                </a:moveTo>
                                <a:lnTo>
                                  <a:pt x="0" y="10718224"/>
                                </a:lnTo>
                                <a:lnTo>
                                  <a:pt x="526184" y="10718224"/>
                                </a:lnTo>
                                <a:cubicBezTo>
                                  <a:pt x="654633" y="10312729"/>
                                  <a:pt x="803294" y="9933964"/>
                                  <a:pt x="966952" y="9598877"/>
                                </a:cubicBezTo>
                                <a:cubicBezTo>
                                  <a:pt x="1299485" y="8918272"/>
                                  <a:pt x="1767639" y="8928703"/>
                                  <a:pt x="1736993" y="8712265"/>
                                </a:cubicBezTo>
                                <a:cubicBezTo>
                                  <a:pt x="1622237" y="7895409"/>
                                  <a:pt x="1949553" y="7293034"/>
                                  <a:pt x="2392930" y="6959903"/>
                                </a:cubicBezTo>
                                <a:cubicBezTo>
                                  <a:pt x="2749588" y="6691964"/>
                                  <a:pt x="3181880" y="6598739"/>
                                  <a:pt x="3518977" y="6710217"/>
                                </a:cubicBezTo>
                                <a:cubicBezTo>
                                  <a:pt x="5670658" y="7421462"/>
                                  <a:pt x="5264446" y="5210148"/>
                                  <a:pt x="5914515" y="3750498"/>
                                </a:cubicBezTo>
                                <a:cubicBezTo>
                                  <a:pt x="6189670" y="3133130"/>
                                  <a:pt x="6653259" y="2650709"/>
                                  <a:pt x="7579134" y="2579649"/>
                                </a:cubicBezTo>
                                <a:lnTo>
                                  <a:pt x="7579134" y="0"/>
                                </a:lnTo>
                                <a:lnTo>
                                  <a:pt x="0" y="0"/>
                                </a:lnTo>
                                <a:close/>
                              </a:path>
                            </a:pathLst>
                          </a:custGeom>
                          <a:solidFill>
                            <a:srgbClr val="201E64"/>
                          </a:solidFill>
                          <a:ln w="65197" cap="flat">
                            <a:noFill/>
                            <a:prstDash val="solid"/>
                            <a:miter/>
                          </a:ln>
                        </wps:spPr>
                        <wps:txbx>
                          <w:txbxContent>
                            <w:p w14:paraId="3B12E371" w14:textId="10B7A624" w:rsidR="007D57CA" w:rsidRDefault="004E6461" w:rsidP="007D57CA">
                              <w:pPr>
                                <w:pStyle w:val="EndpageHeading"/>
                              </w:pPr>
                              <w:r>
                                <w:t>To get in touch or find out more:</w:t>
                              </w:r>
                            </w:p>
                            <w:p w14:paraId="719139B4" w14:textId="17845BAC" w:rsidR="007D57CA" w:rsidRDefault="004E6461" w:rsidP="007D57CA">
                              <w:pPr>
                                <w:pStyle w:val="EndpageBodytext"/>
                              </w:pPr>
                              <w:r>
                                <w:t>Call</w:t>
                              </w:r>
                              <w:r w:rsidR="00DC6D59">
                                <w:t xml:space="preserve"> 13 44 99 or visit </w:t>
                              </w:r>
                              <w:proofErr w:type="gramStart"/>
                              <w:r w:rsidR="00DC6D59">
                                <w:t>gww.com.au</w:t>
                              </w:r>
                              <w:proofErr w:type="gramEnd"/>
                            </w:p>
                            <w:p w14:paraId="790FF5CE" w14:textId="2DC92783" w:rsidR="007D57CA" w:rsidRDefault="00DC6D59" w:rsidP="007D57CA">
                              <w:pPr>
                                <w:pStyle w:val="EndpageBodytext"/>
                              </w:pPr>
                              <w:r>
                                <w:t>For translation and interpreter services call 9313 8989</w:t>
                              </w:r>
                            </w:p>
                          </w:txbxContent>
                        </wps:txbx>
                        <wps:bodyPr rot="0" spcFirstLastPara="0" vert="horz" wrap="square" lIns="720000" tIns="2160000" rIns="91440" bIns="45720" numCol="1" spcCol="0" rtlCol="0" fromWordArt="0" anchor="t" anchorCtr="0" forceAA="0" compatLnSpc="1">
                          <a:prstTxWarp prst="textNoShape">
                            <a:avLst/>
                          </a:prstTxWarp>
                          <a:noAutofit/>
                        </wps:bodyPr>
                      </wps:wsp>
                      <pic:pic xmlns:pic="http://schemas.openxmlformats.org/drawingml/2006/picture">
                        <pic:nvPicPr>
                          <pic:cNvPr id="2020177379" name="Graphic 1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6028" y="346841"/>
                            <a:ext cx="1533525" cy="979170"/>
                          </a:xfrm>
                          <a:prstGeom prst="rect">
                            <a:avLst/>
                          </a:prstGeom>
                        </pic:spPr>
                      </pic:pic>
                      <wps:wsp>
                        <wps:cNvPr id="735929495" name="Free-form: Shape 30"/>
                        <wps:cNvSpPr/>
                        <wps:spPr>
                          <a:xfrm>
                            <a:off x="520262" y="2585545"/>
                            <a:ext cx="7054253" cy="8137270"/>
                          </a:xfrm>
                          <a:custGeom>
                            <a:avLst/>
                            <a:gdLst>
                              <a:gd name="connsiteX0" fmla="*/ 5388331 w 7054253"/>
                              <a:gd name="connsiteY0" fmla="*/ 1169545 h 8137270"/>
                              <a:gd name="connsiteX1" fmla="*/ 2992793 w 7054253"/>
                              <a:gd name="connsiteY1" fmla="*/ 4129264 h 8137270"/>
                              <a:gd name="connsiteX2" fmla="*/ 1866746 w 7054253"/>
                              <a:gd name="connsiteY2" fmla="*/ 4378950 h 8137270"/>
                              <a:gd name="connsiteX3" fmla="*/ 1210810 w 7054253"/>
                              <a:gd name="connsiteY3" fmla="*/ 6131312 h 8137270"/>
                              <a:gd name="connsiteX4" fmla="*/ 440769 w 7054253"/>
                              <a:gd name="connsiteY4" fmla="*/ 7017924 h 8137270"/>
                              <a:gd name="connsiteX5" fmla="*/ 0 w 7054253"/>
                              <a:gd name="connsiteY5" fmla="*/ 8137271 h 8137270"/>
                              <a:gd name="connsiteX6" fmla="*/ 1237543 w 7054253"/>
                              <a:gd name="connsiteY6" fmla="*/ 8137271 h 8137270"/>
                              <a:gd name="connsiteX7" fmla="*/ 2035621 w 7054253"/>
                              <a:gd name="connsiteY7" fmla="*/ 6041999 h 8137270"/>
                              <a:gd name="connsiteX8" fmla="*/ 5405284 w 7054253"/>
                              <a:gd name="connsiteY8" fmla="*/ 4770754 h 8137270"/>
                              <a:gd name="connsiteX9" fmla="*/ 5668702 w 7054253"/>
                              <a:gd name="connsiteY9" fmla="*/ 4379601 h 8137270"/>
                              <a:gd name="connsiteX10" fmla="*/ 6829958 w 7054253"/>
                              <a:gd name="connsiteY10" fmla="*/ 1170197 h 8137270"/>
                              <a:gd name="connsiteX11" fmla="*/ 7054254 w 7054253"/>
                              <a:gd name="connsiteY11" fmla="*/ 1007217 h 8137270"/>
                              <a:gd name="connsiteX12" fmla="*/ 7054254 w 7054253"/>
                              <a:gd name="connsiteY12" fmla="*/ 0 h 8137270"/>
                              <a:gd name="connsiteX13" fmla="*/ 5389636 w 7054253"/>
                              <a:gd name="connsiteY13" fmla="*/ 1170849 h 8137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054253" h="8137270">
                                <a:moveTo>
                                  <a:pt x="5388331" y="1169545"/>
                                </a:moveTo>
                                <a:cubicBezTo>
                                  <a:pt x="4737611" y="2629195"/>
                                  <a:pt x="5144474" y="4841161"/>
                                  <a:pt x="2992793" y="4129264"/>
                                </a:cubicBezTo>
                                <a:cubicBezTo>
                                  <a:pt x="2655696" y="4017786"/>
                                  <a:pt x="2224056" y="4111010"/>
                                  <a:pt x="1866746" y="4378950"/>
                                </a:cubicBezTo>
                                <a:cubicBezTo>
                                  <a:pt x="1423370" y="4711429"/>
                                  <a:pt x="1095401" y="5313804"/>
                                  <a:pt x="1210810" y="6131312"/>
                                </a:cubicBezTo>
                                <a:cubicBezTo>
                                  <a:pt x="1241455" y="6347750"/>
                                  <a:pt x="773301" y="6337319"/>
                                  <a:pt x="440769" y="7017924"/>
                                </a:cubicBezTo>
                                <a:cubicBezTo>
                                  <a:pt x="277110" y="7353011"/>
                                  <a:pt x="129101" y="7731124"/>
                                  <a:pt x="0" y="8137271"/>
                                </a:cubicBezTo>
                                <a:lnTo>
                                  <a:pt x="1237543" y="8137271"/>
                                </a:lnTo>
                                <a:cubicBezTo>
                                  <a:pt x="1330130" y="7188075"/>
                                  <a:pt x="1617673" y="6417505"/>
                                  <a:pt x="2035621" y="6041999"/>
                                </a:cubicBezTo>
                                <a:cubicBezTo>
                                  <a:pt x="3425085" y="4793571"/>
                                  <a:pt x="4523747" y="5620206"/>
                                  <a:pt x="5405284" y="4770754"/>
                                </a:cubicBezTo>
                                <a:cubicBezTo>
                                  <a:pt x="5510260" y="4669706"/>
                                  <a:pt x="5595675" y="4536062"/>
                                  <a:pt x="5668702" y="4379601"/>
                                </a:cubicBezTo>
                                <a:cubicBezTo>
                                  <a:pt x="6082085" y="3491034"/>
                                  <a:pt x="6077521" y="1859929"/>
                                  <a:pt x="6829958" y="1170197"/>
                                </a:cubicBezTo>
                                <a:cubicBezTo>
                                  <a:pt x="6898420" y="1107613"/>
                                  <a:pt x="6972751" y="1052852"/>
                                  <a:pt x="7054254" y="1007217"/>
                                </a:cubicBezTo>
                                <a:lnTo>
                                  <a:pt x="7054254" y="0"/>
                                </a:lnTo>
                                <a:cubicBezTo>
                                  <a:pt x="6128379" y="71059"/>
                                  <a:pt x="5664138" y="553481"/>
                                  <a:pt x="5389636" y="1170849"/>
                                </a:cubicBez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992462" name="Free-form: Shape 31"/>
                        <wps:cNvSpPr/>
                        <wps:spPr>
                          <a:xfrm>
                            <a:off x="1749972" y="3578772"/>
                            <a:ext cx="5816600" cy="7129780"/>
                          </a:xfrm>
                          <a:custGeom>
                            <a:avLst/>
                            <a:gdLst>
                              <a:gd name="connsiteX0" fmla="*/ 5816711 w 5816711"/>
                              <a:gd name="connsiteY0" fmla="*/ 162980 h 7130053"/>
                              <a:gd name="connsiteX1" fmla="*/ 5816711 w 5816711"/>
                              <a:gd name="connsiteY1" fmla="*/ 0 h 7130053"/>
                              <a:gd name="connsiteX2" fmla="*/ 5816711 w 5816711"/>
                              <a:gd name="connsiteY2" fmla="*/ 0 h 7130053"/>
                              <a:gd name="connsiteX3" fmla="*/ 5592415 w 5816711"/>
                              <a:gd name="connsiteY3" fmla="*/ 162980 h 7130053"/>
                              <a:gd name="connsiteX4" fmla="*/ 4431159 w 5816711"/>
                              <a:gd name="connsiteY4" fmla="*/ 3372385 h 7130053"/>
                              <a:gd name="connsiteX5" fmla="*/ 4167741 w 5816711"/>
                              <a:gd name="connsiteY5" fmla="*/ 3763537 h 7130053"/>
                              <a:gd name="connsiteX6" fmla="*/ 798078 w 5816711"/>
                              <a:gd name="connsiteY6" fmla="*/ 5034781 h 7130053"/>
                              <a:gd name="connsiteX7" fmla="*/ 0 w 5816711"/>
                              <a:gd name="connsiteY7" fmla="*/ 7130054 h 7130053"/>
                              <a:gd name="connsiteX8" fmla="*/ 0 w 5816711"/>
                              <a:gd name="connsiteY8" fmla="*/ 7130054 h 7130053"/>
                              <a:gd name="connsiteX9" fmla="*/ 5816059 w 5816711"/>
                              <a:gd name="connsiteY9" fmla="*/ 7130054 h 7130053"/>
                              <a:gd name="connsiteX10" fmla="*/ 5816059 w 5816711"/>
                              <a:gd name="connsiteY10" fmla="*/ 7130054 h 7130053"/>
                              <a:gd name="connsiteX11" fmla="*/ 5816059 w 5816711"/>
                              <a:gd name="connsiteY11" fmla="*/ 3372385 h 7130053"/>
                              <a:gd name="connsiteX12" fmla="*/ 5816059 w 5816711"/>
                              <a:gd name="connsiteY12" fmla="*/ 3372385 h 7130053"/>
                              <a:gd name="connsiteX13" fmla="*/ 5816059 w 5816711"/>
                              <a:gd name="connsiteY13" fmla="*/ 162980 h 7130053"/>
                              <a:gd name="connsiteX14" fmla="*/ 5816059 w 5816711"/>
                              <a:gd name="connsiteY14" fmla="*/ 162980 h 71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16711" h="7130053">
                                <a:moveTo>
                                  <a:pt x="5816711" y="162980"/>
                                </a:moveTo>
                                <a:lnTo>
                                  <a:pt x="5816711" y="0"/>
                                </a:lnTo>
                                <a:cubicBezTo>
                                  <a:pt x="5816711" y="0"/>
                                  <a:pt x="5816711" y="0"/>
                                  <a:pt x="5816711" y="0"/>
                                </a:cubicBezTo>
                                <a:cubicBezTo>
                                  <a:pt x="5735208" y="45634"/>
                                  <a:pt x="5660878" y="100396"/>
                                  <a:pt x="5592415" y="162980"/>
                                </a:cubicBezTo>
                                <a:cubicBezTo>
                                  <a:pt x="4840631" y="852712"/>
                                  <a:pt x="4845195" y="2483817"/>
                                  <a:pt x="4431159" y="3372385"/>
                                </a:cubicBezTo>
                                <a:cubicBezTo>
                                  <a:pt x="4358132" y="3528846"/>
                                  <a:pt x="4272717" y="3662489"/>
                                  <a:pt x="4167741" y="3763537"/>
                                </a:cubicBezTo>
                                <a:cubicBezTo>
                                  <a:pt x="3286204" y="4612989"/>
                                  <a:pt x="2187543" y="3786354"/>
                                  <a:pt x="798078" y="5034781"/>
                                </a:cubicBezTo>
                                <a:cubicBezTo>
                                  <a:pt x="380130" y="5410288"/>
                                  <a:pt x="93239" y="6181510"/>
                                  <a:pt x="0" y="7130054"/>
                                </a:cubicBezTo>
                                <a:cubicBezTo>
                                  <a:pt x="0" y="7130054"/>
                                  <a:pt x="0" y="7130054"/>
                                  <a:pt x="0" y="7130054"/>
                                </a:cubicBezTo>
                                <a:lnTo>
                                  <a:pt x="5816059" y="7130054"/>
                                </a:lnTo>
                                <a:cubicBezTo>
                                  <a:pt x="5816059" y="7130054"/>
                                  <a:pt x="5816059" y="7130054"/>
                                  <a:pt x="5816059" y="7130054"/>
                                </a:cubicBezTo>
                                <a:lnTo>
                                  <a:pt x="5816059" y="3372385"/>
                                </a:lnTo>
                                <a:lnTo>
                                  <a:pt x="5816059" y="3372385"/>
                                </a:lnTo>
                                <a:lnTo>
                                  <a:pt x="5816059" y="162980"/>
                                </a:lnTo>
                                <a:lnTo>
                                  <a:pt x="5816059" y="162980"/>
                                </a:lnTo>
                                <a:close/>
                              </a:path>
                            </a:pathLst>
                          </a:custGeom>
                          <a:solidFill>
                            <a:srgbClr val="40AB72"/>
                          </a:solidFill>
                          <a:ln w="65197" cap="flat">
                            <a:noFill/>
                            <a:prstDash val="solid"/>
                            <a:miter/>
                          </a:ln>
                        </wps:spPr>
                        <wps:txbx>
                          <w:txbxContent>
                            <w:sdt>
                              <w:sdtPr>
                                <w:id w:val="-2096933780"/>
                                <w:lock w:val="sdtLocked"/>
                                <w:showingPlcHdr/>
                                <w15:appearance w15:val="hidden"/>
                              </w:sdtPr>
                              <w:sdtEndPr/>
                              <w:sdtContent>
                                <w:p w14:paraId="3D39E78A" w14:textId="76980C54" w:rsidR="00780A79" w:rsidRDefault="00780A79" w:rsidP="00100F73">
                                  <w:pPr>
                                    <w:pStyle w:val="Endpage-URL"/>
                                  </w:pPr>
                                  <w:r>
                                    <w:t xml:space="preserve">  </w:t>
                                  </w:r>
                                </w:p>
                              </w:sdtContent>
                            </w:sdt>
                            <w:p w14:paraId="735F126E" w14:textId="7C2F4A14" w:rsidR="00100F73" w:rsidRDefault="00100F73" w:rsidP="00100F73">
                              <w:pPr>
                                <w:pStyle w:val="Endpage-URL"/>
                              </w:pPr>
                              <w:r w:rsidRPr="00100F73">
                                <w:t>gww.com.au</w:t>
                              </w:r>
                            </w:p>
                          </w:txbxContent>
                        </wps:txbx>
                        <wps:bodyPr rot="0" spcFirstLastPara="0" vert="horz" wrap="square" lIns="720000" tIns="720000" rIns="720000" bIns="720000" numCol="1" spcCol="0" rtlCol="0" fromWordArt="0" anchor="b" anchorCtr="0" forceAA="0" compatLnSpc="1">
                          <a:prstTxWarp prst="textNoShape">
                            <a:avLst/>
                          </a:prstTxWarp>
                          <a:noAutofit/>
                        </wps:bodyPr>
                      </wps:wsp>
                    </wpg:wgp>
                  </a:graphicData>
                </a:graphic>
              </wp:anchor>
            </w:drawing>
          </mc:Choice>
          <mc:Fallback>
            <w:pict>
              <v:group w14:anchorId="66C09642" id="Group 1235642463" o:spid="_x0000_s1035" style="position:absolute;margin-left:0;margin-top:0;width:596.8pt;height:844.3pt;z-index:-251658224;mso-position-horizontal-relative:page;mso-position-vertical-relative:page" coordsize="75791,1072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">
                <v:shape id="Free-form: Shape 28" o:spid="_x0000_s1036" style="position:absolute;width:75791;height:107182;visibility:visible;mso-wrap-style:square;v-text-anchor:top" coordsize="7579133,10718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" adj="-11796480,,5400" path="m,l,10718224r526184,c654633,10312729,803294,9933964,966952,9598877v332533,-680605,800687,-670174,770041,-886612c1622237,7895409,1949553,7293034,2392930,6959903v356658,-267939,788950,-361164,1126047,-249686c5670658,7421462,5264446,5210148,5914515,3750498,6189670,3133130,6653259,2650709,7579134,2579649l7579134,,,xe" fillcolor="#201e64" stroked="f" strokeweight="1.81103mm">
                  <v:stroke joinstyle="miter"/>
                  <v:formulas/>
                  <v:path arrowok="t" o:connecttype="custom" o:connectlocs="0,0;0,10718224;526184,10718224;966952,9598877;1736993,8712265;2392930,6959903;3518977,6710217;5914515,3750498;7579134,2579649;7579134,0;0,0" o:connectangles="0,0,0,0,0,0,0,0,0,0,0" textboxrect="0,0,7579133,10718223"/>
                  <v:textbox inset="20mm,60mm">
                    <w:txbxContent>
                      <w:p w14:paraId="3B12E371" w14:textId="10B7A624" w:rsidR="007D57CA" w:rsidRDefault="004E6461" w:rsidP="007D57CA">
                        <w:pPr>
                          <w:pStyle w:val="EndpageHeading"/>
                        </w:pPr>
                        <w:r>
                          <w:t>To get in touch or find out more:</w:t>
                        </w:r>
                      </w:p>
                      <w:p w14:paraId="719139B4" w14:textId="17845BAC" w:rsidR="007D57CA" w:rsidRDefault="004E6461" w:rsidP="007D57CA">
                        <w:pPr>
                          <w:pStyle w:val="EndpageBodytext"/>
                        </w:pPr>
                        <w:r>
                          <w:t>Call</w:t>
                        </w:r>
                        <w:r w:rsidR="00DC6D59">
                          <w:t xml:space="preserve"> 13 44 99 or visit </w:t>
                        </w:r>
                        <w:proofErr w:type="gramStart"/>
                        <w:r w:rsidR="00DC6D59">
                          <w:t>gww.com.au</w:t>
                        </w:r>
                        <w:proofErr w:type="gramEnd"/>
                      </w:p>
                      <w:p w14:paraId="790FF5CE" w14:textId="2DC92783" w:rsidR="007D57CA" w:rsidRDefault="00DC6D59" w:rsidP="007D57CA">
                        <w:pPr>
                          <w:pStyle w:val="EndpageBodytext"/>
                        </w:pPr>
                        <w:r>
                          <w:t>For translation and interpreter services call 9313 8989</w:t>
                        </w:r>
                      </w:p>
                    </w:txbxContent>
                  </v:textbox>
                </v:shape>
                <v:shape id="Graphic 14" o:spid="_x0000_s1037" type="#_x0000_t75" style="position:absolute;left:5360;top:3468;width:15335;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">
                  <v:imagedata r:id="rId103" o:title=""/>
                </v:shape>
                <v:shape id="Free-form: Shape 30" o:spid="_x0000_s1038" style="position:absolute;left:5202;top:25855;width:70543;height:81373;visibility:visible;mso-wrap-style:square;v-text-anchor:middle" coordsize="7054253,81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" path="m5388331,1169545c4737611,2629195,5144474,4841161,2992793,4129264v-337097,-111478,-768737,-18254,-1126047,249686c1423370,4711429,1095401,5313804,1210810,6131312v30645,216438,-437509,206007,-770041,886612c277110,7353011,129101,7731124,,8137271r1237543,c1330130,7188075,1617673,6417505,2035621,6041999,3425085,4793571,4523747,5620206,5405284,4770754v104976,-101048,190391,-234692,263418,-391153c6082085,3491034,6077521,1859929,6829958,1170197v68462,-62584,142793,-117345,224296,-162980l7054254,c6128379,71059,5664138,553481,5389636,1170849r-1305,-1304xe" fillcolor="#c1cdea" stroked="f" strokeweight="1.81103mm">
                  <v:stroke joinstyle="miter"/>
                  <v:path arrowok="t" o:connecttype="custom" o:connectlocs="5388331,1169545;2992793,4129264;1866746,4378950;1210810,6131312;440769,7017924;0,8137271;1237543,8137271;2035621,6041999;5405284,4770754;5668702,4379601;6829958,1170197;7054254,1007217;7054254,0;5389636,1170849" o:connectangles="0,0,0,0,0,0,0,0,0,0,0,0,0,0"/>
                </v:shape>
                <v:shape id="Free-form: Shape 31" o:spid="_x0000_s1039" style="position:absolute;left:17499;top:35787;width:58166;height:71298;visibility:visible;mso-wrap-style:square;v-text-anchor:bottom" coordsize="5816711,7130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" adj="-11796480,,5400" path="m5816711,162980l5816711,v,,,,,c5735208,45634,5660878,100396,5592415,162980,4840631,852712,4845195,2483817,4431159,3372385v-73027,156461,-158442,290104,-263418,391152c3286204,4612989,2187543,3786354,798078,5034781,380130,5410288,93239,6181510,,7130054v,,,,,l5816059,7130054v,,,,,l5816059,3372385r,l5816059,162980r,l5816711,162980xe" fillcolor="#40ab72" stroked="f" strokeweight="1.81103mm">
                  <v:stroke joinstyle="miter"/>
                  <v:formulas/>
                  <v:path arrowok="t" o:connecttype="custom" o:connectlocs="5816600,162974;5816600,0;5816600,0;5592308,162974;4431074,3372256;4167661,3763393;798063,5034588;0,7129781;0,7129781;5815948,7129781;5815948,7129781;5815948,3372256;5815948,3372256;5815948,162974;5815948,162974" o:connectangles="0,0,0,0,0,0,0,0,0,0,0,0,0,0,0" textboxrect="0,0,5816711,7130053"/>
                  <v:textbox inset="20mm,20mm,20mm,20mm">
                    <w:txbxContent>
                      <w:sdt>
                        <w:sdtPr>
                          <w:id w:val="-2096933780"/>
                          <w:lock w:val="sdtLocked"/>
                          <w:showingPlcHdr/>
                          <w15:appearance w15:val="hidden"/>
                        </w:sdtPr>
                        <w:sdtEndPr/>
                        <w:sdtContent>
                          <w:p w14:paraId="3D39E78A" w14:textId="76980C54" w:rsidR="00780A79" w:rsidRDefault="00780A79" w:rsidP="00100F73">
                            <w:pPr>
                              <w:pStyle w:val="Endpage-URL"/>
                            </w:pPr>
                            <w:r>
                              <w:t xml:space="preserve">  </w:t>
                            </w:r>
                          </w:p>
                        </w:sdtContent>
                      </w:sdt>
                      <w:p w14:paraId="735F126E" w14:textId="7C2F4A14" w:rsidR="00100F73" w:rsidRDefault="00100F73" w:rsidP="00100F73">
                        <w:pPr>
                          <w:pStyle w:val="Endpage-URL"/>
                        </w:pPr>
                        <w:r w:rsidRPr="00100F73">
                          <w:t>gww.com.au</w:t>
                        </w:r>
                      </w:p>
                    </w:txbxContent>
                  </v:textbox>
                </v:shape>
                <w10:wrap type="topAndBottom" anchorx="page" anchory="page"/>
              </v:group>
            </w:pict>
          </mc:Fallback>
        </mc:AlternateContent>
      </w:r>
      <w:r w:rsidR="00A71782">
        <w:rPr>
          <w:noProof/>
        </w:rPr>
        <mc:AlternateContent>
          <mc:Choice Requires="wps">
            <w:drawing>
              <wp:anchor distT="0" distB="0" distL="114300" distR="114300" simplePos="0" relativeHeight="251658250" behindDoc="1" locked="0" layoutInCell="1" allowOverlap="1" wp14:anchorId="44D0C49E" wp14:editId="3E07D4DC">
                <wp:simplePos x="0" y="0"/>
                <wp:positionH relativeFrom="page">
                  <wp:posOffset>0</wp:posOffset>
                </wp:positionH>
                <wp:positionV relativeFrom="page">
                  <wp:posOffset>0</wp:posOffset>
                </wp:positionV>
                <wp:extent cx="7579785" cy="2580301"/>
                <wp:effectExtent l="0" t="0" r="0" b="0"/>
                <wp:wrapNone/>
                <wp:docPr id="1521706168" name="Freeform: Shape 1521706168"/>
                <wp:cNvGraphicFramePr/>
                <a:graphic xmlns:a="http://schemas.openxmlformats.org/drawingml/2006/main">
                  <a:graphicData uri="http://schemas.microsoft.com/office/word/2010/wordprocessingShape">
                    <wps:wsp>
                      <wps:cNvSpPr/>
                      <wps:spPr>
                        <a:xfrm>
                          <a:off x="0" y="0"/>
                          <a:ext cx="7579785" cy="2580301"/>
                        </a:xfrm>
                        <a:custGeom>
                          <a:avLst/>
                          <a:gdLst>
                            <a:gd name="connsiteX0" fmla="*/ 7579786 w 7579785"/>
                            <a:gd name="connsiteY0" fmla="*/ 2580301 h 2580301"/>
                            <a:gd name="connsiteX1" fmla="*/ 7579786 w 7579785"/>
                            <a:gd name="connsiteY1" fmla="*/ 2580301 h 2580301"/>
                            <a:gd name="connsiteX2" fmla="*/ 7579786 w 7579785"/>
                            <a:gd name="connsiteY2" fmla="*/ 0 h 2580301"/>
                            <a:gd name="connsiteX3" fmla="*/ 0 w 7579785"/>
                            <a:gd name="connsiteY3" fmla="*/ 0 h 2580301"/>
                            <a:gd name="connsiteX4" fmla="*/ 0 w 7579785"/>
                            <a:gd name="connsiteY4" fmla="*/ 0 h 2580301"/>
                            <a:gd name="connsiteX5" fmla="*/ 7579786 w 7579785"/>
                            <a:gd name="connsiteY5" fmla="*/ 0 h 2580301"/>
                            <a:gd name="connsiteX6" fmla="*/ 7579786 w 7579785"/>
                            <a:gd name="connsiteY6" fmla="*/ 2580301 h 2580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9785" h="2580301">
                              <a:moveTo>
                                <a:pt x="7579786" y="2580301"/>
                              </a:moveTo>
                              <a:lnTo>
                                <a:pt x="7579786" y="2580301"/>
                              </a:lnTo>
                              <a:lnTo>
                                <a:pt x="7579786" y="0"/>
                              </a:lnTo>
                              <a:lnTo>
                                <a:pt x="0" y="0"/>
                              </a:lnTo>
                              <a:lnTo>
                                <a:pt x="0" y="0"/>
                              </a:lnTo>
                              <a:lnTo>
                                <a:pt x="7579786" y="0"/>
                              </a:lnTo>
                              <a:lnTo>
                                <a:pt x="7579786" y="2580301"/>
                              </a:lnTo>
                              <a:close/>
                            </a:path>
                          </a:pathLst>
                        </a:custGeom>
                        <a:solidFill>
                          <a:srgbClr val="201E64"/>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3104C1" id="Freeform: Shape 1521706168" o:spid="_x0000_s1026" style="position:absolute;margin-left:0;margin-top:0;width:596.85pt;height:203.15pt;z-index:-25165823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coordsize="7579785,258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" path="m7579786,2580301r,l7579786,,,,,,7579786,r,2580301xe" fillcolor="#201e64" stroked="f" strokeweight="1.81103mm">
                <v:stroke joinstyle="miter"/>
                <v:path arrowok="t" o:connecttype="custom" o:connectlocs="7579786,2580301;7579786,2580301;7579786,0;0,0;0,0;7579786,0;7579786,2580301" o:connectangles="0,0,0,0,0,0,0"/>
                <w10:wrap anchorx="page" anchory="page"/>
              </v:shape>
            </w:pict>
          </mc:Fallback>
        </mc:AlternateContent>
      </w:r>
      <w:r w:rsidR="00A71782">
        <w:rPr>
          <w:noProof/>
        </w:rPr>
        <mc:AlternateContent>
          <mc:Choice Requires="wps">
            <w:drawing>
              <wp:anchor distT="0" distB="0" distL="114300" distR="114300" simplePos="0" relativeHeight="251658251" behindDoc="1" locked="0" layoutInCell="1" allowOverlap="1" wp14:anchorId="26211139" wp14:editId="7EF73C99">
                <wp:simplePos x="0" y="0"/>
                <wp:positionH relativeFrom="page">
                  <wp:posOffset>7579785</wp:posOffset>
                </wp:positionH>
                <wp:positionV relativeFrom="page">
                  <wp:posOffset>2580301</wp:posOffset>
                </wp:positionV>
                <wp:extent cx="65202" cy="1007216"/>
                <wp:effectExtent l="0" t="0" r="0" b="0"/>
                <wp:wrapNone/>
                <wp:docPr id="1049689222" name="Freeform: Shape 1049689222"/>
                <wp:cNvGraphicFramePr/>
                <a:graphic xmlns:a="http://schemas.openxmlformats.org/drawingml/2006/main">
                  <a:graphicData uri="http://schemas.microsoft.com/office/word/2010/wordprocessingShape">
                    <wps:wsp>
                      <wps:cNvSpPr/>
                      <wps:spPr>
                        <a:xfrm>
                          <a:off x="0" y="0"/>
                          <a:ext cx="65202" cy="1007216"/>
                        </a:xfrm>
                        <a:custGeom>
                          <a:avLst/>
                          <a:gdLst>
                            <a:gd name="connsiteX0" fmla="*/ 0 w 65202"/>
                            <a:gd name="connsiteY0" fmla="*/ 1007217 h 1007216"/>
                            <a:gd name="connsiteX1" fmla="*/ 0 w 65202"/>
                            <a:gd name="connsiteY1" fmla="*/ 1007217 h 1007216"/>
                            <a:gd name="connsiteX2" fmla="*/ 0 w 65202"/>
                            <a:gd name="connsiteY2" fmla="*/ 0 h 1007216"/>
                            <a:gd name="connsiteX3" fmla="*/ 0 w 65202"/>
                            <a:gd name="connsiteY3" fmla="*/ 0 h 1007216"/>
                            <a:gd name="connsiteX4" fmla="*/ 0 w 65202"/>
                            <a:gd name="connsiteY4" fmla="*/ 1007217 h 1007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02" h="1007216">
                              <a:moveTo>
                                <a:pt x="0" y="1007217"/>
                              </a:moveTo>
                              <a:lnTo>
                                <a:pt x="0" y="1007217"/>
                              </a:lnTo>
                              <a:lnTo>
                                <a:pt x="0" y="0"/>
                              </a:lnTo>
                              <a:lnTo>
                                <a:pt x="0" y="0"/>
                              </a:lnTo>
                              <a:lnTo>
                                <a:pt x="0" y="1007217"/>
                              </a:ln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C3B64" id="Freeform: Shape 1049689222" o:spid="_x0000_s1026" style="position:absolute;margin-left:596.85pt;margin-top:203.15pt;width:5.15pt;height:79.3pt;z-index:-251658229;visibility:visible;mso-wrap-style:square;mso-wrap-distance-left:9pt;mso-wrap-distance-top:0;mso-wrap-distance-right:9pt;mso-wrap-distance-bottom:0;mso-position-horizontal:absolute;mso-position-horizontal-relative:page;mso-position-vertical:absolute;mso-position-vertical-relative:page;v-text-anchor:middle" coordsize="65202,100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" path="m,1007217r,l,,,,,1007217xe" fillcolor="#c1cdea" stroked="f" strokeweight="1.81103mm">
                <v:stroke joinstyle="miter"/>
                <v:path arrowok="t" o:connecttype="custom" o:connectlocs="0,1007217;0,1007217;0,0;0,0;0,1007217" o:connectangles="0,0,0,0,0"/>
                <w10:wrap anchorx="page" anchory="page"/>
              </v:shape>
            </w:pict>
          </mc:Fallback>
        </mc:AlternateContent>
      </w:r>
      <w:r w:rsidR="00A71782">
        <w:rPr>
          <w:noProof/>
        </w:rPr>
        <mc:AlternateContent>
          <mc:Choice Requires="wps">
            <w:drawing>
              <wp:anchor distT="0" distB="0" distL="114300" distR="114300" simplePos="0" relativeHeight="251658252" behindDoc="1" locked="0" layoutInCell="1" allowOverlap="1" wp14:anchorId="080BA984" wp14:editId="1EFA1EF2">
                <wp:simplePos x="0" y="0"/>
                <wp:positionH relativeFrom="page">
                  <wp:posOffset>0</wp:posOffset>
                </wp:positionH>
                <wp:positionV relativeFrom="page">
                  <wp:posOffset>10718223</wp:posOffset>
                </wp:positionV>
                <wp:extent cx="526183" cy="65192"/>
                <wp:effectExtent l="0" t="19050" r="0" b="30480"/>
                <wp:wrapNone/>
                <wp:docPr id="1886604815" name="Freeform: Shape 1886604815"/>
                <wp:cNvGraphicFramePr/>
                <a:graphic xmlns:a="http://schemas.openxmlformats.org/drawingml/2006/main">
                  <a:graphicData uri="http://schemas.microsoft.com/office/word/2010/wordprocessingShape">
                    <wps:wsp>
                      <wps:cNvSpPr/>
                      <wps:spPr>
                        <a:xfrm>
                          <a:off x="0" y="0"/>
                          <a:ext cx="526183" cy="65192"/>
                        </a:xfrm>
                        <a:custGeom>
                          <a:avLst/>
                          <a:gdLst>
                            <a:gd name="connsiteX0" fmla="*/ 0 w 526183"/>
                            <a:gd name="connsiteY0" fmla="*/ 0 h 65192"/>
                            <a:gd name="connsiteX1" fmla="*/ 0 w 526183"/>
                            <a:gd name="connsiteY1" fmla="*/ 0 h 65192"/>
                            <a:gd name="connsiteX2" fmla="*/ 526184 w 526183"/>
                            <a:gd name="connsiteY2" fmla="*/ 0 h 65192"/>
                            <a:gd name="connsiteX3" fmla="*/ 526184 w 526183"/>
                            <a:gd name="connsiteY3" fmla="*/ 0 h 65192"/>
                            <a:gd name="connsiteX4" fmla="*/ 0 w 526183"/>
                            <a:gd name="connsiteY4" fmla="*/ 0 h 65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6183" h="65192">
                              <a:moveTo>
                                <a:pt x="0" y="0"/>
                              </a:moveTo>
                              <a:lnTo>
                                <a:pt x="0" y="0"/>
                              </a:lnTo>
                              <a:lnTo>
                                <a:pt x="526184" y="0"/>
                              </a:lnTo>
                              <a:lnTo>
                                <a:pt x="526184" y="0"/>
                              </a:lnTo>
                              <a:lnTo>
                                <a:pt x="0" y="0"/>
                              </a:lnTo>
                              <a:close/>
                            </a:path>
                          </a:pathLst>
                        </a:custGeom>
                        <a:no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6E955" id="Freeform: Shape 1886604815" o:spid="_x0000_s1026" style="position:absolute;margin-left:0;margin-top:843.95pt;width:41.45pt;height:5.15pt;z-index:-251658228;visibility:visible;mso-wrap-style:square;mso-wrap-distance-left:9pt;mso-wrap-distance-top:0;mso-wrap-distance-right:9pt;mso-wrap-distance-bottom:0;mso-position-horizontal:absolute;mso-position-horizontal-relative:page;mso-position-vertical:absolute;mso-position-vertical-relative:page;v-text-anchor:middle" coordsize="526183,6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" path="m,l,,526184,r,l,xe" filled="f" stroked="f" strokeweight="1.81103mm">
                <v:stroke joinstyle="miter"/>
                <v:path arrowok="t" o:connecttype="custom" o:connectlocs="0,0;0,0;526184,0;526184,0;0,0" o:connectangles="0,0,0,0,0"/>
                <w10:wrap anchorx="page" anchory="page"/>
              </v:shape>
            </w:pict>
          </mc:Fallback>
        </mc:AlternateContent>
      </w:r>
      <w:r w:rsidR="00A71782">
        <w:rPr>
          <w:noProof/>
        </w:rPr>
        <mc:AlternateContent>
          <mc:Choice Requires="wps">
            <w:drawing>
              <wp:anchor distT="0" distB="0" distL="114300" distR="114300" simplePos="0" relativeHeight="251658253" behindDoc="1" locked="0" layoutInCell="1" allowOverlap="1" wp14:anchorId="3CCB6645" wp14:editId="7C81F224">
                <wp:simplePos x="0" y="0"/>
                <wp:positionH relativeFrom="page">
                  <wp:posOffset>526183</wp:posOffset>
                </wp:positionH>
                <wp:positionV relativeFrom="page">
                  <wp:posOffset>10718223</wp:posOffset>
                </wp:positionV>
                <wp:extent cx="1237542" cy="65192"/>
                <wp:effectExtent l="0" t="0" r="0" b="0"/>
                <wp:wrapNone/>
                <wp:docPr id="1802143650" name="Freeform: Shape 1802143650"/>
                <wp:cNvGraphicFramePr/>
                <a:graphic xmlns:a="http://schemas.openxmlformats.org/drawingml/2006/main">
                  <a:graphicData uri="http://schemas.microsoft.com/office/word/2010/wordprocessingShape">
                    <wps:wsp>
                      <wps:cNvSpPr/>
                      <wps:spPr>
                        <a:xfrm>
                          <a:off x="0" y="0"/>
                          <a:ext cx="1237542" cy="65192"/>
                        </a:xfrm>
                        <a:custGeom>
                          <a:avLst/>
                          <a:gdLst>
                            <a:gd name="connsiteX0" fmla="*/ 1237543 w 1237542"/>
                            <a:gd name="connsiteY0" fmla="*/ 0 h 65192"/>
                            <a:gd name="connsiteX1" fmla="*/ 0 w 1237542"/>
                            <a:gd name="connsiteY1" fmla="*/ 0 h 65192"/>
                            <a:gd name="connsiteX2" fmla="*/ 0 w 1237542"/>
                            <a:gd name="connsiteY2" fmla="*/ 0 h 65192"/>
                            <a:gd name="connsiteX3" fmla="*/ 1237543 w 1237542"/>
                            <a:gd name="connsiteY3" fmla="*/ 0 h 65192"/>
                            <a:gd name="connsiteX4" fmla="*/ 1237543 w 1237542"/>
                            <a:gd name="connsiteY4" fmla="*/ 0 h 65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7542" h="65192">
                              <a:moveTo>
                                <a:pt x="1237543" y="0"/>
                              </a:moveTo>
                              <a:lnTo>
                                <a:pt x="0" y="0"/>
                              </a:lnTo>
                              <a:lnTo>
                                <a:pt x="0" y="0"/>
                              </a:lnTo>
                              <a:lnTo>
                                <a:pt x="1237543" y="0"/>
                              </a:lnTo>
                              <a:lnTo>
                                <a:pt x="1237543" y="0"/>
                              </a:ln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99D992" id="Freeform: Shape 1802143650" o:spid="_x0000_s1026" style="position:absolute;margin-left:41.45pt;margin-top:843.95pt;width:97.45pt;height:5.15pt;z-index:-251658227;visibility:visible;mso-wrap-style:square;mso-wrap-distance-left:9pt;mso-wrap-distance-top:0;mso-wrap-distance-right:9pt;mso-wrap-distance-bottom:0;mso-position-horizontal:absolute;mso-position-horizontal-relative:page;mso-position-vertical:absolute;mso-position-vertical-relative:page;v-text-anchor:middle" coordsize="1237542,6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" path="m1237543,l,,,,1237543,r,xe" fillcolor="#c1cdea" stroked="f" strokeweight="1.81103mm">
                <v:stroke joinstyle="miter"/>
                <v:path arrowok="t" o:connecttype="custom" o:connectlocs="1237543,0;0,0;0,0;1237543,0;1237543,0" o:connectangles="0,0,0,0,0"/>
                <w10:wrap anchorx="page" anchory="page"/>
              </v:shape>
            </w:pict>
          </mc:Fallback>
        </mc:AlternateContent>
      </w:r>
      <w:r w:rsidR="00A71782">
        <w:rPr>
          <w:noProof/>
        </w:rPr>
        <mc:AlternateContent>
          <mc:Choice Requires="wps">
            <w:drawing>
              <wp:anchor distT="0" distB="0" distL="114300" distR="114300" simplePos="0" relativeHeight="251658245" behindDoc="1" locked="0" layoutInCell="1" allowOverlap="1" wp14:anchorId="0C788998" wp14:editId="580717EF">
                <wp:simplePos x="0" y="0"/>
                <wp:positionH relativeFrom="page">
                  <wp:posOffset>0</wp:posOffset>
                </wp:positionH>
                <wp:positionV relativeFrom="page">
                  <wp:posOffset>0</wp:posOffset>
                </wp:positionV>
                <wp:extent cx="7575967" cy="2579534"/>
                <wp:effectExtent l="0" t="0" r="0" b="0"/>
                <wp:wrapNone/>
                <wp:docPr id="1498189363" name="Freeform: Shape 1498189363"/>
                <wp:cNvGraphicFramePr/>
                <a:graphic xmlns:a="http://schemas.openxmlformats.org/drawingml/2006/main">
                  <a:graphicData uri="http://schemas.microsoft.com/office/word/2010/wordprocessingShape">
                    <wps:wsp>
                      <wps:cNvSpPr/>
                      <wps:spPr>
                        <a:xfrm>
                          <a:off x="0" y="0"/>
                          <a:ext cx="7575967" cy="2579534"/>
                        </a:xfrm>
                        <a:custGeom>
                          <a:avLst/>
                          <a:gdLst>
                            <a:gd name="connsiteX0" fmla="*/ 7575968 w 7575967"/>
                            <a:gd name="connsiteY0" fmla="*/ 2579535 h 2579534"/>
                            <a:gd name="connsiteX1" fmla="*/ 7575968 w 7575967"/>
                            <a:gd name="connsiteY1" fmla="*/ 2579535 h 2579534"/>
                            <a:gd name="connsiteX2" fmla="*/ 7575968 w 7575967"/>
                            <a:gd name="connsiteY2" fmla="*/ 0 h 2579534"/>
                            <a:gd name="connsiteX3" fmla="*/ 0 w 7575967"/>
                            <a:gd name="connsiteY3" fmla="*/ 0 h 2579534"/>
                            <a:gd name="connsiteX4" fmla="*/ 0 w 7575967"/>
                            <a:gd name="connsiteY4" fmla="*/ 0 h 2579534"/>
                            <a:gd name="connsiteX5" fmla="*/ 7575968 w 7575967"/>
                            <a:gd name="connsiteY5" fmla="*/ 0 h 2579534"/>
                            <a:gd name="connsiteX6" fmla="*/ 7575968 w 7575967"/>
                            <a:gd name="connsiteY6" fmla="*/ 2579535 h 257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5967" h="2579534">
                              <a:moveTo>
                                <a:pt x="7575968" y="2579535"/>
                              </a:moveTo>
                              <a:lnTo>
                                <a:pt x="7575968" y="2579535"/>
                              </a:lnTo>
                              <a:lnTo>
                                <a:pt x="7575968" y="0"/>
                              </a:lnTo>
                              <a:lnTo>
                                <a:pt x="0" y="0"/>
                              </a:lnTo>
                              <a:lnTo>
                                <a:pt x="0" y="0"/>
                              </a:lnTo>
                              <a:lnTo>
                                <a:pt x="7575968" y="0"/>
                              </a:lnTo>
                              <a:lnTo>
                                <a:pt x="7575968" y="2579535"/>
                              </a:lnTo>
                              <a:close/>
                            </a:path>
                          </a:pathLst>
                        </a:custGeom>
                        <a:solidFill>
                          <a:srgbClr val="201E64"/>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B97CA" id="Freeform: Shape 1498189363" o:spid="_x0000_s1026" style="position:absolute;margin-left:0;margin-top:0;width:596.55pt;height:203.1pt;z-index:-251658235;visibility:visible;mso-wrap-style:square;mso-wrap-distance-left:9pt;mso-wrap-distance-top:0;mso-wrap-distance-right:9pt;mso-wrap-distance-bottom:0;mso-position-horizontal:absolute;mso-position-horizontal-relative:page;mso-position-vertical:absolute;mso-position-vertical-relative:page;v-text-anchor:middle" coordsize="7575967,257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" path="m7575968,2579535r,l7575968,,,,,,7575968,r,2579535xe" fillcolor="#201e64" stroked="f" strokeweight="1.80875mm">
                <v:stroke joinstyle="miter"/>
                <v:path arrowok="t" o:connecttype="custom" o:connectlocs="7575968,2579535;7575968,2579535;7575968,0;0,0;0,0;7575968,0;7575968,2579535" o:connectangles="0,0,0,0,0,0,0"/>
                <w10:wrap anchorx="page" anchory="page"/>
              </v:shape>
            </w:pict>
          </mc:Fallback>
        </mc:AlternateContent>
      </w:r>
      <w:r w:rsidR="00A71782">
        <w:rPr>
          <w:noProof/>
        </w:rPr>
        <mc:AlternateContent>
          <mc:Choice Requires="wps">
            <w:drawing>
              <wp:anchor distT="0" distB="0" distL="114300" distR="114300" simplePos="0" relativeHeight="251658246" behindDoc="1" locked="0" layoutInCell="1" allowOverlap="1" wp14:anchorId="7D6A6704" wp14:editId="232E1001">
                <wp:simplePos x="0" y="0"/>
                <wp:positionH relativeFrom="page">
                  <wp:posOffset>7575967</wp:posOffset>
                </wp:positionH>
                <wp:positionV relativeFrom="page">
                  <wp:posOffset>2579534</wp:posOffset>
                </wp:positionV>
                <wp:extent cx="65169" cy="1006917"/>
                <wp:effectExtent l="0" t="0" r="0" b="0"/>
                <wp:wrapNone/>
                <wp:docPr id="1117821088" name="Freeform: Shape 1117821088"/>
                <wp:cNvGraphicFramePr/>
                <a:graphic xmlns:a="http://schemas.openxmlformats.org/drawingml/2006/main">
                  <a:graphicData uri="http://schemas.microsoft.com/office/word/2010/wordprocessingShape">
                    <wps:wsp>
                      <wps:cNvSpPr/>
                      <wps:spPr>
                        <a:xfrm>
                          <a:off x="0" y="0"/>
                          <a:ext cx="65169" cy="1006917"/>
                        </a:xfrm>
                        <a:custGeom>
                          <a:avLst/>
                          <a:gdLst>
                            <a:gd name="connsiteX0" fmla="*/ 0 w 65169"/>
                            <a:gd name="connsiteY0" fmla="*/ 1006918 h 1006917"/>
                            <a:gd name="connsiteX1" fmla="*/ 0 w 65169"/>
                            <a:gd name="connsiteY1" fmla="*/ 1006918 h 1006917"/>
                            <a:gd name="connsiteX2" fmla="*/ 0 w 65169"/>
                            <a:gd name="connsiteY2" fmla="*/ 0 h 1006917"/>
                            <a:gd name="connsiteX3" fmla="*/ 0 w 65169"/>
                            <a:gd name="connsiteY3" fmla="*/ 0 h 1006917"/>
                            <a:gd name="connsiteX4" fmla="*/ 0 w 65169"/>
                            <a:gd name="connsiteY4" fmla="*/ 1006918 h 1006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69" h="1006917">
                              <a:moveTo>
                                <a:pt x="0" y="1006918"/>
                              </a:moveTo>
                              <a:lnTo>
                                <a:pt x="0" y="1006918"/>
                              </a:lnTo>
                              <a:lnTo>
                                <a:pt x="0" y="0"/>
                              </a:lnTo>
                              <a:lnTo>
                                <a:pt x="0" y="0"/>
                              </a:lnTo>
                              <a:lnTo>
                                <a:pt x="0" y="1006918"/>
                              </a:lnTo>
                              <a:close/>
                            </a:path>
                          </a:pathLst>
                        </a:custGeom>
                        <a:solidFill>
                          <a:srgbClr val="C1CDEA"/>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D192B" id="Freeform: Shape 1117821088" o:spid="_x0000_s1026" style="position:absolute;margin-left:596.55pt;margin-top:203.1pt;width:5.15pt;height:79.3pt;z-index:-251658234;visibility:visible;mso-wrap-style:square;mso-wrap-distance-left:9pt;mso-wrap-distance-top:0;mso-wrap-distance-right:9pt;mso-wrap-distance-bottom:0;mso-position-horizontal:absolute;mso-position-horizontal-relative:page;mso-position-vertical:absolute;mso-position-vertical-relative:page;v-text-anchor:middle" coordsize="65169,100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" path="m,1006918r,l,,,,,1006918xe" fillcolor="#c1cdea" stroked="f" strokeweight="1.80875mm">
                <v:stroke joinstyle="miter"/>
                <v:path arrowok="t" o:connecttype="custom" o:connectlocs="0,1006918;0,1006918;0,0;0,0;0,1006918" o:connectangles="0,0,0,0,0"/>
                <w10:wrap anchorx="page" anchory="page"/>
              </v:shape>
            </w:pict>
          </mc:Fallback>
        </mc:AlternateContent>
      </w:r>
      <w:r w:rsidR="00A71782">
        <w:rPr>
          <w:noProof/>
        </w:rPr>
        <mc:AlternateContent>
          <mc:Choice Requires="wps">
            <w:drawing>
              <wp:anchor distT="0" distB="0" distL="114300" distR="114300" simplePos="0" relativeHeight="251658247" behindDoc="1" locked="0" layoutInCell="1" allowOverlap="1" wp14:anchorId="01C4168D" wp14:editId="3928CA95">
                <wp:simplePos x="0" y="0"/>
                <wp:positionH relativeFrom="page">
                  <wp:posOffset>7575967</wp:posOffset>
                </wp:positionH>
                <wp:positionV relativeFrom="page">
                  <wp:posOffset>3586452</wp:posOffset>
                </wp:positionV>
                <wp:extent cx="65169" cy="162931"/>
                <wp:effectExtent l="0" t="0" r="0" b="0"/>
                <wp:wrapNone/>
                <wp:docPr id="162541890" name="Freeform: Shape 162541890"/>
                <wp:cNvGraphicFramePr/>
                <a:graphic xmlns:a="http://schemas.openxmlformats.org/drawingml/2006/main">
                  <a:graphicData uri="http://schemas.microsoft.com/office/word/2010/wordprocessingShape">
                    <wps:wsp>
                      <wps:cNvSpPr/>
                      <wps:spPr>
                        <a:xfrm>
                          <a:off x="0" y="0"/>
                          <a:ext cx="65169" cy="162931"/>
                        </a:xfrm>
                        <a:custGeom>
                          <a:avLst/>
                          <a:gdLst>
                            <a:gd name="connsiteX0" fmla="*/ 0 w 65169"/>
                            <a:gd name="connsiteY0" fmla="*/ 162932 h 162931"/>
                            <a:gd name="connsiteX1" fmla="*/ 0 w 65169"/>
                            <a:gd name="connsiteY1" fmla="*/ 162932 h 162931"/>
                            <a:gd name="connsiteX2" fmla="*/ 0 w 65169"/>
                            <a:gd name="connsiteY2" fmla="*/ 0 h 162931"/>
                            <a:gd name="connsiteX3" fmla="*/ 0 w 65169"/>
                            <a:gd name="connsiteY3" fmla="*/ 0 h 162931"/>
                            <a:gd name="connsiteX4" fmla="*/ 0 w 65169"/>
                            <a:gd name="connsiteY4" fmla="*/ 162932 h 162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69" h="162931">
                              <a:moveTo>
                                <a:pt x="0" y="162932"/>
                              </a:moveTo>
                              <a:lnTo>
                                <a:pt x="0" y="162932"/>
                              </a:lnTo>
                              <a:lnTo>
                                <a:pt x="0" y="0"/>
                              </a:lnTo>
                              <a:lnTo>
                                <a:pt x="0" y="0"/>
                              </a:lnTo>
                              <a:lnTo>
                                <a:pt x="0" y="162932"/>
                              </a:lnTo>
                              <a:close/>
                            </a:path>
                          </a:pathLst>
                        </a:custGeom>
                        <a:solidFill>
                          <a:srgbClr val="40AB72"/>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ACA4D" id="Freeform: Shape 162541890" o:spid="_x0000_s1026" style="position:absolute;margin-left:596.55pt;margin-top:282.4pt;width:5.15pt;height:12.85pt;z-index:-251658233;visibility:visible;mso-wrap-style:square;mso-wrap-distance-left:9pt;mso-wrap-distance-top:0;mso-wrap-distance-right:9pt;mso-wrap-distance-bottom:0;mso-position-horizontal:absolute;mso-position-horizontal-relative:page;mso-position-vertical:absolute;mso-position-vertical-relative:page;v-text-anchor:middle" coordsize="65169,16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" path="m,162932r,l,,,,,162932xe" fillcolor="#40ab72" stroked="f" strokeweight="1.80875mm">
                <v:stroke joinstyle="miter"/>
                <v:path arrowok="t" o:connecttype="custom" o:connectlocs="0,162932;0,162932;0,0;0,0;0,162932" o:connectangles="0,0,0,0,0"/>
                <w10:wrap anchorx="page" anchory="page"/>
              </v:shape>
            </w:pict>
          </mc:Fallback>
        </mc:AlternateContent>
      </w:r>
      <w:r w:rsidR="00A71782">
        <w:rPr>
          <w:noProof/>
        </w:rPr>
        <mc:AlternateContent>
          <mc:Choice Requires="wps">
            <w:drawing>
              <wp:anchor distT="0" distB="0" distL="114300" distR="114300" simplePos="0" relativeHeight="251658248" behindDoc="1" locked="0" layoutInCell="1" allowOverlap="1" wp14:anchorId="4CEFEC83" wp14:editId="6CF09642">
                <wp:simplePos x="0" y="0"/>
                <wp:positionH relativeFrom="page">
                  <wp:posOffset>0</wp:posOffset>
                </wp:positionH>
                <wp:positionV relativeFrom="page">
                  <wp:posOffset>10715041</wp:posOffset>
                </wp:positionV>
                <wp:extent cx="525918" cy="65172"/>
                <wp:effectExtent l="0" t="19050" r="0" b="30480"/>
                <wp:wrapNone/>
                <wp:docPr id="446094945" name="Freeform: Shape 446094945"/>
                <wp:cNvGraphicFramePr/>
                <a:graphic xmlns:a="http://schemas.openxmlformats.org/drawingml/2006/main">
                  <a:graphicData uri="http://schemas.microsoft.com/office/word/2010/wordprocessingShape">
                    <wps:wsp>
                      <wps:cNvSpPr/>
                      <wps:spPr>
                        <a:xfrm>
                          <a:off x="0" y="0"/>
                          <a:ext cx="525918" cy="65172"/>
                        </a:xfrm>
                        <a:custGeom>
                          <a:avLst/>
                          <a:gdLst>
                            <a:gd name="connsiteX0" fmla="*/ 0 w 525918"/>
                            <a:gd name="connsiteY0" fmla="*/ 0 h 65172"/>
                            <a:gd name="connsiteX1" fmla="*/ 0 w 525918"/>
                            <a:gd name="connsiteY1" fmla="*/ 0 h 65172"/>
                            <a:gd name="connsiteX2" fmla="*/ 525919 w 525918"/>
                            <a:gd name="connsiteY2" fmla="*/ 0 h 65172"/>
                            <a:gd name="connsiteX3" fmla="*/ 525919 w 525918"/>
                            <a:gd name="connsiteY3" fmla="*/ 0 h 65172"/>
                            <a:gd name="connsiteX4" fmla="*/ 0 w 525918"/>
                            <a:gd name="connsiteY4" fmla="*/ 0 h 65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5918" h="65172">
                              <a:moveTo>
                                <a:pt x="0" y="0"/>
                              </a:moveTo>
                              <a:lnTo>
                                <a:pt x="0" y="0"/>
                              </a:lnTo>
                              <a:lnTo>
                                <a:pt x="525919" y="0"/>
                              </a:lnTo>
                              <a:lnTo>
                                <a:pt x="525919" y="0"/>
                              </a:lnTo>
                              <a:lnTo>
                                <a:pt x="0" y="0"/>
                              </a:lnTo>
                              <a:close/>
                            </a:path>
                          </a:pathLst>
                        </a:custGeom>
                        <a:no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22F0E" id="Freeform: Shape 446094945" o:spid="_x0000_s1026" style="position:absolute;margin-left:0;margin-top:843.7pt;width:41.4pt;height:5.15pt;z-index:-251658232;visibility:visible;mso-wrap-style:square;mso-wrap-distance-left:9pt;mso-wrap-distance-top:0;mso-wrap-distance-right:9pt;mso-wrap-distance-bottom:0;mso-position-horizontal:absolute;mso-position-horizontal-relative:page;mso-position-vertical:absolute;mso-position-vertical-relative:page;v-text-anchor:middle" coordsize="525918,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" path="m,l,,525919,r,l,xe" filled="f" stroked="f" strokeweight="1.80875mm">
                <v:stroke joinstyle="miter"/>
                <v:path arrowok="t" o:connecttype="custom" o:connectlocs="0,0;0,0;525919,0;525919,0;0,0" o:connectangles="0,0,0,0,0"/>
                <w10:wrap anchorx="page" anchory="page"/>
              </v:shape>
            </w:pict>
          </mc:Fallback>
        </mc:AlternateContent>
      </w:r>
      <w:r w:rsidR="00A71782">
        <w:rPr>
          <w:noProof/>
        </w:rPr>
        <mc:AlternateContent>
          <mc:Choice Requires="wps">
            <w:drawing>
              <wp:anchor distT="0" distB="0" distL="114300" distR="114300" simplePos="0" relativeHeight="251658249" behindDoc="1" locked="0" layoutInCell="1" allowOverlap="1" wp14:anchorId="20A44656" wp14:editId="64C163E6">
                <wp:simplePos x="0" y="0"/>
                <wp:positionH relativeFrom="page">
                  <wp:posOffset>525918</wp:posOffset>
                </wp:positionH>
                <wp:positionV relativeFrom="page">
                  <wp:posOffset>10715041</wp:posOffset>
                </wp:positionV>
                <wp:extent cx="1236919" cy="65172"/>
                <wp:effectExtent l="0" t="0" r="0" b="0"/>
                <wp:wrapNone/>
                <wp:docPr id="223896323" name="Freeform: Shape 223896323"/>
                <wp:cNvGraphicFramePr/>
                <a:graphic xmlns:a="http://schemas.openxmlformats.org/drawingml/2006/main">
                  <a:graphicData uri="http://schemas.microsoft.com/office/word/2010/wordprocessingShape">
                    <wps:wsp>
                      <wps:cNvSpPr/>
                      <wps:spPr>
                        <a:xfrm>
                          <a:off x="0" y="0"/>
                          <a:ext cx="1236919" cy="65172"/>
                        </a:xfrm>
                        <a:custGeom>
                          <a:avLst/>
                          <a:gdLst>
                            <a:gd name="connsiteX0" fmla="*/ 1236919 w 1236919"/>
                            <a:gd name="connsiteY0" fmla="*/ 0 h 65172"/>
                            <a:gd name="connsiteX1" fmla="*/ 0 w 1236919"/>
                            <a:gd name="connsiteY1" fmla="*/ 0 h 65172"/>
                            <a:gd name="connsiteX2" fmla="*/ 0 w 1236919"/>
                            <a:gd name="connsiteY2" fmla="*/ 0 h 65172"/>
                            <a:gd name="connsiteX3" fmla="*/ 1236919 w 1236919"/>
                            <a:gd name="connsiteY3" fmla="*/ 0 h 65172"/>
                            <a:gd name="connsiteX4" fmla="*/ 1236919 w 1236919"/>
                            <a:gd name="connsiteY4" fmla="*/ 0 h 65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6919" h="65172">
                              <a:moveTo>
                                <a:pt x="1236919" y="0"/>
                              </a:moveTo>
                              <a:lnTo>
                                <a:pt x="0" y="0"/>
                              </a:lnTo>
                              <a:lnTo>
                                <a:pt x="0" y="0"/>
                              </a:lnTo>
                              <a:lnTo>
                                <a:pt x="1236919" y="0"/>
                              </a:lnTo>
                              <a:lnTo>
                                <a:pt x="1236919" y="0"/>
                              </a:lnTo>
                              <a:close/>
                            </a:path>
                          </a:pathLst>
                        </a:custGeom>
                        <a:solidFill>
                          <a:srgbClr val="C1CDEA"/>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8D071" id="Freeform: Shape 223896323" o:spid="_x0000_s1026" style="position:absolute;margin-left:41.4pt;margin-top:843.7pt;width:97.4pt;height:5.15pt;z-index:-251658231;visibility:visible;mso-wrap-style:square;mso-wrap-distance-left:9pt;mso-wrap-distance-top:0;mso-wrap-distance-right:9pt;mso-wrap-distance-bottom:0;mso-position-horizontal:absolute;mso-position-horizontal-relative:page;mso-position-vertical:absolute;mso-position-vertical-relative:page;v-text-anchor:middle" coordsize="1236919,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" path="m1236919,l,,,,1236919,r,xe" fillcolor="#c1cdea" stroked="f" strokeweight="1.80875mm">
                <v:stroke joinstyle="miter"/>
                <v:path arrowok="t" o:connecttype="custom" o:connectlocs="1236919,0;0,0;0,0;1236919,0;1236919,0" o:connectangles="0,0,0,0,0"/>
                <w10:wrap anchorx="page" anchory="page"/>
              </v:shape>
            </w:pict>
          </mc:Fallback>
        </mc:AlternateContent>
      </w:r>
    </w:p>
    <w:sectPr w:rsidR="005654EF" w:rsidSect="008C1A38">
      <w:headerReference w:type="default" r:id="rId104"/>
      <w:pgSz w:w="11906" w:h="16838"/>
      <w:pgMar w:top="1134" w:right="1134" w:bottom="1134" w:left="1134" w:header="709" w:footer="6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0D03C" w14:textId="77777777" w:rsidR="00EF7CE2" w:rsidRDefault="00EF7CE2" w:rsidP="00344F39">
      <w:r>
        <w:separator/>
      </w:r>
    </w:p>
    <w:p w14:paraId="0AF15EDF" w14:textId="77777777" w:rsidR="00EF7CE2" w:rsidRDefault="00EF7CE2"/>
    <w:p w14:paraId="68D15904" w14:textId="77777777" w:rsidR="00EF7CE2" w:rsidRDefault="00EF7CE2"/>
    <w:p w14:paraId="4250DDA6" w14:textId="77777777" w:rsidR="00EF7CE2" w:rsidRDefault="00EF7CE2"/>
    <w:p w14:paraId="3353F210" w14:textId="77777777" w:rsidR="00EF7CE2" w:rsidRDefault="00EF7CE2"/>
  </w:endnote>
  <w:endnote w:type="continuationSeparator" w:id="0">
    <w:p w14:paraId="040206DB" w14:textId="77777777" w:rsidR="00EF7CE2" w:rsidRDefault="00EF7CE2" w:rsidP="00344F39">
      <w:r>
        <w:continuationSeparator/>
      </w:r>
    </w:p>
    <w:p w14:paraId="5CCDC517" w14:textId="77777777" w:rsidR="00EF7CE2" w:rsidRDefault="00EF7CE2"/>
    <w:p w14:paraId="5D0EF2C6" w14:textId="77777777" w:rsidR="00EF7CE2" w:rsidRDefault="00EF7CE2"/>
    <w:p w14:paraId="21847398" w14:textId="77777777" w:rsidR="00EF7CE2" w:rsidRDefault="00EF7CE2"/>
    <w:p w14:paraId="715343A4" w14:textId="77777777" w:rsidR="00EF7CE2" w:rsidRDefault="00EF7CE2"/>
  </w:endnote>
  <w:endnote w:type="continuationNotice" w:id="1">
    <w:p w14:paraId="78A84CC9" w14:textId="77777777" w:rsidR="00EF7CE2" w:rsidRDefault="00EF7CE2">
      <w:pPr>
        <w:spacing w:after="0" w:line="240" w:lineRule="auto"/>
      </w:pPr>
    </w:p>
    <w:p w14:paraId="6B96B959" w14:textId="77777777" w:rsidR="00EF7CE2" w:rsidRDefault="00EF7CE2"/>
    <w:p w14:paraId="10516EC4" w14:textId="77777777" w:rsidR="00EF7CE2" w:rsidRDefault="00EF7CE2"/>
    <w:p w14:paraId="1F130A2E" w14:textId="77777777" w:rsidR="00EF7CE2" w:rsidRDefault="00EF7CE2"/>
  </w:endnote>
  <w:endnote w:id="2">
    <w:p w14:paraId="1444D986" w14:textId="72421995" w:rsidR="0084356A" w:rsidRDefault="0084356A">
      <w:pPr>
        <w:pStyle w:val="EndnoteText"/>
      </w:pPr>
      <w:r>
        <w:rPr>
          <w:rStyle w:val="EndnoteReference"/>
        </w:rPr>
        <w:endnoteRef/>
      </w:r>
      <w:r>
        <w:t xml:space="preserve"> </w:t>
      </w:r>
      <w:r w:rsidRPr="00E44FF3">
        <w:t>Australian Institute of Aboriginal and Torres Strait Islander Studies, aiatsis.gov.au</w:t>
      </w:r>
    </w:p>
  </w:endnote>
  <w:endnote w:id="3">
    <w:p w14:paraId="2B958E2D" w14:textId="58CE92C6" w:rsidR="0084356A" w:rsidRPr="00AB4AA8" w:rsidRDefault="0084356A">
      <w:pPr>
        <w:pStyle w:val="EndnoteText"/>
        <w:rPr>
          <w:lang w:val="en-US"/>
        </w:rPr>
      </w:pPr>
      <w:r>
        <w:rPr>
          <w:rStyle w:val="EndnoteReference"/>
        </w:rPr>
        <w:endnoteRef/>
      </w:r>
      <w:r>
        <w:t xml:space="preserve"> </w:t>
      </w:r>
      <w:r>
        <w:rPr>
          <w:lang w:val="en-US"/>
        </w:rPr>
        <w:t xml:space="preserve">Insync presentation, day 1 deliberative panel, slide </w:t>
      </w:r>
      <w:r>
        <w:rPr>
          <w:lang w:val="en-US"/>
        </w:rPr>
        <w:t>6</w:t>
      </w:r>
    </w:p>
  </w:endnote>
  <w:endnote w:id="4">
    <w:p w14:paraId="02006D20" w14:textId="5C3DE018" w:rsidR="0084356A" w:rsidRPr="00756518" w:rsidRDefault="0084356A">
      <w:pPr>
        <w:pStyle w:val="EndnoteText"/>
        <w:rPr>
          <w:lang w:val="en-US"/>
        </w:rPr>
      </w:pPr>
      <w:r w:rsidRPr="00F9237D">
        <w:rPr>
          <w:rStyle w:val="EndnoteReference"/>
        </w:rPr>
        <w:endnoteRef/>
      </w:r>
      <w:r w:rsidRPr="00F9237D">
        <w:t xml:space="preserve"> </w:t>
      </w:r>
      <w:r w:rsidRPr="00F9237D">
        <w:rPr>
          <w:lang w:val="en-US"/>
        </w:rPr>
        <w:t xml:space="preserve">Valuation stage report </w:t>
      </w:r>
    </w:p>
  </w:endnote>
  <w:endnote w:id="5">
    <w:p w14:paraId="0CE9B7E7" w14:textId="6C89C353" w:rsidR="0084356A" w:rsidRPr="0078007B" w:rsidRDefault="0084356A">
      <w:pPr>
        <w:pStyle w:val="EndnoteText"/>
        <w:rPr>
          <w:lang w:val="en-US"/>
        </w:rPr>
      </w:pPr>
      <w:r>
        <w:rPr>
          <w:rStyle w:val="EndnoteReference"/>
        </w:rPr>
        <w:endnoteRef/>
      </w:r>
      <w:r>
        <w:t xml:space="preserve"> </w:t>
      </w:r>
      <w:r>
        <w:rPr>
          <w:lang w:val="en-US"/>
        </w:rPr>
        <w:t>Panel report, recommendation 3.3 page 15</w:t>
      </w:r>
    </w:p>
  </w:endnote>
  <w:endnote w:id="6">
    <w:p w14:paraId="01A2AADD" w14:textId="5AA9CEE2" w:rsidR="0084356A" w:rsidRPr="00F9577E" w:rsidRDefault="0084356A">
      <w:pPr>
        <w:pStyle w:val="EndnoteText"/>
      </w:pPr>
      <w:r>
        <w:rPr>
          <w:rStyle w:val="EndnoteReference"/>
        </w:rPr>
        <w:endnoteRef/>
      </w:r>
      <w:r>
        <w:t xml:space="preserve"> GWW defines ‘strong support’ as panel members stating they ‘liked’ or ‘loved’ our responses to their recommendations. 24 of 27 panel members ‘liked’ or ‘loved’ our response. </w:t>
      </w:r>
    </w:p>
  </w:endnote>
  <w:endnote w:id="7">
    <w:p w14:paraId="2F8E5D7C" w14:textId="3CDBBDF5" w:rsidR="0084356A" w:rsidRPr="00C7525A" w:rsidRDefault="0084356A">
      <w:pPr>
        <w:pStyle w:val="EndnoteText"/>
        <w:rPr>
          <w:lang w:val="en-US"/>
        </w:rPr>
      </w:pPr>
      <w:r>
        <w:rPr>
          <w:rStyle w:val="EndnoteReference"/>
        </w:rPr>
        <w:endnoteRef/>
      </w:r>
      <w:r>
        <w:t xml:space="preserve"> </w:t>
      </w:r>
      <w:r>
        <w:rPr>
          <w:lang w:val="en-US"/>
        </w:rPr>
        <w:t>Recall day report, p22-</w:t>
      </w:r>
      <w:r>
        <w:rPr>
          <w:lang w:val="en-US"/>
        </w:rPr>
        <w:t>23</w:t>
      </w:r>
    </w:p>
  </w:endnote>
  <w:endnote w:id="8">
    <w:p w14:paraId="72F90D54" w14:textId="159487F6" w:rsidR="00AA27A5" w:rsidRPr="00EA1808" w:rsidRDefault="00AA27A5">
      <w:pPr>
        <w:pStyle w:val="EndnoteText"/>
        <w:rPr>
          <w:lang w:val="en-US"/>
        </w:rPr>
      </w:pPr>
      <w:r>
        <w:rPr>
          <w:rStyle w:val="EndnoteReference"/>
        </w:rPr>
        <w:endnoteRef/>
      </w:r>
      <w:r>
        <w:t xml:space="preserve"> Insync and Mosaic Lab 2023, Customer Forum Summary Report, Page 11</w:t>
      </w:r>
    </w:p>
  </w:endnote>
  <w:endnote w:id="9">
    <w:p w14:paraId="500903ED" w14:textId="58A2D98A" w:rsidR="0084356A" w:rsidRPr="00756518" w:rsidRDefault="0084356A">
      <w:pPr>
        <w:pStyle w:val="EndnoteText"/>
        <w:rPr>
          <w:lang w:val="en-US"/>
        </w:rPr>
      </w:pPr>
      <w:r>
        <w:rPr>
          <w:rStyle w:val="EndnoteReference"/>
        </w:rPr>
        <w:endnoteRef/>
      </w:r>
      <w:r>
        <w:t xml:space="preserve"> </w:t>
      </w:r>
      <w:r>
        <w:t xml:space="preserve">Brimbank City Council letter to MD Maree Lang, 29 August 2023. </w:t>
      </w:r>
    </w:p>
  </w:endnote>
  <w:endnote w:id="10">
    <w:p w14:paraId="635CA757" w14:textId="77777777" w:rsidR="0084356A" w:rsidRDefault="0084356A" w:rsidP="00FD67D9">
      <w:pPr>
        <w:pStyle w:val="EndnoteText"/>
      </w:pPr>
      <w:r>
        <w:rPr>
          <w:rStyle w:val="EndnoteReference"/>
        </w:rPr>
        <w:endnoteRef/>
      </w:r>
      <w:r>
        <w:t xml:space="preserve"> This overspend has been calculated as the difference between controllable operating expenditure proposed in the 2018 Price Submissions and actual spend reported in the 2023 Price Submissions.  </w:t>
      </w:r>
    </w:p>
  </w:endnote>
  <w:endnote w:id="11">
    <w:p w14:paraId="748C957C" w14:textId="77777777" w:rsidR="0084356A" w:rsidRPr="006D6BC0" w:rsidRDefault="0084356A" w:rsidP="001E3A1C">
      <w:pPr>
        <w:pStyle w:val="EndnoteText"/>
      </w:pPr>
      <w:r>
        <w:rPr>
          <w:rStyle w:val="EndnoteReference"/>
        </w:rPr>
        <w:endnoteRef/>
      </w:r>
      <w:r>
        <w:t xml:space="preserve"> </w:t>
      </w:r>
      <w:r>
        <w:rPr>
          <w:i/>
          <w:iCs/>
        </w:rPr>
        <w:t>Restructure of City West Water Corporation and Western Region Water Corporation Determination 2021</w:t>
      </w:r>
      <w:r>
        <w:t xml:space="preserve"> and </w:t>
      </w:r>
      <w:r>
        <w:rPr>
          <w:i/>
          <w:iCs/>
        </w:rPr>
        <w:t xml:space="preserve">Abolition of Western Region Water Corporation Determination 2021, </w:t>
      </w:r>
      <w:r>
        <w:t xml:space="preserve">both made by Richard Wynne, Acting Minister for Water on 28 February 2021 and published in the Victorian Government Gazette G10, 11 March 2021. </w:t>
      </w:r>
    </w:p>
  </w:endnote>
  <w:endnote w:id="12">
    <w:p w14:paraId="10311613" w14:textId="55134A78" w:rsidR="0084356A" w:rsidRPr="00DB324F" w:rsidRDefault="0084356A">
      <w:pPr>
        <w:pStyle w:val="EndnoteText"/>
        <w:rPr>
          <w:lang w:val="en-US"/>
        </w:rPr>
      </w:pPr>
      <w:r>
        <w:rPr>
          <w:rStyle w:val="EndnoteReference"/>
        </w:rPr>
        <w:endnoteRef/>
      </w:r>
      <w:r>
        <w:t xml:space="preserve"> </w:t>
      </w:r>
      <w:r w:rsidRPr="003D2949">
        <w:t>Melbourne Metropolitan Water Tariff Review – Focus Group Report, February 2022, Insync</w:t>
      </w:r>
    </w:p>
  </w:endnote>
  <w:endnote w:id="13">
    <w:p w14:paraId="6CB61E39" w14:textId="017FE1DB" w:rsidR="0084356A" w:rsidRPr="00450165" w:rsidRDefault="0084356A">
      <w:pPr>
        <w:pStyle w:val="EndnoteText"/>
        <w:rPr>
          <w:lang w:val="en-US"/>
        </w:rPr>
      </w:pPr>
      <w:r>
        <w:rPr>
          <w:rStyle w:val="EndnoteReference"/>
        </w:rPr>
        <w:endnoteRef/>
      </w:r>
      <w:r>
        <w:t xml:space="preserve"> </w:t>
      </w:r>
      <w:r w:rsidRPr="00EA1808">
        <w:t>Essential Services Commission 2022, 2024 Greater Western Water price review: Guidance paper, 20 September</w:t>
      </w:r>
    </w:p>
  </w:endnote>
  <w:endnote w:id="14">
    <w:p w14:paraId="57DB3F9A" w14:textId="1663EF47" w:rsidR="0084356A" w:rsidRPr="00450165" w:rsidRDefault="0084356A">
      <w:pPr>
        <w:pStyle w:val="EndnoteText"/>
        <w:rPr>
          <w:lang w:val="en-US"/>
        </w:rPr>
      </w:pPr>
      <w:r>
        <w:rPr>
          <w:rStyle w:val="EndnoteReference"/>
        </w:rPr>
        <w:endnoteRef/>
      </w:r>
      <w:r>
        <w:t xml:space="preserve"> </w:t>
      </w:r>
      <w:r w:rsidRPr="007149EA">
        <w:t>Essential Services Commission 2011, 2013 Water Price Review – Tariff Issues Paper, July 2011 p.26</w:t>
      </w:r>
    </w:p>
  </w:endnote>
  <w:endnote w:id="15">
    <w:p w14:paraId="0B292396" w14:textId="77777777" w:rsidR="0084356A" w:rsidRPr="003E4F41" w:rsidRDefault="0084356A" w:rsidP="001B2B71">
      <w:pPr>
        <w:pStyle w:val="EndnoteText"/>
        <w:rPr>
          <w:lang w:val="en-US"/>
        </w:rPr>
      </w:pPr>
      <w:r>
        <w:rPr>
          <w:rStyle w:val="EndnoteReference"/>
        </w:rPr>
        <w:endnoteRef/>
      </w:r>
      <w:r>
        <w:t xml:space="preserve"> </w:t>
      </w:r>
      <w:r w:rsidRPr="003E4F41">
        <w:t xml:space="preserve">Residential volumetric potable water step 2 will be relabelled </w:t>
      </w:r>
      <w:r>
        <w:t>‘</w:t>
      </w:r>
      <w:r w:rsidRPr="003E4F41">
        <w:t>Price step 2 (441+ litres/day)</w:t>
      </w:r>
      <w:r>
        <w:t>’</w:t>
      </w:r>
      <w:r w:rsidRPr="003E4F41">
        <w:t xml:space="preserve"> in the new regulatory period.</w:t>
      </w:r>
      <w:r>
        <w:t xml:space="preserve"> Step 3 will be removed.</w:t>
      </w:r>
    </w:p>
  </w:endnote>
  <w:endnote w:id="16">
    <w:p w14:paraId="3FDF5FC4" w14:textId="5E343140" w:rsidR="0084356A" w:rsidRDefault="0084356A" w:rsidP="000E588F">
      <w:pPr>
        <w:pStyle w:val="EndnoteText"/>
      </w:pPr>
      <w:r>
        <w:rPr>
          <w:rStyle w:val="EndnoteReference"/>
        </w:rPr>
        <w:endnoteRef/>
      </w:r>
      <w:r>
        <w:t xml:space="preserve"> Full Federal Court’s decision in Victoria Power Networks Pty Ltd v Commissioner of Taxation related to new customer contributions and developer gifted assets.</w:t>
      </w:r>
    </w:p>
    <w:p w14:paraId="7139D3E6" w14:textId="2BB0FA7C" w:rsidR="0084356A" w:rsidRPr="00EA1808" w:rsidRDefault="0069425C" w:rsidP="000E588F">
      <w:pPr>
        <w:pStyle w:val="EndnoteText"/>
        <w:rPr>
          <w:lang w:val="en-US"/>
        </w:rPr>
      </w:pPr>
      <w:hyperlink r:id="rId1" w:history="1">
        <w:r w:rsidR="0084356A" w:rsidRPr="00245BFA">
          <w:rPr>
            <w:rStyle w:val="Hyperlink"/>
          </w:rPr>
          <w:t>https://www.ato.gov.au/law/view/document?docid=LIT/ICD/VID237-240of2019/00001</w:t>
        </w:r>
      </w:hyperlink>
    </w:p>
  </w:endnote>
  <w:endnote w:id="17">
    <w:p w14:paraId="4A45710D" w14:textId="6FA48516" w:rsidR="0084356A" w:rsidRPr="00183F37" w:rsidRDefault="0084356A">
      <w:pPr>
        <w:pStyle w:val="EndnoteText"/>
        <w:rPr>
          <w:lang w:val="en-US"/>
        </w:rPr>
      </w:pPr>
      <w:r>
        <w:rPr>
          <w:rStyle w:val="EndnoteReference"/>
        </w:rPr>
        <w:endnoteRef/>
      </w:r>
      <w:r>
        <w:t xml:space="preserve"> </w:t>
      </w:r>
      <w:r>
        <w:rPr>
          <w:lang w:val="en-US"/>
        </w:rPr>
        <w:t>We assume that our residential customer numbers grow at the same number annually as captured in VIF 2021 rather than the growth rate.</w:t>
      </w:r>
    </w:p>
  </w:endnote>
  <w:endnote w:id="18">
    <w:p w14:paraId="0DBFD7FB" w14:textId="6B2BB05F" w:rsidR="0084356A" w:rsidRPr="00A67A66" w:rsidRDefault="0084356A">
      <w:pPr>
        <w:pStyle w:val="EndnoteText"/>
        <w:rPr>
          <w:lang w:val="en-US"/>
        </w:rPr>
      </w:pPr>
      <w:r>
        <w:rPr>
          <w:rStyle w:val="EndnoteReference"/>
        </w:rPr>
        <w:endnoteRef/>
      </w:r>
      <w:r>
        <w:t xml:space="preserve"> </w:t>
      </w:r>
      <w:r>
        <w:rPr>
          <w:lang w:val="en-US"/>
        </w:rPr>
        <w:t>The ABS’s Mesh Blocks are the s</w:t>
      </w:r>
      <w:r w:rsidRPr="00847E2D">
        <w:rPr>
          <w:lang w:val="en-US"/>
        </w:rPr>
        <w:t>mallest geographic areas defined by the ABS and form the building blocks for the larger regions of the Australian Statistical Geography Standard (ASGS)</w:t>
      </w:r>
      <w:r>
        <w:rPr>
          <w:lang w:val="en-US"/>
        </w:rPr>
        <w:t>. These are smaller than SA1 level data.</w:t>
      </w:r>
    </w:p>
  </w:endnote>
  <w:endnote w:id="19">
    <w:p w14:paraId="59AE8B03" w14:textId="6A7F7DA6" w:rsidR="0084356A" w:rsidRPr="006E139E" w:rsidRDefault="0084356A">
      <w:pPr>
        <w:pStyle w:val="EndnoteText"/>
        <w:rPr>
          <w:lang w:val="en-US"/>
        </w:rPr>
      </w:pPr>
      <w:r>
        <w:rPr>
          <w:rStyle w:val="EndnoteReference"/>
        </w:rPr>
        <w:endnoteRef/>
      </w:r>
      <w:r>
        <w:t xml:space="preserve"> </w:t>
      </w:r>
      <w:r w:rsidRPr="00351556">
        <w:rPr>
          <w:lang w:val="en-US"/>
        </w:rPr>
        <w:t xml:space="preserve">CWW </w:t>
      </w:r>
      <w:r>
        <w:rPr>
          <w:lang w:val="en-US"/>
        </w:rPr>
        <w:t xml:space="preserve">and WW </w:t>
      </w:r>
      <w:r w:rsidRPr="00351556">
        <w:rPr>
          <w:lang w:val="en-US"/>
        </w:rPr>
        <w:t xml:space="preserve">used the </w:t>
      </w:r>
      <w:r w:rsidRPr="00351556">
        <w:rPr>
          <w:lang w:val="en-US"/>
        </w:rPr>
        <w:t xml:space="preserve">iSDP model for the past </w:t>
      </w:r>
      <w:r>
        <w:rPr>
          <w:lang w:val="en-US"/>
        </w:rPr>
        <w:t>three</w:t>
      </w:r>
      <w:r w:rsidRPr="00351556">
        <w:rPr>
          <w:lang w:val="en-US"/>
        </w:rPr>
        <w:t xml:space="preserve"> price submissio</w:t>
      </w:r>
      <w:r w:rsidRPr="000B1B09">
        <w:rPr>
          <w:lang w:val="en-US"/>
        </w:rPr>
        <w:t>ns.</w:t>
      </w:r>
    </w:p>
  </w:endnote>
  <w:endnote w:id="20">
    <w:p w14:paraId="5FEF170C" w14:textId="229D30D1" w:rsidR="0084356A" w:rsidRPr="00074489" w:rsidRDefault="0084356A">
      <w:pPr>
        <w:pStyle w:val="EndnoteText"/>
        <w:rPr>
          <w:lang w:val="en-US"/>
        </w:rPr>
      </w:pPr>
      <w:r>
        <w:rPr>
          <w:rStyle w:val="EndnoteReference"/>
        </w:rPr>
        <w:endnoteRef/>
      </w:r>
      <w:r>
        <w:t xml:space="preserve"> We identified an error in the WW 2018 determination listing recycled water usage as a residential charge. This scheduled fee applied to both residential and non-residential customers in the western region.</w:t>
      </w:r>
    </w:p>
  </w:endnote>
  <w:endnote w:id="21">
    <w:p w14:paraId="07E8983B" w14:textId="439E6870" w:rsidR="0084356A" w:rsidRPr="00074B21" w:rsidRDefault="0084356A">
      <w:pPr>
        <w:pStyle w:val="EndnoteText"/>
        <w:rPr>
          <w:lang w:val="en-US"/>
        </w:rPr>
      </w:pPr>
      <w:r>
        <w:rPr>
          <w:rStyle w:val="EndnoteReference"/>
        </w:rPr>
        <w:endnoteRef/>
      </w:r>
      <w:r>
        <w:t xml:space="preserve"> </w:t>
      </w:r>
      <w:r w:rsidRPr="00CE6406">
        <w:t xml:space="preserve">The segments were created prior to </w:t>
      </w:r>
      <w:r>
        <w:t xml:space="preserve">the </w:t>
      </w:r>
      <w:r w:rsidRPr="00CE6406">
        <w:t>2018 price submission using a statistical clustering method</w:t>
      </w:r>
      <w:r>
        <w:t xml:space="preserve">. </w:t>
      </w:r>
      <w:r w:rsidRPr="00CE6406">
        <w:t>The segments established using this method are then tested for relevance by calculating combined load and are finalised by identifying the customer types (ANZSIC codes) applicable to the segment.</w:t>
      </w:r>
    </w:p>
  </w:endnote>
  <w:endnote w:id="22">
    <w:p w14:paraId="7E303DA1" w14:textId="1B8B409D" w:rsidR="0084356A" w:rsidRPr="00475851" w:rsidRDefault="0084356A" w:rsidP="009E4CB7">
      <w:pPr>
        <w:pStyle w:val="EndnoteText"/>
        <w:rPr>
          <w:lang w:val="en-US"/>
        </w:rPr>
      </w:pPr>
      <w:r>
        <w:rPr>
          <w:rStyle w:val="EndnoteReference"/>
        </w:rPr>
        <w:endnoteRef/>
      </w:r>
      <w:r>
        <w:t xml:space="preserve"> </w:t>
      </w:r>
      <w:r w:rsidRPr="009A24A8">
        <w:rPr>
          <w:lang w:val="en-US"/>
        </w:rPr>
        <w:t xml:space="preserve">Visit our website </w:t>
      </w:r>
      <w:hyperlink r:id="rId2" w:history="1">
        <w:r w:rsidRPr="009A24A8">
          <w:rPr>
            <w:rStyle w:val="Hyperlink"/>
            <w:lang w:val="en-US"/>
          </w:rPr>
          <w:t>www.gww.com.au</w:t>
        </w:r>
      </w:hyperlink>
      <w:r w:rsidRPr="009A24A8">
        <w:rPr>
          <w:lang w:val="en-US"/>
        </w:rPr>
        <w:t xml:space="preserve"> to view historical performance against our customer </w:t>
      </w:r>
      <w:r w:rsidRPr="009A24A8">
        <w:rPr>
          <w:lang w:val="en-US"/>
        </w:rPr>
        <w:t>commitments</w:t>
      </w:r>
    </w:p>
  </w:endnote>
  <w:endnote w:id="23">
    <w:p w14:paraId="1BB936F6" w14:textId="77777777" w:rsidR="0084356A" w:rsidRPr="005E7760" w:rsidRDefault="0084356A" w:rsidP="009E4CB7">
      <w:pPr>
        <w:pStyle w:val="EndnoteText"/>
        <w:rPr>
          <w:lang w:val="en-US"/>
        </w:rPr>
      </w:pPr>
      <w:r>
        <w:rPr>
          <w:rStyle w:val="EndnoteReference"/>
        </w:rPr>
        <w:endnoteRef/>
      </w:r>
      <w:r>
        <w:t xml:space="preserve"> </w:t>
      </w:r>
      <w:r w:rsidRPr="009A24A8">
        <w:t>Essential Services Commission 2022, Outcomes Report 2021–22: Performance of Victoria’s water businesses against their own commitments to customers, 18 October</w:t>
      </w:r>
    </w:p>
  </w:endnote>
  <w:endnote w:id="24">
    <w:p w14:paraId="0DEED37D" w14:textId="77777777" w:rsidR="0084356A" w:rsidRPr="00B368EA" w:rsidRDefault="0084356A" w:rsidP="00B6144A">
      <w:pPr>
        <w:pStyle w:val="EndnoteText"/>
        <w:rPr>
          <w:lang w:val="en-US"/>
        </w:rPr>
      </w:pPr>
      <w:r>
        <w:rPr>
          <w:rStyle w:val="EndnoteReference"/>
        </w:rPr>
        <w:endnoteRef/>
      </w:r>
      <w:r>
        <w:t xml:space="preserve"> </w:t>
      </w:r>
      <w:r w:rsidRPr="009A24A8">
        <w:rPr>
          <w:lang w:val="en-US"/>
        </w:rPr>
        <w:t xml:space="preserve">Western Water engaged with customers in its 2018 price submission to develop five customer outcomes that reflected customer values. Through its 2020 price submission Western Water engaged customers again to test if the customer outcomes proposed in 2018 remained relevant. Overall, Western Water’s broad customer outcomes remained the same since 2018, however the measures underpinning each </w:t>
      </w:r>
      <w:r w:rsidRPr="009A24A8">
        <w:rPr>
          <w:lang w:val="en-US"/>
        </w:rPr>
        <w:t>outcomes changed in 2020. For the purpose of this report we will refer to all measures reported in 2018-2024</w:t>
      </w:r>
      <w:r w:rsidRPr="00D35874">
        <w:rPr>
          <w:sz w:val="18"/>
          <w:szCs w:val="18"/>
          <w:lang w:val="en-US"/>
        </w:rPr>
        <w:t>.</w:t>
      </w:r>
    </w:p>
  </w:endnote>
  <w:endnote w:id="25">
    <w:p w14:paraId="25058D0E" w14:textId="77777777" w:rsidR="0084356A" w:rsidRPr="006B49F6" w:rsidRDefault="0084356A" w:rsidP="005D070D">
      <w:pPr>
        <w:pStyle w:val="EndnoteText"/>
        <w:rPr>
          <w:lang w:val="en-US"/>
        </w:rPr>
      </w:pPr>
      <w:r>
        <w:rPr>
          <w:rStyle w:val="EndnoteReference"/>
        </w:rPr>
        <w:endnoteRef/>
      </w:r>
      <w:r>
        <w:t xml:space="preserve"> </w:t>
      </w:r>
      <w:r w:rsidRPr="0069197B">
        <w:t xml:space="preserve">The interval band represents approximately one third of businesses (5 businesses) centred around the state average. </w:t>
      </w:r>
      <w:r>
        <w:t>Scoring</w:t>
      </w:r>
      <w:r w:rsidRPr="0069197B">
        <w:t xml:space="preserve"> above the band is interpreted as scoring in the top third (top 5), </w:t>
      </w:r>
      <w:r>
        <w:t>and scores</w:t>
      </w:r>
      <w:r w:rsidRPr="0069197B">
        <w:t xml:space="preserve"> below the band represents scoring in the bottom third (bottom 5) of businesses for that period.</w:t>
      </w:r>
    </w:p>
  </w:endnote>
  <w:endnote w:id="26">
    <w:p w14:paraId="4572398A" w14:textId="77777777" w:rsidR="0084356A" w:rsidRDefault="0084356A" w:rsidP="00CA7A63">
      <w:pPr>
        <w:pStyle w:val="EndnoteText"/>
      </w:pPr>
      <w:r>
        <w:rPr>
          <w:rStyle w:val="EndnoteReference"/>
        </w:rPr>
        <w:endnoteRef/>
      </w:r>
      <w:r>
        <w:t xml:space="preserve"> This overspend has been calculated as the difference between controllable operating expenditure proposed in the 2018 Price Submissions and actual spend reported in the 2023 Price Submissions.  </w:t>
      </w:r>
    </w:p>
  </w:endnote>
  <w:endnote w:id="27">
    <w:p w14:paraId="7B0E2511" w14:textId="77777777" w:rsidR="0084356A" w:rsidRPr="006D6BC0" w:rsidRDefault="0084356A" w:rsidP="00E6153C">
      <w:pPr>
        <w:pStyle w:val="EndnoteText"/>
      </w:pPr>
      <w:r>
        <w:rPr>
          <w:rStyle w:val="EndnoteReference"/>
        </w:rPr>
        <w:endnoteRef/>
      </w:r>
      <w:r>
        <w:t xml:space="preserve"> </w:t>
      </w:r>
      <w:r>
        <w:rPr>
          <w:i/>
          <w:iCs/>
        </w:rPr>
        <w:t>Restructure of City West Water Corporation and Western Region Water Corporation Determination 2021</w:t>
      </w:r>
      <w:r>
        <w:t xml:space="preserve"> and </w:t>
      </w:r>
      <w:r>
        <w:rPr>
          <w:i/>
          <w:iCs/>
        </w:rPr>
        <w:t xml:space="preserve">Abolition of Western Region Water Corporation Determination 2021, </w:t>
      </w:r>
      <w:r>
        <w:t xml:space="preserve">both made by Richard Wynne, Acting Minister for Water on 28 February 2021 and published in the Victorian Government Gazette G10, 11 March 2021. </w:t>
      </w:r>
    </w:p>
  </w:endnote>
  <w:endnote w:id="28">
    <w:p w14:paraId="427095FD" w14:textId="0B160EB5" w:rsidR="0084356A" w:rsidRDefault="0084356A" w:rsidP="00455C68">
      <w:pPr>
        <w:pStyle w:val="EndnoteText"/>
      </w:pPr>
      <w:r>
        <w:rPr>
          <w:rStyle w:val="EndnoteReference"/>
        </w:rPr>
        <w:endnoteRef/>
      </w:r>
      <w:r>
        <w:t xml:space="preserve"> Schneider Electric (2022). </w:t>
      </w:r>
      <w:r w:rsidRPr="001F0E26">
        <w:rPr>
          <w:i/>
          <w:iCs/>
        </w:rPr>
        <w:t>Electricity Price Forecast Covering FY2023-2028 Base case,</w:t>
      </w:r>
      <w:r>
        <w:t xml:space="preserve"> 23 March.</w:t>
      </w:r>
    </w:p>
  </w:endnote>
  <w:endnote w:id="29">
    <w:p w14:paraId="7436D3AA" w14:textId="77777777" w:rsidR="0084356A" w:rsidRPr="00FD3239" w:rsidRDefault="0084356A" w:rsidP="00455C68">
      <w:pPr>
        <w:pStyle w:val="EndnoteText"/>
      </w:pPr>
      <w:r>
        <w:rPr>
          <w:rStyle w:val="EndnoteReference"/>
        </w:rPr>
        <w:endnoteRef/>
      </w:r>
      <w:r>
        <w:t xml:space="preserve"> Schneider Electric (2023). </w:t>
      </w:r>
      <w:r w:rsidRPr="001F0E26">
        <w:rPr>
          <w:i/>
          <w:iCs/>
        </w:rPr>
        <w:t>Update to the Victorian Electricity 5-Year forecast</w:t>
      </w:r>
      <w:r>
        <w:t xml:space="preserve">, 15 March. </w:t>
      </w:r>
    </w:p>
  </w:endnote>
  <w:endnote w:id="30">
    <w:p w14:paraId="766308E8" w14:textId="77777777" w:rsidR="0084356A" w:rsidRDefault="0084356A" w:rsidP="00455C68">
      <w:pPr>
        <w:pStyle w:val="EndnoteText"/>
      </w:pPr>
      <w:r>
        <w:rPr>
          <w:rStyle w:val="EndnoteReference"/>
        </w:rPr>
        <w:endnoteRef/>
      </w:r>
      <w:r>
        <w:t xml:space="preserve"> Large market sites are those that consume more than 160 MWh per year, medium market sites are those that consume between 40 and 160 MWh per year, and small sites are those using less than 40 MWh per year. </w:t>
      </w:r>
    </w:p>
  </w:endnote>
  <w:endnote w:id="31">
    <w:p w14:paraId="28733959" w14:textId="77777777" w:rsidR="007B494B" w:rsidRPr="00D712AC" w:rsidRDefault="007B494B" w:rsidP="007B494B">
      <w:pPr>
        <w:pStyle w:val="EndnoteText"/>
        <w:rPr>
          <w:lang w:val="en-US"/>
        </w:rPr>
      </w:pPr>
      <w:r>
        <w:rPr>
          <w:rStyle w:val="EndnoteReference"/>
        </w:rPr>
        <w:endnoteRef/>
      </w:r>
      <w:r>
        <w:t xml:space="preserve"> </w:t>
      </w:r>
      <w:r w:rsidRPr="00F467D8">
        <w:t xml:space="preserve">Essential Services Commission 2009. </w:t>
      </w:r>
      <w:r w:rsidRPr="0084356A">
        <w:rPr>
          <w:i/>
          <w:iCs/>
        </w:rPr>
        <w:t>Water Industry Regulatory Accounting Code</w:t>
      </w:r>
      <w:r w:rsidRPr="00F467D8">
        <w:t>, Issue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YVW Rational">
    <w:altName w:val="Calibri"/>
    <w:panose1 w:val="00000000000000000000"/>
    <w:charset w:val="00"/>
    <w:family w:val="modern"/>
    <w:notTrueType/>
    <w:pitch w:val="variable"/>
    <w:sig w:usb0="00000007" w:usb1="00000023"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570158"/>
      <w:docPartObj>
        <w:docPartGallery w:val="Page Numbers (Bottom of Page)"/>
        <w:docPartUnique/>
      </w:docPartObj>
    </w:sdtPr>
    <w:sdtEndPr>
      <w:rPr>
        <w:noProof/>
      </w:rPr>
    </w:sdtEndPr>
    <w:sdtContent>
      <w:p w14:paraId="05E7582A" w14:textId="0616E0D6" w:rsidR="00D35D63" w:rsidRDefault="00D35D63" w:rsidP="001B55AC">
        <w:pPr>
          <w:pStyle w:val="Footer"/>
        </w:pPr>
        <w:r>
          <w:fldChar w:fldCharType="begin"/>
        </w:r>
        <w:r w:rsidRPr="008062CB">
          <w:rPr>
            <w:rStyle w:val="FooterBold"/>
          </w:rPr>
          <w:instrText xml:space="preserve"> PAGE   \* MERGEFORMAT </w:instrText>
        </w:r>
        <w:r>
          <w:fldChar w:fldCharType="separate"/>
        </w:r>
        <w:r>
          <w:rPr>
            <w:noProof/>
          </w:rPr>
          <w:t>2</w:t>
        </w:r>
        <w:r>
          <w:rPr>
            <w:noProof/>
          </w:rPr>
          <w:fldChar w:fldCharType="end"/>
        </w:r>
      </w:p>
    </w:sdtContent>
  </w:sdt>
  <w:p w14:paraId="5FD3A8C2" w14:textId="162E3657" w:rsidR="00672F7B" w:rsidRPr="00125584" w:rsidRDefault="00672F7B" w:rsidP="001B55AC">
    <w:pPr>
      <w:pStyle w:val="Footer"/>
      <w:ind w:right="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B85E" w14:textId="5416E0DA" w:rsidR="00672F7B" w:rsidRPr="001B55AC" w:rsidRDefault="008062CB" w:rsidP="001B55AC">
    <w:pPr>
      <w:pStyle w:val="Footer"/>
      <w:rPr>
        <w:b/>
      </w:rPr>
    </w:pPr>
    <w:r w:rsidRPr="001B55AC">
      <w:rPr>
        <w:rStyle w:val="FooterBold"/>
        <w:b w:val="0"/>
        <w:bCs/>
      </w:rPr>
      <w:fldChar w:fldCharType="begin"/>
    </w:r>
    <w:r w:rsidRPr="001B55AC">
      <w:rPr>
        <w:rStyle w:val="FooterBold"/>
        <w:b w:val="0"/>
        <w:bCs/>
      </w:rPr>
      <w:instrText xml:space="preserve"> PAGE   \* MERGEFORMAT </w:instrText>
    </w:r>
    <w:r w:rsidRPr="001B55AC">
      <w:rPr>
        <w:rStyle w:val="FooterBold"/>
        <w:b w:val="0"/>
        <w:bCs/>
      </w:rPr>
      <w:fldChar w:fldCharType="separate"/>
    </w:r>
    <w:r w:rsidRPr="001B55AC">
      <w:rPr>
        <w:rStyle w:val="FooterBold"/>
        <w:b w:val="0"/>
        <w:bCs/>
      </w:rPr>
      <w:t>2</w:t>
    </w:r>
    <w:r w:rsidRPr="001B55AC">
      <w:rPr>
        <w:rStyle w:val="FooterBold"/>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C654" w14:textId="77777777" w:rsidR="00EF7CE2" w:rsidRDefault="00EF7CE2" w:rsidP="00344F39">
      <w:r>
        <w:separator/>
      </w:r>
    </w:p>
  </w:footnote>
  <w:footnote w:type="continuationSeparator" w:id="0">
    <w:p w14:paraId="10CDA726" w14:textId="77777777" w:rsidR="00EF7CE2" w:rsidRDefault="00EF7CE2" w:rsidP="00344F39">
      <w:r>
        <w:continuationSeparator/>
      </w:r>
    </w:p>
    <w:p w14:paraId="3C921BF8" w14:textId="77777777" w:rsidR="00EF7CE2" w:rsidRDefault="00EF7CE2"/>
    <w:p w14:paraId="4C47D7A7" w14:textId="77777777" w:rsidR="00EF7CE2" w:rsidRDefault="00EF7CE2"/>
    <w:p w14:paraId="7B290458" w14:textId="77777777" w:rsidR="00EF7CE2" w:rsidRDefault="00EF7CE2"/>
    <w:p w14:paraId="6F98ACA3" w14:textId="77777777" w:rsidR="00EF7CE2" w:rsidRDefault="00EF7CE2"/>
  </w:footnote>
  <w:footnote w:type="continuationNotice" w:id="1">
    <w:p w14:paraId="2BCAAD24" w14:textId="77777777" w:rsidR="00EF7CE2" w:rsidRDefault="00EF7CE2">
      <w:pPr>
        <w:spacing w:after="0" w:line="240" w:lineRule="auto"/>
      </w:pPr>
    </w:p>
    <w:p w14:paraId="1961173F" w14:textId="77777777" w:rsidR="00EF7CE2" w:rsidRDefault="00EF7CE2"/>
    <w:p w14:paraId="3CC58535" w14:textId="77777777" w:rsidR="00EF7CE2" w:rsidRDefault="00EF7CE2"/>
    <w:p w14:paraId="00941A60" w14:textId="77777777" w:rsidR="00EF7CE2" w:rsidRDefault="00EF7C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2546" w14:textId="5A9C57EA" w:rsidR="00083246" w:rsidRDefault="0069425C" w:rsidP="00083246">
    <w:pPr>
      <w:pStyle w:val="Header"/>
    </w:pPr>
    <w:r>
      <w:fldChar w:fldCharType="begin"/>
    </w:r>
    <w:r>
      <w:instrText>STYLEREF  "Heading 1"  \* MERGEFORMAT</w:instrText>
    </w:r>
    <w:r>
      <w:fldChar w:fldCharType="separate"/>
    </w:r>
    <w:r>
      <w:fldChar w:fldCharType="end"/>
    </w:r>
  </w:p>
  <w:p w14:paraId="4873A7B2" w14:textId="77777777" w:rsidR="00083246" w:rsidRDefault="000832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2C08" w14:textId="7FFD6290" w:rsidR="007D45CD" w:rsidRPr="00F15790" w:rsidRDefault="007D45CD">
    <w:pPr>
      <w:pStyle w:val="Header"/>
      <w:rPr>
        <w:lang w:val="en-US"/>
      </w:rPr>
    </w:pPr>
    <w:r>
      <w:rPr>
        <w:lang w:val="en-US"/>
      </w:rPr>
      <w:t>Appendix 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8E0F" w14:textId="36E4BD9D" w:rsidR="00C84CA1" w:rsidRPr="00F15790" w:rsidRDefault="00F23AC2">
    <w:pPr>
      <w:pStyle w:val="Header"/>
      <w:rPr>
        <w:lang w:val="en-US"/>
      </w:rPr>
    </w:pPr>
    <w:r>
      <w:rPr>
        <w:lang w:val="en-US"/>
      </w:rPr>
      <w:t>Appendix 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AA7D" w14:textId="004AF619" w:rsidR="00C84CA1" w:rsidRPr="00F15790" w:rsidRDefault="00F23AC2">
    <w:pPr>
      <w:pStyle w:val="Header"/>
      <w:rPr>
        <w:lang w:val="en-US"/>
      </w:rPr>
    </w:pPr>
    <w:r>
      <w:rPr>
        <w:lang w:val="en-US"/>
      </w:rPr>
      <w:t>Appendix 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DA85" w14:textId="77777777" w:rsidR="004669F0" w:rsidRPr="00F15790" w:rsidRDefault="00963A86">
    <w:pPr>
      <w:pStyle w:val="Header"/>
      <w:rPr>
        <w:lang w:val="en-US"/>
      </w:rPr>
    </w:pPr>
    <w:r>
      <w:rPr>
        <w:lang w:val="en-US"/>
      </w:rPr>
      <w:t>Appendix 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BCB1" w14:textId="77777777" w:rsidR="004669F0" w:rsidRPr="00F15790" w:rsidRDefault="00963A86">
    <w:pPr>
      <w:pStyle w:val="Header"/>
      <w:rPr>
        <w:lang w:val="en-US"/>
      </w:rPr>
    </w:pPr>
    <w:r>
      <w:rPr>
        <w:lang w:val="en-US"/>
      </w:rPr>
      <w:t>Appendix 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4001" w14:textId="77777777" w:rsidR="006B11C0" w:rsidRPr="00F15790" w:rsidRDefault="007D45CD">
    <w:pPr>
      <w:pStyle w:val="Header"/>
      <w:rPr>
        <w:lang w:val="en-US"/>
      </w:rPr>
    </w:pPr>
    <w:r>
      <w:rPr>
        <w:lang w:val="en-US"/>
      </w:rPr>
      <w:t>Appendix 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5CCD" w14:textId="64962E34" w:rsidR="006B11C0" w:rsidRPr="00F15790" w:rsidRDefault="006B11C0">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4288" w14:textId="77777777" w:rsidR="00015712" w:rsidRDefault="000157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4B0A" w14:textId="77777777" w:rsidR="00083246" w:rsidRDefault="000832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85DE" w14:textId="77777777" w:rsidR="00083246" w:rsidRDefault="000832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DCC4" w14:textId="6A4CDC93" w:rsidR="008C1A38" w:rsidRDefault="0069425C" w:rsidP="008C1A38">
    <w:pPr>
      <w:pStyle w:val="Header"/>
    </w:pPr>
    <w:r>
      <w:fldChar w:fldCharType="begin"/>
    </w:r>
    <w:r>
      <w:instrText>STYLEREF  "Heading 1"  \* MERGEFORMAT</w:instrText>
    </w:r>
    <w:r>
      <w:fldChar w:fldCharType="separate"/>
    </w:r>
    <w:r>
      <w:rPr>
        <w:noProof/>
      </w:rPr>
      <w:t>GWW’s first price submission</w:t>
    </w:r>
    <w:r>
      <w:rPr>
        <w:noProof/>
      </w:rPr>
      <w:fldChar w:fldCharType="end"/>
    </w:r>
  </w:p>
  <w:p w14:paraId="064217B5" w14:textId="77777777" w:rsidR="008C1A38" w:rsidRDefault="008C1A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8391" w14:textId="3A6D59F9" w:rsidR="007D290A" w:rsidRDefault="0069425C" w:rsidP="00083246">
    <w:pPr>
      <w:pStyle w:val="Header"/>
    </w:pPr>
    <w:r>
      <w:fldChar w:fldCharType="begin"/>
    </w:r>
    <w:r>
      <w:instrText>STYLEREF  "Heading 1"  \* MERGEFORMAT</w:instrText>
    </w:r>
    <w:r>
      <w:fldChar w:fldCharType="separate"/>
    </w:r>
    <w:r w:rsidR="00BB45A5">
      <w:rPr>
        <w:noProof/>
      </w:rPr>
      <w:t>Our tariff structures and fees</w:t>
    </w:r>
    <w:r>
      <w:rPr>
        <w:noProof/>
      </w:rPr>
      <w:fldChar w:fldCharType="end"/>
    </w:r>
  </w:p>
  <w:p w14:paraId="37751749" w14:textId="77777777" w:rsidR="007D290A" w:rsidRDefault="007D29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D675" w14:textId="1D83CB76" w:rsidR="00572916" w:rsidRPr="00F15790" w:rsidRDefault="007D45CD">
    <w:pPr>
      <w:pStyle w:val="Header"/>
      <w:rPr>
        <w:lang w:val="en-US"/>
      </w:rPr>
    </w:pPr>
    <w:r>
      <w:rPr>
        <w:lang w:val="en-US"/>
      </w:rPr>
      <w:t>Appendix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97AA" w14:textId="64813939" w:rsidR="00572916" w:rsidRDefault="0069425C" w:rsidP="00083246">
    <w:pPr>
      <w:pStyle w:val="Header"/>
    </w:pPr>
    <w:r>
      <w:fldChar w:fldCharType="begin"/>
    </w:r>
    <w:r>
      <w:instrText>STYLEREF  "Appendix Heading 1"  \* MERGEFORMAT</w:instrText>
    </w:r>
    <w:r>
      <w:fldChar w:fldCharType="separate"/>
    </w:r>
    <w:r>
      <w:fldChar w:fldCharType="end"/>
    </w:r>
  </w:p>
  <w:p w14:paraId="62CC3770" w14:textId="77777777" w:rsidR="00572916" w:rsidRDefault="005729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7A35" w14:textId="77777777" w:rsidR="006B11C0" w:rsidRPr="00F15790" w:rsidRDefault="007D45CD">
    <w:pPr>
      <w:pStyle w:val="Header"/>
      <w:rPr>
        <w:lang w:val="en-US"/>
      </w:rPr>
    </w:pPr>
    <w:r>
      <w:rPr>
        <w:lang w:val="en-US"/>
      </w:rPr>
      <w:t>Appendix 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1EA"/>
    <w:multiLevelType w:val="hybridMultilevel"/>
    <w:tmpl w:val="790A0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B26C6"/>
    <w:multiLevelType w:val="hybridMultilevel"/>
    <w:tmpl w:val="56B48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78157F"/>
    <w:multiLevelType w:val="hybridMultilevel"/>
    <w:tmpl w:val="D74E4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9178BB"/>
    <w:multiLevelType w:val="hybridMultilevel"/>
    <w:tmpl w:val="F3B04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A4502"/>
    <w:multiLevelType w:val="multilevel"/>
    <w:tmpl w:val="FFAC13BC"/>
    <w:numStyleLink w:val="Numbering"/>
  </w:abstractNum>
  <w:abstractNum w:abstractNumId="5" w15:restartNumberingAfterBreak="0">
    <w:nsid w:val="06546DA2"/>
    <w:multiLevelType w:val="hybridMultilevel"/>
    <w:tmpl w:val="13645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65579E"/>
    <w:multiLevelType w:val="hybridMultilevel"/>
    <w:tmpl w:val="0C464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C83521"/>
    <w:multiLevelType w:val="hybridMultilevel"/>
    <w:tmpl w:val="CC927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DE0958"/>
    <w:multiLevelType w:val="hybridMultilevel"/>
    <w:tmpl w:val="63A07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780FB5"/>
    <w:multiLevelType w:val="hybridMultilevel"/>
    <w:tmpl w:val="42622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A30309"/>
    <w:multiLevelType w:val="hybridMultilevel"/>
    <w:tmpl w:val="3EA80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E96F45"/>
    <w:multiLevelType w:val="hybridMultilevel"/>
    <w:tmpl w:val="86FCED20"/>
    <w:lvl w:ilvl="0" w:tplc="41AEFB72">
      <w:start w:val="1"/>
      <w:numFmt w:val="upperLetter"/>
      <w:pStyle w:val="AppendixL1LPcreat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334873"/>
    <w:multiLevelType w:val="hybridMultilevel"/>
    <w:tmpl w:val="EC10C99E"/>
    <w:lvl w:ilvl="0" w:tplc="2926F5A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0B3422"/>
    <w:multiLevelType w:val="hybridMultilevel"/>
    <w:tmpl w:val="92682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891B46"/>
    <w:multiLevelType w:val="hybridMultilevel"/>
    <w:tmpl w:val="2050FA1E"/>
    <w:lvl w:ilvl="0" w:tplc="4600BC00">
      <w:start w:val="1"/>
      <w:numFmt w:val="decimal"/>
      <w:pStyle w:val="CaseStudyList"/>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5" w15:restartNumberingAfterBreak="0">
    <w:nsid w:val="0CF96169"/>
    <w:multiLevelType w:val="hybridMultilevel"/>
    <w:tmpl w:val="92D22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E4E03CF"/>
    <w:multiLevelType w:val="hybridMultilevel"/>
    <w:tmpl w:val="A1469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F6F37EA"/>
    <w:multiLevelType w:val="hybridMultilevel"/>
    <w:tmpl w:val="DCD8F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FDB7AD7"/>
    <w:multiLevelType w:val="hybridMultilevel"/>
    <w:tmpl w:val="99C6B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262501"/>
    <w:multiLevelType w:val="hybridMultilevel"/>
    <w:tmpl w:val="AA2CE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51772B"/>
    <w:multiLevelType w:val="hybridMultilevel"/>
    <w:tmpl w:val="F7BC6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2155B80"/>
    <w:multiLevelType w:val="hybridMultilevel"/>
    <w:tmpl w:val="26F04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9B682F"/>
    <w:multiLevelType w:val="hybridMultilevel"/>
    <w:tmpl w:val="52A0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B97E52"/>
    <w:multiLevelType w:val="hybridMultilevel"/>
    <w:tmpl w:val="BECAF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40549BE"/>
    <w:multiLevelType w:val="hybridMultilevel"/>
    <w:tmpl w:val="6FD6E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47C132F"/>
    <w:multiLevelType w:val="hybridMultilevel"/>
    <w:tmpl w:val="392CA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A52247"/>
    <w:multiLevelType w:val="hybridMultilevel"/>
    <w:tmpl w:val="6A70E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60168A8"/>
    <w:multiLevelType w:val="hybridMultilevel"/>
    <w:tmpl w:val="B07E8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765B7C"/>
    <w:multiLevelType w:val="hybridMultilevel"/>
    <w:tmpl w:val="DA462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776487A"/>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191C02BE"/>
    <w:multiLevelType w:val="hybridMultilevel"/>
    <w:tmpl w:val="24DC7E1A"/>
    <w:lvl w:ilvl="0" w:tplc="23084EB8">
      <w:start w:val="1"/>
      <w:numFmt w:val="decimal"/>
      <w:pStyle w:val="H2xappendixlevel3H"/>
      <w:lvlText w:val="H.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A4A3DDB"/>
    <w:multiLevelType w:val="hybridMultilevel"/>
    <w:tmpl w:val="8A381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B0F4511"/>
    <w:multiLevelType w:val="hybridMultilevel"/>
    <w:tmpl w:val="A6AED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B3B6A48"/>
    <w:multiLevelType w:val="hybridMultilevel"/>
    <w:tmpl w:val="4852D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F53C48"/>
    <w:multiLevelType w:val="hybridMultilevel"/>
    <w:tmpl w:val="BBC4E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F708FA"/>
    <w:multiLevelType w:val="hybridMultilevel"/>
    <w:tmpl w:val="31562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C343CC8"/>
    <w:multiLevelType w:val="hybridMultilevel"/>
    <w:tmpl w:val="77A2E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C870FAF"/>
    <w:multiLevelType w:val="hybridMultilevel"/>
    <w:tmpl w:val="CEC02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CCF62AC"/>
    <w:multiLevelType w:val="hybridMultilevel"/>
    <w:tmpl w:val="48AA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F92EEA"/>
    <w:multiLevelType w:val="hybridMultilevel"/>
    <w:tmpl w:val="2B944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DBD0C39"/>
    <w:multiLevelType w:val="hybridMultilevel"/>
    <w:tmpl w:val="8C6C8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0521A2F"/>
    <w:multiLevelType w:val="hybridMultilevel"/>
    <w:tmpl w:val="A01CCD2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1236A7D"/>
    <w:multiLevelType w:val="hybridMultilevel"/>
    <w:tmpl w:val="8D7A23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23456BA"/>
    <w:multiLevelType w:val="hybridMultilevel"/>
    <w:tmpl w:val="E74E4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2DD4173"/>
    <w:multiLevelType w:val="hybridMultilevel"/>
    <w:tmpl w:val="24E24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44F1103"/>
    <w:multiLevelType w:val="hybridMultilevel"/>
    <w:tmpl w:val="87F2C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4B74B8A"/>
    <w:multiLevelType w:val="hybridMultilevel"/>
    <w:tmpl w:val="77C2E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5835A19"/>
    <w:multiLevelType w:val="hybridMultilevel"/>
    <w:tmpl w:val="4F143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593298B"/>
    <w:multiLevelType w:val="multilevel"/>
    <w:tmpl w:val="FCB6718A"/>
    <w:lvl w:ilvl="0">
      <w:start w:val="1"/>
      <w:numFmt w:val="decimal"/>
      <w:lvlText w:val="%1."/>
      <w:lvlJc w:val="left"/>
      <w:pPr>
        <w:ind w:left="360" w:hanging="360"/>
      </w:pPr>
      <w:rPr>
        <w:rFonts w:hint="default"/>
      </w:rPr>
    </w:lvl>
    <w:lvl w:ilvl="1">
      <w:start w:val="2"/>
      <w:numFmt w:val="decimal"/>
      <w:lvlText w:val="%10.%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63153C0"/>
    <w:multiLevelType w:val="hybridMultilevel"/>
    <w:tmpl w:val="81E22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704C28"/>
    <w:multiLevelType w:val="hybridMultilevel"/>
    <w:tmpl w:val="D4380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67106A1"/>
    <w:multiLevelType w:val="hybridMultilevel"/>
    <w:tmpl w:val="17241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6792936"/>
    <w:multiLevelType w:val="multilevel"/>
    <w:tmpl w:val="EA16FBFC"/>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8BD1A26"/>
    <w:multiLevelType w:val="hybridMultilevel"/>
    <w:tmpl w:val="CF523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9277E6A"/>
    <w:multiLevelType w:val="hybridMultilevel"/>
    <w:tmpl w:val="FE967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9531C21"/>
    <w:multiLevelType w:val="hybridMultilevel"/>
    <w:tmpl w:val="F1364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9B129A2"/>
    <w:multiLevelType w:val="hybridMultilevel"/>
    <w:tmpl w:val="D9D2D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F71FE7"/>
    <w:multiLevelType w:val="hybridMultilevel"/>
    <w:tmpl w:val="CA3C0FF0"/>
    <w:lvl w:ilvl="0" w:tplc="E0467564">
      <w:start w:val="1"/>
      <w:numFmt w:val="decimal"/>
      <w:pStyle w:val="AppendixHeading2LPcreated"/>
      <w:lvlText w:val="A.%1"/>
      <w:lvlJc w:val="left"/>
      <w:pPr>
        <w:ind w:left="851" w:hanging="851"/>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9" w15:restartNumberingAfterBreak="0">
    <w:nsid w:val="2AB52641"/>
    <w:multiLevelType w:val="hybridMultilevel"/>
    <w:tmpl w:val="61A0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B0A5E40"/>
    <w:multiLevelType w:val="hybridMultilevel"/>
    <w:tmpl w:val="EABA8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B371EE5"/>
    <w:multiLevelType w:val="hybridMultilevel"/>
    <w:tmpl w:val="EA566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B546FA9"/>
    <w:multiLevelType w:val="hybridMultilevel"/>
    <w:tmpl w:val="07443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B906697"/>
    <w:multiLevelType w:val="hybridMultilevel"/>
    <w:tmpl w:val="FA98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C5D1C32"/>
    <w:multiLevelType w:val="hybridMultilevel"/>
    <w:tmpl w:val="C57C9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C5F701C"/>
    <w:multiLevelType w:val="hybridMultilevel"/>
    <w:tmpl w:val="6E58B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4E73A6"/>
    <w:multiLevelType w:val="hybridMultilevel"/>
    <w:tmpl w:val="E3FCD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FF222AE"/>
    <w:multiLevelType w:val="hybridMultilevel"/>
    <w:tmpl w:val="2B826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1710ADB"/>
    <w:multiLevelType w:val="hybridMultilevel"/>
    <w:tmpl w:val="6D6E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22166C2"/>
    <w:multiLevelType w:val="hybridMultilevel"/>
    <w:tmpl w:val="EE4A1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29A7EF2"/>
    <w:multiLevelType w:val="hybridMultilevel"/>
    <w:tmpl w:val="B6265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30459E4"/>
    <w:multiLevelType w:val="hybridMultilevel"/>
    <w:tmpl w:val="B7C46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3E21B2F"/>
    <w:multiLevelType w:val="hybridMultilevel"/>
    <w:tmpl w:val="05F62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4090586"/>
    <w:multiLevelType w:val="hybridMultilevel"/>
    <w:tmpl w:val="2FA4E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453235A"/>
    <w:multiLevelType w:val="hybridMultilevel"/>
    <w:tmpl w:val="1306214C"/>
    <w:lvl w:ilvl="0" w:tplc="B0B21E90">
      <w:start w:val="1"/>
      <w:numFmt w:val="bullet"/>
      <w:pStyle w:val="BoxedBullet"/>
      <w:lvlText w:val=""/>
      <w:lvlJc w:val="left"/>
      <w:pPr>
        <w:ind w:left="530" w:hanging="360"/>
      </w:pPr>
      <w:rPr>
        <w:rFonts w:ascii="Symbol" w:hAnsi="Symbol" w:hint="default"/>
        <w:color w:val="1A206C" w:themeColor="text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5" w15:restartNumberingAfterBreak="0">
    <w:nsid w:val="35195061"/>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35B772A9"/>
    <w:multiLevelType w:val="hybridMultilevel"/>
    <w:tmpl w:val="3AA2D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B91D06"/>
    <w:multiLevelType w:val="hybridMultilevel"/>
    <w:tmpl w:val="5008D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B21215A"/>
    <w:multiLevelType w:val="hybridMultilevel"/>
    <w:tmpl w:val="52AC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B321CB2"/>
    <w:multiLevelType w:val="hybridMultilevel"/>
    <w:tmpl w:val="FDA0B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BCB1BD2"/>
    <w:multiLevelType w:val="multilevel"/>
    <w:tmpl w:val="5144EC4A"/>
    <w:styleLink w:val="FiguresList"/>
    <w:lvl w:ilvl="0">
      <w:start w:val="1"/>
      <w:numFmt w:val="decimal"/>
      <w:suff w:val="space"/>
      <w:lvlText w:val="Figure %1"/>
      <w:lvlJc w:val="left"/>
      <w:pPr>
        <w:ind w:left="0" w:firstLine="0"/>
      </w:pPr>
      <w:rPr>
        <w:rFonts w:asciiTheme="minorHAnsi" w:hAnsiTheme="minorHAnsi" w:hint="default"/>
        <w:color w:val="41B27D"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DF652E0"/>
    <w:multiLevelType w:val="hybridMultilevel"/>
    <w:tmpl w:val="D20CD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ED648D9"/>
    <w:multiLevelType w:val="hybridMultilevel"/>
    <w:tmpl w:val="E374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0BD4C60"/>
    <w:multiLevelType w:val="hybridMultilevel"/>
    <w:tmpl w:val="92A8B378"/>
    <w:lvl w:ilvl="0" w:tplc="0EE83908">
      <w:start w:val="1"/>
      <w:numFmt w:val="bullet"/>
      <w:pStyle w:val="CaseStudy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4" w15:restartNumberingAfterBreak="0">
    <w:nsid w:val="422F3F1C"/>
    <w:multiLevelType w:val="hybridMultilevel"/>
    <w:tmpl w:val="C862E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42213FA"/>
    <w:multiLevelType w:val="hybridMultilevel"/>
    <w:tmpl w:val="3A0C6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49A074F"/>
    <w:multiLevelType w:val="hybridMultilevel"/>
    <w:tmpl w:val="FE44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4AB1472"/>
    <w:multiLevelType w:val="hybridMultilevel"/>
    <w:tmpl w:val="5FE2D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4E71028"/>
    <w:multiLevelType w:val="hybridMultilevel"/>
    <w:tmpl w:val="EF041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656127B"/>
    <w:multiLevelType w:val="hybridMultilevel"/>
    <w:tmpl w:val="69C62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75E3303"/>
    <w:multiLevelType w:val="hybridMultilevel"/>
    <w:tmpl w:val="69020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90F022B"/>
    <w:multiLevelType w:val="hybridMultilevel"/>
    <w:tmpl w:val="A83A5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A75251A"/>
    <w:multiLevelType w:val="hybridMultilevel"/>
    <w:tmpl w:val="18B65BD2"/>
    <w:lvl w:ilvl="0" w:tplc="6166203E">
      <w:start w:val="1"/>
      <w:numFmt w:val="decimal"/>
      <w:pStyle w:val="appLP1x"/>
      <w:lvlText w:val="I.%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B6360E2"/>
    <w:multiLevelType w:val="hybridMultilevel"/>
    <w:tmpl w:val="25F6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C715B3C"/>
    <w:multiLevelType w:val="hybridMultilevel"/>
    <w:tmpl w:val="AC06F23A"/>
    <w:lvl w:ilvl="0" w:tplc="29D4222C">
      <w:start w:val="1"/>
      <w:numFmt w:val="decimal"/>
      <w:pStyle w:val="BoxedList"/>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95" w15:restartNumberingAfterBreak="0">
    <w:nsid w:val="4CE366AF"/>
    <w:multiLevelType w:val="hybridMultilevel"/>
    <w:tmpl w:val="565EAB3C"/>
    <w:lvl w:ilvl="0" w:tplc="06987560">
      <w:start w:val="1"/>
      <w:numFmt w:val="decimal"/>
      <w:pStyle w:val="appendixHlevel2LPcreated"/>
      <w:lvlText w:val="H.%1"/>
      <w:lvlJc w:val="left"/>
      <w:pPr>
        <w:ind w:left="360" w:hanging="360"/>
      </w:pPr>
      <w:rPr>
        <w:rFonts w:hint="default"/>
      </w:rPr>
    </w:lvl>
    <w:lvl w:ilvl="1" w:tplc="F9EC74FC">
      <w:start w:val="1"/>
      <w:numFmt w:val="decimal"/>
      <w:lvlText w:val="H.2.%2."/>
      <w:lvlJc w:val="left"/>
      <w:pPr>
        <w:ind w:left="851" w:hanging="851"/>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D1611BA"/>
    <w:multiLevelType w:val="hybridMultilevel"/>
    <w:tmpl w:val="64E2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ECE787B"/>
    <w:multiLevelType w:val="hybridMultilevel"/>
    <w:tmpl w:val="D362F4DA"/>
    <w:lvl w:ilvl="0" w:tplc="24043214">
      <w:start w:val="1"/>
      <w:numFmt w:val="decimal"/>
      <w:pStyle w:val="apph1xLP"/>
      <w:lvlText w:val="H.1.%1."/>
      <w:lvlJc w:val="left"/>
      <w:pPr>
        <w:ind w:left="851" w:hanging="85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03077DA"/>
    <w:multiLevelType w:val="hybridMultilevel"/>
    <w:tmpl w:val="8250C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1777BD7"/>
    <w:multiLevelType w:val="hybridMultilevel"/>
    <w:tmpl w:val="9FF607F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538C582C"/>
    <w:multiLevelType w:val="hybridMultilevel"/>
    <w:tmpl w:val="929AA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56D7427"/>
    <w:multiLevelType w:val="hybridMultilevel"/>
    <w:tmpl w:val="8B72F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5D92A2E"/>
    <w:multiLevelType w:val="hybridMultilevel"/>
    <w:tmpl w:val="DE8C5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765146B"/>
    <w:multiLevelType w:val="hybridMultilevel"/>
    <w:tmpl w:val="EC727F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7953B27"/>
    <w:multiLevelType w:val="hybridMultilevel"/>
    <w:tmpl w:val="0EC4E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AB52CF6"/>
    <w:multiLevelType w:val="hybridMultilevel"/>
    <w:tmpl w:val="487C4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CBB445D"/>
    <w:multiLevelType w:val="hybridMultilevel"/>
    <w:tmpl w:val="D5B40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E287C6E"/>
    <w:multiLevelType w:val="hybridMultilevel"/>
    <w:tmpl w:val="AD680B28"/>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08" w15:restartNumberingAfterBreak="0">
    <w:nsid w:val="5F923FCF"/>
    <w:multiLevelType w:val="hybridMultilevel"/>
    <w:tmpl w:val="AF3631E6"/>
    <w:lvl w:ilvl="0" w:tplc="97ECA94C">
      <w:start w:val="1"/>
      <w:numFmt w:val="decimal"/>
      <w:pStyle w:val="AppendixHL3"/>
      <w:lvlText w:val="H.2.%1."/>
      <w:lvlJc w:val="left"/>
      <w:pPr>
        <w:ind w:left="851" w:hanging="85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02421AB"/>
    <w:multiLevelType w:val="hybridMultilevel"/>
    <w:tmpl w:val="BB80A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07648D6"/>
    <w:multiLevelType w:val="hybridMultilevel"/>
    <w:tmpl w:val="0F28A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0892F57"/>
    <w:multiLevelType w:val="hybridMultilevel"/>
    <w:tmpl w:val="25CA1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0E1502C"/>
    <w:multiLevelType w:val="multilevel"/>
    <w:tmpl w:val="970AC5E6"/>
    <w:styleLink w:val="Bullets"/>
    <w:lvl w:ilvl="0">
      <w:start w:val="1"/>
      <w:numFmt w:val="bullet"/>
      <w:pStyle w:val="ListBullet"/>
      <w:lvlText w:val="•"/>
      <w:lvlJc w:val="left"/>
      <w:pPr>
        <w:ind w:left="340" w:hanging="340"/>
      </w:pPr>
      <w:rPr>
        <w:rFonts w:ascii="Verdana" w:hAnsi="Verdana" w:hint="default"/>
        <w:color w:val="262626" w:themeColor="text1" w:themeTint="D9"/>
      </w:rPr>
    </w:lvl>
    <w:lvl w:ilvl="1">
      <w:start w:val="1"/>
      <w:numFmt w:val="bullet"/>
      <w:pStyle w:val="ListBullet2"/>
      <w:lvlText w:val="•"/>
      <w:lvlJc w:val="left"/>
      <w:pPr>
        <w:ind w:left="680" w:hanging="340"/>
      </w:pPr>
      <w:rPr>
        <w:rFonts w:ascii="Verdana" w:hAnsi="Verdana" w:hint="default"/>
        <w:color w:val="262626" w:themeColor="text1" w:themeTint="D9"/>
      </w:rPr>
    </w:lvl>
    <w:lvl w:ilvl="2">
      <w:start w:val="1"/>
      <w:numFmt w:val="bullet"/>
      <w:pStyle w:val="ListBullet3"/>
      <w:lvlText w:val="•"/>
      <w:lvlJc w:val="left"/>
      <w:pPr>
        <w:ind w:left="1021" w:hanging="341"/>
      </w:pPr>
      <w:rPr>
        <w:rFonts w:ascii="Verdana" w:hAnsi="Verdana" w:hint="default"/>
        <w:color w:val="262626" w:themeColor="text1" w:themeTint="D9"/>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 w:hanging="170"/>
      </w:pPr>
      <w:rPr>
        <w:rFonts w:ascii="Verdana" w:hAnsi="Verdana" w:hint="default"/>
      </w:rPr>
    </w:lvl>
    <w:lvl w:ilvl="6">
      <w:start w:val="1"/>
      <w:numFmt w:val="bullet"/>
      <w:lvlText w:val="–"/>
      <w:lvlJc w:val="left"/>
      <w:pPr>
        <w:ind w:left="340" w:hanging="170"/>
      </w:pPr>
      <w:rPr>
        <w:rFonts w:ascii="Arial" w:hAnsi="Arial" w:hint="default"/>
      </w:rPr>
    </w:lvl>
    <w:lvl w:ilvl="7">
      <w:start w:val="1"/>
      <w:numFmt w:val="bullet"/>
      <w:lvlText w:val="–"/>
      <w:lvlJc w:val="left"/>
      <w:pPr>
        <w:ind w:left="2268" w:hanging="283"/>
      </w:pPr>
      <w:rPr>
        <w:rFonts w:ascii="Arial" w:hAnsi="Arial" w:hint="default"/>
      </w:rPr>
    </w:lvl>
    <w:lvl w:ilvl="8">
      <w:start w:val="1"/>
      <w:numFmt w:val="bullet"/>
      <w:lvlText w:val="–"/>
      <w:lvlJc w:val="left"/>
      <w:pPr>
        <w:ind w:left="2552" w:hanging="284"/>
      </w:pPr>
      <w:rPr>
        <w:rFonts w:ascii="Arial" w:hAnsi="Arial" w:cs="Times New Roman" w:hint="default"/>
      </w:rPr>
    </w:lvl>
  </w:abstractNum>
  <w:abstractNum w:abstractNumId="113" w15:restartNumberingAfterBreak="0">
    <w:nsid w:val="60FC5E19"/>
    <w:multiLevelType w:val="hybridMultilevel"/>
    <w:tmpl w:val="60C4C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16111FD"/>
    <w:multiLevelType w:val="multilevel"/>
    <w:tmpl w:val="89A290C8"/>
    <w:styleLink w:val="TableList"/>
    <w:lvl w:ilvl="0">
      <w:start w:val="1"/>
      <w:numFmt w:val="bullet"/>
      <w:pStyle w:val="TableBullet"/>
      <w:lvlText w:val=""/>
      <w:lvlJc w:val="left"/>
      <w:pPr>
        <w:ind w:left="227" w:hanging="227"/>
      </w:pPr>
      <w:rPr>
        <w:rFonts w:ascii="Symbol" w:hAnsi="Symbol" w:hint="default"/>
        <w:color w:val="1A206C" w:themeColor="text2"/>
      </w:rPr>
    </w:lvl>
    <w:lvl w:ilvl="1">
      <w:start w:val="1"/>
      <w:numFmt w:val="bullet"/>
      <w:pStyle w:val="TableBullet2"/>
      <w:lvlText w:val="–"/>
      <w:lvlJc w:val="left"/>
      <w:pPr>
        <w:ind w:left="454" w:hanging="227"/>
      </w:pPr>
      <w:rPr>
        <w:rFonts w:ascii="Arial" w:hAnsi="Arial" w:hint="default"/>
        <w:color w:val="1A206C"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2FF2E99"/>
    <w:multiLevelType w:val="hybridMultilevel"/>
    <w:tmpl w:val="9E3CC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3835F99"/>
    <w:multiLevelType w:val="hybridMultilevel"/>
    <w:tmpl w:val="64883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EC2B39"/>
    <w:multiLevelType w:val="hybridMultilevel"/>
    <w:tmpl w:val="E0D02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8876073"/>
    <w:multiLevelType w:val="hybridMultilevel"/>
    <w:tmpl w:val="B46C2298"/>
    <w:lvl w:ilvl="0" w:tplc="4F2CD22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9" w15:restartNumberingAfterBreak="0">
    <w:nsid w:val="69023A61"/>
    <w:multiLevelType w:val="multilevel"/>
    <w:tmpl w:val="89A290C8"/>
    <w:numStyleLink w:val="TableList"/>
  </w:abstractNum>
  <w:abstractNum w:abstractNumId="120" w15:restartNumberingAfterBreak="0">
    <w:nsid w:val="6A884437"/>
    <w:multiLevelType w:val="hybridMultilevel"/>
    <w:tmpl w:val="7BB0A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AF21DBB"/>
    <w:multiLevelType w:val="hybridMultilevel"/>
    <w:tmpl w:val="AA8C4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BD059E4"/>
    <w:multiLevelType w:val="hybridMultilevel"/>
    <w:tmpl w:val="7458C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C5B234A"/>
    <w:multiLevelType w:val="multilevel"/>
    <w:tmpl w:val="58BE0E40"/>
    <w:styleLink w:val="AppendixList"/>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CA2503B"/>
    <w:multiLevelType w:val="hybridMultilevel"/>
    <w:tmpl w:val="0F3A6E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6CCA4A6B"/>
    <w:multiLevelType w:val="hybridMultilevel"/>
    <w:tmpl w:val="387E9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D4841CE"/>
    <w:multiLevelType w:val="hybridMultilevel"/>
    <w:tmpl w:val="82AA5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6DA76A80"/>
    <w:multiLevelType w:val="multilevel"/>
    <w:tmpl w:val="FFAC13BC"/>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8" w15:restartNumberingAfterBreak="0">
    <w:nsid w:val="6F903369"/>
    <w:multiLevelType w:val="hybridMultilevel"/>
    <w:tmpl w:val="174E8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FC10C88"/>
    <w:multiLevelType w:val="hybridMultilevel"/>
    <w:tmpl w:val="03646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10F13EF"/>
    <w:multiLevelType w:val="hybridMultilevel"/>
    <w:tmpl w:val="DD00E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517368"/>
    <w:multiLevelType w:val="hybridMultilevel"/>
    <w:tmpl w:val="5432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1A10AA5"/>
    <w:multiLevelType w:val="multilevel"/>
    <w:tmpl w:val="FFAC13BC"/>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3" w15:restartNumberingAfterBreak="0">
    <w:nsid w:val="73457F2F"/>
    <w:multiLevelType w:val="multilevel"/>
    <w:tmpl w:val="B2F4A9B8"/>
    <w:styleLink w:val="TableListing"/>
    <w:lvl w:ilvl="0">
      <w:start w:val="1"/>
      <w:numFmt w:val="decimal"/>
      <w:suff w:val="space"/>
      <w:lvlText w:val="Table %1"/>
      <w:lvlJc w:val="left"/>
      <w:pPr>
        <w:ind w:left="0" w:firstLine="0"/>
      </w:pPr>
      <w:rPr>
        <w:rFonts w:hint="default"/>
        <w:b w:val="0"/>
        <w:i w:val="0"/>
        <w:color w:val="1A206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73525724"/>
    <w:multiLevelType w:val="hybridMultilevel"/>
    <w:tmpl w:val="A3CA1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4AF1BBA"/>
    <w:multiLevelType w:val="hybridMultilevel"/>
    <w:tmpl w:val="3F32C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5645E9F"/>
    <w:multiLevelType w:val="hybridMultilevel"/>
    <w:tmpl w:val="79A8B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764F18D2"/>
    <w:multiLevelType w:val="hybridMultilevel"/>
    <w:tmpl w:val="B2A84CFE"/>
    <w:lvl w:ilvl="0" w:tplc="9B8A96E6">
      <w:start w:val="1"/>
      <w:numFmt w:val="bullet"/>
      <w:pStyle w:val="BoxedBullet2"/>
      <w:lvlText w:val="—"/>
      <w:lvlJc w:val="left"/>
      <w:pPr>
        <w:ind w:left="890" w:hanging="360"/>
      </w:pPr>
      <w:rPr>
        <w:rFonts w:ascii="Verdana" w:hAnsi="Verdana" w:hint="default"/>
        <w:color w:val="1A206C" w:themeColor="text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8" w15:restartNumberingAfterBreak="0">
    <w:nsid w:val="767128CD"/>
    <w:multiLevelType w:val="multilevel"/>
    <w:tmpl w:val="9B103EFA"/>
    <w:styleLink w:val="BreakPageList"/>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6B9798B"/>
    <w:multiLevelType w:val="hybridMultilevel"/>
    <w:tmpl w:val="18561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785A6F24"/>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9D77362"/>
    <w:multiLevelType w:val="multilevel"/>
    <w:tmpl w:val="58BE0E40"/>
    <w:numStyleLink w:val="AppendixList"/>
  </w:abstractNum>
  <w:abstractNum w:abstractNumId="142" w15:restartNumberingAfterBreak="0">
    <w:nsid w:val="79DC519C"/>
    <w:multiLevelType w:val="hybridMultilevel"/>
    <w:tmpl w:val="49BE6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AE86793"/>
    <w:multiLevelType w:val="hybridMultilevel"/>
    <w:tmpl w:val="5DC26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B0D6D4B"/>
    <w:multiLevelType w:val="hybridMultilevel"/>
    <w:tmpl w:val="2F588FFC"/>
    <w:lvl w:ilvl="0" w:tplc="4F2CD22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5" w15:restartNumberingAfterBreak="0">
    <w:nsid w:val="7B9316C0"/>
    <w:multiLevelType w:val="hybridMultilevel"/>
    <w:tmpl w:val="1D3280B6"/>
    <w:styleLink w:val="CurrentList1"/>
    <w:lvl w:ilvl="0" w:tplc="592EBCD6">
      <w:start w:val="1"/>
      <w:numFmt w:val="decimal"/>
      <w:pStyle w:val="TableNumberedList"/>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C6D3FB6"/>
    <w:multiLevelType w:val="hybridMultilevel"/>
    <w:tmpl w:val="F2C89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D044731"/>
    <w:multiLevelType w:val="hybridMultilevel"/>
    <w:tmpl w:val="CF5CB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EE869B7"/>
    <w:multiLevelType w:val="hybridMultilevel"/>
    <w:tmpl w:val="DD14D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E13BB4"/>
    <w:multiLevelType w:val="hybridMultilevel"/>
    <w:tmpl w:val="6D56EEA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7FF94E94"/>
    <w:multiLevelType w:val="multilevel"/>
    <w:tmpl w:val="F46A18DA"/>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4220657">
    <w:abstractNumId w:val="112"/>
  </w:num>
  <w:num w:numId="2" w16cid:durableId="1211305649">
    <w:abstractNumId w:val="28"/>
  </w:num>
  <w:num w:numId="3" w16cid:durableId="1725908330">
    <w:abstractNumId w:val="80"/>
  </w:num>
  <w:num w:numId="4" w16cid:durableId="1138111082">
    <w:abstractNumId w:val="138"/>
  </w:num>
  <w:num w:numId="5" w16cid:durableId="53819674">
    <w:abstractNumId w:val="145"/>
  </w:num>
  <w:num w:numId="6" w16cid:durableId="187958609">
    <w:abstractNumId w:val="74"/>
  </w:num>
  <w:num w:numId="7" w16cid:durableId="1288580924">
    <w:abstractNumId w:val="83"/>
  </w:num>
  <w:num w:numId="8" w16cid:durableId="973364777">
    <w:abstractNumId w:val="14"/>
  </w:num>
  <w:num w:numId="9" w16cid:durableId="913007737">
    <w:abstractNumId w:val="94"/>
  </w:num>
  <w:num w:numId="10" w16cid:durableId="1863201477">
    <w:abstractNumId w:val="137"/>
  </w:num>
  <w:num w:numId="11" w16cid:durableId="15907751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1220144">
    <w:abstractNumId w:val="123"/>
  </w:num>
  <w:num w:numId="13" w16cid:durableId="362940928">
    <w:abstractNumId w:val="150"/>
  </w:num>
  <w:num w:numId="14" w16cid:durableId="1682201923">
    <w:abstractNumId w:val="18"/>
  </w:num>
  <w:num w:numId="15" w16cid:durableId="466170468">
    <w:abstractNumId w:val="114"/>
  </w:num>
  <w:num w:numId="16" w16cid:durableId="1312174411">
    <w:abstractNumId w:val="27"/>
  </w:num>
  <w:num w:numId="17" w16cid:durableId="1429472397">
    <w:abstractNumId w:val="37"/>
  </w:num>
  <w:num w:numId="18" w16cid:durableId="244800290">
    <w:abstractNumId w:val="47"/>
  </w:num>
  <w:num w:numId="19" w16cid:durableId="1796365773">
    <w:abstractNumId w:val="29"/>
  </w:num>
  <w:num w:numId="20" w16cid:durableId="1417285117">
    <w:abstractNumId w:val="51"/>
  </w:num>
  <w:num w:numId="21" w16cid:durableId="1180123028">
    <w:abstractNumId w:val="117"/>
  </w:num>
  <w:num w:numId="22" w16cid:durableId="1109541382">
    <w:abstractNumId w:val="41"/>
  </w:num>
  <w:num w:numId="23" w16cid:durableId="568923046">
    <w:abstractNumId w:val="125"/>
  </w:num>
  <w:num w:numId="24" w16cid:durableId="2064712587">
    <w:abstractNumId w:val="134"/>
  </w:num>
  <w:num w:numId="25" w16cid:durableId="204876778">
    <w:abstractNumId w:val="122"/>
  </w:num>
  <w:num w:numId="26" w16cid:durableId="1947343971">
    <w:abstractNumId w:val="100"/>
  </w:num>
  <w:num w:numId="27" w16cid:durableId="784495674">
    <w:abstractNumId w:val="113"/>
  </w:num>
  <w:num w:numId="28" w16cid:durableId="950357350">
    <w:abstractNumId w:val="81"/>
  </w:num>
  <w:num w:numId="29" w16cid:durableId="428817444">
    <w:abstractNumId w:val="16"/>
  </w:num>
  <w:num w:numId="30" w16cid:durableId="272518887">
    <w:abstractNumId w:val="66"/>
  </w:num>
  <w:num w:numId="31" w16cid:durableId="1305113027">
    <w:abstractNumId w:val="32"/>
  </w:num>
  <w:num w:numId="32" w16cid:durableId="467169842">
    <w:abstractNumId w:val="22"/>
  </w:num>
  <w:num w:numId="33" w16cid:durableId="1190875932">
    <w:abstractNumId w:val="72"/>
  </w:num>
  <w:num w:numId="34" w16cid:durableId="382949178">
    <w:abstractNumId w:val="60"/>
  </w:num>
  <w:num w:numId="35" w16cid:durableId="595014275">
    <w:abstractNumId w:val="38"/>
  </w:num>
  <w:num w:numId="36" w16cid:durableId="225143794">
    <w:abstractNumId w:val="105"/>
  </w:num>
  <w:num w:numId="37" w16cid:durableId="1811826747">
    <w:abstractNumId w:val="43"/>
  </w:num>
  <w:num w:numId="38" w16cid:durableId="761099827">
    <w:abstractNumId w:val="42"/>
  </w:num>
  <w:num w:numId="39" w16cid:durableId="1685282742">
    <w:abstractNumId w:val="50"/>
  </w:num>
  <w:num w:numId="40" w16cid:durableId="1151560972">
    <w:abstractNumId w:val="12"/>
  </w:num>
  <w:num w:numId="41" w16cid:durableId="1049573079">
    <w:abstractNumId w:val="13"/>
  </w:num>
  <w:num w:numId="42" w16cid:durableId="1515344918">
    <w:abstractNumId w:val="101"/>
  </w:num>
  <w:num w:numId="43" w16cid:durableId="259220492">
    <w:abstractNumId w:val="127"/>
  </w:num>
  <w:num w:numId="44" w16cid:durableId="1876503214">
    <w:abstractNumId w:val="67"/>
  </w:num>
  <w:num w:numId="45" w16cid:durableId="462119886">
    <w:abstractNumId w:val="144"/>
  </w:num>
  <w:num w:numId="46" w16cid:durableId="500973390">
    <w:abstractNumId w:val="118"/>
  </w:num>
  <w:num w:numId="47" w16cid:durableId="1003821124">
    <w:abstractNumId w:val="34"/>
  </w:num>
  <w:num w:numId="48" w16cid:durableId="284048044">
    <w:abstractNumId w:val="35"/>
  </w:num>
  <w:num w:numId="49" w16cid:durableId="214851032">
    <w:abstractNumId w:val="3"/>
  </w:num>
  <w:num w:numId="50" w16cid:durableId="1508714934">
    <w:abstractNumId w:val="21"/>
  </w:num>
  <w:num w:numId="51" w16cid:durableId="1819108113">
    <w:abstractNumId w:val="82"/>
  </w:num>
  <w:num w:numId="52" w16cid:durableId="1322075352">
    <w:abstractNumId w:val="68"/>
  </w:num>
  <w:num w:numId="53" w16cid:durableId="1170297622">
    <w:abstractNumId w:val="0"/>
  </w:num>
  <w:num w:numId="54" w16cid:durableId="1288973312">
    <w:abstractNumId w:val="44"/>
  </w:num>
  <w:num w:numId="55" w16cid:durableId="1051809767">
    <w:abstractNumId w:val="121"/>
  </w:num>
  <w:num w:numId="56" w16cid:durableId="83696376">
    <w:abstractNumId w:val="78"/>
  </w:num>
  <w:num w:numId="57" w16cid:durableId="1290429584">
    <w:abstractNumId w:val="5"/>
  </w:num>
  <w:num w:numId="58" w16cid:durableId="769811669">
    <w:abstractNumId w:val="9"/>
  </w:num>
  <w:num w:numId="59" w16cid:durableId="1428966893">
    <w:abstractNumId w:val="109"/>
  </w:num>
  <w:num w:numId="60" w16cid:durableId="1987587454">
    <w:abstractNumId w:val="111"/>
  </w:num>
  <w:num w:numId="61" w16cid:durableId="332223416">
    <w:abstractNumId w:val="4"/>
  </w:num>
  <w:num w:numId="62" w16cid:durableId="1442064785">
    <w:abstractNumId w:val="107"/>
  </w:num>
  <w:num w:numId="63" w16cid:durableId="1907838327">
    <w:abstractNumId w:val="20"/>
  </w:num>
  <w:num w:numId="64" w16cid:durableId="458109624">
    <w:abstractNumId w:val="88"/>
  </w:num>
  <w:num w:numId="65" w16cid:durableId="1209688743">
    <w:abstractNumId w:val="53"/>
  </w:num>
  <w:num w:numId="66" w16cid:durableId="736250209">
    <w:abstractNumId w:val="85"/>
  </w:num>
  <w:num w:numId="67" w16cid:durableId="807475260">
    <w:abstractNumId w:val="132"/>
  </w:num>
  <w:num w:numId="68" w16cid:durableId="771438162">
    <w:abstractNumId w:val="70"/>
  </w:num>
  <w:num w:numId="69" w16cid:durableId="1332830620">
    <w:abstractNumId w:val="139"/>
  </w:num>
  <w:num w:numId="70" w16cid:durableId="1321274731">
    <w:abstractNumId w:val="115"/>
  </w:num>
  <w:num w:numId="71" w16cid:durableId="398019575">
    <w:abstractNumId w:val="148"/>
  </w:num>
  <w:num w:numId="72" w16cid:durableId="769352663">
    <w:abstractNumId w:val="146"/>
  </w:num>
  <w:num w:numId="73" w16cid:durableId="240139429">
    <w:abstractNumId w:val="73"/>
  </w:num>
  <w:num w:numId="74" w16cid:durableId="1709332025">
    <w:abstractNumId w:val="10"/>
  </w:num>
  <w:num w:numId="75" w16cid:durableId="2023893183">
    <w:abstractNumId w:val="129"/>
  </w:num>
  <w:num w:numId="76" w16cid:durableId="1557280839">
    <w:abstractNumId w:val="54"/>
  </w:num>
  <w:num w:numId="77" w16cid:durableId="710812918">
    <w:abstractNumId w:val="36"/>
  </w:num>
  <w:num w:numId="78" w16cid:durableId="1206678978">
    <w:abstractNumId w:val="128"/>
  </w:num>
  <w:num w:numId="79" w16cid:durableId="1407000055">
    <w:abstractNumId w:val="69"/>
  </w:num>
  <w:num w:numId="80" w16cid:durableId="765347523">
    <w:abstractNumId w:val="130"/>
  </w:num>
  <w:num w:numId="81" w16cid:durableId="1907184222">
    <w:abstractNumId w:val="62"/>
  </w:num>
  <w:num w:numId="82" w16cid:durableId="866144756">
    <w:abstractNumId w:val="98"/>
  </w:num>
  <w:num w:numId="83" w16cid:durableId="1690831966">
    <w:abstractNumId w:val="65"/>
  </w:num>
  <w:num w:numId="84" w16cid:durableId="2020039550">
    <w:abstractNumId w:val="91"/>
  </w:num>
  <w:num w:numId="85" w16cid:durableId="2049866877">
    <w:abstractNumId w:val="55"/>
  </w:num>
  <w:num w:numId="86" w16cid:durableId="1035231155">
    <w:abstractNumId w:val="71"/>
  </w:num>
  <w:num w:numId="87" w16cid:durableId="1707365628">
    <w:abstractNumId w:val="25"/>
  </w:num>
  <w:num w:numId="88" w16cid:durableId="93746108">
    <w:abstractNumId w:val="79"/>
  </w:num>
  <w:num w:numId="89" w16cid:durableId="405499596">
    <w:abstractNumId w:val="87"/>
  </w:num>
  <w:num w:numId="90" w16cid:durableId="1175192711">
    <w:abstractNumId w:val="106"/>
  </w:num>
  <w:num w:numId="91" w16cid:durableId="42800942">
    <w:abstractNumId w:val="8"/>
  </w:num>
  <w:num w:numId="92" w16cid:durableId="2130588481">
    <w:abstractNumId w:val="7"/>
  </w:num>
  <w:num w:numId="93" w16cid:durableId="2089765430">
    <w:abstractNumId w:val="89"/>
  </w:num>
  <w:num w:numId="94" w16cid:durableId="1665232768">
    <w:abstractNumId w:val="84"/>
  </w:num>
  <w:num w:numId="95" w16cid:durableId="1276323944">
    <w:abstractNumId w:val="102"/>
  </w:num>
  <w:num w:numId="96" w16cid:durableId="2066831008">
    <w:abstractNumId w:val="1"/>
  </w:num>
  <w:num w:numId="97" w16cid:durableId="40255792">
    <w:abstractNumId w:val="33"/>
  </w:num>
  <w:num w:numId="98" w16cid:durableId="909119309">
    <w:abstractNumId w:val="40"/>
  </w:num>
  <w:num w:numId="99" w16cid:durableId="1906377538">
    <w:abstractNumId w:val="52"/>
  </w:num>
  <w:num w:numId="100" w16cid:durableId="1636108691">
    <w:abstractNumId w:val="15"/>
  </w:num>
  <w:num w:numId="101" w16cid:durableId="1019308709">
    <w:abstractNumId w:val="143"/>
  </w:num>
  <w:num w:numId="102" w16cid:durableId="2027094952">
    <w:abstractNumId w:val="136"/>
  </w:num>
  <w:num w:numId="103" w16cid:durableId="1998341578">
    <w:abstractNumId w:val="57"/>
  </w:num>
  <w:num w:numId="104" w16cid:durableId="2078937279">
    <w:abstractNumId w:val="26"/>
  </w:num>
  <w:num w:numId="105" w16cid:durableId="1132863845">
    <w:abstractNumId w:val="120"/>
  </w:num>
  <w:num w:numId="106" w16cid:durableId="1403597022">
    <w:abstractNumId w:val="147"/>
  </w:num>
  <w:num w:numId="107" w16cid:durableId="1151750573">
    <w:abstractNumId w:val="24"/>
  </w:num>
  <w:num w:numId="108" w16cid:durableId="1143809229">
    <w:abstractNumId w:val="2"/>
  </w:num>
  <w:num w:numId="109" w16cid:durableId="78067986">
    <w:abstractNumId w:val="48"/>
  </w:num>
  <w:num w:numId="110" w16cid:durableId="2111973567">
    <w:abstractNumId w:val="135"/>
  </w:num>
  <w:num w:numId="111" w16cid:durableId="703018878">
    <w:abstractNumId w:val="63"/>
  </w:num>
  <w:num w:numId="112" w16cid:durableId="1370489767">
    <w:abstractNumId w:val="93"/>
  </w:num>
  <w:num w:numId="113" w16cid:durableId="553391945">
    <w:abstractNumId w:val="23"/>
  </w:num>
  <w:num w:numId="114" w16cid:durableId="1227303756">
    <w:abstractNumId w:val="61"/>
  </w:num>
  <w:num w:numId="115" w16cid:durableId="33576433">
    <w:abstractNumId w:val="103"/>
  </w:num>
  <w:num w:numId="116" w16cid:durableId="1027217023">
    <w:abstractNumId w:val="77"/>
  </w:num>
  <w:num w:numId="117" w16cid:durableId="618603910">
    <w:abstractNumId w:val="76"/>
  </w:num>
  <w:num w:numId="118" w16cid:durableId="1697845290">
    <w:abstractNumId w:val="86"/>
  </w:num>
  <w:num w:numId="119" w16cid:durableId="263998279">
    <w:abstractNumId w:val="46"/>
  </w:num>
  <w:num w:numId="120" w16cid:durableId="1507015474">
    <w:abstractNumId w:val="45"/>
  </w:num>
  <w:num w:numId="121" w16cid:durableId="452871636">
    <w:abstractNumId w:val="6"/>
  </w:num>
  <w:num w:numId="122" w16cid:durableId="1123036488">
    <w:abstractNumId w:val="104"/>
  </w:num>
  <w:num w:numId="123" w16cid:durableId="2007322421">
    <w:abstractNumId w:val="126"/>
  </w:num>
  <w:num w:numId="124" w16cid:durableId="105199058">
    <w:abstractNumId w:val="142"/>
  </w:num>
  <w:num w:numId="125" w16cid:durableId="1649020248">
    <w:abstractNumId w:val="59"/>
  </w:num>
  <w:num w:numId="126" w16cid:durableId="243688104">
    <w:abstractNumId w:val="19"/>
  </w:num>
  <w:num w:numId="127" w16cid:durableId="1570995662">
    <w:abstractNumId w:val="56"/>
  </w:num>
  <w:num w:numId="128" w16cid:durableId="538202040">
    <w:abstractNumId w:val="124"/>
  </w:num>
  <w:num w:numId="129" w16cid:durableId="1023828162">
    <w:abstractNumId w:val="64"/>
  </w:num>
  <w:num w:numId="130" w16cid:durableId="1499417072">
    <w:abstractNumId w:val="96"/>
  </w:num>
  <w:num w:numId="131" w16cid:durableId="1376463684">
    <w:abstractNumId w:val="149"/>
  </w:num>
  <w:num w:numId="132" w16cid:durableId="1272737518">
    <w:abstractNumId w:val="49"/>
  </w:num>
  <w:num w:numId="133" w16cid:durableId="845827368">
    <w:abstractNumId w:val="99"/>
  </w:num>
  <w:num w:numId="134" w16cid:durableId="584192860">
    <w:abstractNumId w:val="110"/>
  </w:num>
  <w:num w:numId="135" w16cid:durableId="1940673905">
    <w:abstractNumId w:val="39"/>
  </w:num>
  <w:num w:numId="136" w16cid:durableId="82916835">
    <w:abstractNumId w:val="131"/>
  </w:num>
  <w:num w:numId="137" w16cid:durableId="368190280">
    <w:abstractNumId w:val="11"/>
  </w:num>
  <w:num w:numId="138" w16cid:durableId="508298001">
    <w:abstractNumId w:val="90"/>
  </w:num>
  <w:num w:numId="139" w16cid:durableId="925725278">
    <w:abstractNumId w:val="95"/>
  </w:num>
  <w:num w:numId="140" w16cid:durableId="213200166">
    <w:abstractNumId w:val="108"/>
  </w:num>
  <w:num w:numId="141" w16cid:durableId="812723905">
    <w:abstractNumId w:val="31"/>
  </w:num>
  <w:num w:numId="142" w16cid:durableId="959334251">
    <w:abstractNumId w:val="92"/>
  </w:num>
  <w:num w:numId="143" w16cid:durableId="356196066">
    <w:abstractNumId w:val="97"/>
  </w:num>
  <w:num w:numId="144" w16cid:durableId="1762019953">
    <w:abstractNumId w:val="58"/>
    <w:lvlOverride w:ilvl="0">
      <w:startOverride w:val="1"/>
    </w:lvlOverride>
  </w:num>
  <w:num w:numId="145" w16cid:durableId="231015376">
    <w:abstractNumId w:val="116"/>
  </w:num>
  <w:num w:numId="146" w16cid:durableId="1184898230">
    <w:abstractNumId w:val="119"/>
  </w:num>
  <w:num w:numId="147" w16cid:durableId="599072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124084746">
    <w:abstractNumId w:val="141"/>
  </w:num>
  <w:num w:numId="149" w16cid:durableId="26024711">
    <w:abstractNumId w:val="133"/>
  </w:num>
  <w:num w:numId="150" w16cid:durableId="1112820973">
    <w:abstractNumId w:val="30"/>
  </w:num>
  <w:num w:numId="151" w16cid:durableId="1543981003">
    <w:abstractNumId w:val="140"/>
  </w:num>
  <w:num w:numId="152" w16cid:durableId="357239192">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GWWDefaulttable"/>
  <w:characterSpacingControl w:val="doNotCompress"/>
  <w:hdrShapeDefaults>
    <o:shapedefaults v:ext="edit" spidmax="2050">
      <o:colormru v:ext="edit" colors="#faf7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01F"/>
    <w:rsid w:val="00000022"/>
    <w:rsid w:val="00000039"/>
    <w:rsid w:val="00000081"/>
    <w:rsid w:val="0000009D"/>
    <w:rsid w:val="00000153"/>
    <w:rsid w:val="00000175"/>
    <w:rsid w:val="00000281"/>
    <w:rsid w:val="000002FF"/>
    <w:rsid w:val="00000349"/>
    <w:rsid w:val="000004AD"/>
    <w:rsid w:val="000005C0"/>
    <w:rsid w:val="0000083C"/>
    <w:rsid w:val="00000844"/>
    <w:rsid w:val="00000948"/>
    <w:rsid w:val="00000ACE"/>
    <w:rsid w:val="00000DA7"/>
    <w:rsid w:val="00001141"/>
    <w:rsid w:val="000011FF"/>
    <w:rsid w:val="000012AD"/>
    <w:rsid w:val="00001338"/>
    <w:rsid w:val="0000147F"/>
    <w:rsid w:val="0000156D"/>
    <w:rsid w:val="000015D9"/>
    <w:rsid w:val="00001699"/>
    <w:rsid w:val="000016DA"/>
    <w:rsid w:val="000018AC"/>
    <w:rsid w:val="000018F4"/>
    <w:rsid w:val="00001901"/>
    <w:rsid w:val="00001A14"/>
    <w:rsid w:val="00001A27"/>
    <w:rsid w:val="00001C8F"/>
    <w:rsid w:val="00001C9F"/>
    <w:rsid w:val="00001D32"/>
    <w:rsid w:val="00001D39"/>
    <w:rsid w:val="00001EB0"/>
    <w:rsid w:val="00001F30"/>
    <w:rsid w:val="0000241D"/>
    <w:rsid w:val="000024E0"/>
    <w:rsid w:val="000026DF"/>
    <w:rsid w:val="00002727"/>
    <w:rsid w:val="000027F0"/>
    <w:rsid w:val="000027FA"/>
    <w:rsid w:val="00002866"/>
    <w:rsid w:val="0000292C"/>
    <w:rsid w:val="00002A31"/>
    <w:rsid w:val="00002AD2"/>
    <w:rsid w:val="00002B8D"/>
    <w:rsid w:val="00002BA1"/>
    <w:rsid w:val="00002C79"/>
    <w:rsid w:val="00002CA8"/>
    <w:rsid w:val="00002D5A"/>
    <w:rsid w:val="00002D99"/>
    <w:rsid w:val="00002ED6"/>
    <w:rsid w:val="00003025"/>
    <w:rsid w:val="00003029"/>
    <w:rsid w:val="00003234"/>
    <w:rsid w:val="0000334B"/>
    <w:rsid w:val="00003507"/>
    <w:rsid w:val="0000370C"/>
    <w:rsid w:val="0000376F"/>
    <w:rsid w:val="000037EB"/>
    <w:rsid w:val="00003A10"/>
    <w:rsid w:val="00003CE1"/>
    <w:rsid w:val="00003CEB"/>
    <w:rsid w:val="00003EC1"/>
    <w:rsid w:val="00003EDC"/>
    <w:rsid w:val="00003FBD"/>
    <w:rsid w:val="0000405E"/>
    <w:rsid w:val="00004146"/>
    <w:rsid w:val="00004147"/>
    <w:rsid w:val="00004192"/>
    <w:rsid w:val="00004450"/>
    <w:rsid w:val="000044D0"/>
    <w:rsid w:val="000046ED"/>
    <w:rsid w:val="000046FA"/>
    <w:rsid w:val="000047ED"/>
    <w:rsid w:val="000048CC"/>
    <w:rsid w:val="00004956"/>
    <w:rsid w:val="000049B3"/>
    <w:rsid w:val="00004A41"/>
    <w:rsid w:val="00004A92"/>
    <w:rsid w:val="00004AAE"/>
    <w:rsid w:val="00004B40"/>
    <w:rsid w:val="00004DAF"/>
    <w:rsid w:val="00004E5F"/>
    <w:rsid w:val="00004EA0"/>
    <w:rsid w:val="00004EA3"/>
    <w:rsid w:val="00004FDB"/>
    <w:rsid w:val="00004FE7"/>
    <w:rsid w:val="00005085"/>
    <w:rsid w:val="000050D1"/>
    <w:rsid w:val="0000530C"/>
    <w:rsid w:val="00005365"/>
    <w:rsid w:val="0000543C"/>
    <w:rsid w:val="00005539"/>
    <w:rsid w:val="000055F7"/>
    <w:rsid w:val="000056A7"/>
    <w:rsid w:val="000056DB"/>
    <w:rsid w:val="0000574F"/>
    <w:rsid w:val="00005789"/>
    <w:rsid w:val="0000578E"/>
    <w:rsid w:val="00005819"/>
    <w:rsid w:val="000058B9"/>
    <w:rsid w:val="0000590A"/>
    <w:rsid w:val="0000595F"/>
    <w:rsid w:val="00005B81"/>
    <w:rsid w:val="00005C74"/>
    <w:rsid w:val="00005CB0"/>
    <w:rsid w:val="00005ED1"/>
    <w:rsid w:val="00005F6F"/>
    <w:rsid w:val="0000600C"/>
    <w:rsid w:val="000063EB"/>
    <w:rsid w:val="0000642E"/>
    <w:rsid w:val="00006458"/>
    <w:rsid w:val="0000658F"/>
    <w:rsid w:val="00006636"/>
    <w:rsid w:val="00006786"/>
    <w:rsid w:val="0000680E"/>
    <w:rsid w:val="00006A07"/>
    <w:rsid w:val="00006BD4"/>
    <w:rsid w:val="00006BE3"/>
    <w:rsid w:val="00006D7B"/>
    <w:rsid w:val="00006DA7"/>
    <w:rsid w:val="00006E39"/>
    <w:rsid w:val="00006EE9"/>
    <w:rsid w:val="00006F11"/>
    <w:rsid w:val="00006FAD"/>
    <w:rsid w:val="00007125"/>
    <w:rsid w:val="00007340"/>
    <w:rsid w:val="0000743F"/>
    <w:rsid w:val="00007467"/>
    <w:rsid w:val="000075D7"/>
    <w:rsid w:val="0000768B"/>
    <w:rsid w:val="00007C0A"/>
    <w:rsid w:val="00007CF0"/>
    <w:rsid w:val="00007DD4"/>
    <w:rsid w:val="00007E9F"/>
    <w:rsid w:val="00007EE9"/>
    <w:rsid w:val="00007F18"/>
    <w:rsid w:val="00007F67"/>
    <w:rsid w:val="00010119"/>
    <w:rsid w:val="0001018F"/>
    <w:rsid w:val="000103D9"/>
    <w:rsid w:val="0001048B"/>
    <w:rsid w:val="000105D6"/>
    <w:rsid w:val="000106C7"/>
    <w:rsid w:val="000106DB"/>
    <w:rsid w:val="000107E7"/>
    <w:rsid w:val="00010802"/>
    <w:rsid w:val="0001082C"/>
    <w:rsid w:val="000108CC"/>
    <w:rsid w:val="000108F4"/>
    <w:rsid w:val="000109C9"/>
    <w:rsid w:val="00010A07"/>
    <w:rsid w:val="00010A34"/>
    <w:rsid w:val="00010A9E"/>
    <w:rsid w:val="00010B12"/>
    <w:rsid w:val="00010B7E"/>
    <w:rsid w:val="00010E7E"/>
    <w:rsid w:val="00011097"/>
    <w:rsid w:val="00011299"/>
    <w:rsid w:val="00011312"/>
    <w:rsid w:val="000113A5"/>
    <w:rsid w:val="0001179B"/>
    <w:rsid w:val="0001190D"/>
    <w:rsid w:val="000119D5"/>
    <w:rsid w:val="000119E7"/>
    <w:rsid w:val="00011AD2"/>
    <w:rsid w:val="00011B26"/>
    <w:rsid w:val="00011C25"/>
    <w:rsid w:val="00011C52"/>
    <w:rsid w:val="00011C61"/>
    <w:rsid w:val="00011CDF"/>
    <w:rsid w:val="00011EDC"/>
    <w:rsid w:val="00012038"/>
    <w:rsid w:val="00012074"/>
    <w:rsid w:val="00012109"/>
    <w:rsid w:val="00012115"/>
    <w:rsid w:val="00012127"/>
    <w:rsid w:val="00012134"/>
    <w:rsid w:val="000121D1"/>
    <w:rsid w:val="00012218"/>
    <w:rsid w:val="000123DA"/>
    <w:rsid w:val="00012474"/>
    <w:rsid w:val="000124BE"/>
    <w:rsid w:val="00012543"/>
    <w:rsid w:val="00012574"/>
    <w:rsid w:val="00012594"/>
    <w:rsid w:val="00012673"/>
    <w:rsid w:val="0001296E"/>
    <w:rsid w:val="00012A68"/>
    <w:rsid w:val="00012AF6"/>
    <w:rsid w:val="00012B15"/>
    <w:rsid w:val="00012D64"/>
    <w:rsid w:val="00012FB4"/>
    <w:rsid w:val="000131A0"/>
    <w:rsid w:val="00013305"/>
    <w:rsid w:val="00013376"/>
    <w:rsid w:val="00013668"/>
    <w:rsid w:val="000136F8"/>
    <w:rsid w:val="00013911"/>
    <w:rsid w:val="00013A1D"/>
    <w:rsid w:val="00013A4E"/>
    <w:rsid w:val="00013A5C"/>
    <w:rsid w:val="00013AB3"/>
    <w:rsid w:val="00013B5E"/>
    <w:rsid w:val="00013BD7"/>
    <w:rsid w:val="00013BFB"/>
    <w:rsid w:val="00013C59"/>
    <w:rsid w:val="00013C93"/>
    <w:rsid w:val="00013D28"/>
    <w:rsid w:val="00013DA6"/>
    <w:rsid w:val="00013E5F"/>
    <w:rsid w:val="00013E94"/>
    <w:rsid w:val="00013F5D"/>
    <w:rsid w:val="00013F62"/>
    <w:rsid w:val="00014029"/>
    <w:rsid w:val="00014177"/>
    <w:rsid w:val="0001418B"/>
    <w:rsid w:val="0001429D"/>
    <w:rsid w:val="000142A4"/>
    <w:rsid w:val="00014328"/>
    <w:rsid w:val="0001435C"/>
    <w:rsid w:val="0001450A"/>
    <w:rsid w:val="00014565"/>
    <w:rsid w:val="00014630"/>
    <w:rsid w:val="00014648"/>
    <w:rsid w:val="00014779"/>
    <w:rsid w:val="000147A7"/>
    <w:rsid w:val="000147C6"/>
    <w:rsid w:val="0001484A"/>
    <w:rsid w:val="000148A1"/>
    <w:rsid w:val="000148C4"/>
    <w:rsid w:val="00014A1F"/>
    <w:rsid w:val="00014A35"/>
    <w:rsid w:val="00014A54"/>
    <w:rsid w:val="00014A68"/>
    <w:rsid w:val="00014DE5"/>
    <w:rsid w:val="00014E0B"/>
    <w:rsid w:val="00014E39"/>
    <w:rsid w:val="00014EA2"/>
    <w:rsid w:val="00014F1C"/>
    <w:rsid w:val="00014F48"/>
    <w:rsid w:val="00014FCB"/>
    <w:rsid w:val="00015111"/>
    <w:rsid w:val="000151A1"/>
    <w:rsid w:val="0001523D"/>
    <w:rsid w:val="000153A2"/>
    <w:rsid w:val="000154A5"/>
    <w:rsid w:val="000155D1"/>
    <w:rsid w:val="00015712"/>
    <w:rsid w:val="000157CC"/>
    <w:rsid w:val="0001587E"/>
    <w:rsid w:val="000158AC"/>
    <w:rsid w:val="000158C1"/>
    <w:rsid w:val="000158FE"/>
    <w:rsid w:val="000158FF"/>
    <w:rsid w:val="00015993"/>
    <w:rsid w:val="00015A86"/>
    <w:rsid w:val="00015D8E"/>
    <w:rsid w:val="00015EA8"/>
    <w:rsid w:val="00015F11"/>
    <w:rsid w:val="00015FD1"/>
    <w:rsid w:val="00016031"/>
    <w:rsid w:val="000160BB"/>
    <w:rsid w:val="000161B7"/>
    <w:rsid w:val="000161E0"/>
    <w:rsid w:val="00016265"/>
    <w:rsid w:val="00016291"/>
    <w:rsid w:val="000162AB"/>
    <w:rsid w:val="000162B4"/>
    <w:rsid w:val="0001632D"/>
    <w:rsid w:val="00016334"/>
    <w:rsid w:val="00016350"/>
    <w:rsid w:val="000163BE"/>
    <w:rsid w:val="00016416"/>
    <w:rsid w:val="000164AB"/>
    <w:rsid w:val="00016518"/>
    <w:rsid w:val="000166FE"/>
    <w:rsid w:val="00016704"/>
    <w:rsid w:val="00016926"/>
    <w:rsid w:val="0001692F"/>
    <w:rsid w:val="00016997"/>
    <w:rsid w:val="000169BF"/>
    <w:rsid w:val="00016A08"/>
    <w:rsid w:val="00016A28"/>
    <w:rsid w:val="00016A3A"/>
    <w:rsid w:val="00016B15"/>
    <w:rsid w:val="00016BF0"/>
    <w:rsid w:val="00016D66"/>
    <w:rsid w:val="00016E61"/>
    <w:rsid w:val="00016E84"/>
    <w:rsid w:val="00016F02"/>
    <w:rsid w:val="0001706B"/>
    <w:rsid w:val="000172D0"/>
    <w:rsid w:val="0001735E"/>
    <w:rsid w:val="00017588"/>
    <w:rsid w:val="000175FB"/>
    <w:rsid w:val="00017717"/>
    <w:rsid w:val="000177D7"/>
    <w:rsid w:val="00017812"/>
    <w:rsid w:val="000179BC"/>
    <w:rsid w:val="00017A38"/>
    <w:rsid w:val="00017A71"/>
    <w:rsid w:val="00017A7B"/>
    <w:rsid w:val="00017AAC"/>
    <w:rsid w:val="00017C65"/>
    <w:rsid w:val="00017D53"/>
    <w:rsid w:val="00017ECE"/>
    <w:rsid w:val="00017EDA"/>
    <w:rsid w:val="00017F2E"/>
    <w:rsid w:val="00017F83"/>
    <w:rsid w:val="00020063"/>
    <w:rsid w:val="000200B0"/>
    <w:rsid w:val="000200CD"/>
    <w:rsid w:val="000200D6"/>
    <w:rsid w:val="000201B1"/>
    <w:rsid w:val="0002023E"/>
    <w:rsid w:val="000204B3"/>
    <w:rsid w:val="000205DA"/>
    <w:rsid w:val="0002063A"/>
    <w:rsid w:val="0002072F"/>
    <w:rsid w:val="00020787"/>
    <w:rsid w:val="00020816"/>
    <w:rsid w:val="000208AD"/>
    <w:rsid w:val="000208F2"/>
    <w:rsid w:val="00020991"/>
    <w:rsid w:val="00020AC1"/>
    <w:rsid w:val="00020BD8"/>
    <w:rsid w:val="00020EEF"/>
    <w:rsid w:val="0002108E"/>
    <w:rsid w:val="00021211"/>
    <w:rsid w:val="00021268"/>
    <w:rsid w:val="000212E0"/>
    <w:rsid w:val="00021345"/>
    <w:rsid w:val="000213E2"/>
    <w:rsid w:val="00021420"/>
    <w:rsid w:val="00021545"/>
    <w:rsid w:val="000215CF"/>
    <w:rsid w:val="0002176A"/>
    <w:rsid w:val="0002183B"/>
    <w:rsid w:val="000218B3"/>
    <w:rsid w:val="0002198E"/>
    <w:rsid w:val="00021A71"/>
    <w:rsid w:val="00021A9F"/>
    <w:rsid w:val="00021B4B"/>
    <w:rsid w:val="00021BCD"/>
    <w:rsid w:val="00021C30"/>
    <w:rsid w:val="00021D01"/>
    <w:rsid w:val="00021D45"/>
    <w:rsid w:val="00021FA5"/>
    <w:rsid w:val="0002200B"/>
    <w:rsid w:val="000220A2"/>
    <w:rsid w:val="0002219A"/>
    <w:rsid w:val="000221F2"/>
    <w:rsid w:val="00022282"/>
    <w:rsid w:val="000223D9"/>
    <w:rsid w:val="0002244F"/>
    <w:rsid w:val="00022571"/>
    <w:rsid w:val="0002279A"/>
    <w:rsid w:val="000227DB"/>
    <w:rsid w:val="000228EB"/>
    <w:rsid w:val="000229FA"/>
    <w:rsid w:val="00022B3B"/>
    <w:rsid w:val="00022DF8"/>
    <w:rsid w:val="00022DF9"/>
    <w:rsid w:val="00022EDE"/>
    <w:rsid w:val="00022F10"/>
    <w:rsid w:val="00022F84"/>
    <w:rsid w:val="00022FD3"/>
    <w:rsid w:val="00023026"/>
    <w:rsid w:val="00023145"/>
    <w:rsid w:val="00023254"/>
    <w:rsid w:val="00023276"/>
    <w:rsid w:val="00023392"/>
    <w:rsid w:val="000234D4"/>
    <w:rsid w:val="0002351A"/>
    <w:rsid w:val="000236DC"/>
    <w:rsid w:val="0002378E"/>
    <w:rsid w:val="000237A8"/>
    <w:rsid w:val="0002388D"/>
    <w:rsid w:val="0002389C"/>
    <w:rsid w:val="00023B88"/>
    <w:rsid w:val="00023BD4"/>
    <w:rsid w:val="00023CCA"/>
    <w:rsid w:val="00023D66"/>
    <w:rsid w:val="00023DD5"/>
    <w:rsid w:val="00023F7A"/>
    <w:rsid w:val="00024096"/>
    <w:rsid w:val="000240AF"/>
    <w:rsid w:val="0002410F"/>
    <w:rsid w:val="0002426A"/>
    <w:rsid w:val="000242A4"/>
    <w:rsid w:val="00024714"/>
    <w:rsid w:val="00024789"/>
    <w:rsid w:val="000247FB"/>
    <w:rsid w:val="00024821"/>
    <w:rsid w:val="00024841"/>
    <w:rsid w:val="00024946"/>
    <w:rsid w:val="00024A43"/>
    <w:rsid w:val="00024A7D"/>
    <w:rsid w:val="00024A9B"/>
    <w:rsid w:val="00024AF9"/>
    <w:rsid w:val="00024C09"/>
    <w:rsid w:val="00024C83"/>
    <w:rsid w:val="00024F0F"/>
    <w:rsid w:val="00024F42"/>
    <w:rsid w:val="00024F7C"/>
    <w:rsid w:val="00025184"/>
    <w:rsid w:val="000251E2"/>
    <w:rsid w:val="00025228"/>
    <w:rsid w:val="00025307"/>
    <w:rsid w:val="000254BD"/>
    <w:rsid w:val="000255A2"/>
    <w:rsid w:val="000255E1"/>
    <w:rsid w:val="000258F9"/>
    <w:rsid w:val="0002591B"/>
    <w:rsid w:val="0002592A"/>
    <w:rsid w:val="00025A0D"/>
    <w:rsid w:val="00025A19"/>
    <w:rsid w:val="00025C4A"/>
    <w:rsid w:val="00025C78"/>
    <w:rsid w:val="00025C89"/>
    <w:rsid w:val="00025C92"/>
    <w:rsid w:val="00025E52"/>
    <w:rsid w:val="00025EFB"/>
    <w:rsid w:val="00025F20"/>
    <w:rsid w:val="00025FD5"/>
    <w:rsid w:val="000261D5"/>
    <w:rsid w:val="0002622B"/>
    <w:rsid w:val="000262EC"/>
    <w:rsid w:val="00026365"/>
    <w:rsid w:val="00026383"/>
    <w:rsid w:val="000263AA"/>
    <w:rsid w:val="00026409"/>
    <w:rsid w:val="00026499"/>
    <w:rsid w:val="00026538"/>
    <w:rsid w:val="0002656B"/>
    <w:rsid w:val="00026661"/>
    <w:rsid w:val="00026794"/>
    <w:rsid w:val="000267CF"/>
    <w:rsid w:val="00026857"/>
    <w:rsid w:val="00026861"/>
    <w:rsid w:val="000268D8"/>
    <w:rsid w:val="0002692C"/>
    <w:rsid w:val="00026952"/>
    <w:rsid w:val="00026ADC"/>
    <w:rsid w:val="00026B64"/>
    <w:rsid w:val="00026B8C"/>
    <w:rsid w:val="00026BAF"/>
    <w:rsid w:val="00026C13"/>
    <w:rsid w:val="00026C98"/>
    <w:rsid w:val="00026D3D"/>
    <w:rsid w:val="00026E63"/>
    <w:rsid w:val="00026E79"/>
    <w:rsid w:val="00026EDE"/>
    <w:rsid w:val="0002716F"/>
    <w:rsid w:val="00027216"/>
    <w:rsid w:val="00027327"/>
    <w:rsid w:val="000273D4"/>
    <w:rsid w:val="00027570"/>
    <w:rsid w:val="000275FF"/>
    <w:rsid w:val="00027602"/>
    <w:rsid w:val="000276BB"/>
    <w:rsid w:val="0002773E"/>
    <w:rsid w:val="000277CC"/>
    <w:rsid w:val="000278B2"/>
    <w:rsid w:val="00027908"/>
    <w:rsid w:val="00027928"/>
    <w:rsid w:val="00027B2A"/>
    <w:rsid w:val="00027BF5"/>
    <w:rsid w:val="00027E39"/>
    <w:rsid w:val="00027E78"/>
    <w:rsid w:val="00027EC3"/>
    <w:rsid w:val="00027EE4"/>
    <w:rsid w:val="00027F8B"/>
    <w:rsid w:val="00027FC7"/>
    <w:rsid w:val="000300AF"/>
    <w:rsid w:val="00030189"/>
    <w:rsid w:val="000301BE"/>
    <w:rsid w:val="00030491"/>
    <w:rsid w:val="000305B8"/>
    <w:rsid w:val="000308C1"/>
    <w:rsid w:val="00030A00"/>
    <w:rsid w:val="00030AC4"/>
    <w:rsid w:val="00030B21"/>
    <w:rsid w:val="00030BC2"/>
    <w:rsid w:val="00030C14"/>
    <w:rsid w:val="00030CBF"/>
    <w:rsid w:val="00030CE8"/>
    <w:rsid w:val="00030D07"/>
    <w:rsid w:val="00030EC3"/>
    <w:rsid w:val="00031030"/>
    <w:rsid w:val="0003105F"/>
    <w:rsid w:val="00031074"/>
    <w:rsid w:val="000311E3"/>
    <w:rsid w:val="00031274"/>
    <w:rsid w:val="000313E1"/>
    <w:rsid w:val="0003166A"/>
    <w:rsid w:val="000316C6"/>
    <w:rsid w:val="0003177D"/>
    <w:rsid w:val="00031828"/>
    <w:rsid w:val="000318F7"/>
    <w:rsid w:val="00031A41"/>
    <w:rsid w:val="00031AB5"/>
    <w:rsid w:val="00031C02"/>
    <w:rsid w:val="00031C3F"/>
    <w:rsid w:val="00031C41"/>
    <w:rsid w:val="00031D51"/>
    <w:rsid w:val="00031D6F"/>
    <w:rsid w:val="00031E55"/>
    <w:rsid w:val="00031F42"/>
    <w:rsid w:val="00031F8B"/>
    <w:rsid w:val="00031F8C"/>
    <w:rsid w:val="00031F92"/>
    <w:rsid w:val="00031FB4"/>
    <w:rsid w:val="00031FBA"/>
    <w:rsid w:val="00031FEB"/>
    <w:rsid w:val="00031FF2"/>
    <w:rsid w:val="000320B4"/>
    <w:rsid w:val="0003247D"/>
    <w:rsid w:val="0003265B"/>
    <w:rsid w:val="00032672"/>
    <w:rsid w:val="000326D2"/>
    <w:rsid w:val="0003279B"/>
    <w:rsid w:val="00032872"/>
    <w:rsid w:val="00032BC4"/>
    <w:rsid w:val="00032BCC"/>
    <w:rsid w:val="00032C75"/>
    <w:rsid w:val="00032DE9"/>
    <w:rsid w:val="00032E61"/>
    <w:rsid w:val="00032FBB"/>
    <w:rsid w:val="00033034"/>
    <w:rsid w:val="00033406"/>
    <w:rsid w:val="000334E7"/>
    <w:rsid w:val="000334EC"/>
    <w:rsid w:val="00033501"/>
    <w:rsid w:val="000335EB"/>
    <w:rsid w:val="00033613"/>
    <w:rsid w:val="00033732"/>
    <w:rsid w:val="00033789"/>
    <w:rsid w:val="000338C2"/>
    <w:rsid w:val="0003397A"/>
    <w:rsid w:val="00033C4C"/>
    <w:rsid w:val="00033CF8"/>
    <w:rsid w:val="00033DF6"/>
    <w:rsid w:val="00033E30"/>
    <w:rsid w:val="00033E69"/>
    <w:rsid w:val="00033F13"/>
    <w:rsid w:val="00033FC3"/>
    <w:rsid w:val="00034054"/>
    <w:rsid w:val="0003408E"/>
    <w:rsid w:val="000341CF"/>
    <w:rsid w:val="000341E6"/>
    <w:rsid w:val="00034296"/>
    <w:rsid w:val="00034342"/>
    <w:rsid w:val="000343E4"/>
    <w:rsid w:val="000344EF"/>
    <w:rsid w:val="00034511"/>
    <w:rsid w:val="00034589"/>
    <w:rsid w:val="000345D8"/>
    <w:rsid w:val="0003464F"/>
    <w:rsid w:val="0003465E"/>
    <w:rsid w:val="00034666"/>
    <w:rsid w:val="000346C3"/>
    <w:rsid w:val="00034767"/>
    <w:rsid w:val="000347A9"/>
    <w:rsid w:val="00034863"/>
    <w:rsid w:val="0003488F"/>
    <w:rsid w:val="000348D0"/>
    <w:rsid w:val="000349A9"/>
    <w:rsid w:val="000349BD"/>
    <w:rsid w:val="00034A11"/>
    <w:rsid w:val="00034B4A"/>
    <w:rsid w:val="00034CBE"/>
    <w:rsid w:val="00034D24"/>
    <w:rsid w:val="00034EEA"/>
    <w:rsid w:val="00035071"/>
    <w:rsid w:val="000350EE"/>
    <w:rsid w:val="00035163"/>
    <w:rsid w:val="000351A1"/>
    <w:rsid w:val="00035385"/>
    <w:rsid w:val="000356F8"/>
    <w:rsid w:val="00035753"/>
    <w:rsid w:val="000357DA"/>
    <w:rsid w:val="000358FA"/>
    <w:rsid w:val="00035A51"/>
    <w:rsid w:val="00035C60"/>
    <w:rsid w:val="00035C77"/>
    <w:rsid w:val="00035D68"/>
    <w:rsid w:val="00035F18"/>
    <w:rsid w:val="000361C7"/>
    <w:rsid w:val="00036264"/>
    <w:rsid w:val="00036425"/>
    <w:rsid w:val="00036506"/>
    <w:rsid w:val="00036516"/>
    <w:rsid w:val="00036556"/>
    <w:rsid w:val="00036857"/>
    <w:rsid w:val="00036964"/>
    <w:rsid w:val="00036B13"/>
    <w:rsid w:val="00036B2D"/>
    <w:rsid w:val="00036CBD"/>
    <w:rsid w:val="00036CE1"/>
    <w:rsid w:val="00036D71"/>
    <w:rsid w:val="00036EC5"/>
    <w:rsid w:val="00037033"/>
    <w:rsid w:val="000370A5"/>
    <w:rsid w:val="000371DD"/>
    <w:rsid w:val="000373FD"/>
    <w:rsid w:val="00037472"/>
    <w:rsid w:val="000374F5"/>
    <w:rsid w:val="0003753B"/>
    <w:rsid w:val="00037657"/>
    <w:rsid w:val="000378DD"/>
    <w:rsid w:val="00037972"/>
    <w:rsid w:val="0003798E"/>
    <w:rsid w:val="00037C08"/>
    <w:rsid w:val="00037C4A"/>
    <w:rsid w:val="00037C7C"/>
    <w:rsid w:val="00037D1B"/>
    <w:rsid w:val="00037DDE"/>
    <w:rsid w:val="00037F19"/>
    <w:rsid w:val="00037F22"/>
    <w:rsid w:val="00037FC9"/>
    <w:rsid w:val="0004002E"/>
    <w:rsid w:val="000402A3"/>
    <w:rsid w:val="00040357"/>
    <w:rsid w:val="00040397"/>
    <w:rsid w:val="00040402"/>
    <w:rsid w:val="00040406"/>
    <w:rsid w:val="00040418"/>
    <w:rsid w:val="0004047F"/>
    <w:rsid w:val="000405B4"/>
    <w:rsid w:val="000405E5"/>
    <w:rsid w:val="00040617"/>
    <w:rsid w:val="000407F2"/>
    <w:rsid w:val="000409FC"/>
    <w:rsid w:val="00040AC6"/>
    <w:rsid w:val="00040C87"/>
    <w:rsid w:val="00040CAE"/>
    <w:rsid w:val="00040D4B"/>
    <w:rsid w:val="00040D95"/>
    <w:rsid w:val="00040DAC"/>
    <w:rsid w:val="00040E42"/>
    <w:rsid w:val="00040F5A"/>
    <w:rsid w:val="000411C5"/>
    <w:rsid w:val="0004121E"/>
    <w:rsid w:val="00041511"/>
    <w:rsid w:val="0004176A"/>
    <w:rsid w:val="000417AC"/>
    <w:rsid w:val="000417EC"/>
    <w:rsid w:val="0004190B"/>
    <w:rsid w:val="000419CA"/>
    <w:rsid w:val="000419CC"/>
    <w:rsid w:val="00041A19"/>
    <w:rsid w:val="00041D02"/>
    <w:rsid w:val="00041DB1"/>
    <w:rsid w:val="00041E65"/>
    <w:rsid w:val="00041F8B"/>
    <w:rsid w:val="0004207C"/>
    <w:rsid w:val="000422B2"/>
    <w:rsid w:val="00042319"/>
    <w:rsid w:val="000424D5"/>
    <w:rsid w:val="00042615"/>
    <w:rsid w:val="00042628"/>
    <w:rsid w:val="00042685"/>
    <w:rsid w:val="00042907"/>
    <w:rsid w:val="0004290D"/>
    <w:rsid w:val="000429BC"/>
    <w:rsid w:val="00042A59"/>
    <w:rsid w:val="00042C5C"/>
    <w:rsid w:val="00042D39"/>
    <w:rsid w:val="00042DF5"/>
    <w:rsid w:val="00042E2B"/>
    <w:rsid w:val="00042E41"/>
    <w:rsid w:val="00042E5D"/>
    <w:rsid w:val="00042F55"/>
    <w:rsid w:val="000430C2"/>
    <w:rsid w:val="000430D3"/>
    <w:rsid w:val="000430F9"/>
    <w:rsid w:val="00043182"/>
    <w:rsid w:val="0004324E"/>
    <w:rsid w:val="000432F1"/>
    <w:rsid w:val="0004335A"/>
    <w:rsid w:val="00043566"/>
    <w:rsid w:val="00043591"/>
    <w:rsid w:val="00043673"/>
    <w:rsid w:val="000436A8"/>
    <w:rsid w:val="00043705"/>
    <w:rsid w:val="0004374F"/>
    <w:rsid w:val="00043847"/>
    <w:rsid w:val="00043852"/>
    <w:rsid w:val="00043B9E"/>
    <w:rsid w:val="00043C27"/>
    <w:rsid w:val="00043CFE"/>
    <w:rsid w:val="00043D0D"/>
    <w:rsid w:val="00043DF0"/>
    <w:rsid w:val="00043DF9"/>
    <w:rsid w:val="00043E3A"/>
    <w:rsid w:val="00043FA1"/>
    <w:rsid w:val="0004411D"/>
    <w:rsid w:val="000442FD"/>
    <w:rsid w:val="0004447C"/>
    <w:rsid w:val="00044499"/>
    <w:rsid w:val="000444BB"/>
    <w:rsid w:val="0004450B"/>
    <w:rsid w:val="00044659"/>
    <w:rsid w:val="000446D0"/>
    <w:rsid w:val="00044782"/>
    <w:rsid w:val="0004479F"/>
    <w:rsid w:val="00044812"/>
    <w:rsid w:val="00044AB3"/>
    <w:rsid w:val="00044B2B"/>
    <w:rsid w:val="00044B76"/>
    <w:rsid w:val="00044D58"/>
    <w:rsid w:val="00044D5E"/>
    <w:rsid w:val="00044DAC"/>
    <w:rsid w:val="00044DCB"/>
    <w:rsid w:val="00044F58"/>
    <w:rsid w:val="00045031"/>
    <w:rsid w:val="00045055"/>
    <w:rsid w:val="000450BC"/>
    <w:rsid w:val="000450FF"/>
    <w:rsid w:val="0004537D"/>
    <w:rsid w:val="000453EC"/>
    <w:rsid w:val="000454DB"/>
    <w:rsid w:val="00045640"/>
    <w:rsid w:val="0004566F"/>
    <w:rsid w:val="0004569E"/>
    <w:rsid w:val="00045710"/>
    <w:rsid w:val="0004580F"/>
    <w:rsid w:val="00045866"/>
    <w:rsid w:val="000459AD"/>
    <w:rsid w:val="00045A6B"/>
    <w:rsid w:val="00045A95"/>
    <w:rsid w:val="00045AAA"/>
    <w:rsid w:val="00045AFD"/>
    <w:rsid w:val="00045B95"/>
    <w:rsid w:val="00045BAD"/>
    <w:rsid w:val="00045C46"/>
    <w:rsid w:val="00045C6E"/>
    <w:rsid w:val="00045D09"/>
    <w:rsid w:val="00045D67"/>
    <w:rsid w:val="00045D8C"/>
    <w:rsid w:val="00045DE5"/>
    <w:rsid w:val="00045E56"/>
    <w:rsid w:val="00045ED1"/>
    <w:rsid w:val="00045EE7"/>
    <w:rsid w:val="00046160"/>
    <w:rsid w:val="000461B4"/>
    <w:rsid w:val="000463A9"/>
    <w:rsid w:val="000466DE"/>
    <w:rsid w:val="00046742"/>
    <w:rsid w:val="00046748"/>
    <w:rsid w:val="00046806"/>
    <w:rsid w:val="00046893"/>
    <w:rsid w:val="00046A67"/>
    <w:rsid w:val="00046A87"/>
    <w:rsid w:val="00046B74"/>
    <w:rsid w:val="00046C9E"/>
    <w:rsid w:val="00046CC9"/>
    <w:rsid w:val="00046E5C"/>
    <w:rsid w:val="00046F40"/>
    <w:rsid w:val="00046F53"/>
    <w:rsid w:val="000470B6"/>
    <w:rsid w:val="00047364"/>
    <w:rsid w:val="00047460"/>
    <w:rsid w:val="00047466"/>
    <w:rsid w:val="0004747E"/>
    <w:rsid w:val="0004752C"/>
    <w:rsid w:val="00047595"/>
    <w:rsid w:val="000475D1"/>
    <w:rsid w:val="0004768E"/>
    <w:rsid w:val="000477D0"/>
    <w:rsid w:val="000478C7"/>
    <w:rsid w:val="00047A00"/>
    <w:rsid w:val="00047ABA"/>
    <w:rsid w:val="00047B5B"/>
    <w:rsid w:val="00047BC7"/>
    <w:rsid w:val="00047C25"/>
    <w:rsid w:val="00047C67"/>
    <w:rsid w:val="00047CC5"/>
    <w:rsid w:val="00047CD5"/>
    <w:rsid w:val="00050107"/>
    <w:rsid w:val="00050223"/>
    <w:rsid w:val="0005023C"/>
    <w:rsid w:val="00050260"/>
    <w:rsid w:val="000502AF"/>
    <w:rsid w:val="000502B0"/>
    <w:rsid w:val="000502D7"/>
    <w:rsid w:val="000503E6"/>
    <w:rsid w:val="000505C0"/>
    <w:rsid w:val="000508D6"/>
    <w:rsid w:val="00050937"/>
    <w:rsid w:val="00050B37"/>
    <w:rsid w:val="00050BF6"/>
    <w:rsid w:val="00050CE2"/>
    <w:rsid w:val="00050F27"/>
    <w:rsid w:val="00050F78"/>
    <w:rsid w:val="00050FC6"/>
    <w:rsid w:val="00051152"/>
    <w:rsid w:val="000511C1"/>
    <w:rsid w:val="0005122C"/>
    <w:rsid w:val="0005132F"/>
    <w:rsid w:val="00051389"/>
    <w:rsid w:val="000514D3"/>
    <w:rsid w:val="000514D5"/>
    <w:rsid w:val="00051654"/>
    <w:rsid w:val="0005166C"/>
    <w:rsid w:val="000516CD"/>
    <w:rsid w:val="00051B21"/>
    <w:rsid w:val="00051BC6"/>
    <w:rsid w:val="00051BFA"/>
    <w:rsid w:val="00051CBE"/>
    <w:rsid w:val="00051CCD"/>
    <w:rsid w:val="00051D32"/>
    <w:rsid w:val="00051DBB"/>
    <w:rsid w:val="00051E21"/>
    <w:rsid w:val="00051F7F"/>
    <w:rsid w:val="00051FD1"/>
    <w:rsid w:val="00052035"/>
    <w:rsid w:val="00052044"/>
    <w:rsid w:val="00052189"/>
    <w:rsid w:val="00052309"/>
    <w:rsid w:val="00052349"/>
    <w:rsid w:val="000528B0"/>
    <w:rsid w:val="000528F5"/>
    <w:rsid w:val="000529A3"/>
    <w:rsid w:val="00052A7B"/>
    <w:rsid w:val="00052A9E"/>
    <w:rsid w:val="00052B16"/>
    <w:rsid w:val="00052B66"/>
    <w:rsid w:val="00052CA8"/>
    <w:rsid w:val="00052CB9"/>
    <w:rsid w:val="00052CD2"/>
    <w:rsid w:val="00052D96"/>
    <w:rsid w:val="00052E84"/>
    <w:rsid w:val="00052EBB"/>
    <w:rsid w:val="00052F6D"/>
    <w:rsid w:val="00053028"/>
    <w:rsid w:val="000530D2"/>
    <w:rsid w:val="000530EC"/>
    <w:rsid w:val="000531BE"/>
    <w:rsid w:val="0005323D"/>
    <w:rsid w:val="000532E0"/>
    <w:rsid w:val="000533E4"/>
    <w:rsid w:val="000534E1"/>
    <w:rsid w:val="0005359D"/>
    <w:rsid w:val="0005359F"/>
    <w:rsid w:val="00053695"/>
    <w:rsid w:val="000536C4"/>
    <w:rsid w:val="000537AB"/>
    <w:rsid w:val="000537CE"/>
    <w:rsid w:val="000538B2"/>
    <w:rsid w:val="00053AD4"/>
    <w:rsid w:val="00053AEC"/>
    <w:rsid w:val="00053C54"/>
    <w:rsid w:val="00053D31"/>
    <w:rsid w:val="00053E34"/>
    <w:rsid w:val="00053E4C"/>
    <w:rsid w:val="00053E5C"/>
    <w:rsid w:val="00053FB6"/>
    <w:rsid w:val="00054010"/>
    <w:rsid w:val="00054075"/>
    <w:rsid w:val="00054189"/>
    <w:rsid w:val="000541D1"/>
    <w:rsid w:val="0005446B"/>
    <w:rsid w:val="00054580"/>
    <w:rsid w:val="00054652"/>
    <w:rsid w:val="0005472E"/>
    <w:rsid w:val="00054768"/>
    <w:rsid w:val="000547FE"/>
    <w:rsid w:val="00054828"/>
    <w:rsid w:val="00054847"/>
    <w:rsid w:val="00054897"/>
    <w:rsid w:val="000548E1"/>
    <w:rsid w:val="000548F5"/>
    <w:rsid w:val="00054A3A"/>
    <w:rsid w:val="00054C07"/>
    <w:rsid w:val="00054C60"/>
    <w:rsid w:val="00054CE1"/>
    <w:rsid w:val="00054E17"/>
    <w:rsid w:val="00054E1E"/>
    <w:rsid w:val="00054E7B"/>
    <w:rsid w:val="00054F0D"/>
    <w:rsid w:val="0005502B"/>
    <w:rsid w:val="0005505B"/>
    <w:rsid w:val="0005514D"/>
    <w:rsid w:val="0005518F"/>
    <w:rsid w:val="000551D2"/>
    <w:rsid w:val="000551EE"/>
    <w:rsid w:val="00055634"/>
    <w:rsid w:val="00055A06"/>
    <w:rsid w:val="00055AC2"/>
    <w:rsid w:val="00055E9E"/>
    <w:rsid w:val="00056117"/>
    <w:rsid w:val="000562BD"/>
    <w:rsid w:val="00056381"/>
    <w:rsid w:val="00056520"/>
    <w:rsid w:val="000565CB"/>
    <w:rsid w:val="000565CC"/>
    <w:rsid w:val="00056614"/>
    <w:rsid w:val="000567C4"/>
    <w:rsid w:val="000568DD"/>
    <w:rsid w:val="00056972"/>
    <w:rsid w:val="00056B28"/>
    <w:rsid w:val="00056B4A"/>
    <w:rsid w:val="00056BD7"/>
    <w:rsid w:val="00056E74"/>
    <w:rsid w:val="00056ED7"/>
    <w:rsid w:val="00056F0F"/>
    <w:rsid w:val="00056FFC"/>
    <w:rsid w:val="00057082"/>
    <w:rsid w:val="000570AD"/>
    <w:rsid w:val="0005713C"/>
    <w:rsid w:val="00057152"/>
    <w:rsid w:val="000571F1"/>
    <w:rsid w:val="000573B9"/>
    <w:rsid w:val="000573D4"/>
    <w:rsid w:val="0005743B"/>
    <w:rsid w:val="000574A4"/>
    <w:rsid w:val="00057526"/>
    <w:rsid w:val="0005755E"/>
    <w:rsid w:val="000575EA"/>
    <w:rsid w:val="00057635"/>
    <w:rsid w:val="000576FB"/>
    <w:rsid w:val="000577B8"/>
    <w:rsid w:val="000577FC"/>
    <w:rsid w:val="00057805"/>
    <w:rsid w:val="00057928"/>
    <w:rsid w:val="00057C07"/>
    <w:rsid w:val="00057E9E"/>
    <w:rsid w:val="00057EAE"/>
    <w:rsid w:val="00057F37"/>
    <w:rsid w:val="00057FB9"/>
    <w:rsid w:val="00060022"/>
    <w:rsid w:val="000600EE"/>
    <w:rsid w:val="00060151"/>
    <w:rsid w:val="00060256"/>
    <w:rsid w:val="000602D5"/>
    <w:rsid w:val="000603E4"/>
    <w:rsid w:val="000604A8"/>
    <w:rsid w:val="000604EF"/>
    <w:rsid w:val="00060551"/>
    <w:rsid w:val="0006056D"/>
    <w:rsid w:val="000609FE"/>
    <w:rsid w:val="00060A55"/>
    <w:rsid w:val="00060A90"/>
    <w:rsid w:val="00060C24"/>
    <w:rsid w:val="00060C40"/>
    <w:rsid w:val="00060D08"/>
    <w:rsid w:val="00060DA0"/>
    <w:rsid w:val="00060EEB"/>
    <w:rsid w:val="0006100E"/>
    <w:rsid w:val="000612CD"/>
    <w:rsid w:val="000613F4"/>
    <w:rsid w:val="000613FF"/>
    <w:rsid w:val="000614A6"/>
    <w:rsid w:val="00061560"/>
    <w:rsid w:val="0006160E"/>
    <w:rsid w:val="0006164C"/>
    <w:rsid w:val="00061663"/>
    <w:rsid w:val="000616B1"/>
    <w:rsid w:val="00061791"/>
    <w:rsid w:val="000617D3"/>
    <w:rsid w:val="000618AE"/>
    <w:rsid w:val="0006198D"/>
    <w:rsid w:val="00061A3C"/>
    <w:rsid w:val="00061A87"/>
    <w:rsid w:val="00061AB0"/>
    <w:rsid w:val="00061C48"/>
    <w:rsid w:val="00061C8F"/>
    <w:rsid w:val="00061D1D"/>
    <w:rsid w:val="00061D85"/>
    <w:rsid w:val="00062333"/>
    <w:rsid w:val="0006267C"/>
    <w:rsid w:val="0006269B"/>
    <w:rsid w:val="0006271C"/>
    <w:rsid w:val="00062969"/>
    <w:rsid w:val="000629F3"/>
    <w:rsid w:val="00062A79"/>
    <w:rsid w:val="00062B4E"/>
    <w:rsid w:val="00062C4D"/>
    <w:rsid w:val="00062CE6"/>
    <w:rsid w:val="00062E08"/>
    <w:rsid w:val="00062F26"/>
    <w:rsid w:val="00062F8C"/>
    <w:rsid w:val="00063061"/>
    <w:rsid w:val="000632D7"/>
    <w:rsid w:val="00063315"/>
    <w:rsid w:val="0006341C"/>
    <w:rsid w:val="00063535"/>
    <w:rsid w:val="0006361B"/>
    <w:rsid w:val="00063678"/>
    <w:rsid w:val="00063819"/>
    <w:rsid w:val="000639E7"/>
    <w:rsid w:val="00063A18"/>
    <w:rsid w:val="00063B32"/>
    <w:rsid w:val="00063D68"/>
    <w:rsid w:val="00063DA6"/>
    <w:rsid w:val="00063E09"/>
    <w:rsid w:val="00063E0A"/>
    <w:rsid w:val="00063E7C"/>
    <w:rsid w:val="00063E82"/>
    <w:rsid w:val="00063EB0"/>
    <w:rsid w:val="00063EE1"/>
    <w:rsid w:val="00063F0A"/>
    <w:rsid w:val="00063FC9"/>
    <w:rsid w:val="00063FD6"/>
    <w:rsid w:val="00064183"/>
    <w:rsid w:val="0006421B"/>
    <w:rsid w:val="00064411"/>
    <w:rsid w:val="000644F8"/>
    <w:rsid w:val="000646FB"/>
    <w:rsid w:val="0006499D"/>
    <w:rsid w:val="00064A04"/>
    <w:rsid w:val="00064A7C"/>
    <w:rsid w:val="00064B41"/>
    <w:rsid w:val="00064B5A"/>
    <w:rsid w:val="00064CC7"/>
    <w:rsid w:val="00064D2A"/>
    <w:rsid w:val="00064E8D"/>
    <w:rsid w:val="00064F62"/>
    <w:rsid w:val="00064F67"/>
    <w:rsid w:val="0006505D"/>
    <w:rsid w:val="00065103"/>
    <w:rsid w:val="000651D8"/>
    <w:rsid w:val="0006527E"/>
    <w:rsid w:val="00065345"/>
    <w:rsid w:val="00065386"/>
    <w:rsid w:val="000653AE"/>
    <w:rsid w:val="000654E1"/>
    <w:rsid w:val="000655B9"/>
    <w:rsid w:val="00065696"/>
    <w:rsid w:val="000656B1"/>
    <w:rsid w:val="000656C3"/>
    <w:rsid w:val="00065707"/>
    <w:rsid w:val="000657EB"/>
    <w:rsid w:val="00065939"/>
    <w:rsid w:val="000659B5"/>
    <w:rsid w:val="000659DE"/>
    <w:rsid w:val="00065A87"/>
    <w:rsid w:val="00065B2B"/>
    <w:rsid w:val="00065BA0"/>
    <w:rsid w:val="00065BDE"/>
    <w:rsid w:val="00065C5E"/>
    <w:rsid w:val="00065E67"/>
    <w:rsid w:val="00065EE4"/>
    <w:rsid w:val="0006604F"/>
    <w:rsid w:val="0006609B"/>
    <w:rsid w:val="000660C4"/>
    <w:rsid w:val="00066129"/>
    <w:rsid w:val="00066138"/>
    <w:rsid w:val="000661AE"/>
    <w:rsid w:val="00066266"/>
    <w:rsid w:val="0006628A"/>
    <w:rsid w:val="000664C6"/>
    <w:rsid w:val="000666F0"/>
    <w:rsid w:val="000667A1"/>
    <w:rsid w:val="000667A7"/>
    <w:rsid w:val="00066815"/>
    <w:rsid w:val="0006685B"/>
    <w:rsid w:val="00066952"/>
    <w:rsid w:val="00066A13"/>
    <w:rsid w:val="00066A69"/>
    <w:rsid w:val="00066B2C"/>
    <w:rsid w:val="00066C9B"/>
    <w:rsid w:val="00066CA9"/>
    <w:rsid w:val="00066E8F"/>
    <w:rsid w:val="00066F59"/>
    <w:rsid w:val="00066FA9"/>
    <w:rsid w:val="00066FAB"/>
    <w:rsid w:val="00067041"/>
    <w:rsid w:val="000670FE"/>
    <w:rsid w:val="00067167"/>
    <w:rsid w:val="000671D5"/>
    <w:rsid w:val="000672B5"/>
    <w:rsid w:val="000672B7"/>
    <w:rsid w:val="0006734E"/>
    <w:rsid w:val="00067369"/>
    <w:rsid w:val="000678CB"/>
    <w:rsid w:val="00067960"/>
    <w:rsid w:val="0006799A"/>
    <w:rsid w:val="00067A82"/>
    <w:rsid w:val="00067A88"/>
    <w:rsid w:val="00067F7C"/>
    <w:rsid w:val="00067FB2"/>
    <w:rsid w:val="0007003D"/>
    <w:rsid w:val="00070044"/>
    <w:rsid w:val="00070122"/>
    <w:rsid w:val="00070220"/>
    <w:rsid w:val="00070279"/>
    <w:rsid w:val="0007036B"/>
    <w:rsid w:val="0007045E"/>
    <w:rsid w:val="000704FD"/>
    <w:rsid w:val="000706C0"/>
    <w:rsid w:val="00070ABF"/>
    <w:rsid w:val="00070C0E"/>
    <w:rsid w:val="00070C17"/>
    <w:rsid w:val="00070C66"/>
    <w:rsid w:val="00070D33"/>
    <w:rsid w:val="00070D7F"/>
    <w:rsid w:val="00070DE3"/>
    <w:rsid w:val="0007107D"/>
    <w:rsid w:val="00071124"/>
    <w:rsid w:val="0007122F"/>
    <w:rsid w:val="00071440"/>
    <w:rsid w:val="0007163C"/>
    <w:rsid w:val="00071695"/>
    <w:rsid w:val="000718F8"/>
    <w:rsid w:val="000719F9"/>
    <w:rsid w:val="00071B05"/>
    <w:rsid w:val="00071B4D"/>
    <w:rsid w:val="00071B56"/>
    <w:rsid w:val="00071B60"/>
    <w:rsid w:val="00071B7B"/>
    <w:rsid w:val="00071BD3"/>
    <w:rsid w:val="00071C5B"/>
    <w:rsid w:val="00071C6F"/>
    <w:rsid w:val="00071D36"/>
    <w:rsid w:val="00071F59"/>
    <w:rsid w:val="00071F7D"/>
    <w:rsid w:val="00071FDF"/>
    <w:rsid w:val="00071FFB"/>
    <w:rsid w:val="00072060"/>
    <w:rsid w:val="00072258"/>
    <w:rsid w:val="000722D0"/>
    <w:rsid w:val="00072350"/>
    <w:rsid w:val="00072353"/>
    <w:rsid w:val="0007236C"/>
    <w:rsid w:val="000724AE"/>
    <w:rsid w:val="00072524"/>
    <w:rsid w:val="00072675"/>
    <w:rsid w:val="00072849"/>
    <w:rsid w:val="0007289E"/>
    <w:rsid w:val="0007292B"/>
    <w:rsid w:val="00072992"/>
    <w:rsid w:val="000729BA"/>
    <w:rsid w:val="000729DB"/>
    <w:rsid w:val="00072A20"/>
    <w:rsid w:val="00072A45"/>
    <w:rsid w:val="00072BA7"/>
    <w:rsid w:val="00072D69"/>
    <w:rsid w:val="00072E03"/>
    <w:rsid w:val="00072EBE"/>
    <w:rsid w:val="00073043"/>
    <w:rsid w:val="00073195"/>
    <w:rsid w:val="000731FB"/>
    <w:rsid w:val="0007326C"/>
    <w:rsid w:val="000732E4"/>
    <w:rsid w:val="00073389"/>
    <w:rsid w:val="000733B5"/>
    <w:rsid w:val="0007348A"/>
    <w:rsid w:val="00073786"/>
    <w:rsid w:val="0007386D"/>
    <w:rsid w:val="00073880"/>
    <w:rsid w:val="000739CA"/>
    <w:rsid w:val="00073A03"/>
    <w:rsid w:val="00073C58"/>
    <w:rsid w:val="00073CD6"/>
    <w:rsid w:val="00073CF8"/>
    <w:rsid w:val="00073DE6"/>
    <w:rsid w:val="00073EA0"/>
    <w:rsid w:val="00073F21"/>
    <w:rsid w:val="00073F34"/>
    <w:rsid w:val="00073F67"/>
    <w:rsid w:val="00073F7F"/>
    <w:rsid w:val="00073FC9"/>
    <w:rsid w:val="0007405F"/>
    <w:rsid w:val="0007435B"/>
    <w:rsid w:val="00074481"/>
    <w:rsid w:val="00074489"/>
    <w:rsid w:val="000744A7"/>
    <w:rsid w:val="000744C0"/>
    <w:rsid w:val="0007455A"/>
    <w:rsid w:val="00074569"/>
    <w:rsid w:val="000745C6"/>
    <w:rsid w:val="0007465A"/>
    <w:rsid w:val="0007468A"/>
    <w:rsid w:val="000748CD"/>
    <w:rsid w:val="000749DE"/>
    <w:rsid w:val="000749DF"/>
    <w:rsid w:val="00074A7E"/>
    <w:rsid w:val="00074B21"/>
    <w:rsid w:val="00074CA3"/>
    <w:rsid w:val="00074DDC"/>
    <w:rsid w:val="00074E54"/>
    <w:rsid w:val="00074F24"/>
    <w:rsid w:val="00075392"/>
    <w:rsid w:val="000753C9"/>
    <w:rsid w:val="0007559F"/>
    <w:rsid w:val="00075698"/>
    <w:rsid w:val="000756DC"/>
    <w:rsid w:val="000759C7"/>
    <w:rsid w:val="00075C12"/>
    <w:rsid w:val="00075D12"/>
    <w:rsid w:val="00075EE0"/>
    <w:rsid w:val="00075FAB"/>
    <w:rsid w:val="000761C0"/>
    <w:rsid w:val="0007646E"/>
    <w:rsid w:val="00076534"/>
    <w:rsid w:val="0007656A"/>
    <w:rsid w:val="00076713"/>
    <w:rsid w:val="00076806"/>
    <w:rsid w:val="00076864"/>
    <w:rsid w:val="00076893"/>
    <w:rsid w:val="00076A88"/>
    <w:rsid w:val="00076A9C"/>
    <w:rsid w:val="00076AD7"/>
    <w:rsid w:val="00076B68"/>
    <w:rsid w:val="00076BE4"/>
    <w:rsid w:val="00076C08"/>
    <w:rsid w:val="00076D18"/>
    <w:rsid w:val="00076D49"/>
    <w:rsid w:val="00076D7E"/>
    <w:rsid w:val="00076EB5"/>
    <w:rsid w:val="00076F15"/>
    <w:rsid w:val="00076F5C"/>
    <w:rsid w:val="00076F77"/>
    <w:rsid w:val="00076F94"/>
    <w:rsid w:val="00077143"/>
    <w:rsid w:val="000771F0"/>
    <w:rsid w:val="00077225"/>
    <w:rsid w:val="000772D3"/>
    <w:rsid w:val="00077315"/>
    <w:rsid w:val="000774D7"/>
    <w:rsid w:val="000774E1"/>
    <w:rsid w:val="00077716"/>
    <w:rsid w:val="00077723"/>
    <w:rsid w:val="0007779B"/>
    <w:rsid w:val="000777E6"/>
    <w:rsid w:val="000778E6"/>
    <w:rsid w:val="00077AA7"/>
    <w:rsid w:val="00077C78"/>
    <w:rsid w:val="00077CB6"/>
    <w:rsid w:val="00077D7D"/>
    <w:rsid w:val="00077DA2"/>
    <w:rsid w:val="00077FF3"/>
    <w:rsid w:val="0008000F"/>
    <w:rsid w:val="00080150"/>
    <w:rsid w:val="000801A3"/>
    <w:rsid w:val="000801AE"/>
    <w:rsid w:val="000802E4"/>
    <w:rsid w:val="0008037D"/>
    <w:rsid w:val="000803D4"/>
    <w:rsid w:val="000803D9"/>
    <w:rsid w:val="000803F2"/>
    <w:rsid w:val="00080765"/>
    <w:rsid w:val="00080779"/>
    <w:rsid w:val="00080828"/>
    <w:rsid w:val="0008083E"/>
    <w:rsid w:val="00080853"/>
    <w:rsid w:val="000808A0"/>
    <w:rsid w:val="00080926"/>
    <w:rsid w:val="00080A6F"/>
    <w:rsid w:val="00080B6E"/>
    <w:rsid w:val="00080BF6"/>
    <w:rsid w:val="00080C16"/>
    <w:rsid w:val="00080C5D"/>
    <w:rsid w:val="00080D3C"/>
    <w:rsid w:val="00080D65"/>
    <w:rsid w:val="00080EAC"/>
    <w:rsid w:val="00080ED3"/>
    <w:rsid w:val="00081159"/>
    <w:rsid w:val="00081182"/>
    <w:rsid w:val="000812B4"/>
    <w:rsid w:val="00081589"/>
    <w:rsid w:val="00081640"/>
    <w:rsid w:val="0008191E"/>
    <w:rsid w:val="00081975"/>
    <w:rsid w:val="00081A4B"/>
    <w:rsid w:val="00081A8D"/>
    <w:rsid w:val="00081AE0"/>
    <w:rsid w:val="00081B75"/>
    <w:rsid w:val="00081B88"/>
    <w:rsid w:val="00081CA7"/>
    <w:rsid w:val="00081D01"/>
    <w:rsid w:val="00081D7F"/>
    <w:rsid w:val="00081D87"/>
    <w:rsid w:val="00081EE4"/>
    <w:rsid w:val="00082183"/>
    <w:rsid w:val="000822B9"/>
    <w:rsid w:val="000822F0"/>
    <w:rsid w:val="0008233A"/>
    <w:rsid w:val="0008234C"/>
    <w:rsid w:val="00082400"/>
    <w:rsid w:val="000824C8"/>
    <w:rsid w:val="00082531"/>
    <w:rsid w:val="00082537"/>
    <w:rsid w:val="000825A1"/>
    <w:rsid w:val="0008266F"/>
    <w:rsid w:val="0008269F"/>
    <w:rsid w:val="0008285E"/>
    <w:rsid w:val="0008291E"/>
    <w:rsid w:val="00082A48"/>
    <w:rsid w:val="00082D9B"/>
    <w:rsid w:val="00082DC0"/>
    <w:rsid w:val="00082F75"/>
    <w:rsid w:val="000830BD"/>
    <w:rsid w:val="000830E5"/>
    <w:rsid w:val="00083187"/>
    <w:rsid w:val="00083246"/>
    <w:rsid w:val="000832E4"/>
    <w:rsid w:val="000832FC"/>
    <w:rsid w:val="000833B3"/>
    <w:rsid w:val="00083434"/>
    <w:rsid w:val="000834A0"/>
    <w:rsid w:val="000834E9"/>
    <w:rsid w:val="00083754"/>
    <w:rsid w:val="0008376E"/>
    <w:rsid w:val="00083770"/>
    <w:rsid w:val="00083891"/>
    <w:rsid w:val="0008396A"/>
    <w:rsid w:val="000839E6"/>
    <w:rsid w:val="000839F5"/>
    <w:rsid w:val="00083AE8"/>
    <w:rsid w:val="00083AF0"/>
    <w:rsid w:val="00083CE3"/>
    <w:rsid w:val="00083D1C"/>
    <w:rsid w:val="00083D72"/>
    <w:rsid w:val="00083F88"/>
    <w:rsid w:val="00084127"/>
    <w:rsid w:val="00084238"/>
    <w:rsid w:val="00084265"/>
    <w:rsid w:val="00084483"/>
    <w:rsid w:val="0008449B"/>
    <w:rsid w:val="00084501"/>
    <w:rsid w:val="00084781"/>
    <w:rsid w:val="00084AF3"/>
    <w:rsid w:val="00084B99"/>
    <w:rsid w:val="00084C00"/>
    <w:rsid w:val="00084CAE"/>
    <w:rsid w:val="00084D41"/>
    <w:rsid w:val="00084D68"/>
    <w:rsid w:val="00084E99"/>
    <w:rsid w:val="000850F1"/>
    <w:rsid w:val="00085149"/>
    <w:rsid w:val="00085158"/>
    <w:rsid w:val="000853C0"/>
    <w:rsid w:val="00085843"/>
    <w:rsid w:val="00085858"/>
    <w:rsid w:val="00085878"/>
    <w:rsid w:val="00085891"/>
    <w:rsid w:val="0008592C"/>
    <w:rsid w:val="00085942"/>
    <w:rsid w:val="00085A5D"/>
    <w:rsid w:val="00085B57"/>
    <w:rsid w:val="00085B5C"/>
    <w:rsid w:val="00085B75"/>
    <w:rsid w:val="00085BE8"/>
    <w:rsid w:val="00085CCC"/>
    <w:rsid w:val="00085D77"/>
    <w:rsid w:val="00085DE7"/>
    <w:rsid w:val="00085E60"/>
    <w:rsid w:val="00085E95"/>
    <w:rsid w:val="00085F40"/>
    <w:rsid w:val="00085FB5"/>
    <w:rsid w:val="000862E9"/>
    <w:rsid w:val="00086419"/>
    <w:rsid w:val="0008643A"/>
    <w:rsid w:val="0008648E"/>
    <w:rsid w:val="0008650B"/>
    <w:rsid w:val="00086535"/>
    <w:rsid w:val="00086545"/>
    <w:rsid w:val="0008662E"/>
    <w:rsid w:val="00086840"/>
    <w:rsid w:val="0008685C"/>
    <w:rsid w:val="0008691E"/>
    <w:rsid w:val="000869E4"/>
    <w:rsid w:val="00086C08"/>
    <w:rsid w:val="00086CD1"/>
    <w:rsid w:val="00086E00"/>
    <w:rsid w:val="00086E25"/>
    <w:rsid w:val="0008700B"/>
    <w:rsid w:val="00087142"/>
    <w:rsid w:val="000873D4"/>
    <w:rsid w:val="00087443"/>
    <w:rsid w:val="00087512"/>
    <w:rsid w:val="000875BD"/>
    <w:rsid w:val="00087BD4"/>
    <w:rsid w:val="00087C5A"/>
    <w:rsid w:val="00087CA4"/>
    <w:rsid w:val="00087CB5"/>
    <w:rsid w:val="00087DA4"/>
    <w:rsid w:val="00087DFC"/>
    <w:rsid w:val="00087E35"/>
    <w:rsid w:val="00087E6D"/>
    <w:rsid w:val="00090285"/>
    <w:rsid w:val="0009032E"/>
    <w:rsid w:val="00090353"/>
    <w:rsid w:val="000903B8"/>
    <w:rsid w:val="00090467"/>
    <w:rsid w:val="00090497"/>
    <w:rsid w:val="000904FD"/>
    <w:rsid w:val="0009057F"/>
    <w:rsid w:val="00090600"/>
    <w:rsid w:val="00090601"/>
    <w:rsid w:val="0009073E"/>
    <w:rsid w:val="000908B5"/>
    <w:rsid w:val="00090936"/>
    <w:rsid w:val="00090939"/>
    <w:rsid w:val="00090956"/>
    <w:rsid w:val="00090A34"/>
    <w:rsid w:val="00090BC2"/>
    <w:rsid w:val="00090BE2"/>
    <w:rsid w:val="00090CB8"/>
    <w:rsid w:val="00090D24"/>
    <w:rsid w:val="00090DCF"/>
    <w:rsid w:val="0009100C"/>
    <w:rsid w:val="000910E6"/>
    <w:rsid w:val="00091200"/>
    <w:rsid w:val="0009121B"/>
    <w:rsid w:val="00091285"/>
    <w:rsid w:val="00091355"/>
    <w:rsid w:val="0009144F"/>
    <w:rsid w:val="00091459"/>
    <w:rsid w:val="00091496"/>
    <w:rsid w:val="00091722"/>
    <w:rsid w:val="0009175B"/>
    <w:rsid w:val="00091763"/>
    <w:rsid w:val="0009176D"/>
    <w:rsid w:val="000917D0"/>
    <w:rsid w:val="0009184B"/>
    <w:rsid w:val="000918B4"/>
    <w:rsid w:val="00091958"/>
    <w:rsid w:val="000919E6"/>
    <w:rsid w:val="00091A6C"/>
    <w:rsid w:val="00091A9B"/>
    <w:rsid w:val="00091AC2"/>
    <w:rsid w:val="00091B02"/>
    <w:rsid w:val="00091BC5"/>
    <w:rsid w:val="00091C62"/>
    <w:rsid w:val="00091C66"/>
    <w:rsid w:val="00091E24"/>
    <w:rsid w:val="00091EF9"/>
    <w:rsid w:val="00091F30"/>
    <w:rsid w:val="00091FB0"/>
    <w:rsid w:val="00091FDC"/>
    <w:rsid w:val="0009243E"/>
    <w:rsid w:val="0009260B"/>
    <w:rsid w:val="000926C9"/>
    <w:rsid w:val="0009272B"/>
    <w:rsid w:val="0009296F"/>
    <w:rsid w:val="00092A35"/>
    <w:rsid w:val="00092BB8"/>
    <w:rsid w:val="00092C51"/>
    <w:rsid w:val="00092D2B"/>
    <w:rsid w:val="00092D71"/>
    <w:rsid w:val="00092E31"/>
    <w:rsid w:val="00092F27"/>
    <w:rsid w:val="00092FD6"/>
    <w:rsid w:val="000930B2"/>
    <w:rsid w:val="000931CB"/>
    <w:rsid w:val="00093206"/>
    <w:rsid w:val="0009324B"/>
    <w:rsid w:val="0009333D"/>
    <w:rsid w:val="000934C8"/>
    <w:rsid w:val="00093538"/>
    <w:rsid w:val="00093547"/>
    <w:rsid w:val="000936CE"/>
    <w:rsid w:val="00093818"/>
    <w:rsid w:val="000938B3"/>
    <w:rsid w:val="00093950"/>
    <w:rsid w:val="00093976"/>
    <w:rsid w:val="0009399C"/>
    <w:rsid w:val="00093A0B"/>
    <w:rsid w:val="00093A4F"/>
    <w:rsid w:val="00093A59"/>
    <w:rsid w:val="00093AEF"/>
    <w:rsid w:val="00093B4A"/>
    <w:rsid w:val="00093C11"/>
    <w:rsid w:val="00093F13"/>
    <w:rsid w:val="000942C7"/>
    <w:rsid w:val="000942DB"/>
    <w:rsid w:val="000944A9"/>
    <w:rsid w:val="00094575"/>
    <w:rsid w:val="000945FC"/>
    <w:rsid w:val="00094613"/>
    <w:rsid w:val="00094689"/>
    <w:rsid w:val="000948A3"/>
    <w:rsid w:val="00094B39"/>
    <w:rsid w:val="00094BA9"/>
    <w:rsid w:val="00094BCF"/>
    <w:rsid w:val="00094E1F"/>
    <w:rsid w:val="000950D7"/>
    <w:rsid w:val="000951E8"/>
    <w:rsid w:val="0009520C"/>
    <w:rsid w:val="000952B5"/>
    <w:rsid w:val="0009532E"/>
    <w:rsid w:val="000953E9"/>
    <w:rsid w:val="000954DF"/>
    <w:rsid w:val="000954E7"/>
    <w:rsid w:val="00095507"/>
    <w:rsid w:val="000955A9"/>
    <w:rsid w:val="000955B6"/>
    <w:rsid w:val="0009564E"/>
    <w:rsid w:val="000956C4"/>
    <w:rsid w:val="00095782"/>
    <w:rsid w:val="00095A0A"/>
    <w:rsid w:val="00095AB6"/>
    <w:rsid w:val="00095AD1"/>
    <w:rsid w:val="00095DC4"/>
    <w:rsid w:val="00095DFD"/>
    <w:rsid w:val="00095F6A"/>
    <w:rsid w:val="0009632F"/>
    <w:rsid w:val="0009643B"/>
    <w:rsid w:val="000964C1"/>
    <w:rsid w:val="0009651A"/>
    <w:rsid w:val="000965B2"/>
    <w:rsid w:val="00096630"/>
    <w:rsid w:val="00096668"/>
    <w:rsid w:val="00096749"/>
    <w:rsid w:val="0009679D"/>
    <w:rsid w:val="000967FB"/>
    <w:rsid w:val="00096884"/>
    <w:rsid w:val="000969B3"/>
    <w:rsid w:val="000969CA"/>
    <w:rsid w:val="00096AC1"/>
    <w:rsid w:val="00096C0F"/>
    <w:rsid w:val="00096C7D"/>
    <w:rsid w:val="00096E94"/>
    <w:rsid w:val="00096FE5"/>
    <w:rsid w:val="00096FEF"/>
    <w:rsid w:val="00097107"/>
    <w:rsid w:val="00097141"/>
    <w:rsid w:val="00097194"/>
    <w:rsid w:val="000971C7"/>
    <w:rsid w:val="00097495"/>
    <w:rsid w:val="000974A5"/>
    <w:rsid w:val="000975B2"/>
    <w:rsid w:val="000975EC"/>
    <w:rsid w:val="000977B4"/>
    <w:rsid w:val="000977CB"/>
    <w:rsid w:val="00097963"/>
    <w:rsid w:val="00097987"/>
    <w:rsid w:val="00097B8E"/>
    <w:rsid w:val="00097C48"/>
    <w:rsid w:val="00097E01"/>
    <w:rsid w:val="000A01E3"/>
    <w:rsid w:val="000A0506"/>
    <w:rsid w:val="000A05EB"/>
    <w:rsid w:val="000A05F4"/>
    <w:rsid w:val="000A06C6"/>
    <w:rsid w:val="000A076B"/>
    <w:rsid w:val="000A07F1"/>
    <w:rsid w:val="000A0802"/>
    <w:rsid w:val="000A0815"/>
    <w:rsid w:val="000A085F"/>
    <w:rsid w:val="000A09D4"/>
    <w:rsid w:val="000A0A1E"/>
    <w:rsid w:val="000A0A97"/>
    <w:rsid w:val="000A0B0D"/>
    <w:rsid w:val="000A0B19"/>
    <w:rsid w:val="000A0B3F"/>
    <w:rsid w:val="000A0BEC"/>
    <w:rsid w:val="000A0CFD"/>
    <w:rsid w:val="000A0DBC"/>
    <w:rsid w:val="000A0E39"/>
    <w:rsid w:val="000A0F1B"/>
    <w:rsid w:val="000A11EF"/>
    <w:rsid w:val="000A1281"/>
    <w:rsid w:val="000A1343"/>
    <w:rsid w:val="000A13FD"/>
    <w:rsid w:val="000A1408"/>
    <w:rsid w:val="000A1729"/>
    <w:rsid w:val="000A180B"/>
    <w:rsid w:val="000A1828"/>
    <w:rsid w:val="000A18A0"/>
    <w:rsid w:val="000A18B2"/>
    <w:rsid w:val="000A193F"/>
    <w:rsid w:val="000A1A9B"/>
    <w:rsid w:val="000A1AB2"/>
    <w:rsid w:val="000A1B3E"/>
    <w:rsid w:val="000A1B7A"/>
    <w:rsid w:val="000A1BED"/>
    <w:rsid w:val="000A1DBD"/>
    <w:rsid w:val="000A1E9D"/>
    <w:rsid w:val="000A1F1E"/>
    <w:rsid w:val="000A1F1F"/>
    <w:rsid w:val="000A2001"/>
    <w:rsid w:val="000A2056"/>
    <w:rsid w:val="000A21C2"/>
    <w:rsid w:val="000A224A"/>
    <w:rsid w:val="000A228E"/>
    <w:rsid w:val="000A22C3"/>
    <w:rsid w:val="000A25B0"/>
    <w:rsid w:val="000A2611"/>
    <w:rsid w:val="000A27FB"/>
    <w:rsid w:val="000A2A1C"/>
    <w:rsid w:val="000A2AF7"/>
    <w:rsid w:val="000A2B08"/>
    <w:rsid w:val="000A2B5E"/>
    <w:rsid w:val="000A2BB3"/>
    <w:rsid w:val="000A2BC5"/>
    <w:rsid w:val="000A2D9E"/>
    <w:rsid w:val="000A2DBB"/>
    <w:rsid w:val="000A2E1E"/>
    <w:rsid w:val="000A2F8B"/>
    <w:rsid w:val="000A3009"/>
    <w:rsid w:val="000A304D"/>
    <w:rsid w:val="000A340C"/>
    <w:rsid w:val="000A3439"/>
    <w:rsid w:val="000A3457"/>
    <w:rsid w:val="000A361A"/>
    <w:rsid w:val="000A3663"/>
    <w:rsid w:val="000A39C2"/>
    <w:rsid w:val="000A39CA"/>
    <w:rsid w:val="000A3A4F"/>
    <w:rsid w:val="000A3A70"/>
    <w:rsid w:val="000A3C11"/>
    <w:rsid w:val="000A3CA8"/>
    <w:rsid w:val="000A3E34"/>
    <w:rsid w:val="000A3E62"/>
    <w:rsid w:val="000A3E84"/>
    <w:rsid w:val="000A3E94"/>
    <w:rsid w:val="000A3EC2"/>
    <w:rsid w:val="000A409F"/>
    <w:rsid w:val="000A4127"/>
    <w:rsid w:val="000A4249"/>
    <w:rsid w:val="000A4311"/>
    <w:rsid w:val="000A4562"/>
    <w:rsid w:val="000A4594"/>
    <w:rsid w:val="000A464E"/>
    <w:rsid w:val="000A47E3"/>
    <w:rsid w:val="000A496B"/>
    <w:rsid w:val="000A49F1"/>
    <w:rsid w:val="000A4A8D"/>
    <w:rsid w:val="000A4D25"/>
    <w:rsid w:val="000A4EAF"/>
    <w:rsid w:val="000A4ED3"/>
    <w:rsid w:val="000A4F57"/>
    <w:rsid w:val="000A4FD0"/>
    <w:rsid w:val="000A4FDA"/>
    <w:rsid w:val="000A5368"/>
    <w:rsid w:val="000A5370"/>
    <w:rsid w:val="000A537E"/>
    <w:rsid w:val="000A53B8"/>
    <w:rsid w:val="000A5413"/>
    <w:rsid w:val="000A5511"/>
    <w:rsid w:val="000A55AB"/>
    <w:rsid w:val="000A55BC"/>
    <w:rsid w:val="000A55C2"/>
    <w:rsid w:val="000A561E"/>
    <w:rsid w:val="000A575D"/>
    <w:rsid w:val="000A5AAB"/>
    <w:rsid w:val="000A5BF3"/>
    <w:rsid w:val="000A5CB8"/>
    <w:rsid w:val="000A5D84"/>
    <w:rsid w:val="000A5F42"/>
    <w:rsid w:val="000A6052"/>
    <w:rsid w:val="000A6198"/>
    <w:rsid w:val="000A63D1"/>
    <w:rsid w:val="000A64BA"/>
    <w:rsid w:val="000A6586"/>
    <w:rsid w:val="000A6672"/>
    <w:rsid w:val="000A6815"/>
    <w:rsid w:val="000A6917"/>
    <w:rsid w:val="000A69FE"/>
    <w:rsid w:val="000A6A4D"/>
    <w:rsid w:val="000A6A62"/>
    <w:rsid w:val="000A6A64"/>
    <w:rsid w:val="000A6BBD"/>
    <w:rsid w:val="000A6BFB"/>
    <w:rsid w:val="000A6C6E"/>
    <w:rsid w:val="000A6CD3"/>
    <w:rsid w:val="000A6E22"/>
    <w:rsid w:val="000A6EFF"/>
    <w:rsid w:val="000A6F24"/>
    <w:rsid w:val="000A7005"/>
    <w:rsid w:val="000A714B"/>
    <w:rsid w:val="000A7179"/>
    <w:rsid w:val="000A7492"/>
    <w:rsid w:val="000A74EB"/>
    <w:rsid w:val="000A7625"/>
    <w:rsid w:val="000A773E"/>
    <w:rsid w:val="000A77C8"/>
    <w:rsid w:val="000A79FA"/>
    <w:rsid w:val="000A7A66"/>
    <w:rsid w:val="000A7AFE"/>
    <w:rsid w:val="000A7C70"/>
    <w:rsid w:val="000A7D35"/>
    <w:rsid w:val="000A7D76"/>
    <w:rsid w:val="000A7DC3"/>
    <w:rsid w:val="000A7DFA"/>
    <w:rsid w:val="000A7EE8"/>
    <w:rsid w:val="000B0180"/>
    <w:rsid w:val="000B01F2"/>
    <w:rsid w:val="000B036C"/>
    <w:rsid w:val="000B038E"/>
    <w:rsid w:val="000B0432"/>
    <w:rsid w:val="000B057B"/>
    <w:rsid w:val="000B05CE"/>
    <w:rsid w:val="000B0663"/>
    <w:rsid w:val="000B06AD"/>
    <w:rsid w:val="000B06B1"/>
    <w:rsid w:val="000B06B6"/>
    <w:rsid w:val="000B07A8"/>
    <w:rsid w:val="000B07D9"/>
    <w:rsid w:val="000B09C7"/>
    <w:rsid w:val="000B0B60"/>
    <w:rsid w:val="000B0E25"/>
    <w:rsid w:val="000B1342"/>
    <w:rsid w:val="000B13C5"/>
    <w:rsid w:val="000B13E5"/>
    <w:rsid w:val="000B1508"/>
    <w:rsid w:val="000B157E"/>
    <w:rsid w:val="000B1589"/>
    <w:rsid w:val="000B169D"/>
    <w:rsid w:val="000B1726"/>
    <w:rsid w:val="000B1750"/>
    <w:rsid w:val="000B183B"/>
    <w:rsid w:val="000B184F"/>
    <w:rsid w:val="000B190F"/>
    <w:rsid w:val="000B191F"/>
    <w:rsid w:val="000B1941"/>
    <w:rsid w:val="000B1975"/>
    <w:rsid w:val="000B1BE9"/>
    <w:rsid w:val="000B1C5F"/>
    <w:rsid w:val="000B1ED5"/>
    <w:rsid w:val="000B1F3F"/>
    <w:rsid w:val="000B1FC8"/>
    <w:rsid w:val="000B207C"/>
    <w:rsid w:val="000B23E9"/>
    <w:rsid w:val="000B2532"/>
    <w:rsid w:val="000B253F"/>
    <w:rsid w:val="000B2550"/>
    <w:rsid w:val="000B25B7"/>
    <w:rsid w:val="000B2787"/>
    <w:rsid w:val="000B282B"/>
    <w:rsid w:val="000B2A41"/>
    <w:rsid w:val="000B2B1D"/>
    <w:rsid w:val="000B2D38"/>
    <w:rsid w:val="000B2D59"/>
    <w:rsid w:val="000B2D77"/>
    <w:rsid w:val="000B2DCC"/>
    <w:rsid w:val="000B2E39"/>
    <w:rsid w:val="000B2EF3"/>
    <w:rsid w:val="000B2F85"/>
    <w:rsid w:val="000B2FC5"/>
    <w:rsid w:val="000B30D1"/>
    <w:rsid w:val="000B312E"/>
    <w:rsid w:val="000B31FF"/>
    <w:rsid w:val="000B33BA"/>
    <w:rsid w:val="000B353E"/>
    <w:rsid w:val="000B35CA"/>
    <w:rsid w:val="000B3722"/>
    <w:rsid w:val="000B3765"/>
    <w:rsid w:val="000B3867"/>
    <w:rsid w:val="000B3970"/>
    <w:rsid w:val="000B3A90"/>
    <w:rsid w:val="000B3B3C"/>
    <w:rsid w:val="000B3C0D"/>
    <w:rsid w:val="000B3C23"/>
    <w:rsid w:val="000B3D6B"/>
    <w:rsid w:val="000B3DCA"/>
    <w:rsid w:val="000B3DCE"/>
    <w:rsid w:val="000B3DDC"/>
    <w:rsid w:val="000B3FED"/>
    <w:rsid w:val="000B4380"/>
    <w:rsid w:val="000B43B8"/>
    <w:rsid w:val="000B43E8"/>
    <w:rsid w:val="000B44D8"/>
    <w:rsid w:val="000B4524"/>
    <w:rsid w:val="000B4587"/>
    <w:rsid w:val="000B4969"/>
    <w:rsid w:val="000B497F"/>
    <w:rsid w:val="000B4A62"/>
    <w:rsid w:val="000B4A8A"/>
    <w:rsid w:val="000B4B26"/>
    <w:rsid w:val="000B4B3F"/>
    <w:rsid w:val="000B4D4D"/>
    <w:rsid w:val="000B4DAF"/>
    <w:rsid w:val="000B4ED1"/>
    <w:rsid w:val="000B4EEF"/>
    <w:rsid w:val="000B4FB8"/>
    <w:rsid w:val="000B5024"/>
    <w:rsid w:val="000B5069"/>
    <w:rsid w:val="000B50A8"/>
    <w:rsid w:val="000B5136"/>
    <w:rsid w:val="000B5144"/>
    <w:rsid w:val="000B53C3"/>
    <w:rsid w:val="000B547D"/>
    <w:rsid w:val="000B566B"/>
    <w:rsid w:val="000B577F"/>
    <w:rsid w:val="000B57A0"/>
    <w:rsid w:val="000B57D5"/>
    <w:rsid w:val="000B5843"/>
    <w:rsid w:val="000B586A"/>
    <w:rsid w:val="000B5879"/>
    <w:rsid w:val="000B592F"/>
    <w:rsid w:val="000B59CD"/>
    <w:rsid w:val="000B5B47"/>
    <w:rsid w:val="000B5CE2"/>
    <w:rsid w:val="000B5D0C"/>
    <w:rsid w:val="000B60ED"/>
    <w:rsid w:val="000B6139"/>
    <w:rsid w:val="000B6300"/>
    <w:rsid w:val="000B6418"/>
    <w:rsid w:val="000B647B"/>
    <w:rsid w:val="000B666E"/>
    <w:rsid w:val="000B6720"/>
    <w:rsid w:val="000B67AB"/>
    <w:rsid w:val="000B67B4"/>
    <w:rsid w:val="000B681A"/>
    <w:rsid w:val="000B6824"/>
    <w:rsid w:val="000B693E"/>
    <w:rsid w:val="000B6C35"/>
    <w:rsid w:val="000B6C61"/>
    <w:rsid w:val="000B709D"/>
    <w:rsid w:val="000B712D"/>
    <w:rsid w:val="000B7198"/>
    <w:rsid w:val="000B73F9"/>
    <w:rsid w:val="000B7421"/>
    <w:rsid w:val="000B74CC"/>
    <w:rsid w:val="000B7554"/>
    <w:rsid w:val="000B75B8"/>
    <w:rsid w:val="000B7679"/>
    <w:rsid w:val="000B7870"/>
    <w:rsid w:val="000B7A63"/>
    <w:rsid w:val="000B7B16"/>
    <w:rsid w:val="000B7BCE"/>
    <w:rsid w:val="000B7D3D"/>
    <w:rsid w:val="000B7DD2"/>
    <w:rsid w:val="000B7E29"/>
    <w:rsid w:val="000B7E6D"/>
    <w:rsid w:val="000B7E75"/>
    <w:rsid w:val="000B7F30"/>
    <w:rsid w:val="000B7F59"/>
    <w:rsid w:val="000C02B2"/>
    <w:rsid w:val="000C02CB"/>
    <w:rsid w:val="000C02EF"/>
    <w:rsid w:val="000C035E"/>
    <w:rsid w:val="000C0369"/>
    <w:rsid w:val="000C0401"/>
    <w:rsid w:val="000C0417"/>
    <w:rsid w:val="000C0496"/>
    <w:rsid w:val="000C04F1"/>
    <w:rsid w:val="000C0500"/>
    <w:rsid w:val="000C0529"/>
    <w:rsid w:val="000C05A8"/>
    <w:rsid w:val="000C05D0"/>
    <w:rsid w:val="000C06CA"/>
    <w:rsid w:val="000C072B"/>
    <w:rsid w:val="000C083E"/>
    <w:rsid w:val="000C0845"/>
    <w:rsid w:val="000C089A"/>
    <w:rsid w:val="000C097D"/>
    <w:rsid w:val="000C0AA4"/>
    <w:rsid w:val="000C0C27"/>
    <w:rsid w:val="000C0D90"/>
    <w:rsid w:val="000C0DD2"/>
    <w:rsid w:val="000C0F08"/>
    <w:rsid w:val="000C0FFF"/>
    <w:rsid w:val="000C10FC"/>
    <w:rsid w:val="000C10FF"/>
    <w:rsid w:val="000C1185"/>
    <w:rsid w:val="000C14AF"/>
    <w:rsid w:val="000C172A"/>
    <w:rsid w:val="000C184D"/>
    <w:rsid w:val="000C1A41"/>
    <w:rsid w:val="000C1AA2"/>
    <w:rsid w:val="000C1B90"/>
    <w:rsid w:val="000C1C3F"/>
    <w:rsid w:val="000C1D90"/>
    <w:rsid w:val="000C1D95"/>
    <w:rsid w:val="000C202D"/>
    <w:rsid w:val="000C203A"/>
    <w:rsid w:val="000C208D"/>
    <w:rsid w:val="000C20F4"/>
    <w:rsid w:val="000C21E0"/>
    <w:rsid w:val="000C2259"/>
    <w:rsid w:val="000C2355"/>
    <w:rsid w:val="000C2382"/>
    <w:rsid w:val="000C2458"/>
    <w:rsid w:val="000C24C1"/>
    <w:rsid w:val="000C253E"/>
    <w:rsid w:val="000C2573"/>
    <w:rsid w:val="000C261F"/>
    <w:rsid w:val="000C2628"/>
    <w:rsid w:val="000C2696"/>
    <w:rsid w:val="000C286C"/>
    <w:rsid w:val="000C293D"/>
    <w:rsid w:val="000C299E"/>
    <w:rsid w:val="000C2AA4"/>
    <w:rsid w:val="000C2AF0"/>
    <w:rsid w:val="000C2C42"/>
    <w:rsid w:val="000C2CE1"/>
    <w:rsid w:val="000C2D23"/>
    <w:rsid w:val="000C2DF4"/>
    <w:rsid w:val="000C2F3E"/>
    <w:rsid w:val="000C2F8C"/>
    <w:rsid w:val="000C3034"/>
    <w:rsid w:val="000C3181"/>
    <w:rsid w:val="000C31FC"/>
    <w:rsid w:val="000C3366"/>
    <w:rsid w:val="000C33F6"/>
    <w:rsid w:val="000C344C"/>
    <w:rsid w:val="000C3463"/>
    <w:rsid w:val="000C35E7"/>
    <w:rsid w:val="000C39F4"/>
    <w:rsid w:val="000C3B52"/>
    <w:rsid w:val="000C3C9C"/>
    <w:rsid w:val="000C3D37"/>
    <w:rsid w:val="000C3E47"/>
    <w:rsid w:val="000C4038"/>
    <w:rsid w:val="000C4050"/>
    <w:rsid w:val="000C415E"/>
    <w:rsid w:val="000C426C"/>
    <w:rsid w:val="000C4303"/>
    <w:rsid w:val="000C43D6"/>
    <w:rsid w:val="000C43DC"/>
    <w:rsid w:val="000C43EC"/>
    <w:rsid w:val="000C4436"/>
    <w:rsid w:val="000C44B8"/>
    <w:rsid w:val="000C4624"/>
    <w:rsid w:val="000C47BB"/>
    <w:rsid w:val="000C4966"/>
    <w:rsid w:val="000C4B0B"/>
    <w:rsid w:val="000C4B3A"/>
    <w:rsid w:val="000C4B5E"/>
    <w:rsid w:val="000C4B97"/>
    <w:rsid w:val="000C4D16"/>
    <w:rsid w:val="000C4E36"/>
    <w:rsid w:val="000C4EA0"/>
    <w:rsid w:val="000C5063"/>
    <w:rsid w:val="000C5146"/>
    <w:rsid w:val="000C5169"/>
    <w:rsid w:val="000C54A8"/>
    <w:rsid w:val="000C554D"/>
    <w:rsid w:val="000C56A6"/>
    <w:rsid w:val="000C56D1"/>
    <w:rsid w:val="000C56E9"/>
    <w:rsid w:val="000C56F8"/>
    <w:rsid w:val="000C5732"/>
    <w:rsid w:val="000C5775"/>
    <w:rsid w:val="000C5B17"/>
    <w:rsid w:val="000C5C43"/>
    <w:rsid w:val="000C5D2D"/>
    <w:rsid w:val="000C5D6D"/>
    <w:rsid w:val="000C5E04"/>
    <w:rsid w:val="000C5E77"/>
    <w:rsid w:val="000C5E89"/>
    <w:rsid w:val="000C5EC5"/>
    <w:rsid w:val="000C613F"/>
    <w:rsid w:val="000C6240"/>
    <w:rsid w:val="000C625E"/>
    <w:rsid w:val="000C639E"/>
    <w:rsid w:val="000C6598"/>
    <w:rsid w:val="000C6685"/>
    <w:rsid w:val="000C669A"/>
    <w:rsid w:val="000C66BB"/>
    <w:rsid w:val="000C66D6"/>
    <w:rsid w:val="000C6718"/>
    <w:rsid w:val="000C6795"/>
    <w:rsid w:val="000C682B"/>
    <w:rsid w:val="000C6980"/>
    <w:rsid w:val="000C6A71"/>
    <w:rsid w:val="000C6B0A"/>
    <w:rsid w:val="000C6B3C"/>
    <w:rsid w:val="000C6B89"/>
    <w:rsid w:val="000C6C49"/>
    <w:rsid w:val="000C6C70"/>
    <w:rsid w:val="000C6CCF"/>
    <w:rsid w:val="000C6CD5"/>
    <w:rsid w:val="000C6D0A"/>
    <w:rsid w:val="000C6D9B"/>
    <w:rsid w:val="000C6EBA"/>
    <w:rsid w:val="000C6EF9"/>
    <w:rsid w:val="000C70B6"/>
    <w:rsid w:val="000C716B"/>
    <w:rsid w:val="000C718A"/>
    <w:rsid w:val="000C71D9"/>
    <w:rsid w:val="000C71FC"/>
    <w:rsid w:val="000C7248"/>
    <w:rsid w:val="000C7280"/>
    <w:rsid w:val="000C72FD"/>
    <w:rsid w:val="000C746A"/>
    <w:rsid w:val="000C7523"/>
    <w:rsid w:val="000C756D"/>
    <w:rsid w:val="000C75C3"/>
    <w:rsid w:val="000C769B"/>
    <w:rsid w:val="000C76B4"/>
    <w:rsid w:val="000C78F8"/>
    <w:rsid w:val="000C792F"/>
    <w:rsid w:val="000C7937"/>
    <w:rsid w:val="000C796B"/>
    <w:rsid w:val="000C7972"/>
    <w:rsid w:val="000C79D9"/>
    <w:rsid w:val="000C7AD2"/>
    <w:rsid w:val="000C7CFF"/>
    <w:rsid w:val="000C7D32"/>
    <w:rsid w:val="000C7D95"/>
    <w:rsid w:val="000D003D"/>
    <w:rsid w:val="000D0265"/>
    <w:rsid w:val="000D02A0"/>
    <w:rsid w:val="000D034C"/>
    <w:rsid w:val="000D03E0"/>
    <w:rsid w:val="000D03FD"/>
    <w:rsid w:val="000D04BE"/>
    <w:rsid w:val="000D057C"/>
    <w:rsid w:val="000D0650"/>
    <w:rsid w:val="000D065C"/>
    <w:rsid w:val="000D0897"/>
    <w:rsid w:val="000D0941"/>
    <w:rsid w:val="000D09DE"/>
    <w:rsid w:val="000D0A29"/>
    <w:rsid w:val="000D0B2F"/>
    <w:rsid w:val="000D0B74"/>
    <w:rsid w:val="000D0BDA"/>
    <w:rsid w:val="000D0BF3"/>
    <w:rsid w:val="000D0CD4"/>
    <w:rsid w:val="000D0ED2"/>
    <w:rsid w:val="000D1072"/>
    <w:rsid w:val="000D10BA"/>
    <w:rsid w:val="000D1285"/>
    <w:rsid w:val="000D137D"/>
    <w:rsid w:val="000D15BD"/>
    <w:rsid w:val="000D184E"/>
    <w:rsid w:val="000D191C"/>
    <w:rsid w:val="000D1921"/>
    <w:rsid w:val="000D1939"/>
    <w:rsid w:val="000D193B"/>
    <w:rsid w:val="000D1956"/>
    <w:rsid w:val="000D1BBC"/>
    <w:rsid w:val="000D1BD2"/>
    <w:rsid w:val="000D1BE7"/>
    <w:rsid w:val="000D1BEE"/>
    <w:rsid w:val="000D1C7D"/>
    <w:rsid w:val="000D1C7E"/>
    <w:rsid w:val="000D1CAF"/>
    <w:rsid w:val="000D1DD4"/>
    <w:rsid w:val="000D1EB2"/>
    <w:rsid w:val="000D1F83"/>
    <w:rsid w:val="000D22BB"/>
    <w:rsid w:val="000D2494"/>
    <w:rsid w:val="000D24C0"/>
    <w:rsid w:val="000D24D3"/>
    <w:rsid w:val="000D24D4"/>
    <w:rsid w:val="000D2590"/>
    <w:rsid w:val="000D265C"/>
    <w:rsid w:val="000D2718"/>
    <w:rsid w:val="000D2721"/>
    <w:rsid w:val="000D278A"/>
    <w:rsid w:val="000D285D"/>
    <w:rsid w:val="000D29BF"/>
    <w:rsid w:val="000D2B53"/>
    <w:rsid w:val="000D2B55"/>
    <w:rsid w:val="000D2B57"/>
    <w:rsid w:val="000D2BB9"/>
    <w:rsid w:val="000D2E2B"/>
    <w:rsid w:val="000D2E37"/>
    <w:rsid w:val="000D2F00"/>
    <w:rsid w:val="000D2F81"/>
    <w:rsid w:val="000D2FE1"/>
    <w:rsid w:val="000D3009"/>
    <w:rsid w:val="000D30F7"/>
    <w:rsid w:val="000D323B"/>
    <w:rsid w:val="000D3255"/>
    <w:rsid w:val="000D3286"/>
    <w:rsid w:val="000D32A4"/>
    <w:rsid w:val="000D32AB"/>
    <w:rsid w:val="000D32E7"/>
    <w:rsid w:val="000D3322"/>
    <w:rsid w:val="000D3414"/>
    <w:rsid w:val="000D362D"/>
    <w:rsid w:val="000D3665"/>
    <w:rsid w:val="000D3AF6"/>
    <w:rsid w:val="000D3CE8"/>
    <w:rsid w:val="000D3D0C"/>
    <w:rsid w:val="000D3D26"/>
    <w:rsid w:val="000D3D32"/>
    <w:rsid w:val="000D3ECE"/>
    <w:rsid w:val="000D3FE1"/>
    <w:rsid w:val="000D4112"/>
    <w:rsid w:val="000D41D6"/>
    <w:rsid w:val="000D41FB"/>
    <w:rsid w:val="000D4285"/>
    <w:rsid w:val="000D42BA"/>
    <w:rsid w:val="000D430E"/>
    <w:rsid w:val="000D439C"/>
    <w:rsid w:val="000D43B3"/>
    <w:rsid w:val="000D4424"/>
    <w:rsid w:val="000D45C5"/>
    <w:rsid w:val="000D465A"/>
    <w:rsid w:val="000D4928"/>
    <w:rsid w:val="000D49D9"/>
    <w:rsid w:val="000D4A1B"/>
    <w:rsid w:val="000D4B35"/>
    <w:rsid w:val="000D4CDC"/>
    <w:rsid w:val="000D4D00"/>
    <w:rsid w:val="000D4D0C"/>
    <w:rsid w:val="000D4D66"/>
    <w:rsid w:val="000D4EE4"/>
    <w:rsid w:val="000D4F51"/>
    <w:rsid w:val="000D4F6A"/>
    <w:rsid w:val="000D4FFC"/>
    <w:rsid w:val="000D517E"/>
    <w:rsid w:val="000D52C9"/>
    <w:rsid w:val="000D52EB"/>
    <w:rsid w:val="000D549B"/>
    <w:rsid w:val="000D549E"/>
    <w:rsid w:val="000D553D"/>
    <w:rsid w:val="000D56B5"/>
    <w:rsid w:val="000D5756"/>
    <w:rsid w:val="000D5933"/>
    <w:rsid w:val="000D5A12"/>
    <w:rsid w:val="000D5B5C"/>
    <w:rsid w:val="000D5BA1"/>
    <w:rsid w:val="000D5C2C"/>
    <w:rsid w:val="000D5C32"/>
    <w:rsid w:val="000D5CF4"/>
    <w:rsid w:val="000D5D17"/>
    <w:rsid w:val="000D5DA8"/>
    <w:rsid w:val="000D5DD5"/>
    <w:rsid w:val="000D5E85"/>
    <w:rsid w:val="000D5FBB"/>
    <w:rsid w:val="000D5FD5"/>
    <w:rsid w:val="000D6166"/>
    <w:rsid w:val="000D639B"/>
    <w:rsid w:val="000D6432"/>
    <w:rsid w:val="000D660A"/>
    <w:rsid w:val="000D67A4"/>
    <w:rsid w:val="000D6B82"/>
    <w:rsid w:val="000D6C7C"/>
    <w:rsid w:val="000D6D0B"/>
    <w:rsid w:val="000D6DE7"/>
    <w:rsid w:val="000D6F69"/>
    <w:rsid w:val="000D6F83"/>
    <w:rsid w:val="000D70AD"/>
    <w:rsid w:val="000D70B8"/>
    <w:rsid w:val="000D741B"/>
    <w:rsid w:val="000D774C"/>
    <w:rsid w:val="000D77AF"/>
    <w:rsid w:val="000D7898"/>
    <w:rsid w:val="000D78A2"/>
    <w:rsid w:val="000D795E"/>
    <w:rsid w:val="000D796A"/>
    <w:rsid w:val="000D79E2"/>
    <w:rsid w:val="000D7A1A"/>
    <w:rsid w:val="000D7B35"/>
    <w:rsid w:val="000D7D14"/>
    <w:rsid w:val="000D7EF5"/>
    <w:rsid w:val="000D7EFA"/>
    <w:rsid w:val="000D7F34"/>
    <w:rsid w:val="000E0004"/>
    <w:rsid w:val="000E00A2"/>
    <w:rsid w:val="000E0257"/>
    <w:rsid w:val="000E0263"/>
    <w:rsid w:val="000E027D"/>
    <w:rsid w:val="000E04AD"/>
    <w:rsid w:val="000E0825"/>
    <w:rsid w:val="000E085B"/>
    <w:rsid w:val="000E0888"/>
    <w:rsid w:val="000E0909"/>
    <w:rsid w:val="000E0917"/>
    <w:rsid w:val="000E09D0"/>
    <w:rsid w:val="000E0A8A"/>
    <w:rsid w:val="000E0BCA"/>
    <w:rsid w:val="000E0C73"/>
    <w:rsid w:val="000E0CA4"/>
    <w:rsid w:val="000E0DC2"/>
    <w:rsid w:val="000E0E8E"/>
    <w:rsid w:val="000E106A"/>
    <w:rsid w:val="000E1129"/>
    <w:rsid w:val="000E137C"/>
    <w:rsid w:val="000E14D2"/>
    <w:rsid w:val="000E1614"/>
    <w:rsid w:val="000E1745"/>
    <w:rsid w:val="000E1752"/>
    <w:rsid w:val="000E1789"/>
    <w:rsid w:val="000E17AF"/>
    <w:rsid w:val="000E1901"/>
    <w:rsid w:val="000E19BA"/>
    <w:rsid w:val="000E19F8"/>
    <w:rsid w:val="000E1A19"/>
    <w:rsid w:val="000E1B6E"/>
    <w:rsid w:val="000E1B86"/>
    <w:rsid w:val="000E1C8B"/>
    <w:rsid w:val="000E1D60"/>
    <w:rsid w:val="000E1DE5"/>
    <w:rsid w:val="000E1E61"/>
    <w:rsid w:val="000E2015"/>
    <w:rsid w:val="000E215F"/>
    <w:rsid w:val="000E217B"/>
    <w:rsid w:val="000E21D6"/>
    <w:rsid w:val="000E2253"/>
    <w:rsid w:val="000E2348"/>
    <w:rsid w:val="000E2359"/>
    <w:rsid w:val="000E23A5"/>
    <w:rsid w:val="000E2432"/>
    <w:rsid w:val="000E2435"/>
    <w:rsid w:val="000E24E7"/>
    <w:rsid w:val="000E2506"/>
    <w:rsid w:val="000E25AC"/>
    <w:rsid w:val="000E271B"/>
    <w:rsid w:val="000E290E"/>
    <w:rsid w:val="000E292A"/>
    <w:rsid w:val="000E2B0D"/>
    <w:rsid w:val="000E2C48"/>
    <w:rsid w:val="000E2D13"/>
    <w:rsid w:val="000E2E63"/>
    <w:rsid w:val="000E2F6C"/>
    <w:rsid w:val="000E3100"/>
    <w:rsid w:val="000E316D"/>
    <w:rsid w:val="000E3186"/>
    <w:rsid w:val="000E32AF"/>
    <w:rsid w:val="000E32F7"/>
    <w:rsid w:val="000E3453"/>
    <w:rsid w:val="000E353A"/>
    <w:rsid w:val="000E3602"/>
    <w:rsid w:val="000E3689"/>
    <w:rsid w:val="000E372C"/>
    <w:rsid w:val="000E3846"/>
    <w:rsid w:val="000E3949"/>
    <w:rsid w:val="000E3ADD"/>
    <w:rsid w:val="000E3B2C"/>
    <w:rsid w:val="000E3C17"/>
    <w:rsid w:val="000E3C4E"/>
    <w:rsid w:val="000E3CBD"/>
    <w:rsid w:val="000E3CE8"/>
    <w:rsid w:val="000E3D1F"/>
    <w:rsid w:val="000E3E37"/>
    <w:rsid w:val="000E3EC2"/>
    <w:rsid w:val="000E3EFF"/>
    <w:rsid w:val="000E3F4D"/>
    <w:rsid w:val="000E3FAF"/>
    <w:rsid w:val="000E3FF1"/>
    <w:rsid w:val="000E4106"/>
    <w:rsid w:val="000E41CD"/>
    <w:rsid w:val="000E41E2"/>
    <w:rsid w:val="000E42BB"/>
    <w:rsid w:val="000E4309"/>
    <w:rsid w:val="000E4531"/>
    <w:rsid w:val="000E45C1"/>
    <w:rsid w:val="000E478F"/>
    <w:rsid w:val="000E4922"/>
    <w:rsid w:val="000E4A29"/>
    <w:rsid w:val="000E4A99"/>
    <w:rsid w:val="000E4CE5"/>
    <w:rsid w:val="000E4E5A"/>
    <w:rsid w:val="000E4E70"/>
    <w:rsid w:val="000E4E8B"/>
    <w:rsid w:val="000E4FFF"/>
    <w:rsid w:val="000E5194"/>
    <w:rsid w:val="000E520D"/>
    <w:rsid w:val="000E5426"/>
    <w:rsid w:val="000E553E"/>
    <w:rsid w:val="000E5623"/>
    <w:rsid w:val="000E5785"/>
    <w:rsid w:val="000E5797"/>
    <w:rsid w:val="000E57A1"/>
    <w:rsid w:val="000E588F"/>
    <w:rsid w:val="000E59FE"/>
    <w:rsid w:val="000E5B29"/>
    <w:rsid w:val="000E5BF3"/>
    <w:rsid w:val="000E5D51"/>
    <w:rsid w:val="000E5E81"/>
    <w:rsid w:val="000E6011"/>
    <w:rsid w:val="000E611F"/>
    <w:rsid w:val="000E61E8"/>
    <w:rsid w:val="000E6208"/>
    <w:rsid w:val="000E63C3"/>
    <w:rsid w:val="000E6437"/>
    <w:rsid w:val="000E644A"/>
    <w:rsid w:val="000E677A"/>
    <w:rsid w:val="000E677F"/>
    <w:rsid w:val="000E683C"/>
    <w:rsid w:val="000E687B"/>
    <w:rsid w:val="000E6950"/>
    <w:rsid w:val="000E6979"/>
    <w:rsid w:val="000E69B9"/>
    <w:rsid w:val="000E6A87"/>
    <w:rsid w:val="000E6B59"/>
    <w:rsid w:val="000E6CB2"/>
    <w:rsid w:val="000E6CFD"/>
    <w:rsid w:val="000E6D24"/>
    <w:rsid w:val="000E6FAE"/>
    <w:rsid w:val="000E6FBF"/>
    <w:rsid w:val="000E707B"/>
    <w:rsid w:val="000E715C"/>
    <w:rsid w:val="000E72F8"/>
    <w:rsid w:val="000E7302"/>
    <w:rsid w:val="000E7306"/>
    <w:rsid w:val="000E7471"/>
    <w:rsid w:val="000E7640"/>
    <w:rsid w:val="000E7AE4"/>
    <w:rsid w:val="000E7B54"/>
    <w:rsid w:val="000E7C36"/>
    <w:rsid w:val="000E7C39"/>
    <w:rsid w:val="000E7C59"/>
    <w:rsid w:val="000E7D43"/>
    <w:rsid w:val="000E7D4F"/>
    <w:rsid w:val="000E7D7B"/>
    <w:rsid w:val="000E7E36"/>
    <w:rsid w:val="000E7F6E"/>
    <w:rsid w:val="000F00A6"/>
    <w:rsid w:val="000F00BC"/>
    <w:rsid w:val="000F01FE"/>
    <w:rsid w:val="000F0949"/>
    <w:rsid w:val="000F09B1"/>
    <w:rsid w:val="000F0A94"/>
    <w:rsid w:val="000F0B11"/>
    <w:rsid w:val="000F0C09"/>
    <w:rsid w:val="000F0D18"/>
    <w:rsid w:val="000F0DF1"/>
    <w:rsid w:val="000F110A"/>
    <w:rsid w:val="000F110C"/>
    <w:rsid w:val="000F1178"/>
    <w:rsid w:val="000F12C8"/>
    <w:rsid w:val="000F14B5"/>
    <w:rsid w:val="000F1662"/>
    <w:rsid w:val="000F16E5"/>
    <w:rsid w:val="000F1704"/>
    <w:rsid w:val="000F17EE"/>
    <w:rsid w:val="000F17F5"/>
    <w:rsid w:val="000F184E"/>
    <w:rsid w:val="000F187D"/>
    <w:rsid w:val="000F1886"/>
    <w:rsid w:val="000F19F1"/>
    <w:rsid w:val="000F1A21"/>
    <w:rsid w:val="000F1A71"/>
    <w:rsid w:val="000F1AD0"/>
    <w:rsid w:val="000F1AD4"/>
    <w:rsid w:val="000F1BDD"/>
    <w:rsid w:val="000F1BFC"/>
    <w:rsid w:val="000F1CB0"/>
    <w:rsid w:val="000F1CFA"/>
    <w:rsid w:val="000F1D30"/>
    <w:rsid w:val="000F1EC2"/>
    <w:rsid w:val="000F1F76"/>
    <w:rsid w:val="000F2220"/>
    <w:rsid w:val="000F22BB"/>
    <w:rsid w:val="000F2397"/>
    <w:rsid w:val="000F23DE"/>
    <w:rsid w:val="000F2517"/>
    <w:rsid w:val="000F263A"/>
    <w:rsid w:val="000F2664"/>
    <w:rsid w:val="000F26D2"/>
    <w:rsid w:val="000F26FA"/>
    <w:rsid w:val="000F2758"/>
    <w:rsid w:val="000F2999"/>
    <w:rsid w:val="000F2AB2"/>
    <w:rsid w:val="000F2AB4"/>
    <w:rsid w:val="000F2EC9"/>
    <w:rsid w:val="000F3023"/>
    <w:rsid w:val="000F31E2"/>
    <w:rsid w:val="000F329B"/>
    <w:rsid w:val="000F32B5"/>
    <w:rsid w:val="000F3326"/>
    <w:rsid w:val="000F3455"/>
    <w:rsid w:val="000F35DC"/>
    <w:rsid w:val="000F35E7"/>
    <w:rsid w:val="000F36CE"/>
    <w:rsid w:val="000F36EF"/>
    <w:rsid w:val="000F3720"/>
    <w:rsid w:val="000F37D2"/>
    <w:rsid w:val="000F38D0"/>
    <w:rsid w:val="000F3A67"/>
    <w:rsid w:val="000F3C44"/>
    <w:rsid w:val="000F3D1F"/>
    <w:rsid w:val="000F3E28"/>
    <w:rsid w:val="000F3F11"/>
    <w:rsid w:val="000F400B"/>
    <w:rsid w:val="000F42A6"/>
    <w:rsid w:val="000F440B"/>
    <w:rsid w:val="000F4445"/>
    <w:rsid w:val="000F447B"/>
    <w:rsid w:val="000F453F"/>
    <w:rsid w:val="000F47CB"/>
    <w:rsid w:val="000F4808"/>
    <w:rsid w:val="000F480B"/>
    <w:rsid w:val="000F484E"/>
    <w:rsid w:val="000F485B"/>
    <w:rsid w:val="000F4963"/>
    <w:rsid w:val="000F4976"/>
    <w:rsid w:val="000F49E1"/>
    <w:rsid w:val="000F4A3A"/>
    <w:rsid w:val="000F4BA6"/>
    <w:rsid w:val="000F4C3F"/>
    <w:rsid w:val="000F4D65"/>
    <w:rsid w:val="000F4E7F"/>
    <w:rsid w:val="000F4FD9"/>
    <w:rsid w:val="000F50BC"/>
    <w:rsid w:val="000F5224"/>
    <w:rsid w:val="000F531B"/>
    <w:rsid w:val="000F5369"/>
    <w:rsid w:val="000F53CD"/>
    <w:rsid w:val="000F546F"/>
    <w:rsid w:val="000F5528"/>
    <w:rsid w:val="000F556D"/>
    <w:rsid w:val="000F55BA"/>
    <w:rsid w:val="000F569A"/>
    <w:rsid w:val="000F570B"/>
    <w:rsid w:val="000F5B6F"/>
    <w:rsid w:val="000F5BF1"/>
    <w:rsid w:val="000F5BF3"/>
    <w:rsid w:val="000F5CEF"/>
    <w:rsid w:val="000F5D33"/>
    <w:rsid w:val="000F5D64"/>
    <w:rsid w:val="000F5DC3"/>
    <w:rsid w:val="000F5EA2"/>
    <w:rsid w:val="000F5EFF"/>
    <w:rsid w:val="000F5F8B"/>
    <w:rsid w:val="000F5FC5"/>
    <w:rsid w:val="000F6032"/>
    <w:rsid w:val="000F60D6"/>
    <w:rsid w:val="000F6167"/>
    <w:rsid w:val="000F6174"/>
    <w:rsid w:val="000F62E0"/>
    <w:rsid w:val="000F6357"/>
    <w:rsid w:val="000F63E7"/>
    <w:rsid w:val="000F6477"/>
    <w:rsid w:val="000F64A9"/>
    <w:rsid w:val="000F64BB"/>
    <w:rsid w:val="000F6544"/>
    <w:rsid w:val="000F6550"/>
    <w:rsid w:val="000F65AA"/>
    <w:rsid w:val="000F65CA"/>
    <w:rsid w:val="000F65D3"/>
    <w:rsid w:val="000F6675"/>
    <w:rsid w:val="000F669D"/>
    <w:rsid w:val="000F66AE"/>
    <w:rsid w:val="000F6720"/>
    <w:rsid w:val="000F6775"/>
    <w:rsid w:val="000F685C"/>
    <w:rsid w:val="000F68A0"/>
    <w:rsid w:val="000F69A6"/>
    <w:rsid w:val="000F6B48"/>
    <w:rsid w:val="000F6BA5"/>
    <w:rsid w:val="000F6BFE"/>
    <w:rsid w:val="000F6C26"/>
    <w:rsid w:val="000F6CAC"/>
    <w:rsid w:val="000F6CCC"/>
    <w:rsid w:val="000F6D80"/>
    <w:rsid w:val="000F6DC8"/>
    <w:rsid w:val="000F6F83"/>
    <w:rsid w:val="000F6F8B"/>
    <w:rsid w:val="000F7413"/>
    <w:rsid w:val="000F7414"/>
    <w:rsid w:val="000F742B"/>
    <w:rsid w:val="000F7532"/>
    <w:rsid w:val="000F7574"/>
    <w:rsid w:val="000F77F7"/>
    <w:rsid w:val="000F77FE"/>
    <w:rsid w:val="000F7848"/>
    <w:rsid w:val="000F7854"/>
    <w:rsid w:val="000F7932"/>
    <w:rsid w:val="000F7963"/>
    <w:rsid w:val="000F798E"/>
    <w:rsid w:val="000F7A7B"/>
    <w:rsid w:val="000F7BBD"/>
    <w:rsid w:val="000F7E49"/>
    <w:rsid w:val="000F7F8D"/>
    <w:rsid w:val="00100168"/>
    <w:rsid w:val="001001E5"/>
    <w:rsid w:val="001001F4"/>
    <w:rsid w:val="00100215"/>
    <w:rsid w:val="00100296"/>
    <w:rsid w:val="0010046C"/>
    <w:rsid w:val="001004FC"/>
    <w:rsid w:val="00100626"/>
    <w:rsid w:val="00100638"/>
    <w:rsid w:val="001008DE"/>
    <w:rsid w:val="001008E6"/>
    <w:rsid w:val="0010096C"/>
    <w:rsid w:val="00100A0B"/>
    <w:rsid w:val="00100A24"/>
    <w:rsid w:val="00100B28"/>
    <w:rsid w:val="00100CA3"/>
    <w:rsid w:val="00100D45"/>
    <w:rsid w:val="00100DBF"/>
    <w:rsid w:val="00100E3B"/>
    <w:rsid w:val="00100F49"/>
    <w:rsid w:val="00100F73"/>
    <w:rsid w:val="00100F76"/>
    <w:rsid w:val="00100FEF"/>
    <w:rsid w:val="001010D8"/>
    <w:rsid w:val="0010115C"/>
    <w:rsid w:val="001011D3"/>
    <w:rsid w:val="001012B8"/>
    <w:rsid w:val="001012D2"/>
    <w:rsid w:val="00101384"/>
    <w:rsid w:val="00101394"/>
    <w:rsid w:val="0010139B"/>
    <w:rsid w:val="001013A6"/>
    <w:rsid w:val="001013B2"/>
    <w:rsid w:val="001014D5"/>
    <w:rsid w:val="0010164E"/>
    <w:rsid w:val="001016F8"/>
    <w:rsid w:val="001017C5"/>
    <w:rsid w:val="0010187A"/>
    <w:rsid w:val="001019CD"/>
    <w:rsid w:val="00101B65"/>
    <w:rsid w:val="00101CB1"/>
    <w:rsid w:val="00101CEF"/>
    <w:rsid w:val="00101F1F"/>
    <w:rsid w:val="0010200D"/>
    <w:rsid w:val="0010204E"/>
    <w:rsid w:val="001020F5"/>
    <w:rsid w:val="001021E2"/>
    <w:rsid w:val="001024DE"/>
    <w:rsid w:val="0010267D"/>
    <w:rsid w:val="00102698"/>
    <w:rsid w:val="00102722"/>
    <w:rsid w:val="00102791"/>
    <w:rsid w:val="0010288A"/>
    <w:rsid w:val="00102895"/>
    <w:rsid w:val="001029C9"/>
    <w:rsid w:val="00102A24"/>
    <w:rsid w:val="00102AA8"/>
    <w:rsid w:val="00102BB8"/>
    <w:rsid w:val="00102BDF"/>
    <w:rsid w:val="00102CA3"/>
    <w:rsid w:val="00102EE1"/>
    <w:rsid w:val="0010303B"/>
    <w:rsid w:val="00103072"/>
    <w:rsid w:val="0010308B"/>
    <w:rsid w:val="00103232"/>
    <w:rsid w:val="0010327F"/>
    <w:rsid w:val="00103282"/>
    <w:rsid w:val="001033D9"/>
    <w:rsid w:val="00103423"/>
    <w:rsid w:val="001034C6"/>
    <w:rsid w:val="001034F5"/>
    <w:rsid w:val="001037EF"/>
    <w:rsid w:val="00103820"/>
    <w:rsid w:val="00103905"/>
    <w:rsid w:val="00103A14"/>
    <w:rsid w:val="00103A49"/>
    <w:rsid w:val="00103B21"/>
    <w:rsid w:val="00103BA0"/>
    <w:rsid w:val="00103D4F"/>
    <w:rsid w:val="00103DA6"/>
    <w:rsid w:val="00103DA7"/>
    <w:rsid w:val="00103E72"/>
    <w:rsid w:val="00103F34"/>
    <w:rsid w:val="00103F77"/>
    <w:rsid w:val="00103FC8"/>
    <w:rsid w:val="001040F5"/>
    <w:rsid w:val="001041BC"/>
    <w:rsid w:val="00104207"/>
    <w:rsid w:val="00104314"/>
    <w:rsid w:val="00104348"/>
    <w:rsid w:val="001043BA"/>
    <w:rsid w:val="001044F9"/>
    <w:rsid w:val="0010451A"/>
    <w:rsid w:val="00104522"/>
    <w:rsid w:val="00104541"/>
    <w:rsid w:val="001045CC"/>
    <w:rsid w:val="0010469A"/>
    <w:rsid w:val="00104863"/>
    <w:rsid w:val="00104909"/>
    <w:rsid w:val="00104B08"/>
    <w:rsid w:val="00104B0C"/>
    <w:rsid w:val="00104B49"/>
    <w:rsid w:val="00104C0C"/>
    <w:rsid w:val="00104C19"/>
    <w:rsid w:val="00104CA0"/>
    <w:rsid w:val="00104E73"/>
    <w:rsid w:val="00104F51"/>
    <w:rsid w:val="00104F86"/>
    <w:rsid w:val="00104FDA"/>
    <w:rsid w:val="00105058"/>
    <w:rsid w:val="0010510C"/>
    <w:rsid w:val="001051EE"/>
    <w:rsid w:val="0010520D"/>
    <w:rsid w:val="00105225"/>
    <w:rsid w:val="0010536D"/>
    <w:rsid w:val="0010538C"/>
    <w:rsid w:val="0010545F"/>
    <w:rsid w:val="001056EB"/>
    <w:rsid w:val="001057CD"/>
    <w:rsid w:val="0010588E"/>
    <w:rsid w:val="00105A38"/>
    <w:rsid w:val="00105B8D"/>
    <w:rsid w:val="00105C02"/>
    <w:rsid w:val="00105C7A"/>
    <w:rsid w:val="00105EA9"/>
    <w:rsid w:val="001061BB"/>
    <w:rsid w:val="001061D3"/>
    <w:rsid w:val="001061FB"/>
    <w:rsid w:val="001062F0"/>
    <w:rsid w:val="001064C1"/>
    <w:rsid w:val="0010652B"/>
    <w:rsid w:val="001065E9"/>
    <w:rsid w:val="00106608"/>
    <w:rsid w:val="0010663A"/>
    <w:rsid w:val="0010684D"/>
    <w:rsid w:val="00106B83"/>
    <w:rsid w:val="00106BCB"/>
    <w:rsid w:val="00106BFF"/>
    <w:rsid w:val="00106C44"/>
    <w:rsid w:val="00106C8A"/>
    <w:rsid w:val="00106D0C"/>
    <w:rsid w:val="00106DA0"/>
    <w:rsid w:val="00106DA5"/>
    <w:rsid w:val="00106DE1"/>
    <w:rsid w:val="00106EE5"/>
    <w:rsid w:val="00106F07"/>
    <w:rsid w:val="00107088"/>
    <w:rsid w:val="001071BE"/>
    <w:rsid w:val="00107243"/>
    <w:rsid w:val="00107317"/>
    <w:rsid w:val="001073F5"/>
    <w:rsid w:val="0010755C"/>
    <w:rsid w:val="00107570"/>
    <w:rsid w:val="001075A9"/>
    <w:rsid w:val="001075E8"/>
    <w:rsid w:val="0010774B"/>
    <w:rsid w:val="0010774F"/>
    <w:rsid w:val="0010776B"/>
    <w:rsid w:val="001078C0"/>
    <w:rsid w:val="001078D9"/>
    <w:rsid w:val="00107922"/>
    <w:rsid w:val="001079A8"/>
    <w:rsid w:val="001079C6"/>
    <w:rsid w:val="00107A29"/>
    <w:rsid w:val="00107A5A"/>
    <w:rsid w:val="00107BD8"/>
    <w:rsid w:val="00107D79"/>
    <w:rsid w:val="00107D7E"/>
    <w:rsid w:val="00107FB8"/>
    <w:rsid w:val="00110050"/>
    <w:rsid w:val="00110086"/>
    <w:rsid w:val="0011013C"/>
    <w:rsid w:val="001101CA"/>
    <w:rsid w:val="00110249"/>
    <w:rsid w:val="00110363"/>
    <w:rsid w:val="00110373"/>
    <w:rsid w:val="001103BF"/>
    <w:rsid w:val="001103CD"/>
    <w:rsid w:val="001103EF"/>
    <w:rsid w:val="00110508"/>
    <w:rsid w:val="00110757"/>
    <w:rsid w:val="001107AE"/>
    <w:rsid w:val="0011089F"/>
    <w:rsid w:val="00110A15"/>
    <w:rsid w:val="00110A1C"/>
    <w:rsid w:val="00110A1E"/>
    <w:rsid w:val="00110A56"/>
    <w:rsid w:val="00110B0A"/>
    <w:rsid w:val="00110B0E"/>
    <w:rsid w:val="00110DF5"/>
    <w:rsid w:val="00110E09"/>
    <w:rsid w:val="00110E18"/>
    <w:rsid w:val="00110E86"/>
    <w:rsid w:val="00110EE4"/>
    <w:rsid w:val="00110FC5"/>
    <w:rsid w:val="00110FCC"/>
    <w:rsid w:val="001110FB"/>
    <w:rsid w:val="001111AA"/>
    <w:rsid w:val="0011120A"/>
    <w:rsid w:val="0011126C"/>
    <w:rsid w:val="0011126D"/>
    <w:rsid w:val="0011129C"/>
    <w:rsid w:val="001112CA"/>
    <w:rsid w:val="0011140F"/>
    <w:rsid w:val="00111444"/>
    <w:rsid w:val="0011151F"/>
    <w:rsid w:val="0011158A"/>
    <w:rsid w:val="0011183D"/>
    <w:rsid w:val="00111884"/>
    <w:rsid w:val="001118D1"/>
    <w:rsid w:val="0011190F"/>
    <w:rsid w:val="001119E7"/>
    <w:rsid w:val="00111A49"/>
    <w:rsid w:val="00111D54"/>
    <w:rsid w:val="00111DD9"/>
    <w:rsid w:val="00111EDA"/>
    <w:rsid w:val="00111EFB"/>
    <w:rsid w:val="0011207F"/>
    <w:rsid w:val="001120CB"/>
    <w:rsid w:val="00112102"/>
    <w:rsid w:val="001121D2"/>
    <w:rsid w:val="0011224F"/>
    <w:rsid w:val="0011263D"/>
    <w:rsid w:val="00112715"/>
    <w:rsid w:val="00112724"/>
    <w:rsid w:val="00112761"/>
    <w:rsid w:val="00112A46"/>
    <w:rsid w:val="00112B02"/>
    <w:rsid w:val="00112B50"/>
    <w:rsid w:val="00112CFE"/>
    <w:rsid w:val="00112E8F"/>
    <w:rsid w:val="00112FDF"/>
    <w:rsid w:val="00113247"/>
    <w:rsid w:val="0011327A"/>
    <w:rsid w:val="00113504"/>
    <w:rsid w:val="00113622"/>
    <w:rsid w:val="0011362F"/>
    <w:rsid w:val="00113636"/>
    <w:rsid w:val="001136FF"/>
    <w:rsid w:val="0011386F"/>
    <w:rsid w:val="0011392C"/>
    <w:rsid w:val="00113934"/>
    <w:rsid w:val="00113A53"/>
    <w:rsid w:val="00113A5C"/>
    <w:rsid w:val="00113BB8"/>
    <w:rsid w:val="00113BDA"/>
    <w:rsid w:val="00113C3B"/>
    <w:rsid w:val="00113C8C"/>
    <w:rsid w:val="00113D59"/>
    <w:rsid w:val="00113D81"/>
    <w:rsid w:val="00113F45"/>
    <w:rsid w:val="001140F1"/>
    <w:rsid w:val="0011437A"/>
    <w:rsid w:val="0011440E"/>
    <w:rsid w:val="0011445C"/>
    <w:rsid w:val="00114571"/>
    <w:rsid w:val="001147B2"/>
    <w:rsid w:val="001148BC"/>
    <w:rsid w:val="001148D2"/>
    <w:rsid w:val="00114904"/>
    <w:rsid w:val="00114907"/>
    <w:rsid w:val="00114912"/>
    <w:rsid w:val="0011492E"/>
    <w:rsid w:val="00114949"/>
    <w:rsid w:val="001149CA"/>
    <w:rsid w:val="00114A5C"/>
    <w:rsid w:val="00114B08"/>
    <w:rsid w:val="00114C11"/>
    <w:rsid w:val="00114D71"/>
    <w:rsid w:val="00114E7E"/>
    <w:rsid w:val="00114E84"/>
    <w:rsid w:val="0011545A"/>
    <w:rsid w:val="0011548E"/>
    <w:rsid w:val="00115594"/>
    <w:rsid w:val="00115617"/>
    <w:rsid w:val="00115682"/>
    <w:rsid w:val="001156C5"/>
    <w:rsid w:val="00115735"/>
    <w:rsid w:val="001159FF"/>
    <w:rsid w:val="00115A20"/>
    <w:rsid w:val="00115A98"/>
    <w:rsid w:val="00115AA6"/>
    <w:rsid w:val="00115C32"/>
    <w:rsid w:val="00115C49"/>
    <w:rsid w:val="00115D2C"/>
    <w:rsid w:val="00115E9D"/>
    <w:rsid w:val="00115EB7"/>
    <w:rsid w:val="00116024"/>
    <w:rsid w:val="0011602F"/>
    <w:rsid w:val="001160D6"/>
    <w:rsid w:val="00116219"/>
    <w:rsid w:val="001164BB"/>
    <w:rsid w:val="0011657F"/>
    <w:rsid w:val="00116582"/>
    <w:rsid w:val="00116664"/>
    <w:rsid w:val="001166E7"/>
    <w:rsid w:val="0011677C"/>
    <w:rsid w:val="0011682B"/>
    <w:rsid w:val="00116844"/>
    <w:rsid w:val="0011687A"/>
    <w:rsid w:val="00116977"/>
    <w:rsid w:val="00116A60"/>
    <w:rsid w:val="00116B8D"/>
    <w:rsid w:val="00116C11"/>
    <w:rsid w:val="00116C54"/>
    <w:rsid w:val="00116E13"/>
    <w:rsid w:val="00116EA1"/>
    <w:rsid w:val="00116EAC"/>
    <w:rsid w:val="00116ED1"/>
    <w:rsid w:val="00116EFA"/>
    <w:rsid w:val="00116FD7"/>
    <w:rsid w:val="001170C5"/>
    <w:rsid w:val="001170E8"/>
    <w:rsid w:val="00117123"/>
    <w:rsid w:val="00117391"/>
    <w:rsid w:val="001173ED"/>
    <w:rsid w:val="001174EB"/>
    <w:rsid w:val="0011755F"/>
    <w:rsid w:val="001175F9"/>
    <w:rsid w:val="00117650"/>
    <w:rsid w:val="00117687"/>
    <w:rsid w:val="00117826"/>
    <w:rsid w:val="001178E0"/>
    <w:rsid w:val="001178E6"/>
    <w:rsid w:val="00117997"/>
    <w:rsid w:val="00117C8D"/>
    <w:rsid w:val="00117D2D"/>
    <w:rsid w:val="00117DB1"/>
    <w:rsid w:val="00117E58"/>
    <w:rsid w:val="00117E5E"/>
    <w:rsid w:val="00117E85"/>
    <w:rsid w:val="00117EF7"/>
    <w:rsid w:val="00117F54"/>
    <w:rsid w:val="00120346"/>
    <w:rsid w:val="0012046C"/>
    <w:rsid w:val="00120570"/>
    <w:rsid w:val="00120993"/>
    <w:rsid w:val="001209CB"/>
    <w:rsid w:val="00120A5F"/>
    <w:rsid w:val="00120AC3"/>
    <w:rsid w:val="00120B09"/>
    <w:rsid w:val="00120B2E"/>
    <w:rsid w:val="00120B97"/>
    <w:rsid w:val="00120C4B"/>
    <w:rsid w:val="00120DAB"/>
    <w:rsid w:val="001210CB"/>
    <w:rsid w:val="00121101"/>
    <w:rsid w:val="001211DD"/>
    <w:rsid w:val="0012123F"/>
    <w:rsid w:val="00121305"/>
    <w:rsid w:val="00121446"/>
    <w:rsid w:val="0012167F"/>
    <w:rsid w:val="001217BE"/>
    <w:rsid w:val="001217C9"/>
    <w:rsid w:val="00121AA7"/>
    <w:rsid w:val="00121C0A"/>
    <w:rsid w:val="00121D0D"/>
    <w:rsid w:val="00121D51"/>
    <w:rsid w:val="00121DAA"/>
    <w:rsid w:val="00121DE9"/>
    <w:rsid w:val="00121E94"/>
    <w:rsid w:val="00121FCD"/>
    <w:rsid w:val="001220FE"/>
    <w:rsid w:val="0012213F"/>
    <w:rsid w:val="00122235"/>
    <w:rsid w:val="00122320"/>
    <w:rsid w:val="001223C4"/>
    <w:rsid w:val="00122411"/>
    <w:rsid w:val="00122495"/>
    <w:rsid w:val="001224C0"/>
    <w:rsid w:val="001225E2"/>
    <w:rsid w:val="00122654"/>
    <w:rsid w:val="0012279C"/>
    <w:rsid w:val="0012282A"/>
    <w:rsid w:val="00122920"/>
    <w:rsid w:val="0012294B"/>
    <w:rsid w:val="00122954"/>
    <w:rsid w:val="00122AEE"/>
    <w:rsid w:val="00122B8C"/>
    <w:rsid w:val="00122CE9"/>
    <w:rsid w:val="00122D26"/>
    <w:rsid w:val="00122ED0"/>
    <w:rsid w:val="00122ED6"/>
    <w:rsid w:val="00122F03"/>
    <w:rsid w:val="00122F4B"/>
    <w:rsid w:val="00122FC4"/>
    <w:rsid w:val="001230F0"/>
    <w:rsid w:val="00123125"/>
    <w:rsid w:val="00123169"/>
    <w:rsid w:val="00123259"/>
    <w:rsid w:val="001233A2"/>
    <w:rsid w:val="001233E8"/>
    <w:rsid w:val="0012341B"/>
    <w:rsid w:val="001237A2"/>
    <w:rsid w:val="00123801"/>
    <w:rsid w:val="00123817"/>
    <w:rsid w:val="00123887"/>
    <w:rsid w:val="001238E2"/>
    <w:rsid w:val="00123AB6"/>
    <w:rsid w:val="00123AE8"/>
    <w:rsid w:val="00123B5E"/>
    <w:rsid w:val="00123BD6"/>
    <w:rsid w:val="00123C78"/>
    <w:rsid w:val="00123DAF"/>
    <w:rsid w:val="00123EB4"/>
    <w:rsid w:val="00123FA9"/>
    <w:rsid w:val="00123FD9"/>
    <w:rsid w:val="0012402A"/>
    <w:rsid w:val="001244F1"/>
    <w:rsid w:val="00124691"/>
    <w:rsid w:val="001246D3"/>
    <w:rsid w:val="001247CF"/>
    <w:rsid w:val="001248E1"/>
    <w:rsid w:val="00124A5F"/>
    <w:rsid w:val="00124A60"/>
    <w:rsid w:val="00124CD1"/>
    <w:rsid w:val="00124DC9"/>
    <w:rsid w:val="00124E18"/>
    <w:rsid w:val="00124F80"/>
    <w:rsid w:val="00125008"/>
    <w:rsid w:val="001250D1"/>
    <w:rsid w:val="0012517C"/>
    <w:rsid w:val="00125229"/>
    <w:rsid w:val="001252BA"/>
    <w:rsid w:val="00125364"/>
    <w:rsid w:val="00125584"/>
    <w:rsid w:val="00125647"/>
    <w:rsid w:val="00125679"/>
    <w:rsid w:val="001256BB"/>
    <w:rsid w:val="001257E4"/>
    <w:rsid w:val="00125902"/>
    <w:rsid w:val="00125A0D"/>
    <w:rsid w:val="00125B04"/>
    <w:rsid w:val="00125B1D"/>
    <w:rsid w:val="00125C11"/>
    <w:rsid w:val="00125C29"/>
    <w:rsid w:val="00125C75"/>
    <w:rsid w:val="00125D29"/>
    <w:rsid w:val="00125E2E"/>
    <w:rsid w:val="00125F3B"/>
    <w:rsid w:val="0012605D"/>
    <w:rsid w:val="001260FF"/>
    <w:rsid w:val="001262B1"/>
    <w:rsid w:val="001262D8"/>
    <w:rsid w:val="00126357"/>
    <w:rsid w:val="0012654C"/>
    <w:rsid w:val="00126616"/>
    <w:rsid w:val="001267C0"/>
    <w:rsid w:val="001268BC"/>
    <w:rsid w:val="00126930"/>
    <w:rsid w:val="00126976"/>
    <w:rsid w:val="00126A18"/>
    <w:rsid w:val="00126A24"/>
    <w:rsid w:val="00126A69"/>
    <w:rsid w:val="00126BE7"/>
    <w:rsid w:val="00126BE8"/>
    <w:rsid w:val="00126C02"/>
    <w:rsid w:val="00126C3D"/>
    <w:rsid w:val="00126D21"/>
    <w:rsid w:val="00126D39"/>
    <w:rsid w:val="00126FA6"/>
    <w:rsid w:val="00127213"/>
    <w:rsid w:val="0012721F"/>
    <w:rsid w:val="00127240"/>
    <w:rsid w:val="0012776D"/>
    <w:rsid w:val="00127774"/>
    <w:rsid w:val="0012796D"/>
    <w:rsid w:val="00127B9C"/>
    <w:rsid w:val="00127BAF"/>
    <w:rsid w:val="00127BFA"/>
    <w:rsid w:val="00127C50"/>
    <w:rsid w:val="00127CB9"/>
    <w:rsid w:val="00127CCF"/>
    <w:rsid w:val="00127D67"/>
    <w:rsid w:val="00127E86"/>
    <w:rsid w:val="00127FDD"/>
    <w:rsid w:val="0013000C"/>
    <w:rsid w:val="0013001E"/>
    <w:rsid w:val="001300BE"/>
    <w:rsid w:val="00130121"/>
    <w:rsid w:val="00130178"/>
    <w:rsid w:val="00130330"/>
    <w:rsid w:val="00130358"/>
    <w:rsid w:val="0013038F"/>
    <w:rsid w:val="001305AD"/>
    <w:rsid w:val="00130735"/>
    <w:rsid w:val="00130A60"/>
    <w:rsid w:val="00130ACC"/>
    <w:rsid w:val="00130B80"/>
    <w:rsid w:val="00130BCA"/>
    <w:rsid w:val="00130BD6"/>
    <w:rsid w:val="00130BF9"/>
    <w:rsid w:val="00130C80"/>
    <w:rsid w:val="00130C8A"/>
    <w:rsid w:val="00130D97"/>
    <w:rsid w:val="00130E02"/>
    <w:rsid w:val="00130E07"/>
    <w:rsid w:val="00130F0A"/>
    <w:rsid w:val="0013104D"/>
    <w:rsid w:val="00131381"/>
    <w:rsid w:val="00131489"/>
    <w:rsid w:val="0013173F"/>
    <w:rsid w:val="0013180B"/>
    <w:rsid w:val="0013181F"/>
    <w:rsid w:val="00131828"/>
    <w:rsid w:val="00131933"/>
    <w:rsid w:val="0013196C"/>
    <w:rsid w:val="001319D0"/>
    <w:rsid w:val="00131BF5"/>
    <w:rsid w:val="00131CAF"/>
    <w:rsid w:val="00131CEF"/>
    <w:rsid w:val="0013213B"/>
    <w:rsid w:val="001321EC"/>
    <w:rsid w:val="00132247"/>
    <w:rsid w:val="00132257"/>
    <w:rsid w:val="001322C1"/>
    <w:rsid w:val="00132322"/>
    <w:rsid w:val="0013237C"/>
    <w:rsid w:val="001323CA"/>
    <w:rsid w:val="0013250F"/>
    <w:rsid w:val="00132520"/>
    <w:rsid w:val="001325B4"/>
    <w:rsid w:val="0013266E"/>
    <w:rsid w:val="0013269F"/>
    <w:rsid w:val="00132804"/>
    <w:rsid w:val="00132905"/>
    <w:rsid w:val="001329BA"/>
    <w:rsid w:val="00132A49"/>
    <w:rsid w:val="00132B30"/>
    <w:rsid w:val="00132C9B"/>
    <w:rsid w:val="00132DE0"/>
    <w:rsid w:val="00132E5A"/>
    <w:rsid w:val="00132E97"/>
    <w:rsid w:val="00132EB3"/>
    <w:rsid w:val="00132F5F"/>
    <w:rsid w:val="00132F9D"/>
    <w:rsid w:val="00132FA3"/>
    <w:rsid w:val="00132FB9"/>
    <w:rsid w:val="00133109"/>
    <w:rsid w:val="00133132"/>
    <w:rsid w:val="00133192"/>
    <w:rsid w:val="001332B3"/>
    <w:rsid w:val="0013335D"/>
    <w:rsid w:val="00133645"/>
    <w:rsid w:val="001336A7"/>
    <w:rsid w:val="001336AF"/>
    <w:rsid w:val="0013373D"/>
    <w:rsid w:val="00133823"/>
    <w:rsid w:val="001338A1"/>
    <w:rsid w:val="00133A98"/>
    <w:rsid w:val="00133E7E"/>
    <w:rsid w:val="00133EC4"/>
    <w:rsid w:val="00133EFD"/>
    <w:rsid w:val="00133F6E"/>
    <w:rsid w:val="00133FE0"/>
    <w:rsid w:val="001341C4"/>
    <w:rsid w:val="001341EB"/>
    <w:rsid w:val="001342C2"/>
    <w:rsid w:val="001343C0"/>
    <w:rsid w:val="0013451F"/>
    <w:rsid w:val="00134528"/>
    <w:rsid w:val="001345E4"/>
    <w:rsid w:val="00134631"/>
    <w:rsid w:val="00134696"/>
    <w:rsid w:val="0013471A"/>
    <w:rsid w:val="0013472D"/>
    <w:rsid w:val="001347A2"/>
    <w:rsid w:val="0013480F"/>
    <w:rsid w:val="001349EE"/>
    <w:rsid w:val="00134A18"/>
    <w:rsid w:val="00134A71"/>
    <w:rsid w:val="00134B4E"/>
    <w:rsid w:val="00134C0F"/>
    <w:rsid w:val="00134C2B"/>
    <w:rsid w:val="00134D19"/>
    <w:rsid w:val="00134DB3"/>
    <w:rsid w:val="00134E24"/>
    <w:rsid w:val="00134E85"/>
    <w:rsid w:val="001351E3"/>
    <w:rsid w:val="0013538E"/>
    <w:rsid w:val="00135451"/>
    <w:rsid w:val="00135474"/>
    <w:rsid w:val="001355BC"/>
    <w:rsid w:val="00135661"/>
    <w:rsid w:val="0013568C"/>
    <w:rsid w:val="001356DF"/>
    <w:rsid w:val="00135779"/>
    <w:rsid w:val="001357D8"/>
    <w:rsid w:val="001357F4"/>
    <w:rsid w:val="00135852"/>
    <w:rsid w:val="0013585F"/>
    <w:rsid w:val="001359C6"/>
    <w:rsid w:val="00135D7B"/>
    <w:rsid w:val="00135DD4"/>
    <w:rsid w:val="00135FA5"/>
    <w:rsid w:val="00136068"/>
    <w:rsid w:val="001360F2"/>
    <w:rsid w:val="001361B7"/>
    <w:rsid w:val="001361D0"/>
    <w:rsid w:val="001361FF"/>
    <w:rsid w:val="00136245"/>
    <w:rsid w:val="001362FE"/>
    <w:rsid w:val="00136436"/>
    <w:rsid w:val="001365A5"/>
    <w:rsid w:val="001366D7"/>
    <w:rsid w:val="0013678A"/>
    <w:rsid w:val="00136821"/>
    <w:rsid w:val="0013682D"/>
    <w:rsid w:val="0013691A"/>
    <w:rsid w:val="00136962"/>
    <w:rsid w:val="001369B1"/>
    <w:rsid w:val="00136B90"/>
    <w:rsid w:val="00136BC0"/>
    <w:rsid w:val="00136BCC"/>
    <w:rsid w:val="00136CE0"/>
    <w:rsid w:val="00136DA0"/>
    <w:rsid w:val="00136E25"/>
    <w:rsid w:val="00136F1F"/>
    <w:rsid w:val="00136F4D"/>
    <w:rsid w:val="00136FD8"/>
    <w:rsid w:val="00136FDD"/>
    <w:rsid w:val="00136FEB"/>
    <w:rsid w:val="0013711E"/>
    <w:rsid w:val="00137354"/>
    <w:rsid w:val="001373DA"/>
    <w:rsid w:val="0013772C"/>
    <w:rsid w:val="001378A6"/>
    <w:rsid w:val="001378D9"/>
    <w:rsid w:val="00137A53"/>
    <w:rsid w:val="00137AB0"/>
    <w:rsid w:val="00137AD2"/>
    <w:rsid w:val="00137C0F"/>
    <w:rsid w:val="00137C58"/>
    <w:rsid w:val="00137C76"/>
    <w:rsid w:val="00137CAF"/>
    <w:rsid w:val="00137E67"/>
    <w:rsid w:val="00137ECC"/>
    <w:rsid w:val="00137FE2"/>
    <w:rsid w:val="00140014"/>
    <w:rsid w:val="00140118"/>
    <w:rsid w:val="0014011E"/>
    <w:rsid w:val="0014029D"/>
    <w:rsid w:val="0014033E"/>
    <w:rsid w:val="0014053C"/>
    <w:rsid w:val="001405D7"/>
    <w:rsid w:val="001405F7"/>
    <w:rsid w:val="00140615"/>
    <w:rsid w:val="00140814"/>
    <w:rsid w:val="001408AE"/>
    <w:rsid w:val="00140B41"/>
    <w:rsid w:val="00140B9C"/>
    <w:rsid w:val="00140BB0"/>
    <w:rsid w:val="00140C36"/>
    <w:rsid w:val="00140D1E"/>
    <w:rsid w:val="00140DD3"/>
    <w:rsid w:val="00140DD7"/>
    <w:rsid w:val="00140E0D"/>
    <w:rsid w:val="00140E6E"/>
    <w:rsid w:val="00140E7E"/>
    <w:rsid w:val="00140E95"/>
    <w:rsid w:val="00140EC8"/>
    <w:rsid w:val="00140F3B"/>
    <w:rsid w:val="00140F4A"/>
    <w:rsid w:val="001410A9"/>
    <w:rsid w:val="0014117F"/>
    <w:rsid w:val="0014119E"/>
    <w:rsid w:val="0014132A"/>
    <w:rsid w:val="00141427"/>
    <w:rsid w:val="0014148B"/>
    <w:rsid w:val="001414B7"/>
    <w:rsid w:val="001415BC"/>
    <w:rsid w:val="00141630"/>
    <w:rsid w:val="00141692"/>
    <w:rsid w:val="001416EB"/>
    <w:rsid w:val="001419B8"/>
    <w:rsid w:val="00141B38"/>
    <w:rsid w:val="00141BC4"/>
    <w:rsid w:val="00141BC6"/>
    <w:rsid w:val="00141D74"/>
    <w:rsid w:val="00141DB0"/>
    <w:rsid w:val="00141EAD"/>
    <w:rsid w:val="00141F78"/>
    <w:rsid w:val="00141FC2"/>
    <w:rsid w:val="00141FFA"/>
    <w:rsid w:val="00142050"/>
    <w:rsid w:val="00142052"/>
    <w:rsid w:val="0014215E"/>
    <w:rsid w:val="0014224B"/>
    <w:rsid w:val="001422FC"/>
    <w:rsid w:val="001423B3"/>
    <w:rsid w:val="0014241C"/>
    <w:rsid w:val="001424CA"/>
    <w:rsid w:val="001425BF"/>
    <w:rsid w:val="001426E5"/>
    <w:rsid w:val="0014270D"/>
    <w:rsid w:val="00142713"/>
    <w:rsid w:val="00142881"/>
    <w:rsid w:val="00142AFF"/>
    <w:rsid w:val="00142B1F"/>
    <w:rsid w:val="00142B53"/>
    <w:rsid w:val="00142B7B"/>
    <w:rsid w:val="00142BD0"/>
    <w:rsid w:val="00142C85"/>
    <w:rsid w:val="00142D68"/>
    <w:rsid w:val="00142D6C"/>
    <w:rsid w:val="00142D88"/>
    <w:rsid w:val="00142E1C"/>
    <w:rsid w:val="00142E94"/>
    <w:rsid w:val="00142EDE"/>
    <w:rsid w:val="00142F38"/>
    <w:rsid w:val="00142F75"/>
    <w:rsid w:val="00142FD5"/>
    <w:rsid w:val="001430C8"/>
    <w:rsid w:val="0014324D"/>
    <w:rsid w:val="0014328E"/>
    <w:rsid w:val="00143373"/>
    <w:rsid w:val="00143406"/>
    <w:rsid w:val="00143611"/>
    <w:rsid w:val="001436C3"/>
    <w:rsid w:val="001436F6"/>
    <w:rsid w:val="0014372E"/>
    <w:rsid w:val="001437F7"/>
    <w:rsid w:val="0014390E"/>
    <w:rsid w:val="0014395A"/>
    <w:rsid w:val="00143972"/>
    <w:rsid w:val="00143A10"/>
    <w:rsid w:val="00143A3E"/>
    <w:rsid w:val="00143A5D"/>
    <w:rsid w:val="00143D66"/>
    <w:rsid w:val="001441A7"/>
    <w:rsid w:val="001441AA"/>
    <w:rsid w:val="0014426F"/>
    <w:rsid w:val="00144282"/>
    <w:rsid w:val="00144382"/>
    <w:rsid w:val="001444F8"/>
    <w:rsid w:val="001446D6"/>
    <w:rsid w:val="001446EB"/>
    <w:rsid w:val="0014472C"/>
    <w:rsid w:val="00144897"/>
    <w:rsid w:val="001448A6"/>
    <w:rsid w:val="001448CA"/>
    <w:rsid w:val="001448FB"/>
    <w:rsid w:val="00144B05"/>
    <w:rsid w:val="00144B2B"/>
    <w:rsid w:val="00144B34"/>
    <w:rsid w:val="00144B85"/>
    <w:rsid w:val="00144D32"/>
    <w:rsid w:val="00144DB9"/>
    <w:rsid w:val="00144E17"/>
    <w:rsid w:val="00144ECC"/>
    <w:rsid w:val="00144F19"/>
    <w:rsid w:val="0014524C"/>
    <w:rsid w:val="001452E2"/>
    <w:rsid w:val="00145471"/>
    <w:rsid w:val="001454F4"/>
    <w:rsid w:val="00145560"/>
    <w:rsid w:val="00145619"/>
    <w:rsid w:val="001457A9"/>
    <w:rsid w:val="00145885"/>
    <w:rsid w:val="00145A1C"/>
    <w:rsid w:val="00145ADD"/>
    <w:rsid w:val="00145AF3"/>
    <w:rsid w:val="00145B5D"/>
    <w:rsid w:val="00145BC1"/>
    <w:rsid w:val="00145C9B"/>
    <w:rsid w:val="00145D86"/>
    <w:rsid w:val="00145DFC"/>
    <w:rsid w:val="00145E50"/>
    <w:rsid w:val="00145F63"/>
    <w:rsid w:val="0014605E"/>
    <w:rsid w:val="00146211"/>
    <w:rsid w:val="0014643B"/>
    <w:rsid w:val="0014668B"/>
    <w:rsid w:val="00146999"/>
    <w:rsid w:val="001469B3"/>
    <w:rsid w:val="00146A7C"/>
    <w:rsid w:val="00146CC3"/>
    <w:rsid w:val="00146D1C"/>
    <w:rsid w:val="00146DDE"/>
    <w:rsid w:val="00146E2C"/>
    <w:rsid w:val="00146E84"/>
    <w:rsid w:val="00147119"/>
    <w:rsid w:val="00147152"/>
    <w:rsid w:val="001471B4"/>
    <w:rsid w:val="0014739E"/>
    <w:rsid w:val="00147447"/>
    <w:rsid w:val="001475E2"/>
    <w:rsid w:val="00147623"/>
    <w:rsid w:val="0014764D"/>
    <w:rsid w:val="001478BA"/>
    <w:rsid w:val="00147A05"/>
    <w:rsid w:val="00147AE0"/>
    <w:rsid w:val="00147B39"/>
    <w:rsid w:val="00147DDF"/>
    <w:rsid w:val="00147EB9"/>
    <w:rsid w:val="00150039"/>
    <w:rsid w:val="001500B7"/>
    <w:rsid w:val="001500E4"/>
    <w:rsid w:val="001501A6"/>
    <w:rsid w:val="00150203"/>
    <w:rsid w:val="00150456"/>
    <w:rsid w:val="00150468"/>
    <w:rsid w:val="0015046B"/>
    <w:rsid w:val="0015058F"/>
    <w:rsid w:val="00150738"/>
    <w:rsid w:val="00150958"/>
    <w:rsid w:val="001509D8"/>
    <w:rsid w:val="00150B08"/>
    <w:rsid w:val="00150B45"/>
    <w:rsid w:val="00150BAC"/>
    <w:rsid w:val="00150BB3"/>
    <w:rsid w:val="00150D5F"/>
    <w:rsid w:val="00150DF4"/>
    <w:rsid w:val="00150F2D"/>
    <w:rsid w:val="00150F9B"/>
    <w:rsid w:val="0015100E"/>
    <w:rsid w:val="0015112B"/>
    <w:rsid w:val="00151220"/>
    <w:rsid w:val="00151252"/>
    <w:rsid w:val="0015127B"/>
    <w:rsid w:val="00151428"/>
    <w:rsid w:val="00151469"/>
    <w:rsid w:val="0015152A"/>
    <w:rsid w:val="00151604"/>
    <w:rsid w:val="001516FB"/>
    <w:rsid w:val="001519CB"/>
    <w:rsid w:val="00151A1C"/>
    <w:rsid w:val="00151AFF"/>
    <w:rsid w:val="00151D57"/>
    <w:rsid w:val="00151D68"/>
    <w:rsid w:val="00151DDA"/>
    <w:rsid w:val="00151F07"/>
    <w:rsid w:val="00152028"/>
    <w:rsid w:val="001520C1"/>
    <w:rsid w:val="00152119"/>
    <w:rsid w:val="0015214F"/>
    <w:rsid w:val="001521B8"/>
    <w:rsid w:val="00152326"/>
    <w:rsid w:val="0015239B"/>
    <w:rsid w:val="001523EF"/>
    <w:rsid w:val="0015262C"/>
    <w:rsid w:val="001526F5"/>
    <w:rsid w:val="00152812"/>
    <w:rsid w:val="00152859"/>
    <w:rsid w:val="00152966"/>
    <w:rsid w:val="00152999"/>
    <w:rsid w:val="00152A1E"/>
    <w:rsid w:val="00152A56"/>
    <w:rsid w:val="00152A82"/>
    <w:rsid w:val="00152AC3"/>
    <w:rsid w:val="00152B96"/>
    <w:rsid w:val="00152DFB"/>
    <w:rsid w:val="00152E64"/>
    <w:rsid w:val="00152F3D"/>
    <w:rsid w:val="00152FDF"/>
    <w:rsid w:val="001530E0"/>
    <w:rsid w:val="0015311E"/>
    <w:rsid w:val="001532BD"/>
    <w:rsid w:val="0015346F"/>
    <w:rsid w:val="0015351C"/>
    <w:rsid w:val="00153627"/>
    <w:rsid w:val="00153782"/>
    <w:rsid w:val="001538BC"/>
    <w:rsid w:val="001538CE"/>
    <w:rsid w:val="0015396B"/>
    <w:rsid w:val="00153A15"/>
    <w:rsid w:val="00153CD5"/>
    <w:rsid w:val="00153E0F"/>
    <w:rsid w:val="00153E72"/>
    <w:rsid w:val="00153ED9"/>
    <w:rsid w:val="00153F8D"/>
    <w:rsid w:val="00154139"/>
    <w:rsid w:val="001542F0"/>
    <w:rsid w:val="00154300"/>
    <w:rsid w:val="0015438C"/>
    <w:rsid w:val="00154490"/>
    <w:rsid w:val="001544C4"/>
    <w:rsid w:val="001544F1"/>
    <w:rsid w:val="001545C7"/>
    <w:rsid w:val="001545E5"/>
    <w:rsid w:val="00154691"/>
    <w:rsid w:val="00154710"/>
    <w:rsid w:val="00154734"/>
    <w:rsid w:val="001548B7"/>
    <w:rsid w:val="001548D7"/>
    <w:rsid w:val="00154A73"/>
    <w:rsid w:val="00154A8F"/>
    <w:rsid w:val="00154B57"/>
    <w:rsid w:val="00154B6A"/>
    <w:rsid w:val="00154BA4"/>
    <w:rsid w:val="00154C43"/>
    <w:rsid w:val="00154D28"/>
    <w:rsid w:val="00154E8F"/>
    <w:rsid w:val="00154EB5"/>
    <w:rsid w:val="00154EEA"/>
    <w:rsid w:val="00154FA1"/>
    <w:rsid w:val="00154FE1"/>
    <w:rsid w:val="0015518B"/>
    <w:rsid w:val="001551B8"/>
    <w:rsid w:val="0015520A"/>
    <w:rsid w:val="001552A2"/>
    <w:rsid w:val="00155303"/>
    <w:rsid w:val="001553F5"/>
    <w:rsid w:val="0015552D"/>
    <w:rsid w:val="00155548"/>
    <w:rsid w:val="00155721"/>
    <w:rsid w:val="00155799"/>
    <w:rsid w:val="0015585D"/>
    <w:rsid w:val="0015597A"/>
    <w:rsid w:val="001559C8"/>
    <w:rsid w:val="00155A9B"/>
    <w:rsid w:val="00155B64"/>
    <w:rsid w:val="00155BF2"/>
    <w:rsid w:val="00155CE9"/>
    <w:rsid w:val="00155DDC"/>
    <w:rsid w:val="00155E5B"/>
    <w:rsid w:val="0015613B"/>
    <w:rsid w:val="00156190"/>
    <w:rsid w:val="001561B5"/>
    <w:rsid w:val="00156216"/>
    <w:rsid w:val="00156482"/>
    <w:rsid w:val="001565C0"/>
    <w:rsid w:val="001565E7"/>
    <w:rsid w:val="00156609"/>
    <w:rsid w:val="0015666E"/>
    <w:rsid w:val="001566F9"/>
    <w:rsid w:val="0015672F"/>
    <w:rsid w:val="00156756"/>
    <w:rsid w:val="001567C3"/>
    <w:rsid w:val="001567E6"/>
    <w:rsid w:val="00156811"/>
    <w:rsid w:val="00156861"/>
    <w:rsid w:val="00156A7E"/>
    <w:rsid w:val="00156AA4"/>
    <w:rsid w:val="00156BED"/>
    <w:rsid w:val="00156C1E"/>
    <w:rsid w:val="00156CEE"/>
    <w:rsid w:val="00156DFA"/>
    <w:rsid w:val="00156DFD"/>
    <w:rsid w:val="00156E55"/>
    <w:rsid w:val="00156ED1"/>
    <w:rsid w:val="00156FB0"/>
    <w:rsid w:val="0015705F"/>
    <w:rsid w:val="00157448"/>
    <w:rsid w:val="0015747B"/>
    <w:rsid w:val="001576AE"/>
    <w:rsid w:val="00157702"/>
    <w:rsid w:val="001577AB"/>
    <w:rsid w:val="001578DE"/>
    <w:rsid w:val="00157912"/>
    <w:rsid w:val="0015791A"/>
    <w:rsid w:val="00157954"/>
    <w:rsid w:val="00157ACC"/>
    <w:rsid w:val="00157ADF"/>
    <w:rsid w:val="00157B8B"/>
    <w:rsid w:val="00157BFD"/>
    <w:rsid w:val="00157CEB"/>
    <w:rsid w:val="001602A6"/>
    <w:rsid w:val="001605AB"/>
    <w:rsid w:val="001605FB"/>
    <w:rsid w:val="00160708"/>
    <w:rsid w:val="0016076A"/>
    <w:rsid w:val="0016091A"/>
    <w:rsid w:val="00160A12"/>
    <w:rsid w:val="00160A8B"/>
    <w:rsid w:val="00160E08"/>
    <w:rsid w:val="00160E84"/>
    <w:rsid w:val="00161139"/>
    <w:rsid w:val="00161407"/>
    <w:rsid w:val="0016141F"/>
    <w:rsid w:val="001615C0"/>
    <w:rsid w:val="0016163D"/>
    <w:rsid w:val="00161668"/>
    <w:rsid w:val="001616CE"/>
    <w:rsid w:val="001616ED"/>
    <w:rsid w:val="001618EC"/>
    <w:rsid w:val="00161BF3"/>
    <w:rsid w:val="00161D11"/>
    <w:rsid w:val="00161DB8"/>
    <w:rsid w:val="00161E50"/>
    <w:rsid w:val="00161F86"/>
    <w:rsid w:val="00161FE5"/>
    <w:rsid w:val="001620CC"/>
    <w:rsid w:val="001620F3"/>
    <w:rsid w:val="00162283"/>
    <w:rsid w:val="001622E3"/>
    <w:rsid w:val="00162328"/>
    <w:rsid w:val="001623FF"/>
    <w:rsid w:val="00162550"/>
    <w:rsid w:val="001626B9"/>
    <w:rsid w:val="0016272B"/>
    <w:rsid w:val="0016277A"/>
    <w:rsid w:val="001627A7"/>
    <w:rsid w:val="00162B6E"/>
    <w:rsid w:val="00163143"/>
    <w:rsid w:val="001631D4"/>
    <w:rsid w:val="001632A9"/>
    <w:rsid w:val="001632B8"/>
    <w:rsid w:val="001632DD"/>
    <w:rsid w:val="001632F4"/>
    <w:rsid w:val="001634B7"/>
    <w:rsid w:val="00163565"/>
    <w:rsid w:val="00163597"/>
    <w:rsid w:val="00163658"/>
    <w:rsid w:val="00163660"/>
    <w:rsid w:val="0016366F"/>
    <w:rsid w:val="001636F6"/>
    <w:rsid w:val="001639C4"/>
    <w:rsid w:val="001639F2"/>
    <w:rsid w:val="00163B0F"/>
    <w:rsid w:val="00163B86"/>
    <w:rsid w:val="00163E08"/>
    <w:rsid w:val="00163E33"/>
    <w:rsid w:val="00163ECD"/>
    <w:rsid w:val="00163EDE"/>
    <w:rsid w:val="00164043"/>
    <w:rsid w:val="0016417A"/>
    <w:rsid w:val="00164236"/>
    <w:rsid w:val="001642FC"/>
    <w:rsid w:val="001643E6"/>
    <w:rsid w:val="001644C3"/>
    <w:rsid w:val="001645D7"/>
    <w:rsid w:val="0016467D"/>
    <w:rsid w:val="00164827"/>
    <w:rsid w:val="001648DA"/>
    <w:rsid w:val="00164982"/>
    <w:rsid w:val="00164AAB"/>
    <w:rsid w:val="00164BB1"/>
    <w:rsid w:val="00164BDB"/>
    <w:rsid w:val="00164CB9"/>
    <w:rsid w:val="00164DD5"/>
    <w:rsid w:val="00164E1F"/>
    <w:rsid w:val="00164F3D"/>
    <w:rsid w:val="00164F7A"/>
    <w:rsid w:val="00165345"/>
    <w:rsid w:val="0016539A"/>
    <w:rsid w:val="00165458"/>
    <w:rsid w:val="00165534"/>
    <w:rsid w:val="001656A6"/>
    <w:rsid w:val="00165717"/>
    <w:rsid w:val="0016572C"/>
    <w:rsid w:val="00165783"/>
    <w:rsid w:val="00165791"/>
    <w:rsid w:val="001658C7"/>
    <w:rsid w:val="0016590F"/>
    <w:rsid w:val="00165954"/>
    <w:rsid w:val="001659FA"/>
    <w:rsid w:val="00165B2E"/>
    <w:rsid w:val="00165B54"/>
    <w:rsid w:val="00165DE3"/>
    <w:rsid w:val="00165F51"/>
    <w:rsid w:val="00165F5E"/>
    <w:rsid w:val="00165F70"/>
    <w:rsid w:val="00165F76"/>
    <w:rsid w:val="00165FC5"/>
    <w:rsid w:val="00165FFB"/>
    <w:rsid w:val="0016609C"/>
    <w:rsid w:val="001660F4"/>
    <w:rsid w:val="0016615F"/>
    <w:rsid w:val="00166199"/>
    <w:rsid w:val="001662AB"/>
    <w:rsid w:val="001663A2"/>
    <w:rsid w:val="00166496"/>
    <w:rsid w:val="001665AC"/>
    <w:rsid w:val="001667D6"/>
    <w:rsid w:val="001668D0"/>
    <w:rsid w:val="001669B5"/>
    <w:rsid w:val="00166A37"/>
    <w:rsid w:val="00166A9D"/>
    <w:rsid w:val="00166BB8"/>
    <w:rsid w:val="00166D44"/>
    <w:rsid w:val="00166E31"/>
    <w:rsid w:val="00166E4E"/>
    <w:rsid w:val="00166EC2"/>
    <w:rsid w:val="00166F84"/>
    <w:rsid w:val="00167059"/>
    <w:rsid w:val="0016734B"/>
    <w:rsid w:val="0016739A"/>
    <w:rsid w:val="00167464"/>
    <w:rsid w:val="001674A7"/>
    <w:rsid w:val="001674D3"/>
    <w:rsid w:val="0016753C"/>
    <w:rsid w:val="00167599"/>
    <w:rsid w:val="00167674"/>
    <w:rsid w:val="00167686"/>
    <w:rsid w:val="0016770C"/>
    <w:rsid w:val="0016772B"/>
    <w:rsid w:val="00167B0E"/>
    <w:rsid w:val="00167B3D"/>
    <w:rsid w:val="00167B47"/>
    <w:rsid w:val="00167B5A"/>
    <w:rsid w:val="00167B65"/>
    <w:rsid w:val="00167BA9"/>
    <w:rsid w:val="00167CBC"/>
    <w:rsid w:val="00167CE0"/>
    <w:rsid w:val="00167D41"/>
    <w:rsid w:val="00167E38"/>
    <w:rsid w:val="00167F6F"/>
    <w:rsid w:val="0017010E"/>
    <w:rsid w:val="00170217"/>
    <w:rsid w:val="0017024A"/>
    <w:rsid w:val="00170318"/>
    <w:rsid w:val="00170327"/>
    <w:rsid w:val="00170445"/>
    <w:rsid w:val="00170526"/>
    <w:rsid w:val="001705BC"/>
    <w:rsid w:val="00170648"/>
    <w:rsid w:val="001707B2"/>
    <w:rsid w:val="001708E9"/>
    <w:rsid w:val="00170904"/>
    <w:rsid w:val="0017093D"/>
    <w:rsid w:val="00170A01"/>
    <w:rsid w:val="00170AED"/>
    <w:rsid w:val="00170DA1"/>
    <w:rsid w:val="00170DF3"/>
    <w:rsid w:val="00170F4E"/>
    <w:rsid w:val="00170FBB"/>
    <w:rsid w:val="0017109A"/>
    <w:rsid w:val="001710CC"/>
    <w:rsid w:val="00171246"/>
    <w:rsid w:val="00171281"/>
    <w:rsid w:val="001712D5"/>
    <w:rsid w:val="00171395"/>
    <w:rsid w:val="001713DE"/>
    <w:rsid w:val="001714E1"/>
    <w:rsid w:val="001714E2"/>
    <w:rsid w:val="0017150D"/>
    <w:rsid w:val="001715C3"/>
    <w:rsid w:val="001715C5"/>
    <w:rsid w:val="0017168E"/>
    <w:rsid w:val="0017174F"/>
    <w:rsid w:val="0017176B"/>
    <w:rsid w:val="001717FC"/>
    <w:rsid w:val="00171863"/>
    <w:rsid w:val="0017188D"/>
    <w:rsid w:val="001718BD"/>
    <w:rsid w:val="00171964"/>
    <w:rsid w:val="00171995"/>
    <w:rsid w:val="001719CA"/>
    <w:rsid w:val="00171CD7"/>
    <w:rsid w:val="00171EE3"/>
    <w:rsid w:val="00171FC4"/>
    <w:rsid w:val="001720E4"/>
    <w:rsid w:val="001720F6"/>
    <w:rsid w:val="00172112"/>
    <w:rsid w:val="0017211C"/>
    <w:rsid w:val="0017216B"/>
    <w:rsid w:val="0017217B"/>
    <w:rsid w:val="00172180"/>
    <w:rsid w:val="00172284"/>
    <w:rsid w:val="001722E3"/>
    <w:rsid w:val="00172394"/>
    <w:rsid w:val="001723B7"/>
    <w:rsid w:val="00172415"/>
    <w:rsid w:val="0017261B"/>
    <w:rsid w:val="00172665"/>
    <w:rsid w:val="0017268B"/>
    <w:rsid w:val="001727D7"/>
    <w:rsid w:val="00172820"/>
    <w:rsid w:val="001728D2"/>
    <w:rsid w:val="00172AF6"/>
    <w:rsid w:val="00172D84"/>
    <w:rsid w:val="00172E3C"/>
    <w:rsid w:val="00172E4D"/>
    <w:rsid w:val="00172FE3"/>
    <w:rsid w:val="00173189"/>
    <w:rsid w:val="001731DA"/>
    <w:rsid w:val="0017323D"/>
    <w:rsid w:val="0017325F"/>
    <w:rsid w:val="0017345B"/>
    <w:rsid w:val="00173554"/>
    <w:rsid w:val="00173693"/>
    <w:rsid w:val="001736E4"/>
    <w:rsid w:val="00173833"/>
    <w:rsid w:val="00173868"/>
    <w:rsid w:val="001738AE"/>
    <w:rsid w:val="00173A74"/>
    <w:rsid w:val="00173B6C"/>
    <w:rsid w:val="00173BA8"/>
    <w:rsid w:val="00173BE6"/>
    <w:rsid w:val="00173D64"/>
    <w:rsid w:val="00173D6A"/>
    <w:rsid w:val="00173DB7"/>
    <w:rsid w:val="00173EE3"/>
    <w:rsid w:val="00173F0D"/>
    <w:rsid w:val="00173FEA"/>
    <w:rsid w:val="00174216"/>
    <w:rsid w:val="001745DB"/>
    <w:rsid w:val="001745E6"/>
    <w:rsid w:val="0017463B"/>
    <w:rsid w:val="0017480A"/>
    <w:rsid w:val="00174854"/>
    <w:rsid w:val="00174A00"/>
    <w:rsid w:val="00174EC3"/>
    <w:rsid w:val="00175025"/>
    <w:rsid w:val="00175098"/>
    <w:rsid w:val="001750BD"/>
    <w:rsid w:val="001750CE"/>
    <w:rsid w:val="001751CF"/>
    <w:rsid w:val="00175248"/>
    <w:rsid w:val="0017526D"/>
    <w:rsid w:val="00175276"/>
    <w:rsid w:val="00175442"/>
    <w:rsid w:val="00175475"/>
    <w:rsid w:val="0017558D"/>
    <w:rsid w:val="001756D8"/>
    <w:rsid w:val="001757AC"/>
    <w:rsid w:val="00175894"/>
    <w:rsid w:val="001758A4"/>
    <w:rsid w:val="00175A9B"/>
    <w:rsid w:val="00175ABE"/>
    <w:rsid w:val="00175B97"/>
    <w:rsid w:val="00175C3A"/>
    <w:rsid w:val="00175CC9"/>
    <w:rsid w:val="00175D2F"/>
    <w:rsid w:val="00175D52"/>
    <w:rsid w:val="00175DCE"/>
    <w:rsid w:val="00175E69"/>
    <w:rsid w:val="00175EEB"/>
    <w:rsid w:val="00175F12"/>
    <w:rsid w:val="00175F81"/>
    <w:rsid w:val="0017618B"/>
    <w:rsid w:val="001763B4"/>
    <w:rsid w:val="0017642B"/>
    <w:rsid w:val="00176503"/>
    <w:rsid w:val="001765E7"/>
    <w:rsid w:val="00176606"/>
    <w:rsid w:val="00176647"/>
    <w:rsid w:val="001767A9"/>
    <w:rsid w:val="00176969"/>
    <w:rsid w:val="001769D8"/>
    <w:rsid w:val="00176B1C"/>
    <w:rsid w:val="00176B6E"/>
    <w:rsid w:val="00176BD8"/>
    <w:rsid w:val="00176E32"/>
    <w:rsid w:val="00176E45"/>
    <w:rsid w:val="00176E77"/>
    <w:rsid w:val="00176E7E"/>
    <w:rsid w:val="00176F4F"/>
    <w:rsid w:val="00177144"/>
    <w:rsid w:val="00177387"/>
    <w:rsid w:val="0017741B"/>
    <w:rsid w:val="00177467"/>
    <w:rsid w:val="001774CD"/>
    <w:rsid w:val="0017770C"/>
    <w:rsid w:val="00177922"/>
    <w:rsid w:val="00177986"/>
    <w:rsid w:val="001779F5"/>
    <w:rsid w:val="00177A44"/>
    <w:rsid w:val="00177A96"/>
    <w:rsid w:val="00177BF5"/>
    <w:rsid w:val="00177D64"/>
    <w:rsid w:val="00177DDC"/>
    <w:rsid w:val="001800E6"/>
    <w:rsid w:val="0018021E"/>
    <w:rsid w:val="00180248"/>
    <w:rsid w:val="0018039A"/>
    <w:rsid w:val="0018039C"/>
    <w:rsid w:val="001803FD"/>
    <w:rsid w:val="0018044A"/>
    <w:rsid w:val="00180834"/>
    <w:rsid w:val="00180924"/>
    <w:rsid w:val="00180A81"/>
    <w:rsid w:val="00180AC8"/>
    <w:rsid w:val="00180C7E"/>
    <w:rsid w:val="00181021"/>
    <w:rsid w:val="0018104A"/>
    <w:rsid w:val="001810AE"/>
    <w:rsid w:val="001810CC"/>
    <w:rsid w:val="00181284"/>
    <w:rsid w:val="00181407"/>
    <w:rsid w:val="00181542"/>
    <w:rsid w:val="0018157A"/>
    <w:rsid w:val="001816E5"/>
    <w:rsid w:val="00181708"/>
    <w:rsid w:val="0018172F"/>
    <w:rsid w:val="0018183D"/>
    <w:rsid w:val="001819F4"/>
    <w:rsid w:val="00181A0E"/>
    <w:rsid w:val="00181A89"/>
    <w:rsid w:val="00181AB1"/>
    <w:rsid w:val="00181C83"/>
    <w:rsid w:val="00181CC4"/>
    <w:rsid w:val="00181D69"/>
    <w:rsid w:val="00181E25"/>
    <w:rsid w:val="00181F47"/>
    <w:rsid w:val="00182061"/>
    <w:rsid w:val="001820FE"/>
    <w:rsid w:val="001821A2"/>
    <w:rsid w:val="0018223D"/>
    <w:rsid w:val="001822EC"/>
    <w:rsid w:val="00182502"/>
    <w:rsid w:val="00182557"/>
    <w:rsid w:val="0018257F"/>
    <w:rsid w:val="00182653"/>
    <w:rsid w:val="0018271F"/>
    <w:rsid w:val="0018291C"/>
    <w:rsid w:val="00182BA4"/>
    <w:rsid w:val="00182C77"/>
    <w:rsid w:val="00182D4B"/>
    <w:rsid w:val="00182E26"/>
    <w:rsid w:val="00182E61"/>
    <w:rsid w:val="00182EAE"/>
    <w:rsid w:val="00182ED2"/>
    <w:rsid w:val="00182F2A"/>
    <w:rsid w:val="00182F71"/>
    <w:rsid w:val="00182F7E"/>
    <w:rsid w:val="00183032"/>
    <w:rsid w:val="0018331A"/>
    <w:rsid w:val="001833C5"/>
    <w:rsid w:val="00183425"/>
    <w:rsid w:val="0018342C"/>
    <w:rsid w:val="00183439"/>
    <w:rsid w:val="00183443"/>
    <w:rsid w:val="001834C3"/>
    <w:rsid w:val="001834EB"/>
    <w:rsid w:val="001835AF"/>
    <w:rsid w:val="00183763"/>
    <w:rsid w:val="00183770"/>
    <w:rsid w:val="0018382A"/>
    <w:rsid w:val="0018383B"/>
    <w:rsid w:val="00183853"/>
    <w:rsid w:val="001839A3"/>
    <w:rsid w:val="00183BE8"/>
    <w:rsid w:val="00183C4B"/>
    <w:rsid w:val="00183C72"/>
    <w:rsid w:val="00183CB4"/>
    <w:rsid w:val="00183CD6"/>
    <w:rsid w:val="00183D85"/>
    <w:rsid w:val="00183DAA"/>
    <w:rsid w:val="00183F37"/>
    <w:rsid w:val="001841A1"/>
    <w:rsid w:val="001842D7"/>
    <w:rsid w:val="00184376"/>
    <w:rsid w:val="001844E6"/>
    <w:rsid w:val="001844FE"/>
    <w:rsid w:val="00184632"/>
    <w:rsid w:val="00184AF5"/>
    <w:rsid w:val="00184C61"/>
    <w:rsid w:val="00184D71"/>
    <w:rsid w:val="00185239"/>
    <w:rsid w:val="00185348"/>
    <w:rsid w:val="00185484"/>
    <w:rsid w:val="001855D5"/>
    <w:rsid w:val="001855DA"/>
    <w:rsid w:val="0018579D"/>
    <w:rsid w:val="0018590D"/>
    <w:rsid w:val="00185AE8"/>
    <w:rsid w:val="00185B09"/>
    <w:rsid w:val="00185C87"/>
    <w:rsid w:val="00185D6E"/>
    <w:rsid w:val="00185DCE"/>
    <w:rsid w:val="00185E48"/>
    <w:rsid w:val="00185EFC"/>
    <w:rsid w:val="00185F77"/>
    <w:rsid w:val="00186150"/>
    <w:rsid w:val="0018626A"/>
    <w:rsid w:val="00186312"/>
    <w:rsid w:val="0018634C"/>
    <w:rsid w:val="001863A4"/>
    <w:rsid w:val="001863CB"/>
    <w:rsid w:val="00186488"/>
    <w:rsid w:val="00186489"/>
    <w:rsid w:val="001864F1"/>
    <w:rsid w:val="00186653"/>
    <w:rsid w:val="00186659"/>
    <w:rsid w:val="001866DE"/>
    <w:rsid w:val="0018683E"/>
    <w:rsid w:val="00186846"/>
    <w:rsid w:val="001869E9"/>
    <w:rsid w:val="00186B5B"/>
    <w:rsid w:val="00186DA5"/>
    <w:rsid w:val="00186DB2"/>
    <w:rsid w:val="00186DDE"/>
    <w:rsid w:val="00186E15"/>
    <w:rsid w:val="00186F17"/>
    <w:rsid w:val="00186F57"/>
    <w:rsid w:val="00186F66"/>
    <w:rsid w:val="00187089"/>
    <w:rsid w:val="001870BC"/>
    <w:rsid w:val="0018711E"/>
    <w:rsid w:val="0018716B"/>
    <w:rsid w:val="0018730D"/>
    <w:rsid w:val="00187361"/>
    <w:rsid w:val="001873CE"/>
    <w:rsid w:val="001875D3"/>
    <w:rsid w:val="00187628"/>
    <w:rsid w:val="0018763D"/>
    <w:rsid w:val="00187833"/>
    <w:rsid w:val="001878EF"/>
    <w:rsid w:val="001879CE"/>
    <w:rsid w:val="00187BEF"/>
    <w:rsid w:val="00187C2A"/>
    <w:rsid w:val="00187D2E"/>
    <w:rsid w:val="00187DD4"/>
    <w:rsid w:val="00187E86"/>
    <w:rsid w:val="00187F4E"/>
    <w:rsid w:val="00187F7B"/>
    <w:rsid w:val="0019017D"/>
    <w:rsid w:val="001901C7"/>
    <w:rsid w:val="001902F7"/>
    <w:rsid w:val="00190312"/>
    <w:rsid w:val="001903D8"/>
    <w:rsid w:val="00190540"/>
    <w:rsid w:val="00190649"/>
    <w:rsid w:val="001906C9"/>
    <w:rsid w:val="0019076A"/>
    <w:rsid w:val="001907D0"/>
    <w:rsid w:val="00190939"/>
    <w:rsid w:val="00190A2A"/>
    <w:rsid w:val="00190C3E"/>
    <w:rsid w:val="00190CD6"/>
    <w:rsid w:val="00190CF4"/>
    <w:rsid w:val="00190CF9"/>
    <w:rsid w:val="00190D98"/>
    <w:rsid w:val="00190F03"/>
    <w:rsid w:val="00190F63"/>
    <w:rsid w:val="00190F83"/>
    <w:rsid w:val="00191114"/>
    <w:rsid w:val="0019153E"/>
    <w:rsid w:val="001915BA"/>
    <w:rsid w:val="001915F1"/>
    <w:rsid w:val="001916CD"/>
    <w:rsid w:val="0019177F"/>
    <w:rsid w:val="001917E8"/>
    <w:rsid w:val="0019186C"/>
    <w:rsid w:val="00191D83"/>
    <w:rsid w:val="00191E7B"/>
    <w:rsid w:val="00191FF0"/>
    <w:rsid w:val="001921E6"/>
    <w:rsid w:val="00192258"/>
    <w:rsid w:val="0019228A"/>
    <w:rsid w:val="00192338"/>
    <w:rsid w:val="001923E8"/>
    <w:rsid w:val="0019241C"/>
    <w:rsid w:val="001924A8"/>
    <w:rsid w:val="0019264C"/>
    <w:rsid w:val="00192685"/>
    <w:rsid w:val="0019272B"/>
    <w:rsid w:val="00192862"/>
    <w:rsid w:val="00192869"/>
    <w:rsid w:val="001928DD"/>
    <w:rsid w:val="00192964"/>
    <w:rsid w:val="001929BD"/>
    <w:rsid w:val="00192A2A"/>
    <w:rsid w:val="00192BA1"/>
    <w:rsid w:val="00192D57"/>
    <w:rsid w:val="00192F93"/>
    <w:rsid w:val="00192F96"/>
    <w:rsid w:val="00193093"/>
    <w:rsid w:val="001931CF"/>
    <w:rsid w:val="00193385"/>
    <w:rsid w:val="001933E6"/>
    <w:rsid w:val="001933FB"/>
    <w:rsid w:val="00193720"/>
    <w:rsid w:val="001937EE"/>
    <w:rsid w:val="00193870"/>
    <w:rsid w:val="00193954"/>
    <w:rsid w:val="00193A03"/>
    <w:rsid w:val="00193A04"/>
    <w:rsid w:val="00193A50"/>
    <w:rsid w:val="00193A87"/>
    <w:rsid w:val="00193AA0"/>
    <w:rsid w:val="00193B17"/>
    <w:rsid w:val="00193B76"/>
    <w:rsid w:val="00193CAE"/>
    <w:rsid w:val="00193DF4"/>
    <w:rsid w:val="00193F6B"/>
    <w:rsid w:val="0019401F"/>
    <w:rsid w:val="0019402F"/>
    <w:rsid w:val="00194044"/>
    <w:rsid w:val="0019407F"/>
    <w:rsid w:val="001940A0"/>
    <w:rsid w:val="0019423E"/>
    <w:rsid w:val="00194292"/>
    <w:rsid w:val="00194464"/>
    <w:rsid w:val="00194496"/>
    <w:rsid w:val="001945C1"/>
    <w:rsid w:val="001947AE"/>
    <w:rsid w:val="0019490C"/>
    <w:rsid w:val="00194A0A"/>
    <w:rsid w:val="00194A49"/>
    <w:rsid w:val="00194B92"/>
    <w:rsid w:val="00194C8D"/>
    <w:rsid w:val="00194D09"/>
    <w:rsid w:val="00194D45"/>
    <w:rsid w:val="00194E6D"/>
    <w:rsid w:val="00194F09"/>
    <w:rsid w:val="00194F37"/>
    <w:rsid w:val="00194F94"/>
    <w:rsid w:val="00194FAB"/>
    <w:rsid w:val="0019503F"/>
    <w:rsid w:val="00195099"/>
    <w:rsid w:val="00195202"/>
    <w:rsid w:val="0019520E"/>
    <w:rsid w:val="001952EF"/>
    <w:rsid w:val="00195324"/>
    <w:rsid w:val="00195437"/>
    <w:rsid w:val="00195696"/>
    <w:rsid w:val="0019571A"/>
    <w:rsid w:val="0019579D"/>
    <w:rsid w:val="00195995"/>
    <w:rsid w:val="001959F5"/>
    <w:rsid w:val="00195AC0"/>
    <w:rsid w:val="00195D1B"/>
    <w:rsid w:val="00195EBB"/>
    <w:rsid w:val="001960A0"/>
    <w:rsid w:val="001961F3"/>
    <w:rsid w:val="001962E4"/>
    <w:rsid w:val="001963B7"/>
    <w:rsid w:val="00196421"/>
    <w:rsid w:val="001964FA"/>
    <w:rsid w:val="00196538"/>
    <w:rsid w:val="0019667C"/>
    <w:rsid w:val="001967C4"/>
    <w:rsid w:val="001967FF"/>
    <w:rsid w:val="00196836"/>
    <w:rsid w:val="00196891"/>
    <w:rsid w:val="00196A5B"/>
    <w:rsid w:val="00196B96"/>
    <w:rsid w:val="00196C45"/>
    <w:rsid w:val="00196DB9"/>
    <w:rsid w:val="00196ED9"/>
    <w:rsid w:val="0019710B"/>
    <w:rsid w:val="001971AA"/>
    <w:rsid w:val="001971BB"/>
    <w:rsid w:val="001972C0"/>
    <w:rsid w:val="001974DC"/>
    <w:rsid w:val="001975F2"/>
    <w:rsid w:val="00197702"/>
    <w:rsid w:val="001978AA"/>
    <w:rsid w:val="00197A0F"/>
    <w:rsid w:val="00197A26"/>
    <w:rsid w:val="00197A4B"/>
    <w:rsid w:val="00197B0D"/>
    <w:rsid w:val="00197B22"/>
    <w:rsid w:val="00197B59"/>
    <w:rsid w:val="00197BC3"/>
    <w:rsid w:val="00197BD0"/>
    <w:rsid w:val="00197CCA"/>
    <w:rsid w:val="00197EB0"/>
    <w:rsid w:val="00197F71"/>
    <w:rsid w:val="00197FE5"/>
    <w:rsid w:val="001A003D"/>
    <w:rsid w:val="001A02E4"/>
    <w:rsid w:val="001A030E"/>
    <w:rsid w:val="001A082A"/>
    <w:rsid w:val="001A085B"/>
    <w:rsid w:val="001A0866"/>
    <w:rsid w:val="001A0881"/>
    <w:rsid w:val="001A08A3"/>
    <w:rsid w:val="001A094B"/>
    <w:rsid w:val="001A0A3E"/>
    <w:rsid w:val="001A0A97"/>
    <w:rsid w:val="001A0ABC"/>
    <w:rsid w:val="001A0CD3"/>
    <w:rsid w:val="001A0D77"/>
    <w:rsid w:val="001A0DFD"/>
    <w:rsid w:val="001A0E05"/>
    <w:rsid w:val="001A0E3B"/>
    <w:rsid w:val="001A0FAF"/>
    <w:rsid w:val="001A1034"/>
    <w:rsid w:val="001A1079"/>
    <w:rsid w:val="001A114D"/>
    <w:rsid w:val="001A128A"/>
    <w:rsid w:val="001A138B"/>
    <w:rsid w:val="001A13CB"/>
    <w:rsid w:val="001A1467"/>
    <w:rsid w:val="001A14B7"/>
    <w:rsid w:val="001A15DB"/>
    <w:rsid w:val="001A15F4"/>
    <w:rsid w:val="001A1661"/>
    <w:rsid w:val="001A18E9"/>
    <w:rsid w:val="001A194B"/>
    <w:rsid w:val="001A19AF"/>
    <w:rsid w:val="001A19DE"/>
    <w:rsid w:val="001A1A3B"/>
    <w:rsid w:val="001A1CB6"/>
    <w:rsid w:val="001A1D7E"/>
    <w:rsid w:val="001A1EFF"/>
    <w:rsid w:val="001A1F62"/>
    <w:rsid w:val="001A2040"/>
    <w:rsid w:val="001A209A"/>
    <w:rsid w:val="001A20E4"/>
    <w:rsid w:val="001A2124"/>
    <w:rsid w:val="001A219C"/>
    <w:rsid w:val="001A23D6"/>
    <w:rsid w:val="001A2454"/>
    <w:rsid w:val="001A24DB"/>
    <w:rsid w:val="001A2580"/>
    <w:rsid w:val="001A2690"/>
    <w:rsid w:val="001A2758"/>
    <w:rsid w:val="001A276E"/>
    <w:rsid w:val="001A2784"/>
    <w:rsid w:val="001A284C"/>
    <w:rsid w:val="001A2A7D"/>
    <w:rsid w:val="001A2C14"/>
    <w:rsid w:val="001A2C61"/>
    <w:rsid w:val="001A2C73"/>
    <w:rsid w:val="001A2E4D"/>
    <w:rsid w:val="001A2ED0"/>
    <w:rsid w:val="001A2EE2"/>
    <w:rsid w:val="001A2F7E"/>
    <w:rsid w:val="001A301B"/>
    <w:rsid w:val="001A312C"/>
    <w:rsid w:val="001A33C0"/>
    <w:rsid w:val="001A34D9"/>
    <w:rsid w:val="001A357C"/>
    <w:rsid w:val="001A3608"/>
    <w:rsid w:val="001A368F"/>
    <w:rsid w:val="001A3699"/>
    <w:rsid w:val="001A3743"/>
    <w:rsid w:val="001A3787"/>
    <w:rsid w:val="001A3845"/>
    <w:rsid w:val="001A38C6"/>
    <w:rsid w:val="001A3B2B"/>
    <w:rsid w:val="001A3BBB"/>
    <w:rsid w:val="001A3C64"/>
    <w:rsid w:val="001A3CD2"/>
    <w:rsid w:val="001A3CD5"/>
    <w:rsid w:val="001A3CF8"/>
    <w:rsid w:val="001A3DB7"/>
    <w:rsid w:val="001A3EA3"/>
    <w:rsid w:val="001A3EA8"/>
    <w:rsid w:val="001A3FAD"/>
    <w:rsid w:val="001A3FC3"/>
    <w:rsid w:val="001A430F"/>
    <w:rsid w:val="001A46E8"/>
    <w:rsid w:val="001A4737"/>
    <w:rsid w:val="001A4803"/>
    <w:rsid w:val="001A48DE"/>
    <w:rsid w:val="001A4AEF"/>
    <w:rsid w:val="001A4B85"/>
    <w:rsid w:val="001A4CBB"/>
    <w:rsid w:val="001A4D12"/>
    <w:rsid w:val="001A4D64"/>
    <w:rsid w:val="001A4E93"/>
    <w:rsid w:val="001A4F4B"/>
    <w:rsid w:val="001A517D"/>
    <w:rsid w:val="001A5191"/>
    <w:rsid w:val="001A5375"/>
    <w:rsid w:val="001A538F"/>
    <w:rsid w:val="001A54A8"/>
    <w:rsid w:val="001A5502"/>
    <w:rsid w:val="001A559E"/>
    <w:rsid w:val="001A574E"/>
    <w:rsid w:val="001A57CB"/>
    <w:rsid w:val="001A57E1"/>
    <w:rsid w:val="001A584F"/>
    <w:rsid w:val="001A59E8"/>
    <w:rsid w:val="001A5A14"/>
    <w:rsid w:val="001A5AE0"/>
    <w:rsid w:val="001A5B6D"/>
    <w:rsid w:val="001A5ED3"/>
    <w:rsid w:val="001A60F3"/>
    <w:rsid w:val="001A6209"/>
    <w:rsid w:val="001A6401"/>
    <w:rsid w:val="001A6456"/>
    <w:rsid w:val="001A656F"/>
    <w:rsid w:val="001A6586"/>
    <w:rsid w:val="001A66DC"/>
    <w:rsid w:val="001A6760"/>
    <w:rsid w:val="001A676B"/>
    <w:rsid w:val="001A685F"/>
    <w:rsid w:val="001A6887"/>
    <w:rsid w:val="001A69AA"/>
    <w:rsid w:val="001A69EE"/>
    <w:rsid w:val="001A6B69"/>
    <w:rsid w:val="001A6C1A"/>
    <w:rsid w:val="001A6CE1"/>
    <w:rsid w:val="001A6D64"/>
    <w:rsid w:val="001A6D8C"/>
    <w:rsid w:val="001A6DFA"/>
    <w:rsid w:val="001A6E35"/>
    <w:rsid w:val="001A6F16"/>
    <w:rsid w:val="001A6FAB"/>
    <w:rsid w:val="001A728E"/>
    <w:rsid w:val="001A7350"/>
    <w:rsid w:val="001A73A1"/>
    <w:rsid w:val="001A7545"/>
    <w:rsid w:val="001A7577"/>
    <w:rsid w:val="001A76EE"/>
    <w:rsid w:val="001A7750"/>
    <w:rsid w:val="001A78BE"/>
    <w:rsid w:val="001A78C4"/>
    <w:rsid w:val="001A78F3"/>
    <w:rsid w:val="001A791A"/>
    <w:rsid w:val="001A7A2F"/>
    <w:rsid w:val="001A7AD6"/>
    <w:rsid w:val="001A7BBF"/>
    <w:rsid w:val="001A7EC2"/>
    <w:rsid w:val="001B0243"/>
    <w:rsid w:val="001B04C0"/>
    <w:rsid w:val="001B04F2"/>
    <w:rsid w:val="001B0556"/>
    <w:rsid w:val="001B0591"/>
    <w:rsid w:val="001B073F"/>
    <w:rsid w:val="001B074D"/>
    <w:rsid w:val="001B07EA"/>
    <w:rsid w:val="001B097C"/>
    <w:rsid w:val="001B09BF"/>
    <w:rsid w:val="001B09FA"/>
    <w:rsid w:val="001B0A72"/>
    <w:rsid w:val="001B0AB6"/>
    <w:rsid w:val="001B0CB7"/>
    <w:rsid w:val="001B0CCC"/>
    <w:rsid w:val="001B0DB9"/>
    <w:rsid w:val="001B0DFB"/>
    <w:rsid w:val="001B102C"/>
    <w:rsid w:val="001B1161"/>
    <w:rsid w:val="001B11B7"/>
    <w:rsid w:val="001B1298"/>
    <w:rsid w:val="001B12FB"/>
    <w:rsid w:val="001B1414"/>
    <w:rsid w:val="001B1443"/>
    <w:rsid w:val="001B16C2"/>
    <w:rsid w:val="001B16FF"/>
    <w:rsid w:val="001B170D"/>
    <w:rsid w:val="001B1747"/>
    <w:rsid w:val="001B1810"/>
    <w:rsid w:val="001B18DE"/>
    <w:rsid w:val="001B19B2"/>
    <w:rsid w:val="001B1A01"/>
    <w:rsid w:val="001B1B16"/>
    <w:rsid w:val="001B1B24"/>
    <w:rsid w:val="001B1B8B"/>
    <w:rsid w:val="001B1C20"/>
    <w:rsid w:val="001B1D2A"/>
    <w:rsid w:val="001B1F04"/>
    <w:rsid w:val="001B1F22"/>
    <w:rsid w:val="001B1F39"/>
    <w:rsid w:val="001B1F79"/>
    <w:rsid w:val="001B20B5"/>
    <w:rsid w:val="001B20B7"/>
    <w:rsid w:val="001B223C"/>
    <w:rsid w:val="001B2241"/>
    <w:rsid w:val="001B2298"/>
    <w:rsid w:val="001B23C1"/>
    <w:rsid w:val="001B2460"/>
    <w:rsid w:val="001B24D1"/>
    <w:rsid w:val="001B252C"/>
    <w:rsid w:val="001B25F7"/>
    <w:rsid w:val="001B2633"/>
    <w:rsid w:val="001B2857"/>
    <w:rsid w:val="001B2AA2"/>
    <w:rsid w:val="001B2ACC"/>
    <w:rsid w:val="001B2B2A"/>
    <w:rsid w:val="001B2B71"/>
    <w:rsid w:val="001B2BB6"/>
    <w:rsid w:val="001B2BC5"/>
    <w:rsid w:val="001B2D0D"/>
    <w:rsid w:val="001B2E0E"/>
    <w:rsid w:val="001B2E8F"/>
    <w:rsid w:val="001B2F4F"/>
    <w:rsid w:val="001B308B"/>
    <w:rsid w:val="001B30A6"/>
    <w:rsid w:val="001B30B3"/>
    <w:rsid w:val="001B3219"/>
    <w:rsid w:val="001B321E"/>
    <w:rsid w:val="001B32FC"/>
    <w:rsid w:val="001B3402"/>
    <w:rsid w:val="001B344D"/>
    <w:rsid w:val="001B35A6"/>
    <w:rsid w:val="001B36CC"/>
    <w:rsid w:val="001B37AE"/>
    <w:rsid w:val="001B381B"/>
    <w:rsid w:val="001B3870"/>
    <w:rsid w:val="001B38E5"/>
    <w:rsid w:val="001B38EB"/>
    <w:rsid w:val="001B3918"/>
    <w:rsid w:val="001B392D"/>
    <w:rsid w:val="001B3A3B"/>
    <w:rsid w:val="001B3AC9"/>
    <w:rsid w:val="001B3C1F"/>
    <w:rsid w:val="001B3C3B"/>
    <w:rsid w:val="001B3C9B"/>
    <w:rsid w:val="001B3CAE"/>
    <w:rsid w:val="001B3D4C"/>
    <w:rsid w:val="001B3D8C"/>
    <w:rsid w:val="001B3E47"/>
    <w:rsid w:val="001B404B"/>
    <w:rsid w:val="001B4129"/>
    <w:rsid w:val="001B4183"/>
    <w:rsid w:val="001B42C0"/>
    <w:rsid w:val="001B43A9"/>
    <w:rsid w:val="001B444E"/>
    <w:rsid w:val="001B4508"/>
    <w:rsid w:val="001B459F"/>
    <w:rsid w:val="001B464C"/>
    <w:rsid w:val="001B4660"/>
    <w:rsid w:val="001B46BB"/>
    <w:rsid w:val="001B46DD"/>
    <w:rsid w:val="001B471A"/>
    <w:rsid w:val="001B4785"/>
    <w:rsid w:val="001B48E6"/>
    <w:rsid w:val="001B4975"/>
    <w:rsid w:val="001B49E1"/>
    <w:rsid w:val="001B4C49"/>
    <w:rsid w:val="001B4D24"/>
    <w:rsid w:val="001B4DA0"/>
    <w:rsid w:val="001B4DBC"/>
    <w:rsid w:val="001B4E78"/>
    <w:rsid w:val="001B5006"/>
    <w:rsid w:val="001B504F"/>
    <w:rsid w:val="001B5059"/>
    <w:rsid w:val="001B50E3"/>
    <w:rsid w:val="001B51EA"/>
    <w:rsid w:val="001B525B"/>
    <w:rsid w:val="001B5269"/>
    <w:rsid w:val="001B5456"/>
    <w:rsid w:val="001B549D"/>
    <w:rsid w:val="001B54A3"/>
    <w:rsid w:val="001B55AC"/>
    <w:rsid w:val="001B5739"/>
    <w:rsid w:val="001B59FA"/>
    <w:rsid w:val="001B5A05"/>
    <w:rsid w:val="001B5A45"/>
    <w:rsid w:val="001B5A89"/>
    <w:rsid w:val="001B5B30"/>
    <w:rsid w:val="001B5BBE"/>
    <w:rsid w:val="001B5BE3"/>
    <w:rsid w:val="001B5D56"/>
    <w:rsid w:val="001B5DCA"/>
    <w:rsid w:val="001B5EE0"/>
    <w:rsid w:val="001B614A"/>
    <w:rsid w:val="001B61DB"/>
    <w:rsid w:val="001B61FA"/>
    <w:rsid w:val="001B630D"/>
    <w:rsid w:val="001B63FD"/>
    <w:rsid w:val="001B657E"/>
    <w:rsid w:val="001B6598"/>
    <w:rsid w:val="001B65F0"/>
    <w:rsid w:val="001B69E8"/>
    <w:rsid w:val="001B6D0D"/>
    <w:rsid w:val="001B6D2A"/>
    <w:rsid w:val="001B6D50"/>
    <w:rsid w:val="001B6D5E"/>
    <w:rsid w:val="001B6F67"/>
    <w:rsid w:val="001B6FBE"/>
    <w:rsid w:val="001B6FC8"/>
    <w:rsid w:val="001B717F"/>
    <w:rsid w:val="001B726A"/>
    <w:rsid w:val="001B7290"/>
    <w:rsid w:val="001B7328"/>
    <w:rsid w:val="001B744E"/>
    <w:rsid w:val="001B7531"/>
    <w:rsid w:val="001B754F"/>
    <w:rsid w:val="001B76CE"/>
    <w:rsid w:val="001B77D4"/>
    <w:rsid w:val="001B7B16"/>
    <w:rsid w:val="001B7B44"/>
    <w:rsid w:val="001B7C69"/>
    <w:rsid w:val="001B7C72"/>
    <w:rsid w:val="001B7C87"/>
    <w:rsid w:val="001B7D38"/>
    <w:rsid w:val="001B7D74"/>
    <w:rsid w:val="001B7DAA"/>
    <w:rsid w:val="001B7E54"/>
    <w:rsid w:val="001B7EC8"/>
    <w:rsid w:val="001C00DA"/>
    <w:rsid w:val="001C0101"/>
    <w:rsid w:val="001C01B8"/>
    <w:rsid w:val="001C0257"/>
    <w:rsid w:val="001C02D9"/>
    <w:rsid w:val="001C0394"/>
    <w:rsid w:val="001C0483"/>
    <w:rsid w:val="001C061E"/>
    <w:rsid w:val="001C0711"/>
    <w:rsid w:val="001C0743"/>
    <w:rsid w:val="001C07D2"/>
    <w:rsid w:val="001C0932"/>
    <w:rsid w:val="001C0947"/>
    <w:rsid w:val="001C0A5B"/>
    <w:rsid w:val="001C0BAB"/>
    <w:rsid w:val="001C0D08"/>
    <w:rsid w:val="001C0D2C"/>
    <w:rsid w:val="001C0D83"/>
    <w:rsid w:val="001C0DBD"/>
    <w:rsid w:val="001C1072"/>
    <w:rsid w:val="001C10CA"/>
    <w:rsid w:val="001C133A"/>
    <w:rsid w:val="001C143E"/>
    <w:rsid w:val="001C1561"/>
    <w:rsid w:val="001C1636"/>
    <w:rsid w:val="001C16CE"/>
    <w:rsid w:val="001C17FD"/>
    <w:rsid w:val="001C1895"/>
    <w:rsid w:val="001C18B4"/>
    <w:rsid w:val="001C18DD"/>
    <w:rsid w:val="001C19A7"/>
    <w:rsid w:val="001C1B30"/>
    <w:rsid w:val="001C1C74"/>
    <w:rsid w:val="001C1D0F"/>
    <w:rsid w:val="001C1D6D"/>
    <w:rsid w:val="001C1DB6"/>
    <w:rsid w:val="001C1E66"/>
    <w:rsid w:val="001C1EE2"/>
    <w:rsid w:val="001C21EF"/>
    <w:rsid w:val="001C2225"/>
    <w:rsid w:val="001C242C"/>
    <w:rsid w:val="001C25DB"/>
    <w:rsid w:val="001C275E"/>
    <w:rsid w:val="001C277B"/>
    <w:rsid w:val="001C29D7"/>
    <w:rsid w:val="001C2A47"/>
    <w:rsid w:val="001C2B9A"/>
    <w:rsid w:val="001C2D22"/>
    <w:rsid w:val="001C2D5C"/>
    <w:rsid w:val="001C2DBA"/>
    <w:rsid w:val="001C2E05"/>
    <w:rsid w:val="001C2FDE"/>
    <w:rsid w:val="001C3159"/>
    <w:rsid w:val="001C31BE"/>
    <w:rsid w:val="001C3259"/>
    <w:rsid w:val="001C3326"/>
    <w:rsid w:val="001C33E7"/>
    <w:rsid w:val="001C3440"/>
    <w:rsid w:val="001C3516"/>
    <w:rsid w:val="001C3551"/>
    <w:rsid w:val="001C37A6"/>
    <w:rsid w:val="001C37FD"/>
    <w:rsid w:val="001C386D"/>
    <w:rsid w:val="001C3887"/>
    <w:rsid w:val="001C3979"/>
    <w:rsid w:val="001C3A62"/>
    <w:rsid w:val="001C3B6F"/>
    <w:rsid w:val="001C3BB6"/>
    <w:rsid w:val="001C3C24"/>
    <w:rsid w:val="001C3EC4"/>
    <w:rsid w:val="001C3F05"/>
    <w:rsid w:val="001C3F6C"/>
    <w:rsid w:val="001C3FAD"/>
    <w:rsid w:val="001C3FC6"/>
    <w:rsid w:val="001C40C0"/>
    <w:rsid w:val="001C419C"/>
    <w:rsid w:val="001C4223"/>
    <w:rsid w:val="001C4297"/>
    <w:rsid w:val="001C42CF"/>
    <w:rsid w:val="001C4336"/>
    <w:rsid w:val="001C436F"/>
    <w:rsid w:val="001C44EB"/>
    <w:rsid w:val="001C45D2"/>
    <w:rsid w:val="001C489C"/>
    <w:rsid w:val="001C4955"/>
    <w:rsid w:val="001C4B41"/>
    <w:rsid w:val="001C4B9A"/>
    <w:rsid w:val="001C4C02"/>
    <w:rsid w:val="001C4C6E"/>
    <w:rsid w:val="001C4C9E"/>
    <w:rsid w:val="001C4CEC"/>
    <w:rsid w:val="001C4D78"/>
    <w:rsid w:val="001C4DCB"/>
    <w:rsid w:val="001C4DCE"/>
    <w:rsid w:val="001C4E7D"/>
    <w:rsid w:val="001C4F1E"/>
    <w:rsid w:val="001C500D"/>
    <w:rsid w:val="001C5225"/>
    <w:rsid w:val="001C5369"/>
    <w:rsid w:val="001C549A"/>
    <w:rsid w:val="001C54E1"/>
    <w:rsid w:val="001C5623"/>
    <w:rsid w:val="001C57EA"/>
    <w:rsid w:val="001C58FF"/>
    <w:rsid w:val="001C597C"/>
    <w:rsid w:val="001C5997"/>
    <w:rsid w:val="001C59EB"/>
    <w:rsid w:val="001C5A0B"/>
    <w:rsid w:val="001C5A43"/>
    <w:rsid w:val="001C5B4B"/>
    <w:rsid w:val="001C5C36"/>
    <w:rsid w:val="001C5C99"/>
    <w:rsid w:val="001C5D06"/>
    <w:rsid w:val="001C5D52"/>
    <w:rsid w:val="001C5D55"/>
    <w:rsid w:val="001C5E1E"/>
    <w:rsid w:val="001C5FAC"/>
    <w:rsid w:val="001C6052"/>
    <w:rsid w:val="001C60E0"/>
    <w:rsid w:val="001C6126"/>
    <w:rsid w:val="001C617C"/>
    <w:rsid w:val="001C61B4"/>
    <w:rsid w:val="001C63F2"/>
    <w:rsid w:val="001C6424"/>
    <w:rsid w:val="001C6565"/>
    <w:rsid w:val="001C6642"/>
    <w:rsid w:val="001C6706"/>
    <w:rsid w:val="001C6750"/>
    <w:rsid w:val="001C67C6"/>
    <w:rsid w:val="001C6AF1"/>
    <w:rsid w:val="001C6C31"/>
    <w:rsid w:val="001C6D79"/>
    <w:rsid w:val="001C6E14"/>
    <w:rsid w:val="001C6E54"/>
    <w:rsid w:val="001C6F3C"/>
    <w:rsid w:val="001C704C"/>
    <w:rsid w:val="001C70BC"/>
    <w:rsid w:val="001C7208"/>
    <w:rsid w:val="001C73D6"/>
    <w:rsid w:val="001C74AE"/>
    <w:rsid w:val="001C75D6"/>
    <w:rsid w:val="001C76A4"/>
    <w:rsid w:val="001C76B7"/>
    <w:rsid w:val="001C76EB"/>
    <w:rsid w:val="001C7745"/>
    <w:rsid w:val="001C7835"/>
    <w:rsid w:val="001C7887"/>
    <w:rsid w:val="001C78CE"/>
    <w:rsid w:val="001C79CB"/>
    <w:rsid w:val="001C79FC"/>
    <w:rsid w:val="001C7CD6"/>
    <w:rsid w:val="001C7CDE"/>
    <w:rsid w:val="001C7EDF"/>
    <w:rsid w:val="001D0046"/>
    <w:rsid w:val="001D0055"/>
    <w:rsid w:val="001D01F5"/>
    <w:rsid w:val="001D02F8"/>
    <w:rsid w:val="001D0330"/>
    <w:rsid w:val="001D03A6"/>
    <w:rsid w:val="001D040C"/>
    <w:rsid w:val="001D055E"/>
    <w:rsid w:val="001D059C"/>
    <w:rsid w:val="001D06AD"/>
    <w:rsid w:val="001D0752"/>
    <w:rsid w:val="001D07A8"/>
    <w:rsid w:val="001D08F9"/>
    <w:rsid w:val="001D095D"/>
    <w:rsid w:val="001D0A4E"/>
    <w:rsid w:val="001D0A5A"/>
    <w:rsid w:val="001D0BE4"/>
    <w:rsid w:val="001D0D5C"/>
    <w:rsid w:val="001D0E56"/>
    <w:rsid w:val="001D0FCC"/>
    <w:rsid w:val="001D108B"/>
    <w:rsid w:val="001D1109"/>
    <w:rsid w:val="001D1127"/>
    <w:rsid w:val="001D11DD"/>
    <w:rsid w:val="001D120F"/>
    <w:rsid w:val="001D1293"/>
    <w:rsid w:val="001D1511"/>
    <w:rsid w:val="001D18B1"/>
    <w:rsid w:val="001D18D8"/>
    <w:rsid w:val="001D1B29"/>
    <w:rsid w:val="001D1C87"/>
    <w:rsid w:val="001D1E4B"/>
    <w:rsid w:val="001D20BA"/>
    <w:rsid w:val="001D21A3"/>
    <w:rsid w:val="001D22BA"/>
    <w:rsid w:val="001D22F8"/>
    <w:rsid w:val="001D236A"/>
    <w:rsid w:val="001D2381"/>
    <w:rsid w:val="001D238E"/>
    <w:rsid w:val="001D251F"/>
    <w:rsid w:val="001D253E"/>
    <w:rsid w:val="001D2573"/>
    <w:rsid w:val="001D290C"/>
    <w:rsid w:val="001D2AC8"/>
    <w:rsid w:val="001D2CD5"/>
    <w:rsid w:val="001D2D01"/>
    <w:rsid w:val="001D2E18"/>
    <w:rsid w:val="001D2E46"/>
    <w:rsid w:val="001D2E5C"/>
    <w:rsid w:val="001D2E86"/>
    <w:rsid w:val="001D2E8C"/>
    <w:rsid w:val="001D2F69"/>
    <w:rsid w:val="001D2FA5"/>
    <w:rsid w:val="001D30B0"/>
    <w:rsid w:val="001D3186"/>
    <w:rsid w:val="001D3348"/>
    <w:rsid w:val="001D3578"/>
    <w:rsid w:val="001D35B1"/>
    <w:rsid w:val="001D374F"/>
    <w:rsid w:val="001D390B"/>
    <w:rsid w:val="001D3A69"/>
    <w:rsid w:val="001D3A8C"/>
    <w:rsid w:val="001D3B7E"/>
    <w:rsid w:val="001D3BC6"/>
    <w:rsid w:val="001D3F42"/>
    <w:rsid w:val="001D3FC3"/>
    <w:rsid w:val="001D4159"/>
    <w:rsid w:val="001D427A"/>
    <w:rsid w:val="001D437E"/>
    <w:rsid w:val="001D439B"/>
    <w:rsid w:val="001D43A7"/>
    <w:rsid w:val="001D44F9"/>
    <w:rsid w:val="001D4592"/>
    <w:rsid w:val="001D4634"/>
    <w:rsid w:val="001D4677"/>
    <w:rsid w:val="001D469C"/>
    <w:rsid w:val="001D46A1"/>
    <w:rsid w:val="001D46C6"/>
    <w:rsid w:val="001D470E"/>
    <w:rsid w:val="001D4733"/>
    <w:rsid w:val="001D47FB"/>
    <w:rsid w:val="001D484D"/>
    <w:rsid w:val="001D49B4"/>
    <w:rsid w:val="001D4B45"/>
    <w:rsid w:val="001D4D06"/>
    <w:rsid w:val="001D4D52"/>
    <w:rsid w:val="001D4D7B"/>
    <w:rsid w:val="001D4EA0"/>
    <w:rsid w:val="001D4F24"/>
    <w:rsid w:val="001D4F49"/>
    <w:rsid w:val="001D50D0"/>
    <w:rsid w:val="001D5193"/>
    <w:rsid w:val="001D51A5"/>
    <w:rsid w:val="001D52FA"/>
    <w:rsid w:val="001D53B4"/>
    <w:rsid w:val="001D53C4"/>
    <w:rsid w:val="001D53FD"/>
    <w:rsid w:val="001D54A7"/>
    <w:rsid w:val="001D55E6"/>
    <w:rsid w:val="001D56EF"/>
    <w:rsid w:val="001D5770"/>
    <w:rsid w:val="001D588E"/>
    <w:rsid w:val="001D5A42"/>
    <w:rsid w:val="001D5B7A"/>
    <w:rsid w:val="001D5DAF"/>
    <w:rsid w:val="001D5FC3"/>
    <w:rsid w:val="001D6041"/>
    <w:rsid w:val="001D6122"/>
    <w:rsid w:val="001D617C"/>
    <w:rsid w:val="001D6337"/>
    <w:rsid w:val="001D6349"/>
    <w:rsid w:val="001D64D2"/>
    <w:rsid w:val="001D64DE"/>
    <w:rsid w:val="001D6587"/>
    <w:rsid w:val="001D67BA"/>
    <w:rsid w:val="001D67D4"/>
    <w:rsid w:val="001D68A6"/>
    <w:rsid w:val="001D68AF"/>
    <w:rsid w:val="001D68F3"/>
    <w:rsid w:val="001D698D"/>
    <w:rsid w:val="001D6A36"/>
    <w:rsid w:val="001D6BA2"/>
    <w:rsid w:val="001D6D0A"/>
    <w:rsid w:val="001D6E9A"/>
    <w:rsid w:val="001D6FDA"/>
    <w:rsid w:val="001D6FF8"/>
    <w:rsid w:val="001D7016"/>
    <w:rsid w:val="001D7217"/>
    <w:rsid w:val="001D72F0"/>
    <w:rsid w:val="001D759F"/>
    <w:rsid w:val="001D75DC"/>
    <w:rsid w:val="001D76DC"/>
    <w:rsid w:val="001D7751"/>
    <w:rsid w:val="001D7866"/>
    <w:rsid w:val="001D7899"/>
    <w:rsid w:val="001D7AD5"/>
    <w:rsid w:val="001D7B39"/>
    <w:rsid w:val="001D7B3A"/>
    <w:rsid w:val="001D7D43"/>
    <w:rsid w:val="001D7D8D"/>
    <w:rsid w:val="001D7DBA"/>
    <w:rsid w:val="001D7DBD"/>
    <w:rsid w:val="001D7E28"/>
    <w:rsid w:val="001D7F16"/>
    <w:rsid w:val="001D7F47"/>
    <w:rsid w:val="001D7F93"/>
    <w:rsid w:val="001D7FE8"/>
    <w:rsid w:val="001E0088"/>
    <w:rsid w:val="001E00A0"/>
    <w:rsid w:val="001E030E"/>
    <w:rsid w:val="001E046A"/>
    <w:rsid w:val="001E0474"/>
    <w:rsid w:val="001E04DD"/>
    <w:rsid w:val="001E05C6"/>
    <w:rsid w:val="001E05D3"/>
    <w:rsid w:val="001E061C"/>
    <w:rsid w:val="001E0985"/>
    <w:rsid w:val="001E0B87"/>
    <w:rsid w:val="001E0BB4"/>
    <w:rsid w:val="001E0BD0"/>
    <w:rsid w:val="001E0BF4"/>
    <w:rsid w:val="001E0CDC"/>
    <w:rsid w:val="001E0D21"/>
    <w:rsid w:val="001E0DA8"/>
    <w:rsid w:val="001E0DF6"/>
    <w:rsid w:val="001E0F1D"/>
    <w:rsid w:val="001E0F97"/>
    <w:rsid w:val="001E10B1"/>
    <w:rsid w:val="001E16C0"/>
    <w:rsid w:val="001E183C"/>
    <w:rsid w:val="001E191F"/>
    <w:rsid w:val="001E198C"/>
    <w:rsid w:val="001E1A16"/>
    <w:rsid w:val="001E1A58"/>
    <w:rsid w:val="001E1A8A"/>
    <w:rsid w:val="001E1CE6"/>
    <w:rsid w:val="001E1F22"/>
    <w:rsid w:val="001E1F24"/>
    <w:rsid w:val="001E1F33"/>
    <w:rsid w:val="001E1F77"/>
    <w:rsid w:val="001E20A6"/>
    <w:rsid w:val="001E2135"/>
    <w:rsid w:val="001E2261"/>
    <w:rsid w:val="001E2264"/>
    <w:rsid w:val="001E238D"/>
    <w:rsid w:val="001E23B8"/>
    <w:rsid w:val="001E23CD"/>
    <w:rsid w:val="001E25D1"/>
    <w:rsid w:val="001E2687"/>
    <w:rsid w:val="001E2721"/>
    <w:rsid w:val="001E2852"/>
    <w:rsid w:val="001E291C"/>
    <w:rsid w:val="001E2974"/>
    <w:rsid w:val="001E297F"/>
    <w:rsid w:val="001E2995"/>
    <w:rsid w:val="001E2A18"/>
    <w:rsid w:val="001E2A22"/>
    <w:rsid w:val="001E2B4C"/>
    <w:rsid w:val="001E2B85"/>
    <w:rsid w:val="001E2BDB"/>
    <w:rsid w:val="001E2C4C"/>
    <w:rsid w:val="001E2CA2"/>
    <w:rsid w:val="001E2D0E"/>
    <w:rsid w:val="001E2D5E"/>
    <w:rsid w:val="001E2D7B"/>
    <w:rsid w:val="001E2DFA"/>
    <w:rsid w:val="001E2F35"/>
    <w:rsid w:val="001E2F9F"/>
    <w:rsid w:val="001E300F"/>
    <w:rsid w:val="001E3065"/>
    <w:rsid w:val="001E30D9"/>
    <w:rsid w:val="001E31C9"/>
    <w:rsid w:val="001E3531"/>
    <w:rsid w:val="001E369A"/>
    <w:rsid w:val="001E36F2"/>
    <w:rsid w:val="001E370C"/>
    <w:rsid w:val="001E37E9"/>
    <w:rsid w:val="001E3817"/>
    <w:rsid w:val="001E3970"/>
    <w:rsid w:val="001E3A1C"/>
    <w:rsid w:val="001E3AA8"/>
    <w:rsid w:val="001E3B90"/>
    <w:rsid w:val="001E3BB5"/>
    <w:rsid w:val="001E3CDB"/>
    <w:rsid w:val="001E3DA4"/>
    <w:rsid w:val="001E3E0D"/>
    <w:rsid w:val="001E40C0"/>
    <w:rsid w:val="001E40CC"/>
    <w:rsid w:val="001E41BE"/>
    <w:rsid w:val="001E4244"/>
    <w:rsid w:val="001E427A"/>
    <w:rsid w:val="001E44FA"/>
    <w:rsid w:val="001E4556"/>
    <w:rsid w:val="001E4705"/>
    <w:rsid w:val="001E4760"/>
    <w:rsid w:val="001E4894"/>
    <w:rsid w:val="001E492D"/>
    <w:rsid w:val="001E4969"/>
    <w:rsid w:val="001E49D0"/>
    <w:rsid w:val="001E4B66"/>
    <w:rsid w:val="001E4B7C"/>
    <w:rsid w:val="001E4D40"/>
    <w:rsid w:val="001E4D41"/>
    <w:rsid w:val="001E4D5E"/>
    <w:rsid w:val="001E4E61"/>
    <w:rsid w:val="001E502B"/>
    <w:rsid w:val="001E5054"/>
    <w:rsid w:val="001E5087"/>
    <w:rsid w:val="001E50D2"/>
    <w:rsid w:val="001E512D"/>
    <w:rsid w:val="001E52A6"/>
    <w:rsid w:val="001E52B8"/>
    <w:rsid w:val="001E5308"/>
    <w:rsid w:val="001E5310"/>
    <w:rsid w:val="001E543C"/>
    <w:rsid w:val="001E54D2"/>
    <w:rsid w:val="001E550E"/>
    <w:rsid w:val="001E57E7"/>
    <w:rsid w:val="001E583D"/>
    <w:rsid w:val="001E5853"/>
    <w:rsid w:val="001E59CA"/>
    <w:rsid w:val="001E5A9E"/>
    <w:rsid w:val="001E5B74"/>
    <w:rsid w:val="001E5D53"/>
    <w:rsid w:val="001E5DBA"/>
    <w:rsid w:val="001E5E57"/>
    <w:rsid w:val="001E5E7C"/>
    <w:rsid w:val="001E5EA3"/>
    <w:rsid w:val="001E5EC3"/>
    <w:rsid w:val="001E5EC6"/>
    <w:rsid w:val="001E5F2C"/>
    <w:rsid w:val="001E5F97"/>
    <w:rsid w:val="001E604E"/>
    <w:rsid w:val="001E6055"/>
    <w:rsid w:val="001E62D9"/>
    <w:rsid w:val="001E6327"/>
    <w:rsid w:val="001E6373"/>
    <w:rsid w:val="001E6510"/>
    <w:rsid w:val="001E6690"/>
    <w:rsid w:val="001E6725"/>
    <w:rsid w:val="001E6742"/>
    <w:rsid w:val="001E6832"/>
    <w:rsid w:val="001E689B"/>
    <w:rsid w:val="001E6936"/>
    <w:rsid w:val="001E6A33"/>
    <w:rsid w:val="001E6A4D"/>
    <w:rsid w:val="001E6AF6"/>
    <w:rsid w:val="001E6B1D"/>
    <w:rsid w:val="001E6B20"/>
    <w:rsid w:val="001E6BB5"/>
    <w:rsid w:val="001E6C75"/>
    <w:rsid w:val="001E6CB6"/>
    <w:rsid w:val="001E6D06"/>
    <w:rsid w:val="001E6D92"/>
    <w:rsid w:val="001E6E30"/>
    <w:rsid w:val="001E705C"/>
    <w:rsid w:val="001E709F"/>
    <w:rsid w:val="001E72E6"/>
    <w:rsid w:val="001E731C"/>
    <w:rsid w:val="001E73FE"/>
    <w:rsid w:val="001E7671"/>
    <w:rsid w:val="001E7708"/>
    <w:rsid w:val="001E786A"/>
    <w:rsid w:val="001E787C"/>
    <w:rsid w:val="001E7890"/>
    <w:rsid w:val="001E78BB"/>
    <w:rsid w:val="001E7968"/>
    <w:rsid w:val="001E7A31"/>
    <w:rsid w:val="001E7ABB"/>
    <w:rsid w:val="001E7AF3"/>
    <w:rsid w:val="001E7B39"/>
    <w:rsid w:val="001E7B56"/>
    <w:rsid w:val="001E7BB7"/>
    <w:rsid w:val="001E7C10"/>
    <w:rsid w:val="001E7C45"/>
    <w:rsid w:val="001E7D34"/>
    <w:rsid w:val="001E7DB0"/>
    <w:rsid w:val="001E7E88"/>
    <w:rsid w:val="001F0023"/>
    <w:rsid w:val="001F0073"/>
    <w:rsid w:val="001F00B6"/>
    <w:rsid w:val="001F00E9"/>
    <w:rsid w:val="001F018F"/>
    <w:rsid w:val="001F032D"/>
    <w:rsid w:val="001F037F"/>
    <w:rsid w:val="001F03F3"/>
    <w:rsid w:val="001F050F"/>
    <w:rsid w:val="001F0679"/>
    <w:rsid w:val="001F06B3"/>
    <w:rsid w:val="001F078B"/>
    <w:rsid w:val="001F07A1"/>
    <w:rsid w:val="001F07AB"/>
    <w:rsid w:val="001F07D8"/>
    <w:rsid w:val="001F0927"/>
    <w:rsid w:val="001F0A47"/>
    <w:rsid w:val="001F0B30"/>
    <w:rsid w:val="001F0D6A"/>
    <w:rsid w:val="001F0DFE"/>
    <w:rsid w:val="001F0E26"/>
    <w:rsid w:val="001F0E2F"/>
    <w:rsid w:val="001F0FF5"/>
    <w:rsid w:val="001F108B"/>
    <w:rsid w:val="001F1173"/>
    <w:rsid w:val="001F11B9"/>
    <w:rsid w:val="001F11D4"/>
    <w:rsid w:val="001F121E"/>
    <w:rsid w:val="001F123D"/>
    <w:rsid w:val="001F1240"/>
    <w:rsid w:val="001F129E"/>
    <w:rsid w:val="001F12A5"/>
    <w:rsid w:val="001F12C7"/>
    <w:rsid w:val="001F13C1"/>
    <w:rsid w:val="001F13F0"/>
    <w:rsid w:val="001F1500"/>
    <w:rsid w:val="001F1514"/>
    <w:rsid w:val="001F155B"/>
    <w:rsid w:val="001F15AC"/>
    <w:rsid w:val="001F179B"/>
    <w:rsid w:val="001F17BA"/>
    <w:rsid w:val="001F17ED"/>
    <w:rsid w:val="001F1AD6"/>
    <w:rsid w:val="001F1B04"/>
    <w:rsid w:val="001F1BAF"/>
    <w:rsid w:val="001F1C59"/>
    <w:rsid w:val="001F1D80"/>
    <w:rsid w:val="001F1F56"/>
    <w:rsid w:val="001F2135"/>
    <w:rsid w:val="001F21B4"/>
    <w:rsid w:val="001F222D"/>
    <w:rsid w:val="001F2240"/>
    <w:rsid w:val="001F2269"/>
    <w:rsid w:val="001F23BA"/>
    <w:rsid w:val="001F2483"/>
    <w:rsid w:val="001F24DD"/>
    <w:rsid w:val="001F2692"/>
    <w:rsid w:val="001F2788"/>
    <w:rsid w:val="001F2B3D"/>
    <w:rsid w:val="001F2DC4"/>
    <w:rsid w:val="001F2F41"/>
    <w:rsid w:val="001F2F85"/>
    <w:rsid w:val="001F2FBC"/>
    <w:rsid w:val="001F2FE6"/>
    <w:rsid w:val="001F3076"/>
    <w:rsid w:val="001F307C"/>
    <w:rsid w:val="001F308C"/>
    <w:rsid w:val="001F3122"/>
    <w:rsid w:val="001F3135"/>
    <w:rsid w:val="001F3179"/>
    <w:rsid w:val="001F3446"/>
    <w:rsid w:val="001F3509"/>
    <w:rsid w:val="001F3557"/>
    <w:rsid w:val="001F372B"/>
    <w:rsid w:val="001F375B"/>
    <w:rsid w:val="001F37D6"/>
    <w:rsid w:val="001F3821"/>
    <w:rsid w:val="001F3839"/>
    <w:rsid w:val="001F39C0"/>
    <w:rsid w:val="001F3B0D"/>
    <w:rsid w:val="001F3CAC"/>
    <w:rsid w:val="001F3CB3"/>
    <w:rsid w:val="001F3D34"/>
    <w:rsid w:val="001F3E32"/>
    <w:rsid w:val="001F4286"/>
    <w:rsid w:val="001F4289"/>
    <w:rsid w:val="001F4292"/>
    <w:rsid w:val="001F43CB"/>
    <w:rsid w:val="001F440F"/>
    <w:rsid w:val="001F446D"/>
    <w:rsid w:val="001F4497"/>
    <w:rsid w:val="001F44E7"/>
    <w:rsid w:val="001F45BE"/>
    <w:rsid w:val="001F4684"/>
    <w:rsid w:val="001F47C9"/>
    <w:rsid w:val="001F48E3"/>
    <w:rsid w:val="001F4916"/>
    <w:rsid w:val="001F49B9"/>
    <w:rsid w:val="001F4DC2"/>
    <w:rsid w:val="001F4EB4"/>
    <w:rsid w:val="001F4EE9"/>
    <w:rsid w:val="001F5028"/>
    <w:rsid w:val="001F505B"/>
    <w:rsid w:val="001F507B"/>
    <w:rsid w:val="001F512A"/>
    <w:rsid w:val="001F51AE"/>
    <w:rsid w:val="001F53A5"/>
    <w:rsid w:val="001F53AE"/>
    <w:rsid w:val="001F5569"/>
    <w:rsid w:val="001F565B"/>
    <w:rsid w:val="001F5928"/>
    <w:rsid w:val="001F59D5"/>
    <w:rsid w:val="001F5C4D"/>
    <w:rsid w:val="001F5CC2"/>
    <w:rsid w:val="001F5DD0"/>
    <w:rsid w:val="001F5DF5"/>
    <w:rsid w:val="001F5F13"/>
    <w:rsid w:val="001F6062"/>
    <w:rsid w:val="001F60D4"/>
    <w:rsid w:val="001F60FE"/>
    <w:rsid w:val="001F6407"/>
    <w:rsid w:val="001F64AA"/>
    <w:rsid w:val="001F64D9"/>
    <w:rsid w:val="001F651C"/>
    <w:rsid w:val="001F65AF"/>
    <w:rsid w:val="001F6657"/>
    <w:rsid w:val="001F6706"/>
    <w:rsid w:val="001F681F"/>
    <w:rsid w:val="001F6849"/>
    <w:rsid w:val="001F6857"/>
    <w:rsid w:val="001F6970"/>
    <w:rsid w:val="001F6B3F"/>
    <w:rsid w:val="001F6BD5"/>
    <w:rsid w:val="001F6BF8"/>
    <w:rsid w:val="001F6C76"/>
    <w:rsid w:val="001F6E43"/>
    <w:rsid w:val="001F6F74"/>
    <w:rsid w:val="001F7086"/>
    <w:rsid w:val="001F7144"/>
    <w:rsid w:val="001F7193"/>
    <w:rsid w:val="001F71EF"/>
    <w:rsid w:val="001F7221"/>
    <w:rsid w:val="001F72AA"/>
    <w:rsid w:val="001F739A"/>
    <w:rsid w:val="001F754C"/>
    <w:rsid w:val="001F759E"/>
    <w:rsid w:val="001F75E4"/>
    <w:rsid w:val="001F7602"/>
    <w:rsid w:val="001F7829"/>
    <w:rsid w:val="001F78B9"/>
    <w:rsid w:val="001F78FE"/>
    <w:rsid w:val="001F7918"/>
    <w:rsid w:val="001F7955"/>
    <w:rsid w:val="001F798B"/>
    <w:rsid w:val="001F79FD"/>
    <w:rsid w:val="001F7A31"/>
    <w:rsid w:val="001F7AAD"/>
    <w:rsid w:val="001F7B2A"/>
    <w:rsid w:val="001F7B4F"/>
    <w:rsid w:val="001F7B87"/>
    <w:rsid w:val="001F7D21"/>
    <w:rsid w:val="001F7D7B"/>
    <w:rsid w:val="001F7EBA"/>
    <w:rsid w:val="001F7EBF"/>
    <w:rsid w:val="001F7F7B"/>
    <w:rsid w:val="001F7F94"/>
    <w:rsid w:val="0020026B"/>
    <w:rsid w:val="002002C9"/>
    <w:rsid w:val="002004F2"/>
    <w:rsid w:val="002005AF"/>
    <w:rsid w:val="00200795"/>
    <w:rsid w:val="002007A2"/>
    <w:rsid w:val="002007E4"/>
    <w:rsid w:val="00200822"/>
    <w:rsid w:val="002008B4"/>
    <w:rsid w:val="002008D0"/>
    <w:rsid w:val="002008DD"/>
    <w:rsid w:val="00200A5D"/>
    <w:rsid w:val="00200ACF"/>
    <w:rsid w:val="00200C37"/>
    <w:rsid w:val="00200CE2"/>
    <w:rsid w:val="00200D41"/>
    <w:rsid w:val="00200D48"/>
    <w:rsid w:val="00200D5C"/>
    <w:rsid w:val="00200ED7"/>
    <w:rsid w:val="00200FF1"/>
    <w:rsid w:val="0020103A"/>
    <w:rsid w:val="00201087"/>
    <w:rsid w:val="002010E9"/>
    <w:rsid w:val="002011F0"/>
    <w:rsid w:val="002012C3"/>
    <w:rsid w:val="00201330"/>
    <w:rsid w:val="00201382"/>
    <w:rsid w:val="00201404"/>
    <w:rsid w:val="002014AD"/>
    <w:rsid w:val="00201753"/>
    <w:rsid w:val="00201839"/>
    <w:rsid w:val="00201882"/>
    <w:rsid w:val="002018D4"/>
    <w:rsid w:val="00201957"/>
    <w:rsid w:val="002019B7"/>
    <w:rsid w:val="00201A65"/>
    <w:rsid w:val="00201A76"/>
    <w:rsid w:val="00201AC7"/>
    <w:rsid w:val="00201AF1"/>
    <w:rsid w:val="00201BA0"/>
    <w:rsid w:val="00201DD7"/>
    <w:rsid w:val="00201E22"/>
    <w:rsid w:val="00201EC9"/>
    <w:rsid w:val="00201F21"/>
    <w:rsid w:val="00201F2C"/>
    <w:rsid w:val="00201FB0"/>
    <w:rsid w:val="00202092"/>
    <w:rsid w:val="002020BE"/>
    <w:rsid w:val="0020211E"/>
    <w:rsid w:val="002021AE"/>
    <w:rsid w:val="002021E7"/>
    <w:rsid w:val="0020233B"/>
    <w:rsid w:val="002024D4"/>
    <w:rsid w:val="00202572"/>
    <w:rsid w:val="00202588"/>
    <w:rsid w:val="00202718"/>
    <w:rsid w:val="002027FA"/>
    <w:rsid w:val="0020291D"/>
    <w:rsid w:val="0020293B"/>
    <w:rsid w:val="00202AB1"/>
    <w:rsid w:val="00202BBD"/>
    <w:rsid w:val="00202CE3"/>
    <w:rsid w:val="00202E8E"/>
    <w:rsid w:val="00202FA9"/>
    <w:rsid w:val="0020313D"/>
    <w:rsid w:val="0020343D"/>
    <w:rsid w:val="0020344C"/>
    <w:rsid w:val="00203467"/>
    <w:rsid w:val="0020365A"/>
    <w:rsid w:val="00203700"/>
    <w:rsid w:val="00203733"/>
    <w:rsid w:val="0020377C"/>
    <w:rsid w:val="00203883"/>
    <w:rsid w:val="0020389A"/>
    <w:rsid w:val="00203959"/>
    <w:rsid w:val="00203A2B"/>
    <w:rsid w:val="00203A69"/>
    <w:rsid w:val="00203CAF"/>
    <w:rsid w:val="00203D08"/>
    <w:rsid w:val="00203DC9"/>
    <w:rsid w:val="00203DD3"/>
    <w:rsid w:val="00203DFF"/>
    <w:rsid w:val="00203F94"/>
    <w:rsid w:val="00204020"/>
    <w:rsid w:val="002040F6"/>
    <w:rsid w:val="00204129"/>
    <w:rsid w:val="00204145"/>
    <w:rsid w:val="00204167"/>
    <w:rsid w:val="002041F5"/>
    <w:rsid w:val="00204326"/>
    <w:rsid w:val="00204353"/>
    <w:rsid w:val="002043F7"/>
    <w:rsid w:val="0020449F"/>
    <w:rsid w:val="00204628"/>
    <w:rsid w:val="002046B8"/>
    <w:rsid w:val="002047C4"/>
    <w:rsid w:val="00204927"/>
    <w:rsid w:val="00204991"/>
    <w:rsid w:val="002049FD"/>
    <w:rsid w:val="00204A25"/>
    <w:rsid w:val="00204A78"/>
    <w:rsid w:val="00204B49"/>
    <w:rsid w:val="00204DD1"/>
    <w:rsid w:val="00204FCC"/>
    <w:rsid w:val="00205016"/>
    <w:rsid w:val="002050A4"/>
    <w:rsid w:val="002050C0"/>
    <w:rsid w:val="00205129"/>
    <w:rsid w:val="002051E2"/>
    <w:rsid w:val="00205230"/>
    <w:rsid w:val="00205383"/>
    <w:rsid w:val="002054EB"/>
    <w:rsid w:val="0020556B"/>
    <w:rsid w:val="002058AE"/>
    <w:rsid w:val="002058DC"/>
    <w:rsid w:val="00205A00"/>
    <w:rsid w:val="00205BD3"/>
    <w:rsid w:val="00205C81"/>
    <w:rsid w:val="00205D4D"/>
    <w:rsid w:val="00205D6D"/>
    <w:rsid w:val="00205DA8"/>
    <w:rsid w:val="00205E14"/>
    <w:rsid w:val="00205EF5"/>
    <w:rsid w:val="00205FF9"/>
    <w:rsid w:val="002062BD"/>
    <w:rsid w:val="0020632C"/>
    <w:rsid w:val="00206424"/>
    <w:rsid w:val="002064AB"/>
    <w:rsid w:val="0020661E"/>
    <w:rsid w:val="0020662E"/>
    <w:rsid w:val="002066E4"/>
    <w:rsid w:val="00206743"/>
    <w:rsid w:val="0020677E"/>
    <w:rsid w:val="002067B8"/>
    <w:rsid w:val="002067F5"/>
    <w:rsid w:val="00206886"/>
    <w:rsid w:val="002069AC"/>
    <w:rsid w:val="00206A4C"/>
    <w:rsid w:val="00206BA9"/>
    <w:rsid w:val="00206BC4"/>
    <w:rsid w:val="00206C34"/>
    <w:rsid w:val="00206C8D"/>
    <w:rsid w:val="00206DCE"/>
    <w:rsid w:val="00206FFF"/>
    <w:rsid w:val="0020702D"/>
    <w:rsid w:val="002071D9"/>
    <w:rsid w:val="00207283"/>
    <w:rsid w:val="002072FD"/>
    <w:rsid w:val="0020731B"/>
    <w:rsid w:val="0020732F"/>
    <w:rsid w:val="00207335"/>
    <w:rsid w:val="002073A1"/>
    <w:rsid w:val="002077F4"/>
    <w:rsid w:val="0020792C"/>
    <w:rsid w:val="002079D2"/>
    <w:rsid w:val="00207AB3"/>
    <w:rsid w:val="00207B58"/>
    <w:rsid w:val="00207CD2"/>
    <w:rsid w:val="00207CF1"/>
    <w:rsid w:val="00207DCF"/>
    <w:rsid w:val="00207ED1"/>
    <w:rsid w:val="00207EDE"/>
    <w:rsid w:val="00207F81"/>
    <w:rsid w:val="00210146"/>
    <w:rsid w:val="0021020A"/>
    <w:rsid w:val="00210447"/>
    <w:rsid w:val="002104B5"/>
    <w:rsid w:val="00210614"/>
    <w:rsid w:val="00210649"/>
    <w:rsid w:val="0021072F"/>
    <w:rsid w:val="00210828"/>
    <w:rsid w:val="002109BD"/>
    <w:rsid w:val="00210A2C"/>
    <w:rsid w:val="00210C86"/>
    <w:rsid w:val="00210D3E"/>
    <w:rsid w:val="00210DDF"/>
    <w:rsid w:val="0021105F"/>
    <w:rsid w:val="002110C4"/>
    <w:rsid w:val="0021126E"/>
    <w:rsid w:val="00211321"/>
    <w:rsid w:val="00211410"/>
    <w:rsid w:val="0021143F"/>
    <w:rsid w:val="00211491"/>
    <w:rsid w:val="002116E7"/>
    <w:rsid w:val="00211753"/>
    <w:rsid w:val="0021176C"/>
    <w:rsid w:val="00211859"/>
    <w:rsid w:val="00211AAC"/>
    <w:rsid w:val="00211C51"/>
    <w:rsid w:val="00211CD3"/>
    <w:rsid w:val="00211D5C"/>
    <w:rsid w:val="00211DAA"/>
    <w:rsid w:val="00211DFA"/>
    <w:rsid w:val="00211FBD"/>
    <w:rsid w:val="002120BA"/>
    <w:rsid w:val="002120E8"/>
    <w:rsid w:val="00212286"/>
    <w:rsid w:val="002123A8"/>
    <w:rsid w:val="002123C9"/>
    <w:rsid w:val="002125B9"/>
    <w:rsid w:val="0021272E"/>
    <w:rsid w:val="00212838"/>
    <w:rsid w:val="002129A8"/>
    <w:rsid w:val="00212A28"/>
    <w:rsid w:val="00212A90"/>
    <w:rsid w:val="00212C57"/>
    <w:rsid w:val="00212CB3"/>
    <w:rsid w:val="00212D8C"/>
    <w:rsid w:val="00212E13"/>
    <w:rsid w:val="00212E2C"/>
    <w:rsid w:val="00212F54"/>
    <w:rsid w:val="0021306B"/>
    <w:rsid w:val="002130CF"/>
    <w:rsid w:val="00213156"/>
    <w:rsid w:val="00213366"/>
    <w:rsid w:val="00213396"/>
    <w:rsid w:val="00213457"/>
    <w:rsid w:val="00213596"/>
    <w:rsid w:val="002135B8"/>
    <w:rsid w:val="002138B5"/>
    <w:rsid w:val="00213CBF"/>
    <w:rsid w:val="00213CDB"/>
    <w:rsid w:val="00213D85"/>
    <w:rsid w:val="00213EA1"/>
    <w:rsid w:val="00213F28"/>
    <w:rsid w:val="00213F77"/>
    <w:rsid w:val="00214024"/>
    <w:rsid w:val="002140E9"/>
    <w:rsid w:val="002142FA"/>
    <w:rsid w:val="002143A6"/>
    <w:rsid w:val="002144AD"/>
    <w:rsid w:val="002144C6"/>
    <w:rsid w:val="0021456C"/>
    <w:rsid w:val="00214594"/>
    <w:rsid w:val="00214789"/>
    <w:rsid w:val="002147B8"/>
    <w:rsid w:val="00214965"/>
    <w:rsid w:val="00214981"/>
    <w:rsid w:val="00214A3A"/>
    <w:rsid w:val="00214BA8"/>
    <w:rsid w:val="00214C0F"/>
    <w:rsid w:val="00214C2F"/>
    <w:rsid w:val="00214E5B"/>
    <w:rsid w:val="00214E76"/>
    <w:rsid w:val="00214E7D"/>
    <w:rsid w:val="00214F69"/>
    <w:rsid w:val="0021507F"/>
    <w:rsid w:val="00215120"/>
    <w:rsid w:val="0021526C"/>
    <w:rsid w:val="0021533D"/>
    <w:rsid w:val="00215387"/>
    <w:rsid w:val="002153A3"/>
    <w:rsid w:val="002153B5"/>
    <w:rsid w:val="002153FC"/>
    <w:rsid w:val="0021541E"/>
    <w:rsid w:val="002156BE"/>
    <w:rsid w:val="00215707"/>
    <w:rsid w:val="002157C1"/>
    <w:rsid w:val="00215815"/>
    <w:rsid w:val="002158D8"/>
    <w:rsid w:val="002159B8"/>
    <w:rsid w:val="002159DE"/>
    <w:rsid w:val="00215AC9"/>
    <w:rsid w:val="00215B49"/>
    <w:rsid w:val="00215E10"/>
    <w:rsid w:val="00216059"/>
    <w:rsid w:val="002160B9"/>
    <w:rsid w:val="00216249"/>
    <w:rsid w:val="00216322"/>
    <w:rsid w:val="0021639D"/>
    <w:rsid w:val="0021651F"/>
    <w:rsid w:val="002165E3"/>
    <w:rsid w:val="00216681"/>
    <w:rsid w:val="0021674C"/>
    <w:rsid w:val="00216CC1"/>
    <w:rsid w:val="00216E8D"/>
    <w:rsid w:val="00216E9A"/>
    <w:rsid w:val="00217166"/>
    <w:rsid w:val="0021737E"/>
    <w:rsid w:val="0021744F"/>
    <w:rsid w:val="002178BB"/>
    <w:rsid w:val="00217A80"/>
    <w:rsid w:val="00217B81"/>
    <w:rsid w:val="00217C47"/>
    <w:rsid w:val="00217DBF"/>
    <w:rsid w:val="00217E03"/>
    <w:rsid w:val="00217FA8"/>
    <w:rsid w:val="00220145"/>
    <w:rsid w:val="002201A4"/>
    <w:rsid w:val="002201C5"/>
    <w:rsid w:val="00220276"/>
    <w:rsid w:val="0022032B"/>
    <w:rsid w:val="00220485"/>
    <w:rsid w:val="00220668"/>
    <w:rsid w:val="0022066B"/>
    <w:rsid w:val="002207E4"/>
    <w:rsid w:val="0022084B"/>
    <w:rsid w:val="0022084F"/>
    <w:rsid w:val="00220894"/>
    <w:rsid w:val="002208FE"/>
    <w:rsid w:val="00220A57"/>
    <w:rsid w:val="00220B07"/>
    <w:rsid w:val="00220C10"/>
    <w:rsid w:val="00220D2A"/>
    <w:rsid w:val="00220E9A"/>
    <w:rsid w:val="002211F8"/>
    <w:rsid w:val="0022131C"/>
    <w:rsid w:val="0022135B"/>
    <w:rsid w:val="00221372"/>
    <w:rsid w:val="00221397"/>
    <w:rsid w:val="002213BE"/>
    <w:rsid w:val="00221462"/>
    <w:rsid w:val="002214DD"/>
    <w:rsid w:val="00221529"/>
    <w:rsid w:val="00221545"/>
    <w:rsid w:val="0022159F"/>
    <w:rsid w:val="002215AD"/>
    <w:rsid w:val="002215DC"/>
    <w:rsid w:val="0022167A"/>
    <w:rsid w:val="002217F6"/>
    <w:rsid w:val="00221A5C"/>
    <w:rsid w:val="00221AB7"/>
    <w:rsid w:val="00221B6A"/>
    <w:rsid w:val="00221BD7"/>
    <w:rsid w:val="00221C8F"/>
    <w:rsid w:val="00221D11"/>
    <w:rsid w:val="00222119"/>
    <w:rsid w:val="00222286"/>
    <w:rsid w:val="002222F2"/>
    <w:rsid w:val="0022237A"/>
    <w:rsid w:val="0022256D"/>
    <w:rsid w:val="002225C1"/>
    <w:rsid w:val="0022265B"/>
    <w:rsid w:val="0022268A"/>
    <w:rsid w:val="0022268F"/>
    <w:rsid w:val="00222779"/>
    <w:rsid w:val="00222987"/>
    <w:rsid w:val="00222B76"/>
    <w:rsid w:val="00222B96"/>
    <w:rsid w:val="00222B9D"/>
    <w:rsid w:val="00222BF8"/>
    <w:rsid w:val="00222C4B"/>
    <w:rsid w:val="00222CFC"/>
    <w:rsid w:val="00222D54"/>
    <w:rsid w:val="00222DBB"/>
    <w:rsid w:val="0022306B"/>
    <w:rsid w:val="00223197"/>
    <w:rsid w:val="002231B3"/>
    <w:rsid w:val="00223261"/>
    <w:rsid w:val="0022326C"/>
    <w:rsid w:val="002232EA"/>
    <w:rsid w:val="0022338B"/>
    <w:rsid w:val="002237B4"/>
    <w:rsid w:val="00223835"/>
    <w:rsid w:val="00223836"/>
    <w:rsid w:val="0022389F"/>
    <w:rsid w:val="00223BA2"/>
    <w:rsid w:val="00223BC1"/>
    <w:rsid w:val="00223CD6"/>
    <w:rsid w:val="00223F01"/>
    <w:rsid w:val="00223F0B"/>
    <w:rsid w:val="0022400C"/>
    <w:rsid w:val="00224020"/>
    <w:rsid w:val="00224026"/>
    <w:rsid w:val="0022403D"/>
    <w:rsid w:val="0022412F"/>
    <w:rsid w:val="0022416E"/>
    <w:rsid w:val="00224321"/>
    <w:rsid w:val="0022433E"/>
    <w:rsid w:val="002244A3"/>
    <w:rsid w:val="002244A6"/>
    <w:rsid w:val="002244B2"/>
    <w:rsid w:val="002245F3"/>
    <w:rsid w:val="002246BB"/>
    <w:rsid w:val="002247FE"/>
    <w:rsid w:val="002248AD"/>
    <w:rsid w:val="00224B85"/>
    <w:rsid w:val="00224BB2"/>
    <w:rsid w:val="00224C2D"/>
    <w:rsid w:val="00224CA3"/>
    <w:rsid w:val="00224CCD"/>
    <w:rsid w:val="00224D51"/>
    <w:rsid w:val="00224DF0"/>
    <w:rsid w:val="00224E03"/>
    <w:rsid w:val="00224FCE"/>
    <w:rsid w:val="00224FF0"/>
    <w:rsid w:val="0022504C"/>
    <w:rsid w:val="00225094"/>
    <w:rsid w:val="002250F6"/>
    <w:rsid w:val="00225140"/>
    <w:rsid w:val="00225209"/>
    <w:rsid w:val="0022522E"/>
    <w:rsid w:val="0022552F"/>
    <w:rsid w:val="0022554C"/>
    <w:rsid w:val="002256D3"/>
    <w:rsid w:val="00225790"/>
    <w:rsid w:val="00225952"/>
    <w:rsid w:val="00225D06"/>
    <w:rsid w:val="00225D3E"/>
    <w:rsid w:val="00225EEB"/>
    <w:rsid w:val="00225FC5"/>
    <w:rsid w:val="00226048"/>
    <w:rsid w:val="00226060"/>
    <w:rsid w:val="00226119"/>
    <w:rsid w:val="0022616A"/>
    <w:rsid w:val="00226184"/>
    <w:rsid w:val="0022626B"/>
    <w:rsid w:val="00226358"/>
    <w:rsid w:val="002263DD"/>
    <w:rsid w:val="0022645A"/>
    <w:rsid w:val="00226646"/>
    <w:rsid w:val="002266A7"/>
    <w:rsid w:val="002268A1"/>
    <w:rsid w:val="002268D9"/>
    <w:rsid w:val="002269D9"/>
    <w:rsid w:val="00226A50"/>
    <w:rsid w:val="00226A84"/>
    <w:rsid w:val="00226C02"/>
    <w:rsid w:val="00226C5A"/>
    <w:rsid w:val="00226CF2"/>
    <w:rsid w:val="00226E4E"/>
    <w:rsid w:val="00226E6D"/>
    <w:rsid w:val="00226F4C"/>
    <w:rsid w:val="0022706D"/>
    <w:rsid w:val="00227081"/>
    <w:rsid w:val="0022713D"/>
    <w:rsid w:val="002271B1"/>
    <w:rsid w:val="002271DB"/>
    <w:rsid w:val="002272AE"/>
    <w:rsid w:val="00227379"/>
    <w:rsid w:val="00227463"/>
    <w:rsid w:val="0022754E"/>
    <w:rsid w:val="00227571"/>
    <w:rsid w:val="00227624"/>
    <w:rsid w:val="00227654"/>
    <w:rsid w:val="00227689"/>
    <w:rsid w:val="0022768A"/>
    <w:rsid w:val="00227744"/>
    <w:rsid w:val="00227A3C"/>
    <w:rsid w:val="00227A72"/>
    <w:rsid w:val="00227BE3"/>
    <w:rsid w:val="00227C64"/>
    <w:rsid w:val="00227E0B"/>
    <w:rsid w:val="00227E20"/>
    <w:rsid w:val="00227F60"/>
    <w:rsid w:val="00227FD5"/>
    <w:rsid w:val="002300A1"/>
    <w:rsid w:val="002301DA"/>
    <w:rsid w:val="002302DD"/>
    <w:rsid w:val="002302F8"/>
    <w:rsid w:val="00230307"/>
    <w:rsid w:val="00230370"/>
    <w:rsid w:val="00230686"/>
    <w:rsid w:val="0023069D"/>
    <w:rsid w:val="002306A7"/>
    <w:rsid w:val="00230C38"/>
    <w:rsid w:val="00230D4D"/>
    <w:rsid w:val="00230DDD"/>
    <w:rsid w:val="00230DE8"/>
    <w:rsid w:val="00230DEE"/>
    <w:rsid w:val="00230E49"/>
    <w:rsid w:val="00230ED7"/>
    <w:rsid w:val="00230FA1"/>
    <w:rsid w:val="0023120D"/>
    <w:rsid w:val="002312EC"/>
    <w:rsid w:val="0023141E"/>
    <w:rsid w:val="002314DA"/>
    <w:rsid w:val="00231640"/>
    <w:rsid w:val="002316C8"/>
    <w:rsid w:val="0023170C"/>
    <w:rsid w:val="0023178E"/>
    <w:rsid w:val="00231888"/>
    <w:rsid w:val="0023194D"/>
    <w:rsid w:val="00231A53"/>
    <w:rsid w:val="00231B9D"/>
    <w:rsid w:val="00231BB3"/>
    <w:rsid w:val="00231D2C"/>
    <w:rsid w:val="00231FCC"/>
    <w:rsid w:val="00231FF6"/>
    <w:rsid w:val="002320BC"/>
    <w:rsid w:val="00232128"/>
    <w:rsid w:val="00232183"/>
    <w:rsid w:val="0023225C"/>
    <w:rsid w:val="002324CE"/>
    <w:rsid w:val="002325D7"/>
    <w:rsid w:val="00232614"/>
    <w:rsid w:val="002326AD"/>
    <w:rsid w:val="0023272C"/>
    <w:rsid w:val="00232825"/>
    <w:rsid w:val="00232841"/>
    <w:rsid w:val="00232A37"/>
    <w:rsid w:val="00232A40"/>
    <w:rsid w:val="00232A4D"/>
    <w:rsid w:val="00232B21"/>
    <w:rsid w:val="00232C0C"/>
    <w:rsid w:val="00232FDB"/>
    <w:rsid w:val="002331E3"/>
    <w:rsid w:val="002331F6"/>
    <w:rsid w:val="00233284"/>
    <w:rsid w:val="0023347B"/>
    <w:rsid w:val="002334A1"/>
    <w:rsid w:val="00233599"/>
    <w:rsid w:val="0023359A"/>
    <w:rsid w:val="0023360A"/>
    <w:rsid w:val="00233742"/>
    <w:rsid w:val="00233777"/>
    <w:rsid w:val="00233797"/>
    <w:rsid w:val="002338CC"/>
    <w:rsid w:val="00233967"/>
    <w:rsid w:val="00233A21"/>
    <w:rsid w:val="00233A60"/>
    <w:rsid w:val="00233BF5"/>
    <w:rsid w:val="00233D2F"/>
    <w:rsid w:val="00233D51"/>
    <w:rsid w:val="00233D94"/>
    <w:rsid w:val="00233E55"/>
    <w:rsid w:val="00233F07"/>
    <w:rsid w:val="00233F93"/>
    <w:rsid w:val="0023413C"/>
    <w:rsid w:val="002341A9"/>
    <w:rsid w:val="002341D3"/>
    <w:rsid w:val="002343A1"/>
    <w:rsid w:val="00234404"/>
    <w:rsid w:val="00234491"/>
    <w:rsid w:val="00234492"/>
    <w:rsid w:val="0023451E"/>
    <w:rsid w:val="00234528"/>
    <w:rsid w:val="0023453C"/>
    <w:rsid w:val="00234542"/>
    <w:rsid w:val="002345E9"/>
    <w:rsid w:val="00234705"/>
    <w:rsid w:val="00234763"/>
    <w:rsid w:val="002347A2"/>
    <w:rsid w:val="002347D4"/>
    <w:rsid w:val="002349EE"/>
    <w:rsid w:val="00234AC8"/>
    <w:rsid w:val="00234B58"/>
    <w:rsid w:val="00234B7A"/>
    <w:rsid w:val="00234CDE"/>
    <w:rsid w:val="00234D1A"/>
    <w:rsid w:val="00234E52"/>
    <w:rsid w:val="00234E56"/>
    <w:rsid w:val="00234EEB"/>
    <w:rsid w:val="00234F5A"/>
    <w:rsid w:val="00234FB2"/>
    <w:rsid w:val="00235125"/>
    <w:rsid w:val="00235186"/>
    <w:rsid w:val="0023518E"/>
    <w:rsid w:val="00235190"/>
    <w:rsid w:val="0023521D"/>
    <w:rsid w:val="00235246"/>
    <w:rsid w:val="002352DA"/>
    <w:rsid w:val="00235436"/>
    <w:rsid w:val="00235497"/>
    <w:rsid w:val="002354B9"/>
    <w:rsid w:val="002354C8"/>
    <w:rsid w:val="002354E8"/>
    <w:rsid w:val="00235677"/>
    <w:rsid w:val="00235719"/>
    <w:rsid w:val="002357B3"/>
    <w:rsid w:val="00235ABA"/>
    <w:rsid w:val="00235C7B"/>
    <w:rsid w:val="00235CAF"/>
    <w:rsid w:val="00235D8A"/>
    <w:rsid w:val="00235F0E"/>
    <w:rsid w:val="002361C0"/>
    <w:rsid w:val="002361DC"/>
    <w:rsid w:val="002362D7"/>
    <w:rsid w:val="002362E3"/>
    <w:rsid w:val="002363AC"/>
    <w:rsid w:val="0023640D"/>
    <w:rsid w:val="00236418"/>
    <w:rsid w:val="002364C6"/>
    <w:rsid w:val="002364FB"/>
    <w:rsid w:val="002365EC"/>
    <w:rsid w:val="00236698"/>
    <w:rsid w:val="00236736"/>
    <w:rsid w:val="002367E0"/>
    <w:rsid w:val="00236885"/>
    <w:rsid w:val="002369F2"/>
    <w:rsid w:val="00236A9C"/>
    <w:rsid w:val="00236DF1"/>
    <w:rsid w:val="00236EC3"/>
    <w:rsid w:val="00237063"/>
    <w:rsid w:val="002370B7"/>
    <w:rsid w:val="002370D6"/>
    <w:rsid w:val="00237166"/>
    <w:rsid w:val="00237184"/>
    <w:rsid w:val="0023724B"/>
    <w:rsid w:val="00237257"/>
    <w:rsid w:val="0023734C"/>
    <w:rsid w:val="00237398"/>
    <w:rsid w:val="0023740A"/>
    <w:rsid w:val="00237482"/>
    <w:rsid w:val="002374C3"/>
    <w:rsid w:val="00237690"/>
    <w:rsid w:val="002376DF"/>
    <w:rsid w:val="00237737"/>
    <w:rsid w:val="0023774A"/>
    <w:rsid w:val="00237861"/>
    <w:rsid w:val="0023792C"/>
    <w:rsid w:val="002379CE"/>
    <w:rsid w:val="00237CBB"/>
    <w:rsid w:val="00237DF5"/>
    <w:rsid w:val="00237E97"/>
    <w:rsid w:val="00237F74"/>
    <w:rsid w:val="00237FCF"/>
    <w:rsid w:val="0023E695"/>
    <w:rsid w:val="00240043"/>
    <w:rsid w:val="002400AB"/>
    <w:rsid w:val="0024012F"/>
    <w:rsid w:val="0024021A"/>
    <w:rsid w:val="002402FD"/>
    <w:rsid w:val="00240378"/>
    <w:rsid w:val="00240386"/>
    <w:rsid w:val="002403CF"/>
    <w:rsid w:val="00240419"/>
    <w:rsid w:val="00240B35"/>
    <w:rsid w:val="00240CA4"/>
    <w:rsid w:val="00240D3E"/>
    <w:rsid w:val="00240E9D"/>
    <w:rsid w:val="00240EDF"/>
    <w:rsid w:val="00240F1A"/>
    <w:rsid w:val="00240F35"/>
    <w:rsid w:val="002410F1"/>
    <w:rsid w:val="0024125C"/>
    <w:rsid w:val="002412DD"/>
    <w:rsid w:val="0024141F"/>
    <w:rsid w:val="00241450"/>
    <w:rsid w:val="00241480"/>
    <w:rsid w:val="002414DA"/>
    <w:rsid w:val="002415A5"/>
    <w:rsid w:val="002417A6"/>
    <w:rsid w:val="00241905"/>
    <w:rsid w:val="002419E7"/>
    <w:rsid w:val="002419FF"/>
    <w:rsid w:val="00241AAC"/>
    <w:rsid w:val="00241AB8"/>
    <w:rsid w:val="00241AD8"/>
    <w:rsid w:val="00241BD7"/>
    <w:rsid w:val="00241C25"/>
    <w:rsid w:val="00241CCA"/>
    <w:rsid w:val="00241D27"/>
    <w:rsid w:val="00241E00"/>
    <w:rsid w:val="00241E31"/>
    <w:rsid w:val="00241F1C"/>
    <w:rsid w:val="00242002"/>
    <w:rsid w:val="00242041"/>
    <w:rsid w:val="0024204D"/>
    <w:rsid w:val="002421D7"/>
    <w:rsid w:val="002423CD"/>
    <w:rsid w:val="00242478"/>
    <w:rsid w:val="002424EE"/>
    <w:rsid w:val="0024263F"/>
    <w:rsid w:val="00242762"/>
    <w:rsid w:val="002427B9"/>
    <w:rsid w:val="00242915"/>
    <w:rsid w:val="00242A1E"/>
    <w:rsid w:val="00242AA8"/>
    <w:rsid w:val="00242AAB"/>
    <w:rsid w:val="00242AF2"/>
    <w:rsid w:val="00242C1F"/>
    <w:rsid w:val="00242C86"/>
    <w:rsid w:val="00242D39"/>
    <w:rsid w:val="00242D7F"/>
    <w:rsid w:val="00242EA7"/>
    <w:rsid w:val="00242EE9"/>
    <w:rsid w:val="0024300A"/>
    <w:rsid w:val="00243177"/>
    <w:rsid w:val="002432AB"/>
    <w:rsid w:val="002432F3"/>
    <w:rsid w:val="00243334"/>
    <w:rsid w:val="00243403"/>
    <w:rsid w:val="00243565"/>
    <w:rsid w:val="00243589"/>
    <w:rsid w:val="002435E3"/>
    <w:rsid w:val="002435F5"/>
    <w:rsid w:val="0024363B"/>
    <w:rsid w:val="002436CD"/>
    <w:rsid w:val="0024376A"/>
    <w:rsid w:val="00243878"/>
    <w:rsid w:val="002439ED"/>
    <w:rsid w:val="00243A1A"/>
    <w:rsid w:val="00243A1E"/>
    <w:rsid w:val="00243BC9"/>
    <w:rsid w:val="00243BF1"/>
    <w:rsid w:val="00243D1F"/>
    <w:rsid w:val="00243D28"/>
    <w:rsid w:val="00243D43"/>
    <w:rsid w:val="00243D46"/>
    <w:rsid w:val="00243DF5"/>
    <w:rsid w:val="00243EF9"/>
    <w:rsid w:val="00243FE4"/>
    <w:rsid w:val="00244025"/>
    <w:rsid w:val="0024407E"/>
    <w:rsid w:val="00244194"/>
    <w:rsid w:val="002443E7"/>
    <w:rsid w:val="0024449B"/>
    <w:rsid w:val="002444F5"/>
    <w:rsid w:val="00244558"/>
    <w:rsid w:val="00244742"/>
    <w:rsid w:val="002447C9"/>
    <w:rsid w:val="002447D7"/>
    <w:rsid w:val="002447FA"/>
    <w:rsid w:val="00244920"/>
    <w:rsid w:val="00244947"/>
    <w:rsid w:val="00244A16"/>
    <w:rsid w:val="00244A49"/>
    <w:rsid w:val="00244D0A"/>
    <w:rsid w:val="00244D87"/>
    <w:rsid w:val="00244E63"/>
    <w:rsid w:val="00244EB3"/>
    <w:rsid w:val="0024511E"/>
    <w:rsid w:val="00245125"/>
    <w:rsid w:val="002452A3"/>
    <w:rsid w:val="00245301"/>
    <w:rsid w:val="00245348"/>
    <w:rsid w:val="0024552B"/>
    <w:rsid w:val="0024555E"/>
    <w:rsid w:val="0024578D"/>
    <w:rsid w:val="002457C5"/>
    <w:rsid w:val="00245857"/>
    <w:rsid w:val="0024586B"/>
    <w:rsid w:val="002458E1"/>
    <w:rsid w:val="00245BE8"/>
    <w:rsid w:val="00245DC8"/>
    <w:rsid w:val="00245E39"/>
    <w:rsid w:val="00245E68"/>
    <w:rsid w:val="00245FD5"/>
    <w:rsid w:val="002460F5"/>
    <w:rsid w:val="00246435"/>
    <w:rsid w:val="0024647B"/>
    <w:rsid w:val="002464D7"/>
    <w:rsid w:val="0024650C"/>
    <w:rsid w:val="00246587"/>
    <w:rsid w:val="00246968"/>
    <w:rsid w:val="00246975"/>
    <w:rsid w:val="00246991"/>
    <w:rsid w:val="00246A4C"/>
    <w:rsid w:val="00246BCF"/>
    <w:rsid w:val="00246BE1"/>
    <w:rsid w:val="00246DA6"/>
    <w:rsid w:val="00246E6C"/>
    <w:rsid w:val="00247044"/>
    <w:rsid w:val="0024708E"/>
    <w:rsid w:val="0024717A"/>
    <w:rsid w:val="00247197"/>
    <w:rsid w:val="0024719F"/>
    <w:rsid w:val="00247320"/>
    <w:rsid w:val="00247381"/>
    <w:rsid w:val="0024740C"/>
    <w:rsid w:val="002475BE"/>
    <w:rsid w:val="002478BB"/>
    <w:rsid w:val="00247945"/>
    <w:rsid w:val="00247A25"/>
    <w:rsid w:val="00247A7C"/>
    <w:rsid w:val="00247B6C"/>
    <w:rsid w:val="00247C2E"/>
    <w:rsid w:val="00247C3C"/>
    <w:rsid w:val="00247C7D"/>
    <w:rsid w:val="00247D9E"/>
    <w:rsid w:val="00247DA2"/>
    <w:rsid w:val="00247DBE"/>
    <w:rsid w:val="00247E10"/>
    <w:rsid w:val="00247E35"/>
    <w:rsid w:val="00247FA3"/>
    <w:rsid w:val="00247FD6"/>
    <w:rsid w:val="00250024"/>
    <w:rsid w:val="0025016C"/>
    <w:rsid w:val="0025019B"/>
    <w:rsid w:val="0025019D"/>
    <w:rsid w:val="002502A8"/>
    <w:rsid w:val="00250336"/>
    <w:rsid w:val="0025042E"/>
    <w:rsid w:val="00250491"/>
    <w:rsid w:val="0025051C"/>
    <w:rsid w:val="0025062B"/>
    <w:rsid w:val="002507C1"/>
    <w:rsid w:val="002507F2"/>
    <w:rsid w:val="00250978"/>
    <w:rsid w:val="0025098F"/>
    <w:rsid w:val="002509DB"/>
    <w:rsid w:val="00250AC0"/>
    <w:rsid w:val="00250B7E"/>
    <w:rsid w:val="00250B7F"/>
    <w:rsid w:val="00250F03"/>
    <w:rsid w:val="0025119D"/>
    <w:rsid w:val="0025122C"/>
    <w:rsid w:val="002512B7"/>
    <w:rsid w:val="0025138E"/>
    <w:rsid w:val="0025153A"/>
    <w:rsid w:val="002515A0"/>
    <w:rsid w:val="002515A3"/>
    <w:rsid w:val="002515C1"/>
    <w:rsid w:val="0025161B"/>
    <w:rsid w:val="00251648"/>
    <w:rsid w:val="002516D4"/>
    <w:rsid w:val="00251705"/>
    <w:rsid w:val="00251909"/>
    <w:rsid w:val="00251925"/>
    <w:rsid w:val="0025195D"/>
    <w:rsid w:val="00251ADD"/>
    <w:rsid w:val="00251B4C"/>
    <w:rsid w:val="00251C95"/>
    <w:rsid w:val="00251D71"/>
    <w:rsid w:val="00251DA1"/>
    <w:rsid w:val="00251E46"/>
    <w:rsid w:val="00251EE7"/>
    <w:rsid w:val="00251FB8"/>
    <w:rsid w:val="002520BC"/>
    <w:rsid w:val="00252178"/>
    <w:rsid w:val="00252439"/>
    <w:rsid w:val="002524DB"/>
    <w:rsid w:val="00252650"/>
    <w:rsid w:val="002526A8"/>
    <w:rsid w:val="0025272E"/>
    <w:rsid w:val="002527A6"/>
    <w:rsid w:val="0025283A"/>
    <w:rsid w:val="00252896"/>
    <w:rsid w:val="002528C6"/>
    <w:rsid w:val="00252A74"/>
    <w:rsid w:val="00252B13"/>
    <w:rsid w:val="00252D96"/>
    <w:rsid w:val="00252E7B"/>
    <w:rsid w:val="00252ED9"/>
    <w:rsid w:val="00252EE3"/>
    <w:rsid w:val="00252FC0"/>
    <w:rsid w:val="0025302A"/>
    <w:rsid w:val="00253059"/>
    <w:rsid w:val="002530DD"/>
    <w:rsid w:val="0025312E"/>
    <w:rsid w:val="00253201"/>
    <w:rsid w:val="0025346A"/>
    <w:rsid w:val="0025355B"/>
    <w:rsid w:val="0025377F"/>
    <w:rsid w:val="002537C0"/>
    <w:rsid w:val="0025380F"/>
    <w:rsid w:val="0025395B"/>
    <w:rsid w:val="0025395D"/>
    <w:rsid w:val="00253C18"/>
    <w:rsid w:val="00253C70"/>
    <w:rsid w:val="00253CA6"/>
    <w:rsid w:val="00253CCB"/>
    <w:rsid w:val="00253DA3"/>
    <w:rsid w:val="00253F1D"/>
    <w:rsid w:val="00253F49"/>
    <w:rsid w:val="00253F65"/>
    <w:rsid w:val="00253FB0"/>
    <w:rsid w:val="00253FBB"/>
    <w:rsid w:val="00253FE1"/>
    <w:rsid w:val="00253FED"/>
    <w:rsid w:val="0025408B"/>
    <w:rsid w:val="00254154"/>
    <w:rsid w:val="00254178"/>
    <w:rsid w:val="00254201"/>
    <w:rsid w:val="00254246"/>
    <w:rsid w:val="00254274"/>
    <w:rsid w:val="00254287"/>
    <w:rsid w:val="00254413"/>
    <w:rsid w:val="00254458"/>
    <w:rsid w:val="00254559"/>
    <w:rsid w:val="002545A5"/>
    <w:rsid w:val="002545B9"/>
    <w:rsid w:val="002546C2"/>
    <w:rsid w:val="00254755"/>
    <w:rsid w:val="002547FF"/>
    <w:rsid w:val="00254801"/>
    <w:rsid w:val="002548D9"/>
    <w:rsid w:val="00254B88"/>
    <w:rsid w:val="00254BCC"/>
    <w:rsid w:val="00254BDB"/>
    <w:rsid w:val="00254BE3"/>
    <w:rsid w:val="00254BE8"/>
    <w:rsid w:val="00254CE5"/>
    <w:rsid w:val="00254E31"/>
    <w:rsid w:val="00254EF4"/>
    <w:rsid w:val="00254F4D"/>
    <w:rsid w:val="00254FA3"/>
    <w:rsid w:val="00255094"/>
    <w:rsid w:val="00255136"/>
    <w:rsid w:val="0025525F"/>
    <w:rsid w:val="00255314"/>
    <w:rsid w:val="0025532A"/>
    <w:rsid w:val="00255358"/>
    <w:rsid w:val="00255370"/>
    <w:rsid w:val="002554D3"/>
    <w:rsid w:val="00255525"/>
    <w:rsid w:val="002555E7"/>
    <w:rsid w:val="00255654"/>
    <w:rsid w:val="00255709"/>
    <w:rsid w:val="00255788"/>
    <w:rsid w:val="0025578E"/>
    <w:rsid w:val="0025587D"/>
    <w:rsid w:val="002559F2"/>
    <w:rsid w:val="00255A9C"/>
    <w:rsid w:val="00255B20"/>
    <w:rsid w:val="00255BFB"/>
    <w:rsid w:val="00255C7D"/>
    <w:rsid w:val="00255E4C"/>
    <w:rsid w:val="00255F9E"/>
    <w:rsid w:val="00256107"/>
    <w:rsid w:val="0025612D"/>
    <w:rsid w:val="002562BA"/>
    <w:rsid w:val="00256400"/>
    <w:rsid w:val="0025643E"/>
    <w:rsid w:val="002564BD"/>
    <w:rsid w:val="0025668A"/>
    <w:rsid w:val="002566F9"/>
    <w:rsid w:val="002567F4"/>
    <w:rsid w:val="00256865"/>
    <w:rsid w:val="002568CE"/>
    <w:rsid w:val="00256921"/>
    <w:rsid w:val="00256940"/>
    <w:rsid w:val="002569B1"/>
    <w:rsid w:val="002569B7"/>
    <w:rsid w:val="00256B10"/>
    <w:rsid w:val="00256BBC"/>
    <w:rsid w:val="00256CD0"/>
    <w:rsid w:val="00256D29"/>
    <w:rsid w:val="00256D4D"/>
    <w:rsid w:val="00256DDD"/>
    <w:rsid w:val="00256EAB"/>
    <w:rsid w:val="00256F46"/>
    <w:rsid w:val="00256FCD"/>
    <w:rsid w:val="00257005"/>
    <w:rsid w:val="00257091"/>
    <w:rsid w:val="002570CC"/>
    <w:rsid w:val="002570F7"/>
    <w:rsid w:val="00257142"/>
    <w:rsid w:val="002571CF"/>
    <w:rsid w:val="002571D3"/>
    <w:rsid w:val="00257346"/>
    <w:rsid w:val="002573BB"/>
    <w:rsid w:val="002574AF"/>
    <w:rsid w:val="0025772E"/>
    <w:rsid w:val="00257B7F"/>
    <w:rsid w:val="00257DB1"/>
    <w:rsid w:val="00257E4B"/>
    <w:rsid w:val="00257F10"/>
    <w:rsid w:val="00257FC6"/>
    <w:rsid w:val="00260024"/>
    <w:rsid w:val="0026015C"/>
    <w:rsid w:val="0026020F"/>
    <w:rsid w:val="0026031E"/>
    <w:rsid w:val="0026056A"/>
    <w:rsid w:val="00260819"/>
    <w:rsid w:val="002608C5"/>
    <w:rsid w:val="002608CA"/>
    <w:rsid w:val="0026090C"/>
    <w:rsid w:val="00260939"/>
    <w:rsid w:val="00260A52"/>
    <w:rsid w:val="00260AEE"/>
    <w:rsid w:val="00260C70"/>
    <w:rsid w:val="00260CCE"/>
    <w:rsid w:val="00260D0D"/>
    <w:rsid w:val="00260DAB"/>
    <w:rsid w:val="00260EA3"/>
    <w:rsid w:val="00260EC3"/>
    <w:rsid w:val="00260F97"/>
    <w:rsid w:val="002610B6"/>
    <w:rsid w:val="002610D0"/>
    <w:rsid w:val="00261118"/>
    <w:rsid w:val="00261186"/>
    <w:rsid w:val="0026135F"/>
    <w:rsid w:val="002614A9"/>
    <w:rsid w:val="00261549"/>
    <w:rsid w:val="0026158F"/>
    <w:rsid w:val="00261690"/>
    <w:rsid w:val="00261727"/>
    <w:rsid w:val="002617B3"/>
    <w:rsid w:val="00261901"/>
    <w:rsid w:val="00261B0C"/>
    <w:rsid w:val="00261B73"/>
    <w:rsid w:val="00261C3A"/>
    <w:rsid w:val="00261CA6"/>
    <w:rsid w:val="00261DA3"/>
    <w:rsid w:val="00261E69"/>
    <w:rsid w:val="00261FA7"/>
    <w:rsid w:val="00261FC7"/>
    <w:rsid w:val="002620D4"/>
    <w:rsid w:val="0026229F"/>
    <w:rsid w:val="00262372"/>
    <w:rsid w:val="00262377"/>
    <w:rsid w:val="0026246D"/>
    <w:rsid w:val="00262584"/>
    <w:rsid w:val="002625D0"/>
    <w:rsid w:val="0026272C"/>
    <w:rsid w:val="0026275F"/>
    <w:rsid w:val="0026276E"/>
    <w:rsid w:val="002628B2"/>
    <w:rsid w:val="002629A0"/>
    <w:rsid w:val="00262B23"/>
    <w:rsid w:val="00262B9F"/>
    <w:rsid w:val="00262C9F"/>
    <w:rsid w:val="00262FF7"/>
    <w:rsid w:val="0026310C"/>
    <w:rsid w:val="00263175"/>
    <w:rsid w:val="00263298"/>
    <w:rsid w:val="00263356"/>
    <w:rsid w:val="00263455"/>
    <w:rsid w:val="002634C8"/>
    <w:rsid w:val="0026368F"/>
    <w:rsid w:val="002638AB"/>
    <w:rsid w:val="002638FF"/>
    <w:rsid w:val="0026397E"/>
    <w:rsid w:val="00263989"/>
    <w:rsid w:val="002639C7"/>
    <w:rsid w:val="00263BDC"/>
    <w:rsid w:val="00263DFB"/>
    <w:rsid w:val="00263E93"/>
    <w:rsid w:val="0026406A"/>
    <w:rsid w:val="002640F1"/>
    <w:rsid w:val="00264162"/>
    <w:rsid w:val="002641F2"/>
    <w:rsid w:val="00264384"/>
    <w:rsid w:val="002643DB"/>
    <w:rsid w:val="00264635"/>
    <w:rsid w:val="002646C7"/>
    <w:rsid w:val="00264793"/>
    <w:rsid w:val="00264867"/>
    <w:rsid w:val="00264895"/>
    <w:rsid w:val="00264BB2"/>
    <w:rsid w:val="00264BC2"/>
    <w:rsid w:val="00264D25"/>
    <w:rsid w:val="00264D68"/>
    <w:rsid w:val="00264E66"/>
    <w:rsid w:val="00264ED7"/>
    <w:rsid w:val="00264F99"/>
    <w:rsid w:val="002653B2"/>
    <w:rsid w:val="00265424"/>
    <w:rsid w:val="0026548F"/>
    <w:rsid w:val="002658B6"/>
    <w:rsid w:val="00265923"/>
    <w:rsid w:val="0026593F"/>
    <w:rsid w:val="00265A34"/>
    <w:rsid w:val="00265A48"/>
    <w:rsid w:val="00265B58"/>
    <w:rsid w:val="00265B5F"/>
    <w:rsid w:val="00265C57"/>
    <w:rsid w:val="00265D55"/>
    <w:rsid w:val="00265E41"/>
    <w:rsid w:val="00265EAD"/>
    <w:rsid w:val="00266000"/>
    <w:rsid w:val="0026604C"/>
    <w:rsid w:val="0026623E"/>
    <w:rsid w:val="0026625C"/>
    <w:rsid w:val="0026627E"/>
    <w:rsid w:val="002663C7"/>
    <w:rsid w:val="00266477"/>
    <w:rsid w:val="00266494"/>
    <w:rsid w:val="002664F0"/>
    <w:rsid w:val="00266567"/>
    <w:rsid w:val="0026656D"/>
    <w:rsid w:val="00266746"/>
    <w:rsid w:val="00266935"/>
    <w:rsid w:val="002669AF"/>
    <w:rsid w:val="00266A13"/>
    <w:rsid w:val="00266C03"/>
    <w:rsid w:val="00266C73"/>
    <w:rsid w:val="00266C9A"/>
    <w:rsid w:val="00266D25"/>
    <w:rsid w:val="00266D53"/>
    <w:rsid w:val="00266D7A"/>
    <w:rsid w:val="00267124"/>
    <w:rsid w:val="00267293"/>
    <w:rsid w:val="002672E3"/>
    <w:rsid w:val="00267338"/>
    <w:rsid w:val="002674FA"/>
    <w:rsid w:val="00267654"/>
    <w:rsid w:val="00267775"/>
    <w:rsid w:val="00267834"/>
    <w:rsid w:val="0026789E"/>
    <w:rsid w:val="002679DB"/>
    <w:rsid w:val="00267D30"/>
    <w:rsid w:val="00267E58"/>
    <w:rsid w:val="00267EE9"/>
    <w:rsid w:val="00267F23"/>
    <w:rsid w:val="00270003"/>
    <w:rsid w:val="00270026"/>
    <w:rsid w:val="0027029C"/>
    <w:rsid w:val="002704D9"/>
    <w:rsid w:val="0027051B"/>
    <w:rsid w:val="00270746"/>
    <w:rsid w:val="002707AF"/>
    <w:rsid w:val="00270834"/>
    <w:rsid w:val="002708A1"/>
    <w:rsid w:val="00270ADC"/>
    <w:rsid w:val="00270B14"/>
    <w:rsid w:val="00270B7F"/>
    <w:rsid w:val="00270C11"/>
    <w:rsid w:val="00270C22"/>
    <w:rsid w:val="00270C4F"/>
    <w:rsid w:val="00270CC6"/>
    <w:rsid w:val="00270DE7"/>
    <w:rsid w:val="00270E13"/>
    <w:rsid w:val="002710B9"/>
    <w:rsid w:val="0027112D"/>
    <w:rsid w:val="00271257"/>
    <w:rsid w:val="002712E2"/>
    <w:rsid w:val="0027133F"/>
    <w:rsid w:val="00271462"/>
    <w:rsid w:val="002714C2"/>
    <w:rsid w:val="002714D5"/>
    <w:rsid w:val="00271569"/>
    <w:rsid w:val="002719C5"/>
    <w:rsid w:val="00271A8B"/>
    <w:rsid w:val="00271CBF"/>
    <w:rsid w:val="00271D58"/>
    <w:rsid w:val="00271E79"/>
    <w:rsid w:val="00271EA5"/>
    <w:rsid w:val="00271F7C"/>
    <w:rsid w:val="002720D7"/>
    <w:rsid w:val="00272224"/>
    <w:rsid w:val="002722B0"/>
    <w:rsid w:val="00272358"/>
    <w:rsid w:val="002725BA"/>
    <w:rsid w:val="00272722"/>
    <w:rsid w:val="0027276B"/>
    <w:rsid w:val="0027288A"/>
    <w:rsid w:val="0027291F"/>
    <w:rsid w:val="00272A66"/>
    <w:rsid w:val="00272A6D"/>
    <w:rsid w:val="00272B8F"/>
    <w:rsid w:val="00272C87"/>
    <w:rsid w:val="00272CE2"/>
    <w:rsid w:val="00272D24"/>
    <w:rsid w:val="00272DB6"/>
    <w:rsid w:val="00272F72"/>
    <w:rsid w:val="00273033"/>
    <w:rsid w:val="0027311D"/>
    <w:rsid w:val="002733D2"/>
    <w:rsid w:val="00273440"/>
    <w:rsid w:val="00273528"/>
    <w:rsid w:val="0027356F"/>
    <w:rsid w:val="0027361C"/>
    <w:rsid w:val="00273666"/>
    <w:rsid w:val="002736A3"/>
    <w:rsid w:val="002738D9"/>
    <w:rsid w:val="002739F9"/>
    <w:rsid w:val="00273A43"/>
    <w:rsid w:val="00273B10"/>
    <w:rsid w:val="00273C5B"/>
    <w:rsid w:val="00273C8E"/>
    <w:rsid w:val="00273D42"/>
    <w:rsid w:val="00273D94"/>
    <w:rsid w:val="00273DC7"/>
    <w:rsid w:val="00273DE0"/>
    <w:rsid w:val="00273DF3"/>
    <w:rsid w:val="00273E76"/>
    <w:rsid w:val="00273F24"/>
    <w:rsid w:val="00274098"/>
    <w:rsid w:val="002740AB"/>
    <w:rsid w:val="00274403"/>
    <w:rsid w:val="002744A4"/>
    <w:rsid w:val="00274525"/>
    <w:rsid w:val="002745DE"/>
    <w:rsid w:val="002745EB"/>
    <w:rsid w:val="002746D4"/>
    <w:rsid w:val="0027484C"/>
    <w:rsid w:val="00274B41"/>
    <w:rsid w:val="00274D42"/>
    <w:rsid w:val="00274E9F"/>
    <w:rsid w:val="00274F4A"/>
    <w:rsid w:val="00274F72"/>
    <w:rsid w:val="0027509F"/>
    <w:rsid w:val="002750D6"/>
    <w:rsid w:val="00275147"/>
    <w:rsid w:val="00275171"/>
    <w:rsid w:val="0027541D"/>
    <w:rsid w:val="0027543A"/>
    <w:rsid w:val="00275528"/>
    <w:rsid w:val="002755D9"/>
    <w:rsid w:val="00275707"/>
    <w:rsid w:val="0027574A"/>
    <w:rsid w:val="002757C9"/>
    <w:rsid w:val="002757FA"/>
    <w:rsid w:val="0027583D"/>
    <w:rsid w:val="00275865"/>
    <w:rsid w:val="00275932"/>
    <w:rsid w:val="0027599B"/>
    <w:rsid w:val="00275A00"/>
    <w:rsid w:val="00275A50"/>
    <w:rsid w:val="00275AD5"/>
    <w:rsid w:val="00275D28"/>
    <w:rsid w:val="00275D6E"/>
    <w:rsid w:val="00275DD8"/>
    <w:rsid w:val="00275E1C"/>
    <w:rsid w:val="00275ED8"/>
    <w:rsid w:val="00275FB3"/>
    <w:rsid w:val="00275FEF"/>
    <w:rsid w:val="00276050"/>
    <w:rsid w:val="002760A9"/>
    <w:rsid w:val="0027620C"/>
    <w:rsid w:val="00276214"/>
    <w:rsid w:val="00276245"/>
    <w:rsid w:val="002764FE"/>
    <w:rsid w:val="00276565"/>
    <w:rsid w:val="00276623"/>
    <w:rsid w:val="0027667C"/>
    <w:rsid w:val="00276686"/>
    <w:rsid w:val="0027679D"/>
    <w:rsid w:val="002767E8"/>
    <w:rsid w:val="0027685F"/>
    <w:rsid w:val="00276888"/>
    <w:rsid w:val="002768BB"/>
    <w:rsid w:val="00276A5D"/>
    <w:rsid w:val="00276C50"/>
    <w:rsid w:val="00276D33"/>
    <w:rsid w:val="00276E51"/>
    <w:rsid w:val="00276E99"/>
    <w:rsid w:val="00276FDB"/>
    <w:rsid w:val="00277151"/>
    <w:rsid w:val="00277412"/>
    <w:rsid w:val="002774F2"/>
    <w:rsid w:val="002775C5"/>
    <w:rsid w:val="00277698"/>
    <w:rsid w:val="002776B2"/>
    <w:rsid w:val="002777FF"/>
    <w:rsid w:val="002779AF"/>
    <w:rsid w:val="00277A8D"/>
    <w:rsid w:val="00277B52"/>
    <w:rsid w:val="00277D88"/>
    <w:rsid w:val="00277DB2"/>
    <w:rsid w:val="00277DB7"/>
    <w:rsid w:val="00277F98"/>
    <w:rsid w:val="00277F9A"/>
    <w:rsid w:val="00277FB8"/>
    <w:rsid w:val="0028035A"/>
    <w:rsid w:val="002803F5"/>
    <w:rsid w:val="00280456"/>
    <w:rsid w:val="0028052C"/>
    <w:rsid w:val="00280742"/>
    <w:rsid w:val="00280864"/>
    <w:rsid w:val="00280907"/>
    <w:rsid w:val="00280A6F"/>
    <w:rsid w:val="00280A7C"/>
    <w:rsid w:val="00280DCF"/>
    <w:rsid w:val="00280E92"/>
    <w:rsid w:val="00280F23"/>
    <w:rsid w:val="00280F8A"/>
    <w:rsid w:val="00280F8E"/>
    <w:rsid w:val="0028105D"/>
    <w:rsid w:val="002810FE"/>
    <w:rsid w:val="00281226"/>
    <w:rsid w:val="002812A0"/>
    <w:rsid w:val="00281347"/>
    <w:rsid w:val="002814E6"/>
    <w:rsid w:val="002814E8"/>
    <w:rsid w:val="0028177A"/>
    <w:rsid w:val="002817DA"/>
    <w:rsid w:val="00281846"/>
    <w:rsid w:val="00281890"/>
    <w:rsid w:val="002818A1"/>
    <w:rsid w:val="002818E4"/>
    <w:rsid w:val="0028191A"/>
    <w:rsid w:val="0028193A"/>
    <w:rsid w:val="00281992"/>
    <w:rsid w:val="002819FC"/>
    <w:rsid w:val="00281A29"/>
    <w:rsid w:val="00281A4B"/>
    <w:rsid w:val="00281C82"/>
    <w:rsid w:val="00281CCC"/>
    <w:rsid w:val="00281CFF"/>
    <w:rsid w:val="00281DCC"/>
    <w:rsid w:val="00281EDC"/>
    <w:rsid w:val="00281EDF"/>
    <w:rsid w:val="00281F7C"/>
    <w:rsid w:val="00282115"/>
    <w:rsid w:val="00282234"/>
    <w:rsid w:val="00282278"/>
    <w:rsid w:val="00282345"/>
    <w:rsid w:val="002823A7"/>
    <w:rsid w:val="0028245D"/>
    <w:rsid w:val="00282469"/>
    <w:rsid w:val="00282478"/>
    <w:rsid w:val="0028251D"/>
    <w:rsid w:val="00282663"/>
    <w:rsid w:val="00282681"/>
    <w:rsid w:val="00282739"/>
    <w:rsid w:val="00282765"/>
    <w:rsid w:val="002829CF"/>
    <w:rsid w:val="00282D38"/>
    <w:rsid w:val="00282DCE"/>
    <w:rsid w:val="00283050"/>
    <w:rsid w:val="002831B0"/>
    <w:rsid w:val="002831EB"/>
    <w:rsid w:val="00283248"/>
    <w:rsid w:val="002833E8"/>
    <w:rsid w:val="002835C0"/>
    <w:rsid w:val="00283664"/>
    <w:rsid w:val="002836EC"/>
    <w:rsid w:val="00283719"/>
    <w:rsid w:val="00283768"/>
    <w:rsid w:val="002837B6"/>
    <w:rsid w:val="002837E0"/>
    <w:rsid w:val="0028383B"/>
    <w:rsid w:val="00283A38"/>
    <w:rsid w:val="00283A52"/>
    <w:rsid w:val="00283AF1"/>
    <w:rsid w:val="00283BE4"/>
    <w:rsid w:val="00283D59"/>
    <w:rsid w:val="00283D63"/>
    <w:rsid w:val="00283DE2"/>
    <w:rsid w:val="00283DE8"/>
    <w:rsid w:val="00283E3A"/>
    <w:rsid w:val="00283EE0"/>
    <w:rsid w:val="00283F59"/>
    <w:rsid w:val="0028414D"/>
    <w:rsid w:val="0028419D"/>
    <w:rsid w:val="002841BB"/>
    <w:rsid w:val="002842C2"/>
    <w:rsid w:val="0028437A"/>
    <w:rsid w:val="0028438B"/>
    <w:rsid w:val="00284626"/>
    <w:rsid w:val="00284653"/>
    <w:rsid w:val="00284658"/>
    <w:rsid w:val="002846B0"/>
    <w:rsid w:val="00284722"/>
    <w:rsid w:val="002847E4"/>
    <w:rsid w:val="0028481E"/>
    <w:rsid w:val="002849A5"/>
    <w:rsid w:val="00284A4E"/>
    <w:rsid w:val="00284BAA"/>
    <w:rsid w:val="00284E0D"/>
    <w:rsid w:val="00284E43"/>
    <w:rsid w:val="00284F20"/>
    <w:rsid w:val="00284F45"/>
    <w:rsid w:val="00285066"/>
    <w:rsid w:val="002851F3"/>
    <w:rsid w:val="0028524F"/>
    <w:rsid w:val="0028525E"/>
    <w:rsid w:val="00285389"/>
    <w:rsid w:val="002853A9"/>
    <w:rsid w:val="002853AA"/>
    <w:rsid w:val="002853B6"/>
    <w:rsid w:val="00285749"/>
    <w:rsid w:val="00285774"/>
    <w:rsid w:val="00285826"/>
    <w:rsid w:val="00285862"/>
    <w:rsid w:val="002858C6"/>
    <w:rsid w:val="002858EF"/>
    <w:rsid w:val="002859F8"/>
    <w:rsid w:val="00285A1D"/>
    <w:rsid w:val="00285AC1"/>
    <w:rsid w:val="00285AC7"/>
    <w:rsid w:val="00285D98"/>
    <w:rsid w:val="00285E3B"/>
    <w:rsid w:val="0028628E"/>
    <w:rsid w:val="0028630F"/>
    <w:rsid w:val="002863EF"/>
    <w:rsid w:val="0028641B"/>
    <w:rsid w:val="002864A5"/>
    <w:rsid w:val="002864E5"/>
    <w:rsid w:val="0028652C"/>
    <w:rsid w:val="002869C5"/>
    <w:rsid w:val="00286AEA"/>
    <w:rsid w:val="00286CEF"/>
    <w:rsid w:val="00286F9A"/>
    <w:rsid w:val="00286FD8"/>
    <w:rsid w:val="002871A3"/>
    <w:rsid w:val="00287267"/>
    <w:rsid w:val="002873D3"/>
    <w:rsid w:val="002874B4"/>
    <w:rsid w:val="002875B6"/>
    <w:rsid w:val="0028783C"/>
    <w:rsid w:val="002878CA"/>
    <w:rsid w:val="00287901"/>
    <w:rsid w:val="00287A98"/>
    <w:rsid w:val="00287AD7"/>
    <w:rsid w:val="00287BA1"/>
    <w:rsid w:val="00287C81"/>
    <w:rsid w:val="00287CC0"/>
    <w:rsid w:val="00287D24"/>
    <w:rsid w:val="00287DC0"/>
    <w:rsid w:val="00287F77"/>
    <w:rsid w:val="00290064"/>
    <w:rsid w:val="002900AE"/>
    <w:rsid w:val="002900E9"/>
    <w:rsid w:val="002902B4"/>
    <w:rsid w:val="002902BB"/>
    <w:rsid w:val="00290387"/>
    <w:rsid w:val="0029060B"/>
    <w:rsid w:val="0029061E"/>
    <w:rsid w:val="00290692"/>
    <w:rsid w:val="002906F9"/>
    <w:rsid w:val="00290735"/>
    <w:rsid w:val="00290939"/>
    <w:rsid w:val="00290969"/>
    <w:rsid w:val="00290A1A"/>
    <w:rsid w:val="00290A6B"/>
    <w:rsid w:val="00290A6D"/>
    <w:rsid w:val="00290A74"/>
    <w:rsid w:val="00290AC9"/>
    <w:rsid w:val="00290BBB"/>
    <w:rsid w:val="00290BF1"/>
    <w:rsid w:val="00290C49"/>
    <w:rsid w:val="00290CDB"/>
    <w:rsid w:val="00290E4F"/>
    <w:rsid w:val="00290E55"/>
    <w:rsid w:val="00290F0F"/>
    <w:rsid w:val="002910F9"/>
    <w:rsid w:val="00291269"/>
    <w:rsid w:val="002912B2"/>
    <w:rsid w:val="002917D1"/>
    <w:rsid w:val="00291930"/>
    <w:rsid w:val="002919AF"/>
    <w:rsid w:val="00291A72"/>
    <w:rsid w:val="00291BCB"/>
    <w:rsid w:val="00291DB1"/>
    <w:rsid w:val="00291EA6"/>
    <w:rsid w:val="00291F26"/>
    <w:rsid w:val="00291F53"/>
    <w:rsid w:val="00291F77"/>
    <w:rsid w:val="00291F9A"/>
    <w:rsid w:val="0029204F"/>
    <w:rsid w:val="002920DC"/>
    <w:rsid w:val="002922D0"/>
    <w:rsid w:val="00292332"/>
    <w:rsid w:val="002924F1"/>
    <w:rsid w:val="002926F5"/>
    <w:rsid w:val="0029274F"/>
    <w:rsid w:val="00292852"/>
    <w:rsid w:val="00292892"/>
    <w:rsid w:val="00292916"/>
    <w:rsid w:val="002929CD"/>
    <w:rsid w:val="002929E2"/>
    <w:rsid w:val="002929E5"/>
    <w:rsid w:val="00292A0E"/>
    <w:rsid w:val="00292C16"/>
    <w:rsid w:val="00292DAF"/>
    <w:rsid w:val="00292E15"/>
    <w:rsid w:val="00292ED2"/>
    <w:rsid w:val="00292F18"/>
    <w:rsid w:val="00292F37"/>
    <w:rsid w:val="00292F8A"/>
    <w:rsid w:val="00293053"/>
    <w:rsid w:val="002930ED"/>
    <w:rsid w:val="002930EE"/>
    <w:rsid w:val="002930F5"/>
    <w:rsid w:val="00293163"/>
    <w:rsid w:val="002933CB"/>
    <w:rsid w:val="0029348A"/>
    <w:rsid w:val="0029351A"/>
    <w:rsid w:val="00293553"/>
    <w:rsid w:val="002935DB"/>
    <w:rsid w:val="002936AD"/>
    <w:rsid w:val="0029372B"/>
    <w:rsid w:val="00293880"/>
    <w:rsid w:val="002938A5"/>
    <w:rsid w:val="002938C2"/>
    <w:rsid w:val="002938EB"/>
    <w:rsid w:val="0029399D"/>
    <w:rsid w:val="002939E6"/>
    <w:rsid w:val="00293B9F"/>
    <w:rsid w:val="00293C7C"/>
    <w:rsid w:val="00294297"/>
    <w:rsid w:val="002943AB"/>
    <w:rsid w:val="00294758"/>
    <w:rsid w:val="00294882"/>
    <w:rsid w:val="002948C2"/>
    <w:rsid w:val="002949BB"/>
    <w:rsid w:val="00294A31"/>
    <w:rsid w:val="00294A84"/>
    <w:rsid w:val="00294A88"/>
    <w:rsid w:val="00294E33"/>
    <w:rsid w:val="00294EDC"/>
    <w:rsid w:val="00295077"/>
    <w:rsid w:val="00295147"/>
    <w:rsid w:val="0029518C"/>
    <w:rsid w:val="002951B2"/>
    <w:rsid w:val="002953F9"/>
    <w:rsid w:val="00295459"/>
    <w:rsid w:val="00295534"/>
    <w:rsid w:val="002955AB"/>
    <w:rsid w:val="00295652"/>
    <w:rsid w:val="002956AA"/>
    <w:rsid w:val="002958EB"/>
    <w:rsid w:val="002959B9"/>
    <w:rsid w:val="00295B44"/>
    <w:rsid w:val="00295C43"/>
    <w:rsid w:val="00295CB1"/>
    <w:rsid w:val="00295E04"/>
    <w:rsid w:val="00295E31"/>
    <w:rsid w:val="00295E5C"/>
    <w:rsid w:val="002961B9"/>
    <w:rsid w:val="00296258"/>
    <w:rsid w:val="00296298"/>
    <w:rsid w:val="00296621"/>
    <w:rsid w:val="00296659"/>
    <w:rsid w:val="002968EC"/>
    <w:rsid w:val="002969E9"/>
    <w:rsid w:val="00296AE3"/>
    <w:rsid w:val="00296B06"/>
    <w:rsid w:val="00296B2C"/>
    <w:rsid w:val="00296BC3"/>
    <w:rsid w:val="00296CFD"/>
    <w:rsid w:val="00296D03"/>
    <w:rsid w:val="00296D7E"/>
    <w:rsid w:val="00296F5A"/>
    <w:rsid w:val="00296F78"/>
    <w:rsid w:val="0029719C"/>
    <w:rsid w:val="00297277"/>
    <w:rsid w:val="002972A3"/>
    <w:rsid w:val="002973AC"/>
    <w:rsid w:val="002973CA"/>
    <w:rsid w:val="00297466"/>
    <w:rsid w:val="002974CF"/>
    <w:rsid w:val="0029753D"/>
    <w:rsid w:val="00297574"/>
    <w:rsid w:val="0029757C"/>
    <w:rsid w:val="002976FD"/>
    <w:rsid w:val="002978D8"/>
    <w:rsid w:val="002979DA"/>
    <w:rsid w:val="00297B61"/>
    <w:rsid w:val="00297BC6"/>
    <w:rsid w:val="00297BF3"/>
    <w:rsid w:val="00297C2A"/>
    <w:rsid w:val="00297CB0"/>
    <w:rsid w:val="00297CB9"/>
    <w:rsid w:val="00297CCD"/>
    <w:rsid w:val="00297D04"/>
    <w:rsid w:val="00297DD8"/>
    <w:rsid w:val="00297E6C"/>
    <w:rsid w:val="00297E71"/>
    <w:rsid w:val="002A0095"/>
    <w:rsid w:val="002A03F6"/>
    <w:rsid w:val="002A04DA"/>
    <w:rsid w:val="002A0785"/>
    <w:rsid w:val="002A07D4"/>
    <w:rsid w:val="002A08E7"/>
    <w:rsid w:val="002A09A8"/>
    <w:rsid w:val="002A09C5"/>
    <w:rsid w:val="002A09F6"/>
    <w:rsid w:val="002A0A4C"/>
    <w:rsid w:val="002A0CBE"/>
    <w:rsid w:val="002A0D60"/>
    <w:rsid w:val="002A0E40"/>
    <w:rsid w:val="002A0F8A"/>
    <w:rsid w:val="002A0FEF"/>
    <w:rsid w:val="002A1010"/>
    <w:rsid w:val="002A11F1"/>
    <w:rsid w:val="002A16F3"/>
    <w:rsid w:val="002A16F5"/>
    <w:rsid w:val="002A1751"/>
    <w:rsid w:val="002A17DF"/>
    <w:rsid w:val="002A1893"/>
    <w:rsid w:val="002A1896"/>
    <w:rsid w:val="002A19B7"/>
    <w:rsid w:val="002A1ACB"/>
    <w:rsid w:val="002A1BDD"/>
    <w:rsid w:val="002A1BFF"/>
    <w:rsid w:val="002A1C25"/>
    <w:rsid w:val="002A1D32"/>
    <w:rsid w:val="002A1E11"/>
    <w:rsid w:val="002A1E54"/>
    <w:rsid w:val="002A1E7A"/>
    <w:rsid w:val="002A1E80"/>
    <w:rsid w:val="002A1F0B"/>
    <w:rsid w:val="002A2308"/>
    <w:rsid w:val="002A2374"/>
    <w:rsid w:val="002A2388"/>
    <w:rsid w:val="002A23DC"/>
    <w:rsid w:val="002A23F4"/>
    <w:rsid w:val="002A25BF"/>
    <w:rsid w:val="002A267C"/>
    <w:rsid w:val="002A26C5"/>
    <w:rsid w:val="002A2775"/>
    <w:rsid w:val="002A27DF"/>
    <w:rsid w:val="002A2919"/>
    <w:rsid w:val="002A294D"/>
    <w:rsid w:val="002A29FE"/>
    <w:rsid w:val="002A2A28"/>
    <w:rsid w:val="002A2B11"/>
    <w:rsid w:val="002A2B8C"/>
    <w:rsid w:val="002A2BB9"/>
    <w:rsid w:val="002A2CEC"/>
    <w:rsid w:val="002A2E89"/>
    <w:rsid w:val="002A2F4F"/>
    <w:rsid w:val="002A3092"/>
    <w:rsid w:val="002A30F3"/>
    <w:rsid w:val="002A311B"/>
    <w:rsid w:val="002A31AA"/>
    <w:rsid w:val="002A31FA"/>
    <w:rsid w:val="002A321F"/>
    <w:rsid w:val="002A3296"/>
    <w:rsid w:val="002A32A7"/>
    <w:rsid w:val="002A33EA"/>
    <w:rsid w:val="002A341F"/>
    <w:rsid w:val="002A3665"/>
    <w:rsid w:val="002A36B5"/>
    <w:rsid w:val="002A36F0"/>
    <w:rsid w:val="002A3781"/>
    <w:rsid w:val="002A37E3"/>
    <w:rsid w:val="002A382B"/>
    <w:rsid w:val="002A390C"/>
    <w:rsid w:val="002A3B72"/>
    <w:rsid w:val="002A3B97"/>
    <w:rsid w:val="002A3BB1"/>
    <w:rsid w:val="002A3DDC"/>
    <w:rsid w:val="002A3EC6"/>
    <w:rsid w:val="002A3FD2"/>
    <w:rsid w:val="002A4013"/>
    <w:rsid w:val="002A4034"/>
    <w:rsid w:val="002A405B"/>
    <w:rsid w:val="002A4088"/>
    <w:rsid w:val="002A40C0"/>
    <w:rsid w:val="002A40EB"/>
    <w:rsid w:val="002A41BE"/>
    <w:rsid w:val="002A433F"/>
    <w:rsid w:val="002A443D"/>
    <w:rsid w:val="002A4485"/>
    <w:rsid w:val="002A44B6"/>
    <w:rsid w:val="002A4558"/>
    <w:rsid w:val="002A45D4"/>
    <w:rsid w:val="002A46C0"/>
    <w:rsid w:val="002A474B"/>
    <w:rsid w:val="002A4768"/>
    <w:rsid w:val="002A4879"/>
    <w:rsid w:val="002A48EF"/>
    <w:rsid w:val="002A4937"/>
    <w:rsid w:val="002A4B0C"/>
    <w:rsid w:val="002A4D9F"/>
    <w:rsid w:val="002A4E97"/>
    <w:rsid w:val="002A4F22"/>
    <w:rsid w:val="002A4F61"/>
    <w:rsid w:val="002A4FEE"/>
    <w:rsid w:val="002A5070"/>
    <w:rsid w:val="002A5093"/>
    <w:rsid w:val="002A52C2"/>
    <w:rsid w:val="002A52D6"/>
    <w:rsid w:val="002A5545"/>
    <w:rsid w:val="002A577F"/>
    <w:rsid w:val="002A57C1"/>
    <w:rsid w:val="002A5943"/>
    <w:rsid w:val="002A5B42"/>
    <w:rsid w:val="002A5B65"/>
    <w:rsid w:val="002A5C2C"/>
    <w:rsid w:val="002A5C36"/>
    <w:rsid w:val="002A5C44"/>
    <w:rsid w:val="002A5E6C"/>
    <w:rsid w:val="002A5EDA"/>
    <w:rsid w:val="002A5F7B"/>
    <w:rsid w:val="002A60AA"/>
    <w:rsid w:val="002A60DB"/>
    <w:rsid w:val="002A6116"/>
    <w:rsid w:val="002A615E"/>
    <w:rsid w:val="002A626D"/>
    <w:rsid w:val="002A62AE"/>
    <w:rsid w:val="002A632F"/>
    <w:rsid w:val="002A650F"/>
    <w:rsid w:val="002A674D"/>
    <w:rsid w:val="002A683A"/>
    <w:rsid w:val="002A6898"/>
    <w:rsid w:val="002A69CC"/>
    <w:rsid w:val="002A69E8"/>
    <w:rsid w:val="002A6A7F"/>
    <w:rsid w:val="002A6ABF"/>
    <w:rsid w:val="002A6ACD"/>
    <w:rsid w:val="002A6B9A"/>
    <w:rsid w:val="002A6BD6"/>
    <w:rsid w:val="002A6C0F"/>
    <w:rsid w:val="002A6C66"/>
    <w:rsid w:val="002A6D13"/>
    <w:rsid w:val="002A6E9B"/>
    <w:rsid w:val="002A6F9A"/>
    <w:rsid w:val="002A7023"/>
    <w:rsid w:val="002A7176"/>
    <w:rsid w:val="002A724A"/>
    <w:rsid w:val="002A75EC"/>
    <w:rsid w:val="002A7651"/>
    <w:rsid w:val="002A765F"/>
    <w:rsid w:val="002A76A4"/>
    <w:rsid w:val="002A76AA"/>
    <w:rsid w:val="002A7792"/>
    <w:rsid w:val="002A7863"/>
    <w:rsid w:val="002A78B5"/>
    <w:rsid w:val="002A7A8C"/>
    <w:rsid w:val="002A7C77"/>
    <w:rsid w:val="002A7D35"/>
    <w:rsid w:val="002A7D68"/>
    <w:rsid w:val="002A7E25"/>
    <w:rsid w:val="002A7E57"/>
    <w:rsid w:val="002A7F43"/>
    <w:rsid w:val="002A7F78"/>
    <w:rsid w:val="002B007D"/>
    <w:rsid w:val="002B014F"/>
    <w:rsid w:val="002B01F2"/>
    <w:rsid w:val="002B02EF"/>
    <w:rsid w:val="002B034F"/>
    <w:rsid w:val="002B037D"/>
    <w:rsid w:val="002B0386"/>
    <w:rsid w:val="002B03F3"/>
    <w:rsid w:val="002B066A"/>
    <w:rsid w:val="002B06B8"/>
    <w:rsid w:val="002B096F"/>
    <w:rsid w:val="002B09D8"/>
    <w:rsid w:val="002B0A35"/>
    <w:rsid w:val="002B0BF5"/>
    <w:rsid w:val="002B0CDA"/>
    <w:rsid w:val="002B0ECF"/>
    <w:rsid w:val="002B0F94"/>
    <w:rsid w:val="002B0FAC"/>
    <w:rsid w:val="002B10B3"/>
    <w:rsid w:val="002B10B6"/>
    <w:rsid w:val="002B10DB"/>
    <w:rsid w:val="002B1107"/>
    <w:rsid w:val="002B1148"/>
    <w:rsid w:val="002B11C3"/>
    <w:rsid w:val="002B11D4"/>
    <w:rsid w:val="002B123A"/>
    <w:rsid w:val="002B12D2"/>
    <w:rsid w:val="002B1304"/>
    <w:rsid w:val="002B1423"/>
    <w:rsid w:val="002B1490"/>
    <w:rsid w:val="002B1499"/>
    <w:rsid w:val="002B14A2"/>
    <w:rsid w:val="002B1502"/>
    <w:rsid w:val="002B152A"/>
    <w:rsid w:val="002B152D"/>
    <w:rsid w:val="002B1645"/>
    <w:rsid w:val="002B1648"/>
    <w:rsid w:val="002B1752"/>
    <w:rsid w:val="002B1799"/>
    <w:rsid w:val="002B17A7"/>
    <w:rsid w:val="002B17AC"/>
    <w:rsid w:val="002B17E6"/>
    <w:rsid w:val="002B18F2"/>
    <w:rsid w:val="002B19C1"/>
    <w:rsid w:val="002B1A2F"/>
    <w:rsid w:val="002B1AB0"/>
    <w:rsid w:val="002B1AE7"/>
    <w:rsid w:val="002B1B2A"/>
    <w:rsid w:val="002B1C59"/>
    <w:rsid w:val="002B1C7D"/>
    <w:rsid w:val="002B1CE9"/>
    <w:rsid w:val="002B1D44"/>
    <w:rsid w:val="002B1EB0"/>
    <w:rsid w:val="002B1EEB"/>
    <w:rsid w:val="002B1FCA"/>
    <w:rsid w:val="002B2129"/>
    <w:rsid w:val="002B21D1"/>
    <w:rsid w:val="002B226C"/>
    <w:rsid w:val="002B22D1"/>
    <w:rsid w:val="002B22F0"/>
    <w:rsid w:val="002B2514"/>
    <w:rsid w:val="002B25F1"/>
    <w:rsid w:val="002B2670"/>
    <w:rsid w:val="002B2693"/>
    <w:rsid w:val="002B27C0"/>
    <w:rsid w:val="002B29FE"/>
    <w:rsid w:val="002B2A21"/>
    <w:rsid w:val="002B2ACE"/>
    <w:rsid w:val="002B2AFF"/>
    <w:rsid w:val="002B2B12"/>
    <w:rsid w:val="002B2C6A"/>
    <w:rsid w:val="002B2D10"/>
    <w:rsid w:val="002B2D5A"/>
    <w:rsid w:val="002B2D96"/>
    <w:rsid w:val="002B2DF9"/>
    <w:rsid w:val="002B2FA1"/>
    <w:rsid w:val="002B2FE1"/>
    <w:rsid w:val="002B30EF"/>
    <w:rsid w:val="002B318E"/>
    <w:rsid w:val="002B33F8"/>
    <w:rsid w:val="002B34CA"/>
    <w:rsid w:val="002B34F8"/>
    <w:rsid w:val="002B35B8"/>
    <w:rsid w:val="002B3672"/>
    <w:rsid w:val="002B36F4"/>
    <w:rsid w:val="002B36F8"/>
    <w:rsid w:val="002B37AE"/>
    <w:rsid w:val="002B3851"/>
    <w:rsid w:val="002B38AE"/>
    <w:rsid w:val="002B3A66"/>
    <w:rsid w:val="002B3B5C"/>
    <w:rsid w:val="002B3BCC"/>
    <w:rsid w:val="002B3C3C"/>
    <w:rsid w:val="002B3E00"/>
    <w:rsid w:val="002B3E06"/>
    <w:rsid w:val="002B3E32"/>
    <w:rsid w:val="002B4006"/>
    <w:rsid w:val="002B4261"/>
    <w:rsid w:val="002B42A2"/>
    <w:rsid w:val="002B42ED"/>
    <w:rsid w:val="002B42FF"/>
    <w:rsid w:val="002B442D"/>
    <w:rsid w:val="002B4451"/>
    <w:rsid w:val="002B445C"/>
    <w:rsid w:val="002B4575"/>
    <w:rsid w:val="002B45A7"/>
    <w:rsid w:val="002B4833"/>
    <w:rsid w:val="002B48D4"/>
    <w:rsid w:val="002B498C"/>
    <w:rsid w:val="002B4A07"/>
    <w:rsid w:val="002B4A47"/>
    <w:rsid w:val="002B4C68"/>
    <w:rsid w:val="002B4D0E"/>
    <w:rsid w:val="002B4D10"/>
    <w:rsid w:val="002B4FCA"/>
    <w:rsid w:val="002B4FD9"/>
    <w:rsid w:val="002B508F"/>
    <w:rsid w:val="002B50D5"/>
    <w:rsid w:val="002B51B0"/>
    <w:rsid w:val="002B525A"/>
    <w:rsid w:val="002B52C4"/>
    <w:rsid w:val="002B53D8"/>
    <w:rsid w:val="002B5415"/>
    <w:rsid w:val="002B5511"/>
    <w:rsid w:val="002B5534"/>
    <w:rsid w:val="002B562E"/>
    <w:rsid w:val="002B573E"/>
    <w:rsid w:val="002B5A46"/>
    <w:rsid w:val="002B5A81"/>
    <w:rsid w:val="002B5A9E"/>
    <w:rsid w:val="002B5BD9"/>
    <w:rsid w:val="002B5BE3"/>
    <w:rsid w:val="002B5C49"/>
    <w:rsid w:val="002B5E5F"/>
    <w:rsid w:val="002B604D"/>
    <w:rsid w:val="002B60AE"/>
    <w:rsid w:val="002B6144"/>
    <w:rsid w:val="002B63B7"/>
    <w:rsid w:val="002B6431"/>
    <w:rsid w:val="002B647E"/>
    <w:rsid w:val="002B667E"/>
    <w:rsid w:val="002B678E"/>
    <w:rsid w:val="002B67AF"/>
    <w:rsid w:val="002B67D3"/>
    <w:rsid w:val="002B6999"/>
    <w:rsid w:val="002B6A5A"/>
    <w:rsid w:val="002B6B6B"/>
    <w:rsid w:val="002B6C3F"/>
    <w:rsid w:val="002B6CCA"/>
    <w:rsid w:val="002B6DBF"/>
    <w:rsid w:val="002B6DC2"/>
    <w:rsid w:val="002B6F2D"/>
    <w:rsid w:val="002B6FD7"/>
    <w:rsid w:val="002B70F5"/>
    <w:rsid w:val="002B733C"/>
    <w:rsid w:val="002B744F"/>
    <w:rsid w:val="002B7487"/>
    <w:rsid w:val="002B74D9"/>
    <w:rsid w:val="002B75A0"/>
    <w:rsid w:val="002B76A3"/>
    <w:rsid w:val="002B7745"/>
    <w:rsid w:val="002B77A4"/>
    <w:rsid w:val="002B78FF"/>
    <w:rsid w:val="002B797A"/>
    <w:rsid w:val="002B7A58"/>
    <w:rsid w:val="002B7A7D"/>
    <w:rsid w:val="002B7A89"/>
    <w:rsid w:val="002B7AB3"/>
    <w:rsid w:val="002B7AD6"/>
    <w:rsid w:val="002B7C89"/>
    <w:rsid w:val="002B7D8B"/>
    <w:rsid w:val="002B7E0D"/>
    <w:rsid w:val="002BAA8D"/>
    <w:rsid w:val="002C0224"/>
    <w:rsid w:val="002C045F"/>
    <w:rsid w:val="002C0579"/>
    <w:rsid w:val="002C0667"/>
    <w:rsid w:val="002C06B0"/>
    <w:rsid w:val="002C07D8"/>
    <w:rsid w:val="002C0854"/>
    <w:rsid w:val="002C09DA"/>
    <w:rsid w:val="002C09ED"/>
    <w:rsid w:val="002C0A5C"/>
    <w:rsid w:val="002C0A75"/>
    <w:rsid w:val="002C0BF4"/>
    <w:rsid w:val="002C0C46"/>
    <w:rsid w:val="002C0C49"/>
    <w:rsid w:val="002C0CD9"/>
    <w:rsid w:val="002C0D58"/>
    <w:rsid w:val="002C0D8A"/>
    <w:rsid w:val="002C0E2B"/>
    <w:rsid w:val="002C0E4A"/>
    <w:rsid w:val="002C0FD6"/>
    <w:rsid w:val="002C11A1"/>
    <w:rsid w:val="002C123E"/>
    <w:rsid w:val="002C1314"/>
    <w:rsid w:val="002C13CA"/>
    <w:rsid w:val="002C152B"/>
    <w:rsid w:val="002C1775"/>
    <w:rsid w:val="002C178F"/>
    <w:rsid w:val="002C184C"/>
    <w:rsid w:val="002C194F"/>
    <w:rsid w:val="002C1A65"/>
    <w:rsid w:val="002C1BA8"/>
    <w:rsid w:val="002C1E16"/>
    <w:rsid w:val="002C23EA"/>
    <w:rsid w:val="002C2444"/>
    <w:rsid w:val="002C24A1"/>
    <w:rsid w:val="002C2524"/>
    <w:rsid w:val="002C26D4"/>
    <w:rsid w:val="002C2B03"/>
    <w:rsid w:val="002C2B90"/>
    <w:rsid w:val="002C2C62"/>
    <w:rsid w:val="002C2D43"/>
    <w:rsid w:val="002C2D6C"/>
    <w:rsid w:val="002C2F6C"/>
    <w:rsid w:val="002C30AD"/>
    <w:rsid w:val="002C31FA"/>
    <w:rsid w:val="002C3289"/>
    <w:rsid w:val="002C33AB"/>
    <w:rsid w:val="002C33AD"/>
    <w:rsid w:val="002C3410"/>
    <w:rsid w:val="002C3478"/>
    <w:rsid w:val="002C3550"/>
    <w:rsid w:val="002C3601"/>
    <w:rsid w:val="002C36E4"/>
    <w:rsid w:val="002C376B"/>
    <w:rsid w:val="002C3821"/>
    <w:rsid w:val="002C3855"/>
    <w:rsid w:val="002C3928"/>
    <w:rsid w:val="002C3A94"/>
    <w:rsid w:val="002C3A9B"/>
    <w:rsid w:val="002C3AD3"/>
    <w:rsid w:val="002C3D2D"/>
    <w:rsid w:val="002C3D94"/>
    <w:rsid w:val="002C3E0F"/>
    <w:rsid w:val="002C3E45"/>
    <w:rsid w:val="002C3F4C"/>
    <w:rsid w:val="002C4056"/>
    <w:rsid w:val="002C4087"/>
    <w:rsid w:val="002C410F"/>
    <w:rsid w:val="002C4142"/>
    <w:rsid w:val="002C416A"/>
    <w:rsid w:val="002C4191"/>
    <w:rsid w:val="002C41ED"/>
    <w:rsid w:val="002C42E9"/>
    <w:rsid w:val="002C4348"/>
    <w:rsid w:val="002C4350"/>
    <w:rsid w:val="002C43D2"/>
    <w:rsid w:val="002C44C1"/>
    <w:rsid w:val="002C459C"/>
    <w:rsid w:val="002C46C5"/>
    <w:rsid w:val="002C4848"/>
    <w:rsid w:val="002C4928"/>
    <w:rsid w:val="002C4B4C"/>
    <w:rsid w:val="002C4B58"/>
    <w:rsid w:val="002C4B81"/>
    <w:rsid w:val="002C4D33"/>
    <w:rsid w:val="002C4D3A"/>
    <w:rsid w:val="002C4E84"/>
    <w:rsid w:val="002C4E95"/>
    <w:rsid w:val="002C4EE7"/>
    <w:rsid w:val="002C4F9A"/>
    <w:rsid w:val="002C4FEC"/>
    <w:rsid w:val="002C501D"/>
    <w:rsid w:val="002C505E"/>
    <w:rsid w:val="002C515D"/>
    <w:rsid w:val="002C5202"/>
    <w:rsid w:val="002C5239"/>
    <w:rsid w:val="002C5262"/>
    <w:rsid w:val="002C5481"/>
    <w:rsid w:val="002C557B"/>
    <w:rsid w:val="002C55F9"/>
    <w:rsid w:val="002C57C7"/>
    <w:rsid w:val="002C599B"/>
    <w:rsid w:val="002C5D3D"/>
    <w:rsid w:val="002C5ECA"/>
    <w:rsid w:val="002C6007"/>
    <w:rsid w:val="002C605A"/>
    <w:rsid w:val="002C616C"/>
    <w:rsid w:val="002C617D"/>
    <w:rsid w:val="002C618A"/>
    <w:rsid w:val="002C6197"/>
    <w:rsid w:val="002C628E"/>
    <w:rsid w:val="002C6408"/>
    <w:rsid w:val="002C644B"/>
    <w:rsid w:val="002C64D6"/>
    <w:rsid w:val="002C6539"/>
    <w:rsid w:val="002C6605"/>
    <w:rsid w:val="002C663D"/>
    <w:rsid w:val="002C66B5"/>
    <w:rsid w:val="002C66B8"/>
    <w:rsid w:val="002C6760"/>
    <w:rsid w:val="002C68B1"/>
    <w:rsid w:val="002C691A"/>
    <w:rsid w:val="002C6A24"/>
    <w:rsid w:val="002C6BC3"/>
    <w:rsid w:val="002C6CD0"/>
    <w:rsid w:val="002C6CF5"/>
    <w:rsid w:val="002C6D3A"/>
    <w:rsid w:val="002C6D67"/>
    <w:rsid w:val="002C6E94"/>
    <w:rsid w:val="002C7000"/>
    <w:rsid w:val="002C70D3"/>
    <w:rsid w:val="002C722F"/>
    <w:rsid w:val="002C73CD"/>
    <w:rsid w:val="002C7575"/>
    <w:rsid w:val="002C774B"/>
    <w:rsid w:val="002C7780"/>
    <w:rsid w:val="002C77A5"/>
    <w:rsid w:val="002C7881"/>
    <w:rsid w:val="002C78A4"/>
    <w:rsid w:val="002C793F"/>
    <w:rsid w:val="002C79A5"/>
    <w:rsid w:val="002C79C9"/>
    <w:rsid w:val="002C7A22"/>
    <w:rsid w:val="002C7A88"/>
    <w:rsid w:val="002C7B21"/>
    <w:rsid w:val="002C7B97"/>
    <w:rsid w:val="002C7CF7"/>
    <w:rsid w:val="002C7D30"/>
    <w:rsid w:val="002C7E9D"/>
    <w:rsid w:val="002C7F18"/>
    <w:rsid w:val="002D0032"/>
    <w:rsid w:val="002D00D0"/>
    <w:rsid w:val="002D00E8"/>
    <w:rsid w:val="002D01A7"/>
    <w:rsid w:val="002D02B1"/>
    <w:rsid w:val="002D062A"/>
    <w:rsid w:val="002D09E6"/>
    <w:rsid w:val="002D0CC3"/>
    <w:rsid w:val="002D0D18"/>
    <w:rsid w:val="002D0EE9"/>
    <w:rsid w:val="002D0F66"/>
    <w:rsid w:val="002D125F"/>
    <w:rsid w:val="002D1313"/>
    <w:rsid w:val="002D1389"/>
    <w:rsid w:val="002D140E"/>
    <w:rsid w:val="002D154E"/>
    <w:rsid w:val="002D1644"/>
    <w:rsid w:val="002D1654"/>
    <w:rsid w:val="002D16AE"/>
    <w:rsid w:val="002D18C4"/>
    <w:rsid w:val="002D1B2E"/>
    <w:rsid w:val="002D1C5C"/>
    <w:rsid w:val="002D202E"/>
    <w:rsid w:val="002D2236"/>
    <w:rsid w:val="002D22D8"/>
    <w:rsid w:val="002D2358"/>
    <w:rsid w:val="002D247B"/>
    <w:rsid w:val="002D2610"/>
    <w:rsid w:val="002D26D1"/>
    <w:rsid w:val="002D2765"/>
    <w:rsid w:val="002D280F"/>
    <w:rsid w:val="002D28D3"/>
    <w:rsid w:val="002D291F"/>
    <w:rsid w:val="002D2935"/>
    <w:rsid w:val="002D297F"/>
    <w:rsid w:val="002D29E2"/>
    <w:rsid w:val="002D2AF2"/>
    <w:rsid w:val="002D2B4D"/>
    <w:rsid w:val="002D2B51"/>
    <w:rsid w:val="002D2BFD"/>
    <w:rsid w:val="002D2F30"/>
    <w:rsid w:val="002D2F31"/>
    <w:rsid w:val="002D2F89"/>
    <w:rsid w:val="002D3146"/>
    <w:rsid w:val="002D3232"/>
    <w:rsid w:val="002D3374"/>
    <w:rsid w:val="002D357D"/>
    <w:rsid w:val="002D358F"/>
    <w:rsid w:val="002D3672"/>
    <w:rsid w:val="002D3702"/>
    <w:rsid w:val="002D3746"/>
    <w:rsid w:val="002D37C9"/>
    <w:rsid w:val="002D3802"/>
    <w:rsid w:val="002D38BA"/>
    <w:rsid w:val="002D38BD"/>
    <w:rsid w:val="002D3AA4"/>
    <w:rsid w:val="002D3ABF"/>
    <w:rsid w:val="002D3BB4"/>
    <w:rsid w:val="002D3D4A"/>
    <w:rsid w:val="002D3D5B"/>
    <w:rsid w:val="002D3D99"/>
    <w:rsid w:val="002D3E85"/>
    <w:rsid w:val="002D3F27"/>
    <w:rsid w:val="002D403A"/>
    <w:rsid w:val="002D40C8"/>
    <w:rsid w:val="002D40E8"/>
    <w:rsid w:val="002D4161"/>
    <w:rsid w:val="002D41F2"/>
    <w:rsid w:val="002D429E"/>
    <w:rsid w:val="002D42C3"/>
    <w:rsid w:val="002D43C5"/>
    <w:rsid w:val="002D43C8"/>
    <w:rsid w:val="002D44B5"/>
    <w:rsid w:val="002D455D"/>
    <w:rsid w:val="002D45F3"/>
    <w:rsid w:val="002D49BD"/>
    <w:rsid w:val="002D49CE"/>
    <w:rsid w:val="002D4ADB"/>
    <w:rsid w:val="002D4AE6"/>
    <w:rsid w:val="002D4B4E"/>
    <w:rsid w:val="002D4C3E"/>
    <w:rsid w:val="002D4DB0"/>
    <w:rsid w:val="002D4E5B"/>
    <w:rsid w:val="002D4F37"/>
    <w:rsid w:val="002D4F9F"/>
    <w:rsid w:val="002D509D"/>
    <w:rsid w:val="002D51A8"/>
    <w:rsid w:val="002D51B6"/>
    <w:rsid w:val="002D5291"/>
    <w:rsid w:val="002D52AB"/>
    <w:rsid w:val="002D5332"/>
    <w:rsid w:val="002D533D"/>
    <w:rsid w:val="002D5383"/>
    <w:rsid w:val="002D53DA"/>
    <w:rsid w:val="002D5412"/>
    <w:rsid w:val="002D55E0"/>
    <w:rsid w:val="002D5821"/>
    <w:rsid w:val="002D589C"/>
    <w:rsid w:val="002D58F8"/>
    <w:rsid w:val="002D5979"/>
    <w:rsid w:val="002D59A7"/>
    <w:rsid w:val="002D5A6D"/>
    <w:rsid w:val="002D5B03"/>
    <w:rsid w:val="002D5BC4"/>
    <w:rsid w:val="002D5C5E"/>
    <w:rsid w:val="002D5C72"/>
    <w:rsid w:val="002D5D6A"/>
    <w:rsid w:val="002D5E5F"/>
    <w:rsid w:val="002D5E78"/>
    <w:rsid w:val="002D600A"/>
    <w:rsid w:val="002D6085"/>
    <w:rsid w:val="002D611B"/>
    <w:rsid w:val="002D6176"/>
    <w:rsid w:val="002D61C2"/>
    <w:rsid w:val="002D61CD"/>
    <w:rsid w:val="002D6357"/>
    <w:rsid w:val="002D6369"/>
    <w:rsid w:val="002D6432"/>
    <w:rsid w:val="002D64D7"/>
    <w:rsid w:val="002D64E3"/>
    <w:rsid w:val="002D66A5"/>
    <w:rsid w:val="002D66F0"/>
    <w:rsid w:val="002D6830"/>
    <w:rsid w:val="002D6839"/>
    <w:rsid w:val="002D698E"/>
    <w:rsid w:val="002D69A1"/>
    <w:rsid w:val="002D6A40"/>
    <w:rsid w:val="002D6A6D"/>
    <w:rsid w:val="002D6ACD"/>
    <w:rsid w:val="002D6E20"/>
    <w:rsid w:val="002D6FD8"/>
    <w:rsid w:val="002D7005"/>
    <w:rsid w:val="002D707F"/>
    <w:rsid w:val="002D745B"/>
    <w:rsid w:val="002D74AE"/>
    <w:rsid w:val="002D776B"/>
    <w:rsid w:val="002D7838"/>
    <w:rsid w:val="002D7921"/>
    <w:rsid w:val="002D7975"/>
    <w:rsid w:val="002D79D1"/>
    <w:rsid w:val="002D79FD"/>
    <w:rsid w:val="002D7A1C"/>
    <w:rsid w:val="002D7AE5"/>
    <w:rsid w:val="002D7AEB"/>
    <w:rsid w:val="002D7B22"/>
    <w:rsid w:val="002D7BF1"/>
    <w:rsid w:val="002D7C08"/>
    <w:rsid w:val="002D7CA8"/>
    <w:rsid w:val="002D7CBB"/>
    <w:rsid w:val="002D7E34"/>
    <w:rsid w:val="002D7E8A"/>
    <w:rsid w:val="002D7EA1"/>
    <w:rsid w:val="002D7EB0"/>
    <w:rsid w:val="002D7FD4"/>
    <w:rsid w:val="002E0104"/>
    <w:rsid w:val="002E0175"/>
    <w:rsid w:val="002E0179"/>
    <w:rsid w:val="002E01B1"/>
    <w:rsid w:val="002E0274"/>
    <w:rsid w:val="002E02A0"/>
    <w:rsid w:val="002E0445"/>
    <w:rsid w:val="002E04B3"/>
    <w:rsid w:val="002E0618"/>
    <w:rsid w:val="002E070C"/>
    <w:rsid w:val="002E07D0"/>
    <w:rsid w:val="002E07D3"/>
    <w:rsid w:val="002E0893"/>
    <w:rsid w:val="002E0937"/>
    <w:rsid w:val="002E0AF9"/>
    <w:rsid w:val="002E0B21"/>
    <w:rsid w:val="002E0B38"/>
    <w:rsid w:val="002E0B50"/>
    <w:rsid w:val="002E0C8C"/>
    <w:rsid w:val="002E0D9A"/>
    <w:rsid w:val="002E0DD4"/>
    <w:rsid w:val="002E0E23"/>
    <w:rsid w:val="002E0ED2"/>
    <w:rsid w:val="002E0FB0"/>
    <w:rsid w:val="002E1035"/>
    <w:rsid w:val="002E1042"/>
    <w:rsid w:val="002E1047"/>
    <w:rsid w:val="002E10E6"/>
    <w:rsid w:val="002E1119"/>
    <w:rsid w:val="002E1204"/>
    <w:rsid w:val="002E125B"/>
    <w:rsid w:val="002E1273"/>
    <w:rsid w:val="002E12FB"/>
    <w:rsid w:val="002E1471"/>
    <w:rsid w:val="002E14C7"/>
    <w:rsid w:val="002E14E6"/>
    <w:rsid w:val="002E164E"/>
    <w:rsid w:val="002E1690"/>
    <w:rsid w:val="002E17CC"/>
    <w:rsid w:val="002E1902"/>
    <w:rsid w:val="002E1998"/>
    <w:rsid w:val="002E1AB0"/>
    <w:rsid w:val="002E1C2D"/>
    <w:rsid w:val="002E1DB5"/>
    <w:rsid w:val="002E1E96"/>
    <w:rsid w:val="002E2025"/>
    <w:rsid w:val="002E20B9"/>
    <w:rsid w:val="002E2107"/>
    <w:rsid w:val="002E2146"/>
    <w:rsid w:val="002E2229"/>
    <w:rsid w:val="002E23B9"/>
    <w:rsid w:val="002E2411"/>
    <w:rsid w:val="002E24BD"/>
    <w:rsid w:val="002E2519"/>
    <w:rsid w:val="002E2527"/>
    <w:rsid w:val="002E25E6"/>
    <w:rsid w:val="002E275E"/>
    <w:rsid w:val="002E277C"/>
    <w:rsid w:val="002E2794"/>
    <w:rsid w:val="002E27DE"/>
    <w:rsid w:val="002E2922"/>
    <w:rsid w:val="002E2999"/>
    <w:rsid w:val="002E29C6"/>
    <w:rsid w:val="002E29D8"/>
    <w:rsid w:val="002E2CBF"/>
    <w:rsid w:val="002E2E02"/>
    <w:rsid w:val="002E2E3B"/>
    <w:rsid w:val="002E2EA8"/>
    <w:rsid w:val="002E300A"/>
    <w:rsid w:val="002E3016"/>
    <w:rsid w:val="002E3021"/>
    <w:rsid w:val="002E3098"/>
    <w:rsid w:val="002E31B0"/>
    <w:rsid w:val="002E32F9"/>
    <w:rsid w:val="002E3452"/>
    <w:rsid w:val="002E3455"/>
    <w:rsid w:val="002E3475"/>
    <w:rsid w:val="002E35BF"/>
    <w:rsid w:val="002E3634"/>
    <w:rsid w:val="002E3652"/>
    <w:rsid w:val="002E3667"/>
    <w:rsid w:val="002E3737"/>
    <w:rsid w:val="002E37F6"/>
    <w:rsid w:val="002E38F1"/>
    <w:rsid w:val="002E39FF"/>
    <w:rsid w:val="002E3AB4"/>
    <w:rsid w:val="002E3AF0"/>
    <w:rsid w:val="002E3B29"/>
    <w:rsid w:val="002E3B30"/>
    <w:rsid w:val="002E3B5B"/>
    <w:rsid w:val="002E3D99"/>
    <w:rsid w:val="002E3FF4"/>
    <w:rsid w:val="002E3FF9"/>
    <w:rsid w:val="002E42C0"/>
    <w:rsid w:val="002E43A4"/>
    <w:rsid w:val="002E446F"/>
    <w:rsid w:val="002E44C7"/>
    <w:rsid w:val="002E44E2"/>
    <w:rsid w:val="002E45B4"/>
    <w:rsid w:val="002E45E0"/>
    <w:rsid w:val="002E4605"/>
    <w:rsid w:val="002E47EA"/>
    <w:rsid w:val="002E49B4"/>
    <w:rsid w:val="002E49D1"/>
    <w:rsid w:val="002E4A37"/>
    <w:rsid w:val="002E4B32"/>
    <w:rsid w:val="002E4CB1"/>
    <w:rsid w:val="002E4D1D"/>
    <w:rsid w:val="002E4EC2"/>
    <w:rsid w:val="002E4FD0"/>
    <w:rsid w:val="002E504C"/>
    <w:rsid w:val="002E51BE"/>
    <w:rsid w:val="002E51FE"/>
    <w:rsid w:val="002E5277"/>
    <w:rsid w:val="002E531B"/>
    <w:rsid w:val="002E5392"/>
    <w:rsid w:val="002E56C3"/>
    <w:rsid w:val="002E5856"/>
    <w:rsid w:val="002E58E4"/>
    <w:rsid w:val="002E595B"/>
    <w:rsid w:val="002E5A03"/>
    <w:rsid w:val="002E5A4D"/>
    <w:rsid w:val="002E5A93"/>
    <w:rsid w:val="002E5AD0"/>
    <w:rsid w:val="002E5C64"/>
    <w:rsid w:val="002E5D02"/>
    <w:rsid w:val="002E5D44"/>
    <w:rsid w:val="002E5F20"/>
    <w:rsid w:val="002E5F48"/>
    <w:rsid w:val="002E6010"/>
    <w:rsid w:val="002E601B"/>
    <w:rsid w:val="002E6050"/>
    <w:rsid w:val="002E609B"/>
    <w:rsid w:val="002E6127"/>
    <w:rsid w:val="002E6137"/>
    <w:rsid w:val="002E6163"/>
    <w:rsid w:val="002E62A9"/>
    <w:rsid w:val="002E62C2"/>
    <w:rsid w:val="002E6722"/>
    <w:rsid w:val="002E6785"/>
    <w:rsid w:val="002E67FF"/>
    <w:rsid w:val="002E682A"/>
    <w:rsid w:val="002E6877"/>
    <w:rsid w:val="002E6931"/>
    <w:rsid w:val="002E6A41"/>
    <w:rsid w:val="002E6BE7"/>
    <w:rsid w:val="002E6C0C"/>
    <w:rsid w:val="002E6C28"/>
    <w:rsid w:val="002E6D7F"/>
    <w:rsid w:val="002E6E42"/>
    <w:rsid w:val="002E6F49"/>
    <w:rsid w:val="002E7277"/>
    <w:rsid w:val="002E7424"/>
    <w:rsid w:val="002E7723"/>
    <w:rsid w:val="002E7763"/>
    <w:rsid w:val="002E7783"/>
    <w:rsid w:val="002E7808"/>
    <w:rsid w:val="002E79D2"/>
    <w:rsid w:val="002E7B12"/>
    <w:rsid w:val="002E7C75"/>
    <w:rsid w:val="002E7D0F"/>
    <w:rsid w:val="002E7D42"/>
    <w:rsid w:val="002E7DEE"/>
    <w:rsid w:val="002E7E76"/>
    <w:rsid w:val="002E7E7C"/>
    <w:rsid w:val="002E7F6C"/>
    <w:rsid w:val="002F02D9"/>
    <w:rsid w:val="002F0306"/>
    <w:rsid w:val="002F04BC"/>
    <w:rsid w:val="002F0585"/>
    <w:rsid w:val="002F05F0"/>
    <w:rsid w:val="002F05FE"/>
    <w:rsid w:val="002F07D0"/>
    <w:rsid w:val="002F089D"/>
    <w:rsid w:val="002F08AA"/>
    <w:rsid w:val="002F0A9F"/>
    <w:rsid w:val="002F0AB0"/>
    <w:rsid w:val="002F0AB6"/>
    <w:rsid w:val="002F0B3A"/>
    <w:rsid w:val="002F0CAD"/>
    <w:rsid w:val="002F0D63"/>
    <w:rsid w:val="002F0D98"/>
    <w:rsid w:val="002F0DE3"/>
    <w:rsid w:val="002F0DF0"/>
    <w:rsid w:val="002F0EBD"/>
    <w:rsid w:val="002F1039"/>
    <w:rsid w:val="002F10F3"/>
    <w:rsid w:val="002F11E5"/>
    <w:rsid w:val="002F11FF"/>
    <w:rsid w:val="002F12CB"/>
    <w:rsid w:val="002F1384"/>
    <w:rsid w:val="002F13E6"/>
    <w:rsid w:val="002F15A8"/>
    <w:rsid w:val="002F15E1"/>
    <w:rsid w:val="002F1632"/>
    <w:rsid w:val="002F1753"/>
    <w:rsid w:val="002F1783"/>
    <w:rsid w:val="002F180C"/>
    <w:rsid w:val="002F1814"/>
    <w:rsid w:val="002F184E"/>
    <w:rsid w:val="002F1873"/>
    <w:rsid w:val="002F196F"/>
    <w:rsid w:val="002F1A39"/>
    <w:rsid w:val="002F1AB8"/>
    <w:rsid w:val="002F1B4E"/>
    <w:rsid w:val="002F1BFC"/>
    <w:rsid w:val="002F1CC6"/>
    <w:rsid w:val="002F1D97"/>
    <w:rsid w:val="002F1E7C"/>
    <w:rsid w:val="002F1F79"/>
    <w:rsid w:val="002F2037"/>
    <w:rsid w:val="002F235B"/>
    <w:rsid w:val="002F23F0"/>
    <w:rsid w:val="002F2431"/>
    <w:rsid w:val="002F2435"/>
    <w:rsid w:val="002F25F3"/>
    <w:rsid w:val="002F29B9"/>
    <w:rsid w:val="002F2A9E"/>
    <w:rsid w:val="002F2B81"/>
    <w:rsid w:val="002F2C69"/>
    <w:rsid w:val="002F2D2E"/>
    <w:rsid w:val="002F2DCC"/>
    <w:rsid w:val="002F2E85"/>
    <w:rsid w:val="002F3097"/>
    <w:rsid w:val="002F3111"/>
    <w:rsid w:val="002F3241"/>
    <w:rsid w:val="002F33CC"/>
    <w:rsid w:val="002F33ED"/>
    <w:rsid w:val="002F343F"/>
    <w:rsid w:val="002F34C8"/>
    <w:rsid w:val="002F34D9"/>
    <w:rsid w:val="002F34F5"/>
    <w:rsid w:val="002F368A"/>
    <w:rsid w:val="002F36AE"/>
    <w:rsid w:val="002F36D7"/>
    <w:rsid w:val="002F3713"/>
    <w:rsid w:val="002F374C"/>
    <w:rsid w:val="002F3890"/>
    <w:rsid w:val="002F38F5"/>
    <w:rsid w:val="002F3918"/>
    <w:rsid w:val="002F396C"/>
    <w:rsid w:val="002F39EF"/>
    <w:rsid w:val="002F3AB4"/>
    <w:rsid w:val="002F3B06"/>
    <w:rsid w:val="002F3CD4"/>
    <w:rsid w:val="002F3E79"/>
    <w:rsid w:val="002F3EB8"/>
    <w:rsid w:val="002F3EC5"/>
    <w:rsid w:val="002F3F8D"/>
    <w:rsid w:val="002F4037"/>
    <w:rsid w:val="002F408D"/>
    <w:rsid w:val="002F40AE"/>
    <w:rsid w:val="002F440D"/>
    <w:rsid w:val="002F4440"/>
    <w:rsid w:val="002F444A"/>
    <w:rsid w:val="002F44AB"/>
    <w:rsid w:val="002F450D"/>
    <w:rsid w:val="002F47BD"/>
    <w:rsid w:val="002F47E7"/>
    <w:rsid w:val="002F4A9F"/>
    <w:rsid w:val="002F4F7C"/>
    <w:rsid w:val="002F5192"/>
    <w:rsid w:val="002F522C"/>
    <w:rsid w:val="002F527D"/>
    <w:rsid w:val="002F547D"/>
    <w:rsid w:val="002F5527"/>
    <w:rsid w:val="002F556A"/>
    <w:rsid w:val="002F57DF"/>
    <w:rsid w:val="002F588B"/>
    <w:rsid w:val="002F5908"/>
    <w:rsid w:val="002F59EF"/>
    <w:rsid w:val="002F5B4D"/>
    <w:rsid w:val="002F5BE8"/>
    <w:rsid w:val="002F5CAD"/>
    <w:rsid w:val="002F5F58"/>
    <w:rsid w:val="002F5F94"/>
    <w:rsid w:val="002F5FFF"/>
    <w:rsid w:val="002F6134"/>
    <w:rsid w:val="002F61DB"/>
    <w:rsid w:val="002F6232"/>
    <w:rsid w:val="002F6237"/>
    <w:rsid w:val="002F62F0"/>
    <w:rsid w:val="002F645D"/>
    <w:rsid w:val="002F653A"/>
    <w:rsid w:val="002F6568"/>
    <w:rsid w:val="002F65C3"/>
    <w:rsid w:val="002F663E"/>
    <w:rsid w:val="002F66EB"/>
    <w:rsid w:val="002F6705"/>
    <w:rsid w:val="002F6810"/>
    <w:rsid w:val="002F6872"/>
    <w:rsid w:val="002F6D31"/>
    <w:rsid w:val="002F6E39"/>
    <w:rsid w:val="002F6E92"/>
    <w:rsid w:val="002F6EBA"/>
    <w:rsid w:val="002F7089"/>
    <w:rsid w:val="002F71E0"/>
    <w:rsid w:val="002F71ED"/>
    <w:rsid w:val="002F7239"/>
    <w:rsid w:val="002F729C"/>
    <w:rsid w:val="002F73FC"/>
    <w:rsid w:val="002F7400"/>
    <w:rsid w:val="002F768E"/>
    <w:rsid w:val="002F76DD"/>
    <w:rsid w:val="002F782B"/>
    <w:rsid w:val="002F794D"/>
    <w:rsid w:val="002F796F"/>
    <w:rsid w:val="002F7AB2"/>
    <w:rsid w:val="002F7AF0"/>
    <w:rsid w:val="002F7B0B"/>
    <w:rsid w:val="002F7BFA"/>
    <w:rsid w:val="002F7C92"/>
    <w:rsid w:val="002F7CFE"/>
    <w:rsid w:val="002F7D30"/>
    <w:rsid w:val="002F7EF5"/>
    <w:rsid w:val="002F98E6"/>
    <w:rsid w:val="00300039"/>
    <w:rsid w:val="0030007E"/>
    <w:rsid w:val="003000A8"/>
    <w:rsid w:val="0030014D"/>
    <w:rsid w:val="003001A3"/>
    <w:rsid w:val="003001C0"/>
    <w:rsid w:val="00300415"/>
    <w:rsid w:val="003004DC"/>
    <w:rsid w:val="003005BA"/>
    <w:rsid w:val="003005BD"/>
    <w:rsid w:val="00300630"/>
    <w:rsid w:val="00300684"/>
    <w:rsid w:val="00300725"/>
    <w:rsid w:val="00300780"/>
    <w:rsid w:val="00300834"/>
    <w:rsid w:val="00300C1D"/>
    <w:rsid w:val="00300E9C"/>
    <w:rsid w:val="00300F4B"/>
    <w:rsid w:val="00301132"/>
    <w:rsid w:val="003013D9"/>
    <w:rsid w:val="003013DB"/>
    <w:rsid w:val="0030143B"/>
    <w:rsid w:val="003014C3"/>
    <w:rsid w:val="0030167C"/>
    <w:rsid w:val="0030175F"/>
    <w:rsid w:val="003017A5"/>
    <w:rsid w:val="003017E8"/>
    <w:rsid w:val="003017E9"/>
    <w:rsid w:val="003018EB"/>
    <w:rsid w:val="0030190D"/>
    <w:rsid w:val="0030195F"/>
    <w:rsid w:val="0030196A"/>
    <w:rsid w:val="003019A0"/>
    <w:rsid w:val="003019D6"/>
    <w:rsid w:val="00301A2F"/>
    <w:rsid w:val="00301A61"/>
    <w:rsid w:val="00301B40"/>
    <w:rsid w:val="00301B4A"/>
    <w:rsid w:val="00301CCC"/>
    <w:rsid w:val="00301D5D"/>
    <w:rsid w:val="00301D8B"/>
    <w:rsid w:val="00301F64"/>
    <w:rsid w:val="00302008"/>
    <w:rsid w:val="00302063"/>
    <w:rsid w:val="00302273"/>
    <w:rsid w:val="00302302"/>
    <w:rsid w:val="00302589"/>
    <w:rsid w:val="00302611"/>
    <w:rsid w:val="0030263B"/>
    <w:rsid w:val="0030264D"/>
    <w:rsid w:val="003026A7"/>
    <w:rsid w:val="00302731"/>
    <w:rsid w:val="00302732"/>
    <w:rsid w:val="0030273F"/>
    <w:rsid w:val="003027F6"/>
    <w:rsid w:val="00302850"/>
    <w:rsid w:val="003028E4"/>
    <w:rsid w:val="00302AC1"/>
    <w:rsid w:val="00302C18"/>
    <w:rsid w:val="00302D75"/>
    <w:rsid w:val="00302ED7"/>
    <w:rsid w:val="00302F92"/>
    <w:rsid w:val="003030A1"/>
    <w:rsid w:val="003031A1"/>
    <w:rsid w:val="003031C9"/>
    <w:rsid w:val="00303207"/>
    <w:rsid w:val="00303276"/>
    <w:rsid w:val="00303419"/>
    <w:rsid w:val="0030353B"/>
    <w:rsid w:val="0030359D"/>
    <w:rsid w:val="003035DB"/>
    <w:rsid w:val="00303745"/>
    <w:rsid w:val="00303782"/>
    <w:rsid w:val="00303827"/>
    <w:rsid w:val="00303AE5"/>
    <w:rsid w:val="00303C9F"/>
    <w:rsid w:val="00303DC2"/>
    <w:rsid w:val="00303EA1"/>
    <w:rsid w:val="00303ED6"/>
    <w:rsid w:val="00303F18"/>
    <w:rsid w:val="00303F3D"/>
    <w:rsid w:val="00303F71"/>
    <w:rsid w:val="00303F80"/>
    <w:rsid w:val="00304070"/>
    <w:rsid w:val="003041A5"/>
    <w:rsid w:val="003044B3"/>
    <w:rsid w:val="003044DD"/>
    <w:rsid w:val="00304505"/>
    <w:rsid w:val="0030454F"/>
    <w:rsid w:val="003045C2"/>
    <w:rsid w:val="003047D7"/>
    <w:rsid w:val="0030486A"/>
    <w:rsid w:val="003048C2"/>
    <w:rsid w:val="003048FF"/>
    <w:rsid w:val="00304A76"/>
    <w:rsid w:val="00304AA3"/>
    <w:rsid w:val="00304D04"/>
    <w:rsid w:val="00304D7A"/>
    <w:rsid w:val="00304DA2"/>
    <w:rsid w:val="00304DC8"/>
    <w:rsid w:val="00304DE5"/>
    <w:rsid w:val="00304FCE"/>
    <w:rsid w:val="00305158"/>
    <w:rsid w:val="00305171"/>
    <w:rsid w:val="003051AF"/>
    <w:rsid w:val="003051D0"/>
    <w:rsid w:val="00305238"/>
    <w:rsid w:val="00305400"/>
    <w:rsid w:val="0030547E"/>
    <w:rsid w:val="00305487"/>
    <w:rsid w:val="003054C0"/>
    <w:rsid w:val="0030561C"/>
    <w:rsid w:val="0030569D"/>
    <w:rsid w:val="00305A63"/>
    <w:rsid w:val="00305ACF"/>
    <w:rsid w:val="00305B14"/>
    <w:rsid w:val="00305D48"/>
    <w:rsid w:val="00305D67"/>
    <w:rsid w:val="00305D98"/>
    <w:rsid w:val="00305E89"/>
    <w:rsid w:val="00305EE4"/>
    <w:rsid w:val="00305F5F"/>
    <w:rsid w:val="00305FE2"/>
    <w:rsid w:val="00305FF5"/>
    <w:rsid w:val="00306279"/>
    <w:rsid w:val="003062C2"/>
    <w:rsid w:val="00306654"/>
    <w:rsid w:val="003066FF"/>
    <w:rsid w:val="00306885"/>
    <w:rsid w:val="0030697C"/>
    <w:rsid w:val="00306C2A"/>
    <w:rsid w:val="00306C3B"/>
    <w:rsid w:val="00306CF3"/>
    <w:rsid w:val="00306CFD"/>
    <w:rsid w:val="00306D22"/>
    <w:rsid w:val="00306FEC"/>
    <w:rsid w:val="00307164"/>
    <w:rsid w:val="003071C5"/>
    <w:rsid w:val="00307358"/>
    <w:rsid w:val="0030743A"/>
    <w:rsid w:val="00307440"/>
    <w:rsid w:val="00307482"/>
    <w:rsid w:val="0030752D"/>
    <w:rsid w:val="0030756A"/>
    <w:rsid w:val="003075F4"/>
    <w:rsid w:val="00307624"/>
    <w:rsid w:val="00307635"/>
    <w:rsid w:val="003077AA"/>
    <w:rsid w:val="003077B4"/>
    <w:rsid w:val="0030780E"/>
    <w:rsid w:val="003078C4"/>
    <w:rsid w:val="003078D0"/>
    <w:rsid w:val="00307A74"/>
    <w:rsid w:val="00307BEE"/>
    <w:rsid w:val="00307C2A"/>
    <w:rsid w:val="00307C70"/>
    <w:rsid w:val="00307D41"/>
    <w:rsid w:val="00307DBF"/>
    <w:rsid w:val="00307E3F"/>
    <w:rsid w:val="00307FA4"/>
    <w:rsid w:val="00307FD0"/>
    <w:rsid w:val="00307FE6"/>
    <w:rsid w:val="00310211"/>
    <w:rsid w:val="00310254"/>
    <w:rsid w:val="00310353"/>
    <w:rsid w:val="003104C1"/>
    <w:rsid w:val="0031056B"/>
    <w:rsid w:val="003105CF"/>
    <w:rsid w:val="0031068D"/>
    <w:rsid w:val="00310771"/>
    <w:rsid w:val="00310856"/>
    <w:rsid w:val="00310907"/>
    <w:rsid w:val="00310970"/>
    <w:rsid w:val="00310997"/>
    <w:rsid w:val="003109CD"/>
    <w:rsid w:val="00310BD6"/>
    <w:rsid w:val="00310E05"/>
    <w:rsid w:val="00310E85"/>
    <w:rsid w:val="00310FE6"/>
    <w:rsid w:val="003110F1"/>
    <w:rsid w:val="00311A32"/>
    <w:rsid w:val="00311B46"/>
    <w:rsid w:val="00311B99"/>
    <w:rsid w:val="00311D9E"/>
    <w:rsid w:val="00311E33"/>
    <w:rsid w:val="00311F1B"/>
    <w:rsid w:val="00311FA2"/>
    <w:rsid w:val="0031200F"/>
    <w:rsid w:val="00312146"/>
    <w:rsid w:val="0031225D"/>
    <w:rsid w:val="003122E1"/>
    <w:rsid w:val="003125A8"/>
    <w:rsid w:val="00312648"/>
    <w:rsid w:val="003127A3"/>
    <w:rsid w:val="0031287C"/>
    <w:rsid w:val="003129D3"/>
    <w:rsid w:val="00312A99"/>
    <w:rsid w:val="00312B67"/>
    <w:rsid w:val="00312C97"/>
    <w:rsid w:val="0031329D"/>
    <w:rsid w:val="0031340A"/>
    <w:rsid w:val="003134BC"/>
    <w:rsid w:val="00313573"/>
    <w:rsid w:val="003136FE"/>
    <w:rsid w:val="003137BF"/>
    <w:rsid w:val="0031398B"/>
    <w:rsid w:val="00313A4B"/>
    <w:rsid w:val="00313B73"/>
    <w:rsid w:val="00313C08"/>
    <w:rsid w:val="00313CA0"/>
    <w:rsid w:val="00313D9C"/>
    <w:rsid w:val="00313DB0"/>
    <w:rsid w:val="00313EF4"/>
    <w:rsid w:val="00313F37"/>
    <w:rsid w:val="003140DC"/>
    <w:rsid w:val="0031410D"/>
    <w:rsid w:val="003142A3"/>
    <w:rsid w:val="0031436D"/>
    <w:rsid w:val="0031439E"/>
    <w:rsid w:val="00314549"/>
    <w:rsid w:val="0031457D"/>
    <w:rsid w:val="003145D5"/>
    <w:rsid w:val="00314673"/>
    <w:rsid w:val="003147A0"/>
    <w:rsid w:val="003147F0"/>
    <w:rsid w:val="003148C2"/>
    <w:rsid w:val="003149A7"/>
    <w:rsid w:val="00314A06"/>
    <w:rsid w:val="00314BDA"/>
    <w:rsid w:val="00314BFE"/>
    <w:rsid w:val="00314C4A"/>
    <w:rsid w:val="00314DF2"/>
    <w:rsid w:val="00314FEE"/>
    <w:rsid w:val="003150F9"/>
    <w:rsid w:val="0031511D"/>
    <w:rsid w:val="00315126"/>
    <w:rsid w:val="00315328"/>
    <w:rsid w:val="0031537C"/>
    <w:rsid w:val="0031541F"/>
    <w:rsid w:val="0031555D"/>
    <w:rsid w:val="00315575"/>
    <w:rsid w:val="00315626"/>
    <w:rsid w:val="00315695"/>
    <w:rsid w:val="003157A1"/>
    <w:rsid w:val="003157A8"/>
    <w:rsid w:val="00315920"/>
    <w:rsid w:val="00315A35"/>
    <w:rsid w:val="00315A57"/>
    <w:rsid w:val="00315A8A"/>
    <w:rsid w:val="00315A93"/>
    <w:rsid w:val="00315B39"/>
    <w:rsid w:val="00315B7D"/>
    <w:rsid w:val="00315BDA"/>
    <w:rsid w:val="00315C12"/>
    <w:rsid w:val="00315C3E"/>
    <w:rsid w:val="00315C7E"/>
    <w:rsid w:val="00315CE3"/>
    <w:rsid w:val="00315D9B"/>
    <w:rsid w:val="00315DE5"/>
    <w:rsid w:val="00315E26"/>
    <w:rsid w:val="00315F90"/>
    <w:rsid w:val="00316092"/>
    <w:rsid w:val="00316294"/>
    <w:rsid w:val="00316317"/>
    <w:rsid w:val="0031652C"/>
    <w:rsid w:val="003165F4"/>
    <w:rsid w:val="0031671A"/>
    <w:rsid w:val="0031688C"/>
    <w:rsid w:val="003169A7"/>
    <w:rsid w:val="003169B3"/>
    <w:rsid w:val="003169DA"/>
    <w:rsid w:val="00316AF9"/>
    <w:rsid w:val="00316B3C"/>
    <w:rsid w:val="00316B6A"/>
    <w:rsid w:val="00316BD4"/>
    <w:rsid w:val="00316C9C"/>
    <w:rsid w:val="00316CC3"/>
    <w:rsid w:val="00317057"/>
    <w:rsid w:val="00317145"/>
    <w:rsid w:val="00317249"/>
    <w:rsid w:val="003172C2"/>
    <w:rsid w:val="00317489"/>
    <w:rsid w:val="00317591"/>
    <w:rsid w:val="00317855"/>
    <w:rsid w:val="00317896"/>
    <w:rsid w:val="003178AB"/>
    <w:rsid w:val="00317951"/>
    <w:rsid w:val="00317A21"/>
    <w:rsid w:val="00317A4B"/>
    <w:rsid w:val="00317B5F"/>
    <w:rsid w:val="00317BC2"/>
    <w:rsid w:val="00317BC7"/>
    <w:rsid w:val="00317BD9"/>
    <w:rsid w:val="00317C54"/>
    <w:rsid w:val="00317C74"/>
    <w:rsid w:val="00317C88"/>
    <w:rsid w:val="00317EBA"/>
    <w:rsid w:val="00317F1A"/>
    <w:rsid w:val="00317F70"/>
    <w:rsid w:val="00317FEC"/>
    <w:rsid w:val="00320080"/>
    <w:rsid w:val="003200E3"/>
    <w:rsid w:val="003200EB"/>
    <w:rsid w:val="0032012F"/>
    <w:rsid w:val="00320155"/>
    <w:rsid w:val="003203AC"/>
    <w:rsid w:val="0032042A"/>
    <w:rsid w:val="003206D7"/>
    <w:rsid w:val="0032082C"/>
    <w:rsid w:val="00320837"/>
    <w:rsid w:val="00320C4E"/>
    <w:rsid w:val="00320E89"/>
    <w:rsid w:val="00320F90"/>
    <w:rsid w:val="00320FBF"/>
    <w:rsid w:val="00321027"/>
    <w:rsid w:val="003210E9"/>
    <w:rsid w:val="003210FB"/>
    <w:rsid w:val="003211B8"/>
    <w:rsid w:val="00321272"/>
    <w:rsid w:val="00321273"/>
    <w:rsid w:val="003212A9"/>
    <w:rsid w:val="0032134A"/>
    <w:rsid w:val="00321382"/>
    <w:rsid w:val="003213F6"/>
    <w:rsid w:val="0032141D"/>
    <w:rsid w:val="0032142C"/>
    <w:rsid w:val="00321449"/>
    <w:rsid w:val="0032145F"/>
    <w:rsid w:val="0032152F"/>
    <w:rsid w:val="00321593"/>
    <w:rsid w:val="003217DB"/>
    <w:rsid w:val="00321851"/>
    <w:rsid w:val="0032193F"/>
    <w:rsid w:val="00321946"/>
    <w:rsid w:val="00321A90"/>
    <w:rsid w:val="00321BB9"/>
    <w:rsid w:val="00321C5E"/>
    <w:rsid w:val="00321CEE"/>
    <w:rsid w:val="00322029"/>
    <w:rsid w:val="003221AA"/>
    <w:rsid w:val="003221D0"/>
    <w:rsid w:val="003221DB"/>
    <w:rsid w:val="0032225D"/>
    <w:rsid w:val="003222CE"/>
    <w:rsid w:val="00322409"/>
    <w:rsid w:val="003224CF"/>
    <w:rsid w:val="00322538"/>
    <w:rsid w:val="003225EE"/>
    <w:rsid w:val="00322632"/>
    <w:rsid w:val="003227A2"/>
    <w:rsid w:val="0032281B"/>
    <w:rsid w:val="0032287C"/>
    <w:rsid w:val="00322902"/>
    <w:rsid w:val="00322B62"/>
    <w:rsid w:val="00322B83"/>
    <w:rsid w:val="00322CDB"/>
    <w:rsid w:val="00322DDC"/>
    <w:rsid w:val="00322E0F"/>
    <w:rsid w:val="00322EC9"/>
    <w:rsid w:val="00322ED4"/>
    <w:rsid w:val="00322ED5"/>
    <w:rsid w:val="00322F11"/>
    <w:rsid w:val="00322F95"/>
    <w:rsid w:val="00323036"/>
    <w:rsid w:val="00323151"/>
    <w:rsid w:val="00323169"/>
    <w:rsid w:val="00323252"/>
    <w:rsid w:val="003232DC"/>
    <w:rsid w:val="00323323"/>
    <w:rsid w:val="003233C8"/>
    <w:rsid w:val="003233EB"/>
    <w:rsid w:val="003234BC"/>
    <w:rsid w:val="00323501"/>
    <w:rsid w:val="00323506"/>
    <w:rsid w:val="0032355A"/>
    <w:rsid w:val="00323577"/>
    <w:rsid w:val="0032359A"/>
    <w:rsid w:val="003236F8"/>
    <w:rsid w:val="00323731"/>
    <w:rsid w:val="00323747"/>
    <w:rsid w:val="003237A0"/>
    <w:rsid w:val="003237D9"/>
    <w:rsid w:val="00323831"/>
    <w:rsid w:val="00323924"/>
    <w:rsid w:val="00323C3B"/>
    <w:rsid w:val="00323C7A"/>
    <w:rsid w:val="00323CD9"/>
    <w:rsid w:val="00323D81"/>
    <w:rsid w:val="00323E07"/>
    <w:rsid w:val="00323EEA"/>
    <w:rsid w:val="00323F31"/>
    <w:rsid w:val="00324085"/>
    <w:rsid w:val="003240A4"/>
    <w:rsid w:val="003241A7"/>
    <w:rsid w:val="00324284"/>
    <w:rsid w:val="003242D3"/>
    <w:rsid w:val="003243CF"/>
    <w:rsid w:val="0032441E"/>
    <w:rsid w:val="003245ED"/>
    <w:rsid w:val="0032465C"/>
    <w:rsid w:val="003246A6"/>
    <w:rsid w:val="003247E0"/>
    <w:rsid w:val="00324801"/>
    <w:rsid w:val="00324902"/>
    <w:rsid w:val="00324998"/>
    <w:rsid w:val="00324A57"/>
    <w:rsid w:val="00324C56"/>
    <w:rsid w:val="00324CDC"/>
    <w:rsid w:val="00324F61"/>
    <w:rsid w:val="00325002"/>
    <w:rsid w:val="003250B6"/>
    <w:rsid w:val="003250F4"/>
    <w:rsid w:val="003252E5"/>
    <w:rsid w:val="00325342"/>
    <w:rsid w:val="003253BE"/>
    <w:rsid w:val="003254C4"/>
    <w:rsid w:val="0032567B"/>
    <w:rsid w:val="00325834"/>
    <w:rsid w:val="00325885"/>
    <w:rsid w:val="00325890"/>
    <w:rsid w:val="00325901"/>
    <w:rsid w:val="00325A0C"/>
    <w:rsid w:val="00325B4B"/>
    <w:rsid w:val="00325BC9"/>
    <w:rsid w:val="00325C15"/>
    <w:rsid w:val="00325C9D"/>
    <w:rsid w:val="00325CDE"/>
    <w:rsid w:val="00325D4E"/>
    <w:rsid w:val="00325E46"/>
    <w:rsid w:val="00326093"/>
    <w:rsid w:val="00326114"/>
    <w:rsid w:val="0032641C"/>
    <w:rsid w:val="0032653E"/>
    <w:rsid w:val="0032655E"/>
    <w:rsid w:val="003265B2"/>
    <w:rsid w:val="00326603"/>
    <w:rsid w:val="003266BF"/>
    <w:rsid w:val="00326725"/>
    <w:rsid w:val="0032687C"/>
    <w:rsid w:val="00326886"/>
    <w:rsid w:val="0032693A"/>
    <w:rsid w:val="00326951"/>
    <w:rsid w:val="00326AAC"/>
    <w:rsid w:val="00326B63"/>
    <w:rsid w:val="00326C91"/>
    <w:rsid w:val="00326CDA"/>
    <w:rsid w:val="00326D78"/>
    <w:rsid w:val="00326E11"/>
    <w:rsid w:val="00326F16"/>
    <w:rsid w:val="00326F45"/>
    <w:rsid w:val="003270B9"/>
    <w:rsid w:val="0032712A"/>
    <w:rsid w:val="00327132"/>
    <w:rsid w:val="00327143"/>
    <w:rsid w:val="003272AD"/>
    <w:rsid w:val="00327358"/>
    <w:rsid w:val="003273A8"/>
    <w:rsid w:val="00327561"/>
    <w:rsid w:val="00327650"/>
    <w:rsid w:val="0032781C"/>
    <w:rsid w:val="00327832"/>
    <w:rsid w:val="00327849"/>
    <w:rsid w:val="00327919"/>
    <w:rsid w:val="00327A33"/>
    <w:rsid w:val="00327B3F"/>
    <w:rsid w:val="00327C48"/>
    <w:rsid w:val="00327C81"/>
    <w:rsid w:val="00327DAF"/>
    <w:rsid w:val="00327ECF"/>
    <w:rsid w:val="003301FC"/>
    <w:rsid w:val="003302D1"/>
    <w:rsid w:val="003303B5"/>
    <w:rsid w:val="0033065A"/>
    <w:rsid w:val="003307FF"/>
    <w:rsid w:val="00330CDC"/>
    <w:rsid w:val="00330D98"/>
    <w:rsid w:val="00330F56"/>
    <w:rsid w:val="00331141"/>
    <w:rsid w:val="0033124A"/>
    <w:rsid w:val="003312A1"/>
    <w:rsid w:val="00331446"/>
    <w:rsid w:val="003314B8"/>
    <w:rsid w:val="0033151B"/>
    <w:rsid w:val="003315A8"/>
    <w:rsid w:val="003315D3"/>
    <w:rsid w:val="003316AB"/>
    <w:rsid w:val="00331A5F"/>
    <w:rsid w:val="00331A75"/>
    <w:rsid w:val="00331BAE"/>
    <w:rsid w:val="00331BCB"/>
    <w:rsid w:val="00331C16"/>
    <w:rsid w:val="00331C87"/>
    <w:rsid w:val="00331CA8"/>
    <w:rsid w:val="00331D29"/>
    <w:rsid w:val="00331D42"/>
    <w:rsid w:val="00331E1D"/>
    <w:rsid w:val="00331E1F"/>
    <w:rsid w:val="00331E86"/>
    <w:rsid w:val="00331F09"/>
    <w:rsid w:val="00331F8F"/>
    <w:rsid w:val="0033201E"/>
    <w:rsid w:val="00332135"/>
    <w:rsid w:val="0033218B"/>
    <w:rsid w:val="003321EC"/>
    <w:rsid w:val="00332201"/>
    <w:rsid w:val="00332324"/>
    <w:rsid w:val="003323EE"/>
    <w:rsid w:val="00332548"/>
    <w:rsid w:val="00332563"/>
    <w:rsid w:val="00332683"/>
    <w:rsid w:val="003326D5"/>
    <w:rsid w:val="00332708"/>
    <w:rsid w:val="003327DD"/>
    <w:rsid w:val="0033284F"/>
    <w:rsid w:val="00332966"/>
    <w:rsid w:val="0033299C"/>
    <w:rsid w:val="00332A9F"/>
    <w:rsid w:val="00332BA9"/>
    <w:rsid w:val="00332C9A"/>
    <w:rsid w:val="00332E37"/>
    <w:rsid w:val="00332ECF"/>
    <w:rsid w:val="00332EE7"/>
    <w:rsid w:val="00332F10"/>
    <w:rsid w:val="00332F6D"/>
    <w:rsid w:val="00332FF3"/>
    <w:rsid w:val="0033309E"/>
    <w:rsid w:val="003330AA"/>
    <w:rsid w:val="00333141"/>
    <w:rsid w:val="00333152"/>
    <w:rsid w:val="0033322E"/>
    <w:rsid w:val="00333243"/>
    <w:rsid w:val="00333269"/>
    <w:rsid w:val="003332F2"/>
    <w:rsid w:val="00333308"/>
    <w:rsid w:val="003333A4"/>
    <w:rsid w:val="003334FD"/>
    <w:rsid w:val="00333711"/>
    <w:rsid w:val="00333736"/>
    <w:rsid w:val="00333779"/>
    <w:rsid w:val="003337F2"/>
    <w:rsid w:val="003339D2"/>
    <w:rsid w:val="00333A59"/>
    <w:rsid w:val="00333BD7"/>
    <w:rsid w:val="00333C35"/>
    <w:rsid w:val="00333CB7"/>
    <w:rsid w:val="00333DFD"/>
    <w:rsid w:val="00333E20"/>
    <w:rsid w:val="00333FF2"/>
    <w:rsid w:val="0033403B"/>
    <w:rsid w:val="00334127"/>
    <w:rsid w:val="00334156"/>
    <w:rsid w:val="0033416D"/>
    <w:rsid w:val="00334221"/>
    <w:rsid w:val="00334284"/>
    <w:rsid w:val="0033433B"/>
    <w:rsid w:val="0033438D"/>
    <w:rsid w:val="003343CE"/>
    <w:rsid w:val="00334466"/>
    <w:rsid w:val="00334533"/>
    <w:rsid w:val="003345AC"/>
    <w:rsid w:val="00334669"/>
    <w:rsid w:val="0033471D"/>
    <w:rsid w:val="00334846"/>
    <w:rsid w:val="003348E7"/>
    <w:rsid w:val="00334971"/>
    <w:rsid w:val="00334A43"/>
    <w:rsid w:val="00334B2A"/>
    <w:rsid w:val="00334B69"/>
    <w:rsid w:val="00334C27"/>
    <w:rsid w:val="00334C8F"/>
    <w:rsid w:val="00334C95"/>
    <w:rsid w:val="00334D0C"/>
    <w:rsid w:val="00334D1D"/>
    <w:rsid w:val="00334DC4"/>
    <w:rsid w:val="00334E28"/>
    <w:rsid w:val="00334F45"/>
    <w:rsid w:val="00334F93"/>
    <w:rsid w:val="00335054"/>
    <w:rsid w:val="00335108"/>
    <w:rsid w:val="00335124"/>
    <w:rsid w:val="00335165"/>
    <w:rsid w:val="003351C0"/>
    <w:rsid w:val="00335276"/>
    <w:rsid w:val="00335396"/>
    <w:rsid w:val="0033539F"/>
    <w:rsid w:val="00335481"/>
    <w:rsid w:val="003354F6"/>
    <w:rsid w:val="00335586"/>
    <w:rsid w:val="0033559D"/>
    <w:rsid w:val="00335633"/>
    <w:rsid w:val="00335672"/>
    <w:rsid w:val="0033581F"/>
    <w:rsid w:val="00335958"/>
    <w:rsid w:val="003359DA"/>
    <w:rsid w:val="00335A36"/>
    <w:rsid w:val="00335ACA"/>
    <w:rsid w:val="00335C9C"/>
    <w:rsid w:val="00335CC5"/>
    <w:rsid w:val="00335FE8"/>
    <w:rsid w:val="00336168"/>
    <w:rsid w:val="003361E5"/>
    <w:rsid w:val="0033622B"/>
    <w:rsid w:val="003362EA"/>
    <w:rsid w:val="003363A8"/>
    <w:rsid w:val="00336490"/>
    <w:rsid w:val="0033663C"/>
    <w:rsid w:val="0033677A"/>
    <w:rsid w:val="003367BA"/>
    <w:rsid w:val="0033691F"/>
    <w:rsid w:val="00336998"/>
    <w:rsid w:val="003369D1"/>
    <w:rsid w:val="00336AF0"/>
    <w:rsid w:val="00336C82"/>
    <w:rsid w:val="00336CA6"/>
    <w:rsid w:val="00336CA7"/>
    <w:rsid w:val="00336E3D"/>
    <w:rsid w:val="00336F43"/>
    <w:rsid w:val="0033713F"/>
    <w:rsid w:val="00337142"/>
    <w:rsid w:val="003371EF"/>
    <w:rsid w:val="00337317"/>
    <w:rsid w:val="00337431"/>
    <w:rsid w:val="0033743B"/>
    <w:rsid w:val="003375CA"/>
    <w:rsid w:val="0033760C"/>
    <w:rsid w:val="0033768F"/>
    <w:rsid w:val="003376CF"/>
    <w:rsid w:val="00337702"/>
    <w:rsid w:val="00337806"/>
    <w:rsid w:val="003378DC"/>
    <w:rsid w:val="003379A4"/>
    <w:rsid w:val="003379DD"/>
    <w:rsid w:val="00337AC4"/>
    <w:rsid w:val="00337ADD"/>
    <w:rsid w:val="00337D10"/>
    <w:rsid w:val="00337D93"/>
    <w:rsid w:val="00337DB7"/>
    <w:rsid w:val="00337FD6"/>
    <w:rsid w:val="0034003B"/>
    <w:rsid w:val="00340052"/>
    <w:rsid w:val="003400FD"/>
    <w:rsid w:val="0034011B"/>
    <w:rsid w:val="00340126"/>
    <w:rsid w:val="0034019E"/>
    <w:rsid w:val="003401F9"/>
    <w:rsid w:val="00340214"/>
    <w:rsid w:val="003403BA"/>
    <w:rsid w:val="003404D0"/>
    <w:rsid w:val="0034051F"/>
    <w:rsid w:val="0034054E"/>
    <w:rsid w:val="0034055A"/>
    <w:rsid w:val="003405E9"/>
    <w:rsid w:val="00340699"/>
    <w:rsid w:val="0034087B"/>
    <w:rsid w:val="00340928"/>
    <w:rsid w:val="003409F2"/>
    <w:rsid w:val="003409F9"/>
    <w:rsid w:val="00340A1B"/>
    <w:rsid w:val="00340ADE"/>
    <w:rsid w:val="00340C39"/>
    <w:rsid w:val="00340C7F"/>
    <w:rsid w:val="00340C8B"/>
    <w:rsid w:val="00340D13"/>
    <w:rsid w:val="00340D26"/>
    <w:rsid w:val="00340D74"/>
    <w:rsid w:val="00340E72"/>
    <w:rsid w:val="00340E73"/>
    <w:rsid w:val="00340EAC"/>
    <w:rsid w:val="00340FA2"/>
    <w:rsid w:val="00340FB3"/>
    <w:rsid w:val="00340FB6"/>
    <w:rsid w:val="00340FC6"/>
    <w:rsid w:val="0034100A"/>
    <w:rsid w:val="00341085"/>
    <w:rsid w:val="00341094"/>
    <w:rsid w:val="003410AB"/>
    <w:rsid w:val="0034116D"/>
    <w:rsid w:val="0034118A"/>
    <w:rsid w:val="003411C0"/>
    <w:rsid w:val="00341221"/>
    <w:rsid w:val="00341291"/>
    <w:rsid w:val="003412A6"/>
    <w:rsid w:val="0034132E"/>
    <w:rsid w:val="003413FE"/>
    <w:rsid w:val="0034160C"/>
    <w:rsid w:val="00341810"/>
    <w:rsid w:val="00341837"/>
    <w:rsid w:val="003418B1"/>
    <w:rsid w:val="00341A61"/>
    <w:rsid w:val="00341AED"/>
    <w:rsid w:val="00341BD1"/>
    <w:rsid w:val="00341C42"/>
    <w:rsid w:val="00341DB8"/>
    <w:rsid w:val="00341DDE"/>
    <w:rsid w:val="00342038"/>
    <w:rsid w:val="00342073"/>
    <w:rsid w:val="003420B6"/>
    <w:rsid w:val="0034235D"/>
    <w:rsid w:val="003423BB"/>
    <w:rsid w:val="003423C2"/>
    <w:rsid w:val="003424C3"/>
    <w:rsid w:val="00342545"/>
    <w:rsid w:val="00342583"/>
    <w:rsid w:val="003425A9"/>
    <w:rsid w:val="00342697"/>
    <w:rsid w:val="003426AC"/>
    <w:rsid w:val="0034273F"/>
    <w:rsid w:val="0034299D"/>
    <w:rsid w:val="00342A29"/>
    <w:rsid w:val="00342AC7"/>
    <w:rsid w:val="00342D46"/>
    <w:rsid w:val="00342DC5"/>
    <w:rsid w:val="00342FBB"/>
    <w:rsid w:val="003430CE"/>
    <w:rsid w:val="003432E4"/>
    <w:rsid w:val="003433EA"/>
    <w:rsid w:val="0034358B"/>
    <w:rsid w:val="003435DA"/>
    <w:rsid w:val="003435E6"/>
    <w:rsid w:val="00343946"/>
    <w:rsid w:val="003439EB"/>
    <w:rsid w:val="00343A20"/>
    <w:rsid w:val="00343A44"/>
    <w:rsid w:val="00343AF5"/>
    <w:rsid w:val="00343B57"/>
    <w:rsid w:val="00343B77"/>
    <w:rsid w:val="00343C6A"/>
    <w:rsid w:val="00343CA8"/>
    <w:rsid w:val="00343EE9"/>
    <w:rsid w:val="00343F19"/>
    <w:rsid w:val="00343F4B"/>
    <w:rsid w:val="00344006"/>
    <w:rsid w:val="00344012"/>
    <w:rsid w:val="003442D5"/>
    <w:rsid w:val="003442E8"/>
    <w:rsid w:val="00344319"/>
    <w:rsid w:val="0034441D"/>
    <w:rsid w:val="003444A8"/>
    <w:rsid w:val="00344601"/>
    <w:rsid w:val="00344618"/>
    <w:rsid w:val="003446DA"/>
    <w:rsid w:val="003447A1"/>
    <w:rsid w:val="003447A5"/>
    <w:rsid w:val="0034482C"/>
    <w:rsid w:val="00344837"/>
    <w:rsid w:val="00344874"/>
    <w:rsid w:val="003448D2"/>
    <w:rsid w:val="00344A0C"/>
    <w:rsid w:val="00344A6E"/>
    <w:rsid w:val="00344A91"/>
    <w:rsid w:val="00344BF5"/>
    <w:rsid w:val="00344F39"/>
    <w:rsid w:val="00344FD9"/>
    <w:rsid w:val="00344FE7"/>
    <w:rsid w:val="0034510F"/>
    <w:rsid w:val="003451C5"/>
    <w:rsid w:val="00345358"/>
    <w:rsid w:val="003453AA"/>
    <w:rsid w:val="003454AB"/>
    <w:rsid w:val="00345594"/>
    <w:rsid w:val="00345595"/>
    <w:rsid w:val="003456F3"/>
    <w:rsid w:val="0034587D"/>
    <w:rsid w:val="003458C8"/>
    <w:rsid w:val="00345A90"/>
    <w:rsid w:val="00345AF9"/>
    <w:rsid w:val="00345C9D"/>
    <w:rsid w:val="00345D56"/>
    <w:rsid w:val="00345D60"/>
    <w:rsid w:val="00345F39"/>
    <w:rsid w:val="00345FA6"/>
    <w:rsid w:val="00345FC5"/>
    <w:rsid w:val="00346122"/>
    <w:rsid w:val="0034617D"/>
    <w:rsid w:val="003461C1"/>
    <w:rsid w:val="00346213"/>
    <w:rsid w:val="003462A5"/>
    <w:rsid w:val="003465E4"/>
    <w:rsid w:val="003466C0"/>
    <w:rsid w:val="0034680A"/>
    <w:rsid w:val="00346959"/>
    <w:rsid w:val="00346A20"/>
    <w:rsid w:val="00346AF9"/>
    <w:rsid w:val="00346C54"/>
    <w:rsid w:val="00346C9A"/>
    <w:rsid w:val="00346CED"/>
    <w:rsid w:val="00346D18"/>
    <w:rsid w:val="00346D66"/>
    <w:rsid w:val="00346DCF"/>
    <w:rsid w:val="00346E36"/>
    <w:rsid w:val="00346F98"/>
    <w:rsid w:val="00347003"/>
    <w:rsid w:val="003470D9"/>
    <w:rsid w:val="00347144"/>
    <w:rsid w:val="00347237"/>
    <w:rsid w:val="00347389"/>
    <w:rsid w:val="0034741C"/>
    <w:rsid w:val="00347486"/>
    <w:rsid w:val="0034757E"/>
    <w:rsid w:val="0034759D"/>
    <w:rsid w:val="00347614"/>
    <w:rsid w:val="0034765D"/>
    <w:rsid w:val="00347679"/>
    <w:rsid w:val="00347685"/>
    <w:rsid w:val="0034768C"/>
    <w:rsid w:val="0034777C"/>
    <w:rsid w:val="003478D3"/>
    <w:rsid w:val="00347911"/>
    <w:rsid w:val="003479F5"/>
    <w:rsid w:val="00347B3B"/>
    <w:rsid w:val="00347BFA"/>
    <w:rsid w:val="00347C55"/>
    <w:rsid w:val="00347C60"/>
    <w:rsid w:val="00347D22"/>
    <w:rsid w:val="00347E00"/>
    <w:rsid w:val="00347EDA"/>
    <w:rsid w:val="00347F47"/>
    <w:rsid w:val="00347F7E"/>
    <w:rsid w:val="003500E5"/>
    <w:rsid w:val="0035010B"/>
    <w:rsid w:val="00350156"/>
    <w:rsid w:val="003501A3"/>
    <w:rsid w:val="00350287"/>
    <w:rsid w:val="00350401"/>
    <w:rsid w:val="0035042F"/>
    <w:rsid w:val="003506F4"/>
    <w:rsid w:val="00350715"/>
    <w:rsid w:val="00350756"/>
    <w:rsid w:val="00350B35"/>
    <w:rsid w:val="00350C6D"/>
    <w:rsid w:val="00350CEE"/>
    <w:rsid w:val="00350E37"/>
    <w:rsid w:val="00350E7F"/>
    <w:rsid w:val="00350EE1"/>
    <w:rsid w:val="00350F33"/>
    <w:rsid w:val="00351177"/>
    <w:rsid w:val="003511D1"/>
    <w:rsid w:val="003514C9"/>
    <w:rsid w:val="00351590"/>
    <w:rsid w:val="003515BE"/>
    <w:rsid w:val="0035164C"/>
    <w:rsid w:val="00351672"/>
    <w:rsid w:val="0035168C"/>
    <w:rsid w:val="00351705"/>
    <w:rsid w:val="0035175E"/>
    <w:rsid w:val="003518C3"/>
    <w:rsid w:val="00351951"/>
    <w:rsid w:val="00351B5C"/>
    <w:rsid w:val="00351BFE"/>
    <w:rsid w:val="00351CC8"/>
    <w:rsid w:val="00351D07"/>
    <w:rsid w:val="00351D11"/>
    <w:rsid w:val="00351E3B"/>
    <w:rsid w:val="00351E5C"/>
    <w:rsid w:val="00351FB9"/>
    <w:rsid w:val="00351FC8"/>
    <w:rsid w:val="0035203F"/>
    <w:rsid w:val="00352055"/>
    <w:rsid w:val="0035207E"/>
    <w:rsid w:val="00352089"/>
    <w:rsid w:val="00352165"/>
    <w:rsid w:val="003521FE"/>
    <w:rsid w:val="00352203"/>
    <w:rsid w:val="00352259"/>
    <w:rsid w:val="003523AD"/>
    <w:rsid w:val="00352581"/>
    <w:rsid w:val="003525D1"/>
    <w:rsid w:val="003526B3"/>
    <w:rsid w:val="0035292D"/>
    <w:rsid w:val="00352A43"/>
    <w:rsid w:val="00352A65"/>
    <w:rsid w:val="00352A74"/>
    <w:rsid w:val="00352AE0"/>
    <w:rsid w:val="00352CBB"/>
    <w:rsid w:val="00352E75"/>
    <w:rsid w:val="00352F13"/>
    <w:rsid w:val="00352F28"/>
    <w:rsid w:val="003531A4"/>
    <w:rsid w:val="00353410"/>
    <w:rsid w:val="0035347F"/>
    <w:rsid w:val="003535CF"/>
    <w:rsid w:val="00353729"/>
    <w:rsid w:val="0035377F"/>
    <w:rsid w:val="00353873"/>
    <w:rsid w:val="0035394C"/>
    <w:rsid w:val="00353BF0"/>
    <w:rsid w:val="00353C21"/>
    <w:rsid w:val="00353CF6"/>
    <w:rsid w:val="00353D37"/>
    <w:rsid w:val="00353EB8"/>
    <w:rsid w:val="00353F07"/>
    <w:rsid w:val="00354059"/>
    <w:rsid w:val="00354081"/>
    <w:rsid w:val="0035413D"/>
    <w:rsid w:val="0035416A"/>
    <w:rsid w:val="003541FB"/>
    <w:rsid w:val="0035428C"/>
    <w:rsid w:val="003543EA"/>
    <w:rsid w:val="00354491"/>
    <w:rsid w:val="003545F4"/>
    <w:rsid w:val="003546B1"/>
    <w:rsid w:val="003548B3"/>
    <w:rsid w:val="00354900"/>
    <w:rsid w:val="00354A67"/>
    <w:rsid w:val="00354B8A"/>
    <w:rsid w:val="00354BD8"/>
    <w:rsid w:val="00354C09"/>
    <w:rsid w:val="00354D78"/>
    <w:rsid w:val="00354D92"/>
    <w:rsid w:val="00354EC1"/>
    <w:rsid w:val="00354EFD"/>
    <w:rsid w:val="00354F28"/>
    <w:rsid w:val="00354F9D"/>
    <w:rsid w:val="00354FFD"/>
    <w:rsid w:val="0035503C"/>
    <w:rsid w:val="003550CA"/>
    <w:rsid w:val="003550D2"/>
    <w:rsid w:val="00355139"/>
    <w:rsid w:val="00355272"/>
    <w:rsid w:val="003552CD"/>
    <w:rsid w:val="003552E1"/>
    <w:rsid w:val="003552E3"/>
    <w:rsid w:val="00355398"/>
    <w:rsid w:val="003553A2"/>
    <w:rsid w:val="003553CA"/>
    <w:rsid w:val="003553DC"/>
    <w:rsid w:val="003553E3"/>
    <w:rsid w:val="00355515"/>
    <w:rsid w:val="0035552E"/>
    <w:rsid w:val="00355530"/>
    <w:rsid w:val="003555DB"/>
    <w:rsid w:val="003556D8"/>
    <w:rsid w:val="00355C51"/>
    <w:rsid w:val="00355C5C"/>
    <w:rsid w:val="00355C7C"/>
    <w:rsid w:val="00355D41"/>
    <w:rsid w:val="00355D44"/>
    <w:rsid w:val="00355E7D"/>
    <w:rsid w:val="00355EDA"/>
    <w:rsid w:val="00355EFD"/>
    <w:rsid w:val="0035617F"/>
    <w:rsid w:val="00356227"/>
    <w:rsid w:val="003562D4"/>
    <w:rsid w:val="00356390"/>
    <w:rsid w:val="00356402"/>
    <w:rsid w:val="0035643D"/>
    <w:rsid w:val="00356453"/>
    <w:rsid w:val="003564DA"/>
    <w:rsid w:val="00356515"/>
    <w:rsid w:val="0035654E"/>
    <w:rsid w:val="0035656A"/>
    <w:rsid w:val="00356640"/>
    <w:rsid w:val="00356718"/>
    <w:rsid w:val="003568F6"/>
    <w:rsid w:val="0035691C"/>
    <w:rsid w:val="00356AF5"/>
    <w:rsid w:val="00356CC0"/>
    <w:rsid w:val="00357004"/>
    <w:rsid w:val="0035711A"/>
    <w:rsid w:val="0035724C"/>
    <w:rsid w:val="0035732B"/>
    <w:rsid w:val="00357447"/>
    <w:rsid w:val="0035783B"/>
    <w:rsid w:val="00357879"/>
    <w:rsid w:val="00357CBC"/>
    <w:rsid w:val="00357CF6"/>
    <w:rsid w:val="00357D5A"/>
    <w:rsid w:val="00357DD9"/>
    <w:rsid w:val="00357E81"/>
    <w:rsid w:val="00357F1D"/>
    <w:rsid w:val="00357F6C"/>
    <w:rsid w:val="0036014F"/>
    <w:rsid w:val="003602A2"/>
    <w:rsid w:val="003602CA"/>
    <w:rsid w:val="00360365"/>
    <w:rsid w:val="0036042F"/>
    <w:rsid w:val="00360565"/>
    <w:rsid w:val="0036072F"/>
    <w:rsid w:val="0036073A"/>
    <w:rsid w:val="00360759"/>
    <w:rsid w:val="00360762"/>
    <w:rsid w:val="00360784"/>
    <w:rsid w:val="00360785"/>
    <w:rsid w:val="0036085F"/>
    <w:rsid w:val="00360919"/>
    <w:rsid w:val="00360B16"/>
    <w:rsid w:val="00360C3C"/>
    <w:rsid w:val="00360CF0"/>
    <w:rsid w:val="00360DCF"/>
    <w:rsid w:val="00360EFC"/>
    <w:rsid w:val="00360F28"/>
    <w:rsid w:val="00360F6D"/>
    <w:rsid w:val="00360FA1"/>
    <w:rsid w:val="00360FB5"/>
    <w:rsid w:val="00360FED"/>
    <w:rsid w:val="003611FF"/>
    <w:rsid w:val="00361359"/>
    <w:rsid w:val="0036142B"/>
    <w:rsid w:val="0036173C"/>
    <w:rsid w:val="003617F6"/>
    <w:rsid w:val="003618B1"/>
    <w:rsid w:val="003618BA"/>
    <w:rsid w:val="00361A41"/>
    <w:rsid w:val="00361D69"/>
    <w:rsid w:val="00361DAF"/>
    <w:rsid w:val="00361DC4"/>
    <w:rsid w:val="00361DE2"/>
    <w:rsid w:val="00361E16"/>
    <w:rsid w:val="00361E55"/>
    <w:rsid w:val="003621D9"/>
    <w:rsid w:val="00362205"/>
    <w:rsid w:val="003623C1"/>
    <w:rsid w:val="003623D6"/>
    <w:rsid w:val="00362475"/>
    <w:rsid w:val="003625A8"/>
    <w:rsid w:val="003625C3"/>
    <w:rsid w:val="003625E4"/>
    <w:rsid w:val="003627B7"/>
    <w:rsid w:val="0036291A"/>
    <w:rsid w:val="00362B09"/>
    <w:rsid w:val="00362BAE"/>
    <w:rsid w:val="00362BB1"/>
    <w:rsid w:val="00362E34"/>
    <w:rsid w:val="00362FAF"/>
    <w:rsid w:val="00363355"/>
    <w:rsid w:val="003633D4"/>
    <w:rsid w:val="003636AA"/>
    <w:rsid w:val="003636CF"/>
    <w:rsid w:val="003636F8"/>
    <w:rsid w:val="003637B4"/>
    <w:rsid w:val="003637DF"/>
    <w:rsid w:val="003637E4"/>
    <w:rsid w:val="003638C6"/>
    <w:rsid w:val="00363A00"/>
    <w:rsid w:val="00363A50"/>
    <w:rsid w:val="00363C62"/>
    <w:rsid w:val="00363CCE"/>
    <w:rsid w:val="00363D1B"/>
    <w:rsid w:val="00363D38"/>
    <w:rsid w:val="00363EF0"/>
    <w:rsid w:val="00363EF3"/>
    <w:rsid w:val="00363F13"/>
    <w:rsid w:val="00363F9A"/>
    <w:rsid w:val="00363FF8"/>
    <w:rsid w:val="00363FFC"/>
    <w:rsid w:val="00364090"/>
    <w:rsid w:val="003640CA"/>
    <w:rsid w:val="00364101"/>
    <w:rsid w:val="003641D1"/>
    <w:rsid w:val="003641FA"/>
    <w:rsid w:val="0036424E"/>
    <w:rsid w:val="003642FF"/>
    <w:rsid w:val="003643A8"/>
    <w:rsid w:val="003645BA"/>
    <w:rsid w:val="003645EE"/>
    <w:rsid w:val="00364658"/>
    <w:rsid w:val="0036467A"/>
    <w:rsid w:val="00364803"/>
    <w:rsid w:val="003649DC"/>
    <w:rsid w:val="00364A4D"/>
    <w:rsid w:val="00364AA9"/>
    <w:rsid w:val="00364B2A"/>
    <w:rsid w:val="00364B45"/>
    <w:rsid w:val="00364BE7"/>
    <w:rsid w:val="00364C3E"/>
    <w:rsid w:val="00364CB6"/>
    <w:rsid w:val="00364E3C"/>
    <w:rsid w:val="00364FE3"/>
    <w:rsid w:val="00365085"/>
    <w:rsid w:val="003652A6"/>
    <w:rsid w:val="003655BE"/>
    <w:rsid w:val="0036568E"/>
    <w:rsid w:val="003656AA"/>
    <w:rsid w:val="003656AC"/>
    <w:rsid w:val="003658A5"/>
    <w:rsid w:val="003658CC"/>
    <w:rsid w:val="0036593F"/>
    <w:rsid w:val="00365A19"/>
    <w:rsid w:val="00365A70"/>
    <w:rsid w:val="00365CB8"/>
    <w:rsid w:val="00365D14"/>
    <w:rsid w:val="00365D65"/>
    <w:rsid w:val="00365E1E"/>
    <w:rsid w:val="00365FEE"/>
    <w:rsid w:val="0036604D"/>
    <w:rsid w:val="00366415"/>
    <w:rsid w:val="003664E6"/>
    <w:rsid w:val="00366579"/>
    <w:rsid w:val="00366775"/>
    <w:rsid w:val="00366ABD"/>
    <w:rsid w:val="00366BB3"/>
    <w:rsid w:val="00366C65"/>
    <w:rsid w:val="00366CB1"/>
    <w:rsid w:val="00366E51"/>
    <w:rsid w:val="00366F84"/>
    <w:rsid w:val="00366F89"/>
    <w:rsid w:val="00367044"/>
    <w:rsid w:val="00367122"/>
    <w:rsid w:val="003671B8"/>
    <w:rsid w:val="003671D8"/>
    <w:rsid w:val="00367209"/>
    <w:rsid w:val="003672BF"/>
    <w:rsid w:val="0036735D"/>
    <w:rsid w:val="00367381"/>
    <w:rsid w:val="003673C2"/>
    <w:rsid w:val="00367466"/>
    <w:rsid w:val="003675E6"/>
    <w:rsid w:val="00367806"/>
    <w:rsid w:val="0036781C"/>
    <w:rsid w:val="00367821"/>
    <w:rsid w:val="0036791E"/>
    <w:rsid w:val="003679F2"/>
    <w:rsid w:val="00367A02"/>
    <w:rsid w:val="00367A8E"/>
    <w:rsid w:val="00367D90"/>
    <w:rsid w:val="00367E35"/>
    <w:rsid w:val="0036ACE6"/>
    <w:rsid w:val="00370051"/>
    <w:rsid w:val="00370249"/>
    <w:rsid w:val="003703A7"/>
    <w:rsid w:val="0037063C"/>
    <w:rsid w:val="00370650"/>
    <w:rsid w:val="003707A7"/>
    <w:rsid w:val="00370933"/>
    <w:rsid w:val="003709C7"/>
    <w:rsid w:val="003709D8"/>
    <w:rsid w:val="00370A02"/>
    <w:rsid w:val="00370AFE"/>
    <w:rsid w:val="00370BB2"/>
    <w:rsid w:val="00370BE1"/>
    <w:rsid w:val="00370C29"/>
    <w:rsid w:val="00370D19"/>
    <w:rsid w:val="00370DF0"/>
    <w:rsid w:val="00371014"/>
    <w:rsid w:val="00371220"/>
    <w:rsid w:val="00371335"/>
    <w:rsid w:val="00371481"/>
    <w:rsid w:val="003716C2"/>
    <w:rsid w:val="003717C3"/>
    <w:rsid w:val="003718BD"/>
    <w:rsid w:val="003718D8"/>
    <w:rsid w:val="00371A58"/>
    <w:rsid w:val="00371B86"/>
    <w:rsid w:val="00371BCC"/>
    <w:rsid w:val="00371C1D"/>
    <w:rsid w:val="00371D45"/>
    <w:rsid w:val="00371D95"/>
    <w:rsid w:val="00371E63"/>
    <w:rsid w:val="0037204A"/>
    <w:rsid w:val="00372093"/>
    <w:rsid w:val="00372142"/>
    <w:rsid w:val="003721C5"/>
    <w:rsid w:val="0037224C"/>
    <w:rsid w:val="003722D0"/>
    <w:rsid w:val="00372556"/>
    <w:rsid w:val="003725BC"/>
    <w:rsid w:val="003725C9"/>
    <w:rsid w:val="00372709"/>
    <w:rsid w:val="00372825"/>
    <w:rsid w:val="00372856"/>
    <w:rsid w:val="00372B91"/>
    <w:rsid w:val="00372D74"/>
    <w:rsid w:val="00372DA2"/>
    <w:rsid w:val="00372DF7"/>
    <w:rsid w:val="00373053"/>
    <w:rsid w:val="00373088"/>
    <w:rsid w:val="0037337F"/>
    <w:rsid w:val="003735AF"/>
    <w:rsid w:val="003735B2"/>
    <w:rsid w:val="00373662"/>
    <w:rsid w:val="003736DB"/>
    <w:rsid w:val="00373726"/>
    <w:rsid w:val="00373796"/>
    <w:rsid w:val="00373903"/>
    <w:rsid w:val="00373A24"/>
    <w:rsid w:val="00373BC1"/>
    <w:rsid w:val="00373BD0"/>
    <w:rsid w:val="00373C5A"/>
    <w:rsid w:val="00373D5E"/>
    <w:rsid w:val="00373D89"/>
    <w:rsid w:val="00373DA3"/>
    <w:rsid w:val="00373E3B"/>
    <w:rsid w:val="00373EBC"/>
    <w:rsid w:val="00373EF2"/>
    <w:rsid w:val="00373F69"/>
    <w:rsid w:val="003740AE"/>
    <w:rsid w:val="0037412A"/>
    <w:rsid w:val="00374178"/>
    <w:rsid w:val="00374347"/>
    <w:rsid w:val="0037438A"/>
    <w:rsid w:val="0037445F"/>
    <w:rsid w:val="00374675"/>
    <w:rsid w:val="003748E2"/>
    <w:rsid w:val="00374ACC"/>
    <w:rsid w:val="00374B99"/>
    <w:rsid w:val="00374BF1"/>
    <w:rsid w:val="00374D22"/>
    <w:rsid w:val="00374D66"/>
    <w:rsid w:val="00374DCE"/>
    <w:rsid w:val="00374ED2"/>
    <w:rsid w:val="00374F0B"/>
    <w:rsid w:val="00374FAF"/>
    <w:rsid w:val="00375207"/>
    <w:rsid w:val="0037523C"/>
    <w:rsid w:val="00375247"/>
    <w:rsid w:val="003752B7"/>
    <w:rsid w:val="003753A5"/>
    <w:rsid w:val="00375687"/>
    <w:rsid w:val="0037594A"/>
    <w:rsid w:val="00375B8F"/>
    <w:rsid w:val="00375BD2"/>
    <w:rsid w:val="00375D28"/>
    <w:rsid w:val="00375E39"/>
    <w:rsid w:val="00375E6C"/>
    <w:rsid w:val="00375E7F"/>
    <w:rsid w:val="00375EA5"/>
    <w:rsid w:val="00375F0B"/>
    <w:rsid w:val="00376154"/>
    <w:rsid w:val="003762DD"/>
    <w:rsid w:val="00376318"/>
    <w:rsid w:val="00376384"/>
    <w:rsid w:val="00376394"/>
    <w:rsid w:val="003764D1"/>
    <w:rsid w:val="00376606"/>
    <w:rsid w:val="003768A7"/>
    <w:rsid w:val="00376B90"/>
    <w:rsid w:val="00376D25"/>
    <w:rsid w:val="00376E62"/>
    <w:rsid w:val="00376EA8"/>
    <w:rsid w:val="00376F81"/>
    <w:rsid w:val="00376FFC"/>
    <w:rsid w:val="00377001"/>
    <w:rsid w:val="00377006"/>
    <w:rsid w:val="00377032"/>
    <w:rsid w:val="003770EC"/>
    <w:rsid w:val="0037721D"/>
    <w:rsid w:val="00377290"/>
    <w:rsid w:val="00377353"/>
    <w:rsid w:val="003774EE"/>
    <w:rsid w:val="0037772C"/>
    <w:rsid w:val="00377862"/>
    <w:rsid w:val="003778CC"/>
    <w:rsid w:val="00377935"/>
    <w:rsid w:val="003779F1"/>
    <w:rsid w:val="00377AFF"/>
    <w:rsid w:val="00377BF3"/>
    <w:rsid w:val="00377D58"/>
    <w:rsid w:val="00377D7D"/>
    <w:rsid w:val="00377E7E"/>
    <w:rsid w:val="00377F57"/>
    <w:rsid w:val="00380110"/>
    <w:rsid w:val="00380122"/>
    <w:rsid w:val="003803CB"/>
    <w:rsid w:val="0038054D"/>
    <w:rsid w:val="003805FD"/>
    <w:rsid w:val="00380753"/>
    <w:rsid w:val="0038077B"/>
    <w:rsid w:val="00380855"/>
    <w:rsid w:val="0038086B"/>
    <w:rsid w:val="003809E6"/>
    <w:rsid w:val="00380A28"/>
    <w:rsid w:val="00380AEF"/>
    <w:rsid w:val="00380B6E"/>
    <w:rsid w:val="00380B99"/>
    <w:rsid w:val="00380CE7"/>
    <w:rsid w:val="00380D8D"/>
    <w:rsid w:val="00380D91"/>
    <w:rsid w:val="00380F1B"/>
    <w:rsid w:val="00380F25"/>
    <w:rsid w:val="00380FA2"/>
    <w:rsid w:val="0038102A"/>
    <w:rsid w:val="00381143"/>
    <w:rsid w:val="00381184"/>
    <w:rsid w:val="003811AC"/>
    <w:rsid w:val="0038124D"/>
    <w:rsid w:val="00381282"/>
    <w:rsid w:val="003813F9"/>
    <w:rsid w:val="0038147C"/>
    <w:rsid w:val="0038149E"/>
    <w:rsid w:val="003814ED"/>
    <w:rsid w:val="00381523"/>
    <w:rsid w:val="00381589"/>
    <w:rsid w:val="00381681"/>
    <w:rsid w:val="003816C0"/>
    <w:rsid w:val="00381713"/>
    <w:rsid w:val="003817BA"/>
    <w:rsid w:val="003817DC"/>
    <w:rsid w:val="0038197A"/>
    <w:rsid w:val="00381A79"/>
    <w:rsid w:val="00381B45"/>
    <w:rsid w:val="00381C0A"/>
    <w:rsid w:val="00381C64"/>
    <w:rsid w:val="00381CA1"/>
    <w:rsid w:val="00381D0D"/>
    <w:rsid w:val="00381DE5"/>
    <w:rsid w:val="00381EBE"/>
    <w:rsid w:val="00381F73"/>
    <w:rsid w:val="00381FE9"/>
    <w:rsid w:val="00382034"/>
    <w:rsid w:val="00382089"/>
    <w:rsid w:val="003820F3"/>
    <w:rsid w:val="003824D9"/>
    <w:rsid w:val="0038253D"/>
    <w:rsid w:val="00382805"/>
    <w:rsid w:val="00382893"/>
    <w:rsid w:val="0038289E"/>
    <w:rsid w:val="00382911"/>
    <w:rsid w:val="00382B18"/>
    <w:rsid w:val="00382E2B"/>
    <w:rsid w:val="00382EA2"/>
    <w:rsid w:val="0038306B"/>
    <w:rsid w:val="003830F9"/>
    <w:rsid w:val="00383278"/>
    <w:rsid w:val="00383454"/>
    <w:rsid w:val="00383467"/>
    <w:rsid w:val="003834E2"/>
    <w:rsid w:val="00383666"/>
    <w:rsid w:val="0038366E"/>
    <w:rsid w:val="003836BF"/>
    <w:rsid w:val="0038370C"/>
    <w:rsid w:val="0038370F"/>
    <w:rsid w:val="00383999"/>
    <w:rsid w:val="003839E1"/>
    <w:rsid w:val="00383BB9"/>
    <w:rsid w:val="00383CAA"/>
    <w:rsid w:val="00383CF8"/>
    <w:rsid w:val="00383F14"/>
    <w:rsid w:val="00383FC4"/>
    <w:rsid w:val="00383FFD"/>
    <w:rsid w:val="003842BF"/>
    <w:rsid w:val="0038437D"/>
    <w:rsid w:val="003843DA"/>
    <w:rsid w:val="0038464B"/>
    <w:rsid w:val="0038467C"/>
    <w:rsid w:val="00384702"/>
    <w:rsid w:val="00384703"/>
    <w:rsid w:val="00384800"/>
    <w:rsid w:val="00384817"/>
    <w:rsid w:val="00384829"/>
    <w:rsid w:val="00384869"/>
    <w:rsid w:val="00384978"/>
    <w:rsid w:val="00384A9C"/>
    <w:rsid w:val="00384B0D"/>
    <w:rsid w:val="00384DD3"/>
    <w:rsid w:val="00384E5A"/>
    <w:rsid w:val="00384F79"/>
    <w:rsid w:val="00385026"/>
    <w:rsid w:val="0038504F"/>
    <w:rsid w:val="003852E5"/>
    <w:rsid w:val="00385388"/>
    <w:rsid w:val="003853A1"/>
    <w:rsid w:val="00385516"/>
    <w:rsid w:val="00385646"/>
    <w:rsid w:val="0038573B"/>
    <w:rsid w:val="0038581F"/>
    <w:rsid w:val="0038589E"/>
    <w:rsid w:val="003858EE"/>
    <w:rsid w:val="003859A9"/>
    <w:rsid w:val="00385A8F"/>
    <w:rsid w:val="00385AB3"/>
    <w:rsid w:val="00385AD0"/>
    <w:rsid w:val="00385B25"/>
    <w:rsid w:val="00385B6E"/>
    <w:rsid w:val="00385B76"/>
    <w:rsid w:val="00385BAC"/>
    <w:rsid w:val="00385BEE"/>
    <w:rsid w:val="00385D28"/>
    <w:rsid w:val="00385DAF"/>
    <w:rsid w:val="00385EEF"/>
    <w:rsid w:val="00385F49"/>
    <w:rsid w:val="00385F8B"/>
    <w:rsid w:val="00385FC5"/>
    <w:rsid w:val="00385FDD"/>
    <w:rsid w:val="00386089"/>
    <w:rsid w:val="00386264"/>
    <w:rsid w:val="003862A1"/>
    <w:rsid w:val="003862C1"/>
    <w:rsid w:val="00386477"/>
    <w:rsid w:val="003865B3"/>
    <w:rsid w:val="0038671A"/>
    <w:rsid w:val="003868EC"/>
    <w:rsid w:val="003869C4"/>
    <w:rsid w:val="00386CCC"/>
    <w:rsid w:val="00386E64"/>
    <w:rsid w:val="00386E72"/>
    <w:rsid w:val="00386F62"/>
    <w:rsid w:val="00386F79"/>
    <w:rsid w:val="00386FFA"/>
    <w:rsid w:val="00387193"/>
    <w:rsid w:val="003871D7"/>
    <w:rsid w:val="003871D9"/>
    <w:rsid w:val="00387298"/>
    <w:rsid w:val="00387398"/>
    <w:rsid w:val="0038748B"/>
    <w:rsid w:val="003874B1"/>
    <w:rsid w:val="003874E4"/>
    <w:rsid w:val="00387659"/>
    <w:rsid w:val="003878C8"/>
    <w:rsid w:val="003879E3"/>
    <w:rsid w:val="00387A8F"/>
    <w:rsid w:val="00387E2F"/>
    <w:rsid w:val="00387E41"/>
    <w:rsid w:val="00387F8E"/>
    <w:rsid w:val="00387FE1"/>
    <w:rsid w:val="00390003"/>
    <w:rsid w:val="00390042"/>
    <w:rsid w:val="00390044"/>
    <w:rsid w:val="003900A9"/>
    <w:rsid w:val="003902A0"/>
    <w:rsid w:val="0039046A"/>
    <w:rsid w:val="00390582"/>
    <w:rsid w:val="003905B9"/>
    <w:rsid w:val="003905F3"/>
    <w:rsid w:val="00390616"/>
    <w:rsid w:val="003907E5"/>
    <w:rsid w:val="00390806"/>
    <w:rsid w:val="0039083F"/>
    <w:rsid w:val="00390912"/>
    <w:rsid w:val="00390924"/>
    <w:rsid w:val="003909C5"/>
    <w:rsid w:val="00390A56"/>
    <w:rsid w:val="00390A91"/>
    <w:rsid w:val="00390AED"/>
    <w:rsid w:val="00390B23"/>
    <w:rsid w:val="00390B72"/>
    <w:rsid w:val="00390B8F"/>
    <w:rsid w:val="00390EF4"/>
    <w:rsid w:val="00390F5E"/>
    <w:rsid w:val="00390F67"/>
    <w:rsid w:val="00390FF4"/>
    <w:rsid w:val="003910D0"/>
    <w:rsid w:val="0039120E"/>
    <w:rsid w:val="00391231"/>
    <w:rsid w:val="00391332"/>
    <w:rsid w:val="00391477"/>
    <w:rsid w:val="0039165C"/>
    <w:rsid w:val="00391670"/>
    <w:rsid w:val="003916B0"/>
    <w:rsid w:val="00391A71"/>
    <w:rsid w:val="00391AB6"/>
    <w:rsid w:val="00391B3C"/>
    <w:rsid w:val="00391B84"/>
    <w:rsid w:val="00391BE7"/>
    <w:rsid w:val="00391E91"/>
    <w:rsid w:val="00391EF6"/>
    <w:rsid w:val="00392024"/>
    <w:rsid w:val="0039209F"/>
    <w:rsid w:val="00392203"/>
    <w:rsid w:val="003922EB"/>
    <w:rsid w:val="003923E0"/>
    <w:rsid w:val="00392468"/>
    <w:rsid w:val="00392490"/>
    <w:rsid w:val="00392513"/>
    <w:rsid w:val="0039253F"/>
    <w:rsid w:val="003925EC"/>
    <w:rsid w:val="003928C8"/>
    <w:rsid w:val="00392929"/>
    <w:rsid w:val="00392982"/>
    <w:rsid w:val="003929B8"/>
    <w:rsid w:val="00392A6C"/>
    <w:rsid w:val="00392B87"/>
    <w:rsid w:val="00392D52"/>
    <w:rsid w:val="00392D8E"/>
    <w:rsid w:val="00392F12"/>
    <w:rsid w:val="00392F64"/>
    <w:rsid w:val="00393121"/>
    <w:rsid w:val="003932A3"/>
    <w:rsid w:val="003932FC"/>
    <w:rsid w:val="003933A3"/>
    <w:rsid w:val="0039350C"/>
    <w:rsid w:val="003936EF"/>
    <w:rsid w:val="00393831"/>
    <w:rsid w:val="0039384D"/>
    <w:rsid w:val="00393C69"/>
    <w:rsid w:val="00393D3E"/>
    <w:rsid w:val="00393D65"/>
    <w:rsid w:val="00393DA1"/>
    <w:rsid w:val="00393E29"/>
    <w:rsid w:val="00393E34"/>
    <w:rsid w:val="00393E92"/>
    <w:rsid w:val="00393EE5"/>
    <w:rsid w:val="00393EE9"/>
    <w:rsid w:val="00393F58"/>
    <w:rsid w:val="00394010"/>
    <w:rsid w:val="00394085"/>
    <w:rsid w:val="0039416B"/>
    <w:rsid w:val="00394198"/>
    <w:rsid w:val="003941DA"/>
    <w:rsid w:val="003942D8"/>
    <w:rsid w:val="00394303"/>
    <w:rsid w:val="003943C4"/>
    <w:rsid w:val="003943F4"/>
    <w:rsid w:val="003944A9"/>
    <w:rsid w:val="003944CD"/>
    <w:rsid w:val="00394507"/>
    <w:rsid w:val="003945E2"/>
    <w:rsid w:val="003949EB"/>
    <w:rsid w:val="00394A60"/>
    <w:rsid w:val="00394C84"/>
    <w:rsid w:val="00394D40"/>
    <w:rsid w:val="00394DB6"/>
    <w:rsid w:val="00394DE5"/>
    <w:rsid w:val="00394E78"/>
    <w:rsid w:val="00394F22"/>
    <w:rsid w:val="00394F8C"/>
    <w:rsid w:val="00395154"/>
    <w:rsid w:val="003951D8"/>
    <w:rsid w:val="0039540D"/>
    <w:rsid w:val="003954B9"/>
    <w:rsid w:val="00395541"/>
    <w:rsid w:val="0039555E"/>
    <w:rsid w:val="003955FB"/>
    <w:rsid w:val="00395658"/>
    <w:rsid w:val="003956EF"/>
    <w:rsid w:val="00395745"/>
    <w:rsid w:val="003957A3"/>
    <w:rsid w:val="003958E5"/>
    <w:rsid w:val="00395ADC"/>
    <w:rsid w:val="00395B34"/>
    <w:rsid w:val="00395B7B"/>
    <w:rsid w:val="00395C6C"/>
    <w:rsid w:val="00395DF9"/>
    <w:rsid w:val="00395E9A"/>
    <w:rsid w:val="00395F15"/>
    <w:rsid w:val="00395F26"/>
    <w:rsid w:val="00395F99"/>
    <w:rsid w:val="0039604B"/>
    <w:rsid w:val="003960C2"/>
    <w:rsid w:val="00396280"/>
    <w:rsid w:val="003962DB"/>
    <w:rsid w:val="003962F8"/>
    <w:rsid w:val="0039630E"/>
    <w:rsid w:val="0039638F"/>
    <w:rsid w:val="0039654C"/>
    <w:rsid w:val="00396750"/>
    <w:rsid w:val="00396791"/>
    <w:rsid w:val="003967D0"/>
    <w:rsid w:val="003967F5"/>
    <w:rsid w:val="00396822"/>
    <w:rsid w:val="0039688E"/>
    <w:rsid w:val="0039688F"/>
    <w:rsid w:val="003968B9"/>
    <w:rsid w:val="00396ABD"/>
    <w:rsid w:val="00396B77"/>
    <w:rsid w:val="00396BCA"/>
    <w:rsid w:val="00396D07"/>
    <w:rsid w:val="00396F34"/>
    <w:rsid w:val="00396FE3"/>
    <w:rsid w:val="00396FED"/>
    <w:rsid w:val="003970BB"/>
    <w:rsid w:val="003970C2"/>
    <w:rsid w:val="003970FB"/>
    <w:rsid w:val="0039719D"/>
    <w:rsid w:val="00397225"/>
    <w:rsid w:val="0039732F"/>
    <w:rsid w:val="003975EC"/>
    <w:rsid w:val="0039768B"/>
    <w:rsid w:val="0039773F"/>
    <w:rsid w:val="00397877"/>
    <w:rsid w:val="003978AE"/>
    <w:rsid w:val="0039793E"/>
    <w:rsid w:val="00397A7D"/>
    <w:rsid w:val="00397A92"/>
    <w:rsid w:val="00397CA2"/>
    <w:rsid w:val="00397CAA"/>
    <w:rsid w:val="00397D9C"/>
    <w:rsid w:val="00397EDA"/>
    <w:rsid w:val="00397FE8"/>
    <w:rsid w:val="003A001A"/>
    <w:rsid w:val="003A001E"/>
    <w:rsid w:val="003A0208"/>
    <w:rsid w:val="003A021D"/>
    <w:rsid w:val="003A0414"/>
    <w:rsid w:val="003A0481"/>
    <w:rsid w:val="003A04CA"/>
    <w:rsid w:val="003A06F1"/>
    <w:rsid w:val="003A0729"/>
    <w:rsid w:val="003A0A1F"/>
    <w:rsid w:val="003A0A8C"/>
    <w:rsid w:val="003A0AC1"/>
    <w:rsid w:val="003A0B59"/>
    <w:rsid w:val="003A0B5C"/>
    <w:rsid w:val="003A0C10"/>
    <w:rsid w:val="003A0C4D"/>
    <w:rsid w:val="003A0D89"/>
    <w:rsid w:val="003A0E47"/>
    <w:rsid w:val="003A0EB3"/>
    <w:rsid w:val="003A0EB8"/>
    <w:rsid w:val="003A0ED1"/>
    <w:rsid w:val="003A0EF1"/>
    <w:rsid w:val="003A0F59"/>
    <w:rsid w:val="003A0FFE"/>
    <w:rsid w:val="003A1147"/>
    <w:rsid w:val="003A121E"/>
    <w:rsid w:val="003A1314"/>
    <w:rsid w:val="003A1341"/>
    <w:rsid w:val="003A135C"/>
    <w:rsid w:val="003A1777"/>
    <w:rsid w:val="003A181D"/>
    <w:rsid w:val="003A1A39"/>
    <w:rsid w:val="003A1AD6"/>
    <w:rsid w:val="003A1BD9"/>
    <w:rsid w:val="003A1C21"/>
    <w:rsid w:val="003A1E12"/>
    <w:rsid w:val="003A1E5E"/>
    <w:rsid w:val="003A1E69"/>
    <w:rsid w:val="003A1F07"/>
    <w:rsid w:val="003A1F39"/>
    <w:rsid w:val="003A1FA9"/>
    <w:rsid w:val="003A2186"/>
    <w:rsid w:val="003A218C"/>
    <w:rsid w:val="003A22D7"/>
    <w:rsid w:val="003A244C"/>
    <w:rsid w:val="003A2539"/>
    <w:rsid w:val="003A25AE"/>
    <w:rsid w:val="003A26A8"/>
    <w:rsid w:val="003A270A"/>
    <w:rsid w:val="003A2830"/>
    <w:rsid w:val="003A29CC"/>
    <w:rsid w:val="003A2C7C"/>
    <w:rsid w:val="003A2D3A"/>
    <w:rsid w:val="003A2DC8"/>
    <w:rsid w:val="003A2EF4"/>
    <w:rsid w:val="003A2F05"/>
    <w:rsid w:val="003A2FE3"/>
    <w:rsid w:val="003A305E"/>
    <w:rsid w:val="003A3092"/>
    <w:rsid w:val="003A332C"/>
    <w:rsid w:val="003A344B"/>
    <w:rsid w:val="003A35CE"/>
    <w:rsid w:val="003A367F"/>
    <w:rsid w:val="003A36F0"/>
    <w:rsid w:val="003A370F"/>
    <w:rsid w:val="003A3770"/>
    <w:rsid w:val="003A37BE"/>
    <w:rsid w:val="003A37BF"/>
    <w:rsid w:val="003A387F"/>
    <w:rsid w:val="003A38F2"/>
    <w:rsid w:val="003A3B53"/>
    <w:rsid w:val="003A3C3B"/>
    <w:rsid w:val="003A3C83"/>
    <w:rsid w:val="003A4001"/>
    <w:rsid w:val="003A4103"/>
    <w:rsid w:val="003A418A"/>
    <w:rsid w:val="003A43BA"/>
    <w:rsid w:val="003A4472"/>
    <w:rsid w:val="003A457D"/>
    <w:rsid w:val="003A4686"/>
    <w:rsid w:val="003A48ED"/>
    <w:rsid w:val="003A492D"/>
    <w:rsid w:val="003A4A6C"/>
    <w:rsid w:val="003A4A88"/>
    <w:rsid w:val="003A4BA3"/>
    <w:rsid w:val="003A4D24"/>
    <w:rsid w:val="003A4D39"/>
    <w:rsid w:val="003A4D43"/>
    <w:rsid w:val="003A4EA7"/>
    <w:rsid w:val="003A4EFF"/>
    <w:rsid w:val="003A4FD9"/>
    <w:rsid w:val="003A4FED"/>
    <w:rsid w:val="003A500A"/>
    <w:rsid w:val="003A505E"/>
    <w:rsid w:val="003A50DF"/>
    <w:rsid w:val="003A51DE"/>
    <w:rsid w:val="003A5319"/>
    <w:rsid w:val="003A534F"/>
    <w:rsid w:val="003A551E"/>
    <w:rsid w:val="003A551F"/>
    <w:rsid w:val="003A562A"/>
    <w:rsid w:val="003A5659"/>
    <w:rsid w:val="003A589B"/>
    <w:rsid w:val="003A5B32"/>
    <w:rsid w:val="003A5C55"/>
    <w:rsid w:val="003A5C87"/>
    <w:rsid w:val="003A5D0F"/>
    <w:rsid w:val="003A5D1B"/>
    <w:rsid w:val="003A5E31"/>
    <w:rsid w:val="003A5E3C"/>
    <w:rsid w:val="003A5E80"/>
    <w:rsid w:val="003A5EBF"/>
    <w:rsid w:val="003A5F9B"/>
    <w:rsid w:val="003A6040"/>
    <w:rsid w:val="003A6187"/>
    <w:rsid w:val="003A62C7"/>
    <w:rsid w:val="003A63AD"/>
    <w:rsid w:val="003A643A"/>
    <w:rsid w:val="003A654C"/>
    <w:rsid w:val="003A65F9"/>
    <w:rsid w:val="003A6694"/>
    <w:rsid w:val="003A67CD"/>
    <w:rsid w:val="003A6A1D"/>
    <w:rsid w:val="003A6AC7"/>
    <w:rsid w:val="003A6B31"/>
    <w:rsid w:val="003A6B36"/>
    <w:rsid w:val="003A6CDD"/>
    <w:rsid w:val="003A6E43"/>
    <w:rsid w:val="003A6EBD"/>
    <w:rsid w:val="003A6EC4"/>
    <w:rsid w:val="003A6FD2"/>
    <w:rsid w:val="003A7055"/>
    <w:rsid w:val="003A7075"/>
    <w:rsid w:val="003A72E4"/>
    <w:rsid w:val="003A7395"/>
    <w:rsid w:val="003A73CC"/>
    <w:rsid w:val="003A745D"/>
    <w:rsid w:val="003A769C"/>
    <w:rsid w:val="003A7791"/>
    <w:rsid w:val="003A77EF"/>
    <w:rsid w:val="003A77F5"/>
    <w:rsid w:val="003A7867"/>
    <w:rsid w:val="003A78A2"/>
    <w:rsid w:val="003A7959"/>
    <w:rsid w:val="003A7A7E"/>
    <w:rsid w:val="003A7ACD"/>
    <w:rsid w:val="003A7BDA"/>
    <w:rsid w:val="003A7CAC"/>
    <w:rsid w:val="003A7DB8"/>
    <w:rsid w:val="003A7DC4"/>
    <w:rsid w:val="003A7DDF"/>
    <w:rsid w:val="003A7F28"/>
    <w:rsid w:val="003A7F42"/>
    <w:rsid w:val="003A7F75"/>
    <w:rsid w:val="003B0009"/>
    <w:rsid w:val="003B02AA"/>
    <w:rsid w:val="003B02D2"/>
    <w:rsid w:val="003B05C3"/>
    <w:rsid w:val="003B05DC"/>
    <w:rsid w:val="003B067F"/>
    <w:rsid w:val="003B07FA"/>
    <w:rsid w:val="003B088D"/>
    <w:rsid w:val="003B08E6"/>
    <w:rsid w:val="003B09EE"/>
    <w:rsid w:val="003B0A8E"/>
    <w:rsid w:val="003B0BCC"/>
    <w:rsid w:val="003B0BCE"/>
    <w:rsid w:val="003B0BF9"/>
    <w:rsid w:val="003B0C0D"/>
    <w:rsid w:val="003B0CF2"/>
    <w:rsid w:val="003B0D46"/>
    <w:rsid w:val="003B0F28"/>
    <w:rsid w:val="003B119C"/>
    <w:rsid w:val="003B1283"/>
    <w:rsid w:val="003B12B3"/>
    <w:rsid w:val="003B13B8"/>
    <w:rsid w:val="003B1635"/>
    <w:rsid w:val="003B1655"/>
    <w:rsid w:val="003B1778"/>
    <w:rsid w:val="003B18D4"/>
    <w:rsid w:val="003B18E6"/>
    <w:rsid w:val="003B19B2"/>
    <w:rsid w:val="003B1AAD"/>
    <w:rsid w:val="003B1B00"/>
    <w:rsid w:val="003B1BAA"/>
    <w:rsid w:val="003B1C64"/>
    <w:rsid w:val="003B1CF4"/>
    <w:rsid w:val="003B1D64"/>
    <w:rsid w:val="003B1DFB"/>
    <w:rsid w:val="003B1E35"/>
    <w:rsid w:val="003B1E70"/>
    <w:rsid w:val="003B1E7F"/>
    <w:rsid w:val="003B1EC6"/>
    <w:rsid w:val="003B1F33"/>
    <w:rsid w:val="003B1F52"/>
    <w:rsid w:val="003B1F9E"/>
    <w:rsid w:val="003B2175"/>
    <w:rsid w:val="003B220A"/>
    <w:rsid w:val="003B226B"/>
    <w:rsid w:val="003B227E"/>
    <w:rsid w:val="003B2527"/>
    <w:rsid w:val="003B2563"/>
    <w:rsid w:val="003B258F"/>
    <w:rsid w:val="003B25A5"/>
    <w:rsid w:val="003B25BC"/>
    <w:rsid w:val="003B25DA"/>
    <w:rsid w:val="003B267C"/>
    <w:rsid w:val="003B26E1"/>
    <w:rsid w:val="003B2722"/>
    <w:rsid w:val="003B279A"/>
    <w:rsid w:val="003B27CC"/>
    <w:rsid w:val="003B28AC"/>
    <w:rsid w:val="003B2973"/>
    <w:rsid w:val="003B2AA1"/>
    <w:rsid w:val="003B2B0B"/>
    <w:rsid w:val="003B2B3E"/>
    <w:rsid w:val="003B2B6E"/>
    <w:rsid w:val="003B2D79"/>
    <w:rsid w:val="003B2DFE"/>
    <w:rsid w:val="003B3012"/>
    <w:rsid w:val="003B3145"/>
    <w:rsid w:val="003B319A"/>
    <w:rsid w:val="003B31E7"/>
    <w:rsid w:val="003B330B"/>
    <w:rsid w:val="003B3314"/>
    <w:rsid w:val="003B3485"/>
    <w:rsid w:val="003B3A26"/>
    <w:rsid w:val="003B3A50"/>
    <w:rsid w:val="003B3B43"/>
    <w:rsid w:val="003B3BE5"/>
    <w:rsid w:val="003B3BEA"/>
    <w:rsid w:val="003B3C33"/>
    <w:rsid w:val="003B3CBB"/>
    <w:rsid w:val="003B3E7B"/>
    <w:rsid w:val="003B3E9E"/>
    <w:rsid w:val="003B3ECD"/>
    <w:rsid w:val="003B402A"/>
    <w:rsid w:val="003B40C3"/>
    <w:rsid w:val="003B423C"/>
    <w:rsid w:val="003B425B"/>
    <w:rsid w:val="003B42C4"/>
    <w:rsid w:val="003B42C6"/>
    <w:rsid w:val="003B42DE"/>
    <w:rsid w:val="003B438F"/>
    <w:rsid w:val="003B43E0"/>
    <w:rsid w:val="003B449F"/>
    <w:rsid w:val="003B45BA"/>
    <w:rsid w:val="003B45D5"/>
    <w:rsid w:val="003B46E0"/>
    <w:rsid w:val="003B4910"/>
    <w:rsid w:val="003B4A70"/>
    <w:rsid w:val="003B4A7A"/>
    <w:rsid w:val="003B4A7C"/>
    <w:rsid w:val="003B4ADA"/>
    <w:rsid w:val="003B4BE3"/>
    <w:rsid w:val="003B4C15"/>
    <w:rsid w:val="003B4C1D"/>
    <w:rsid w:val="003B4C4E"/>
    <w:rsid w:val="003B4EB2"/>
    <w:rsid w:val="003B4FEB"/>
    <w:rsid w:val="003B52CA"/>
    <w:rsid w:val="003B52E0"/>
    <w:rsid w:val="003B5473"/>
    <w:rsid w:val="003B5482"/>
    <w:rsid w:val="003B54F0"/>
    <w:rsid w:val="003B56AD"/>
    <w:rsid w:val="003B572C"/>
    <w:rsid w:val="003B5778"/>
    <w:rsid w:val="003B58B9"/>
    <w:rsid w:val="003B58C3"/>
    <w:rsid w:val="003B599A"/>
    <w:rsid w:val="003B59C5"/>
    <w:rsid w:val="003B5B18"/>
    <w:rsid w:val="003B5B76"/>
    <w:rsid w:val="003B5BDC"/>
    <w:rsid w:val="003B5BEC"/>
    <w:rsid w:val="003B5CFB"/>
    <w:rsid w:val="003B5D7D"/>
    <w:rsid w:val="003B5DE3"/>
    <w:rsid w:val="003B5E00"/>
    <w:rsid w:val="003B5E43"/>
    <w:rsid w:val="003B5E54"/>
    <w:rsid w:val="003B5E9A"/>
    <w:rsid w:val="003B61B8"/>
    <w:rsid w:val="003B626A"/>
    <w:rsid w:val="003B6353"/>
    <w:rsid w:val="003B6443"/>
    <w:rsid w:val="003B647C"/>
    <w:rsid w:val="003B6669"/>
    <w:rsid w:val="003B673A"/>
    <w:rsid w:val="003B677B"/>
    <w:rsid w:val="003B6812"/>
    <w:rsid w:val="003B6979"/>
    <w:rsid w:val="003B6A22"/>
    <w:rsid w:val="003B6A25"/>
    <w:rsid w:val="003B6A61"/>
    <w:rsid w:val="003B6B34"/>
    <w:rsid w:val="003B6CAA"/>
    <w:rsid w:val="003B6DFA"/>
    <w:rsid w:val="003B6F7B"/>
    <w:rsid w:val="003B6FAE"/>
    <w:rsid w:val="003B70DE"/>
    <w:rsid w:val="003B7275"/>
    <w:rsid w:val="003B7330"/>
    <w:rsid w:val="003B73F1"/>
    <w:rsid w:val="003B7409"/>
    <w:rsid w:val="003B7597"/>
    <w:rsid w:val="003B7598"/>
    <w:rsid w:val="003B75AC"/>
    <w:rsid w:val="003B7734"/>
    <w:rsid w:val="003B7868"/>
    <w:rsid w:val="003B7C5B"/>
    <w:rsid w:val="003B7C7A"/>
    <w:rsid w:val="003B7C82"/>
    <w:rsid w:val="003B7DD7"/>
    <w:rsid w:val="003B7DF2"/>
    <w:rsid w:val="003B7F23"/>
    <w:rsid w:val="003B7FF0"/>
    <w:rsid w:val="003C0100"/>
    <w:rsid w:val="003C0169"/>
    <w:rsid w:val="003C01FF"/>
    <w:rsid w:val="003C022F"/>
    <w:rsid w:val="003C02E6"/>
    <w:rsid w:val="003C0374"/>
    <w:rsid w:val="003C03B5"/>
    <w:rsid w:val="003C045E"/>
    <w:rsid w:val="003C04FD"/>
    <w:rsid w:val="003C05A3"/>
    <w:rsid w:val="003C0AC5"/>
    <w:rsid w:val="003C0AE9"/>
    <w:rsid w:val="003C0B09"/>
    <w:rsid w:val="003C0B0B"/>
    <w:rsid w:val="003C0B1C"/>
    <w:rsid w:val="003C0B4E"/>
    <w:rsid w:val="003C0C1B"/>
    <w:rsid w:val="003C0D5E"/>
    <w:rsid w:val="003C0E0F"/>
    <w:rsid w:val="003C0F3F"/>
    <w:rsid w:val="003C0FA1"/>
    <w:rsid w:val="003C0FE3"/>
    <w:rsid w:val="003C100D"/>
    <w:rsid w:val="003C10E7"/>
    <w:rsid w:val="003C1436"/>
    <w:rsid w:val="003C1514"/>
    <w:rsid w:val="003C1623"/>
    <w:rsid w:val="003C165F"/>
    <w:rsid w:val="003C16F6"/>
    <w:rsid w:val="003C176F"/>
    <w:rsid w:val="003C17ED"/>
    <w:rsid w:val="003C17FC"/>
    <w:rsid w:val="003C1864"/>
    <w:rsid w:val="003C1927"/>
    <w:rsid w:val="003C1969"/>
    <w:rsid w:val="003C1A09"/>
    <w:rsid w:val="003C1A78"/>
    <w:rsid w:val="003C1BA6"/>
    <w:rsid w:val="003C1D62"/>
    <w:rsid w:val="003C1DF0"/>
    <w:rsid w:val="003C1E26"/>
    <w:rsid w:val="003C1EBC"/>
    <w:rsid w:val="003C1FC0"/>
    <w:rsid w:val="003C2002"/>
    <w:rsid w:val="003C2045"/>
    <w:rsid w:val="003C20ED"/>
    <w:rsid w:val="003C211F"/>
    <w:rsid w:val="003C2123"/>
    <w:rsid w:val="003C229C"/>
    <w:rsid w:val="003C2316"/>
    <w:rsid w:val="003C2463"/>
    <w:rsid w:val="003C24D6"/>
    <w:rsid w:val="003C2650"/>
    <w:rsid w:val="003C2695"/>
    <w:rsid w:val="003C284B"/>
    <w:rsid w:val="003C2A1E"/>
    <w:rsid w:val="003C2B89"/>
    <w:rsid w:val="003C2BB8"/>
    <w:rsid w:val="003C2CFA"/>
    <w:rsid w:val="003C2F0F"/>
    <w:rsid w:val="003C2FCE"/>
    <w:rsid w:val="003C2FD6"/>
    <w:rsid w:val="003C32D5"/>
    <w:rsid w:val="003C3303"/>
    <w:rsid w:val="003C34A3"/>
    <w:rsid w:val="003C350C"/>
    <w:rsid w:val="003C3548"/>
    <w:rsid w:val="003C356B"/>
    <w:rsid w:val="003C3841"/>
    <w:rsid w:val="003C3867"/>
    <w:rsid w:val="003C3876"/>
    <w:rsid w:val="003C3A0D"/>
    <w:rsid w:val="003C3AD1"/>
    <w:rsid w:val="003C3C8B"/>
    <w:rsid w:val="003C3CBB"/>
    <w:rsid w:val="003C3D8E"/>
    <w:rsid w:val="003C3E28"/>
    <w:rsid w:val="003C3EBC"/>
    <w:rsid w:val="003C3EDA"/>
    <w:rsid w:val="003C3FB0"/>
    <w:rsid w:val="003C40A2"/>
    <w:rsid w:val="003C42A2"/>
    <w:rsid w:val="003C432F"/>
    <w:rsid w:val="003C4534"/>
    <w:rsid w:val="003C454B"/>
    <w:rsid w:val="003C4655"/>
    <w:rsid w:val="003C479E"/>
    <w:rsid w:val="003C4949"/>
    <w:rsid w:val="003C497D"/>
    <w:rsid w:val="003C4B84"/>
    <w:rsid w:val="003C4CC8"/>
    <w:rsid w:val="003C4D23"/>
    <w:rsid w:val="003C4ED4"/>
    <w:rsid w:val="003C4F1F"/>
    <w:rsid w:val="003C51ED"/>
    <w:rsid w:val="003C5243"/>
    <w:rsid w:val="003C52FD"/>
    <w:rsid w:val="003C53E2"/>
    <w:rsid w:val="003C5419"/>
    <w:rsid w:val="003C54AA"/>
    <w:rsid w:val="003C54D5"/>
    <w:rsid w:val="003C5537"/>
    <w:rsid w:val="003C569B"/>
    <w:rsid w:val="003C56DC"/>
    <w:rsid w:val="003C5709"/>
    <w:rsid w:val="003C5716"/>
    <w:rsid w:val="003C5725"/>
    <w:rsid w:val="003C5767"/>
    <w:rsid w:val="003C583F"/>
    <w:rsid w:val="003C589E"/>
    <w:rsid w:val="003C58E4"/>
    <w:rsid w:val="003C59B1"/>
    <w:rsid w:val="003C59EC"/>
    <w:rsid w:val="003C5A30"/>
    <w:rsid w:val="003C5CD6"/>
    <w:rsid w:val="003C5CF8"/>
    <w:rsid w:val="003C5D2E"/>
    <w:rsid w:val="003C5DE6"/>
    <w:rsid w:val="003C5E7F"/>
    <w:rsid w:val="003C5EDC"/>
    <w:rsid w:val="003C629D"/>
    <w:rsid w:val="003C63F6"/>
    <w:rsid w:val="003C6485"/>
    <w:rsid w:val="003C64E8"/>
    <w:rsid w:val="003C64EA"/>
    <w:rsid w:val="003C64FF"/>
    <w:rsid w:val="003C65DB"/>
    <w:rsid w:val="003C67D4"/>
    <w:rsid w:val="003C6876"/>
    <w:rsid w:val="003C68BC"/>
    <w:rsid w:val="003C68C5"/>
    <w:rsid w:val="003C69A8"/>
    <w:rsid w:val="003C6AD9"/>
    <w:rsid w:val="003C6B45"/>
    <w:rsid w:val="003C6D2C"/>
    <w:rsid w:val="003C6DAB"/>
    <w:rsid w:val="003C6DC3"/>
    <w:rsid w:val="003C6E28"/>
    <w:rsid w:val="003C717D"/>
    <w:rsid w:val="003C72D7"/>
    <w:rsid w:val="003C734C"/>
    <w:rsid w:val="003C73C1"/>
    <w:rsid w:val="003C743D"/>
    <w:rsid w:val="003C755D"/>
    <w:rsid w:val="003C75DE"/>
    <w:rsid w:val="003C763F"/>
    <w:rsid w:val="003C7884"/>
    <w:rsid w:val="003C78DB"/>
    <w:rsid w:val="003C79EE"/>
    <w:rsid w:val="003C7A17"/>
    <w:rsid w:val="003C7A36"/>
    <w:rsid w:val="003C7B64"/>
    <w:rsid w:val="003C7BC3"/>
    <w:rsid w:val="003C7BED"/>
    <w:rsid w:val="003C7D6B"/>
    <w:rsid w:val="003C7DB5"/>
    <w:rsid w:val="003C7DCD"/>
    <w:rsid w:val="003C7DF8"/>
    <w:rsid w:val="003C7F7E"/>
    <w:rsid w:val="003C7FB8"/>
    <w:rsid w:val="003C7FF4"/>
    <w:rsid w:val="003D0293"/>
    <w:rsid w:val="003D05B8"/>
    <w:rsid w:val="003D0620"/>
    <w:rsid w:val="003D0980"/>
    <w:rsid w:val="003D0C2B"/>
    <w:rsid w:val="003D0C2C"/>
    <w:rsid w:val="003D0C75"/>
    <w:rsid w:val="003D0D2A"/>
    <w:rsid w:val="003D101A"/>
    <w:rsid w:val="003D1107"/>
    <w:rsid w:val="003D113D"/>
    <w:rsid w:val="003D11A7"/>
    <w:rsid w:val="003D1209"/>
    <w:rsid w:val="003D1237"/>
    <w:rsid w:val="003D1357"/>
    <w:rsid w:val="003D157E"/>
    <w:rsid w:val="003D16A6"/>
    <w:rsid w:val="003D16D4"/>
    <w:rsid w:val="003D1737"/>
    <w:rsid w:val="003D18F0"/>
    <w:rsid w:val="003D19D1"/>
    <w:rsid w:val="003D1AA9"/>
    <w:rsid w:val="003D1B1D"/>
    <w:rsid w:val="003D1C1F"/>
    <w:rsid w:val="003D1C54"/>
    <w:rsid w:val="003D1C7E"/>
    <w:rsid w:val="003D1C80"/>
    <w:rsid w:val="003D1D6C"/>
    <w:rsid w:val="003D1ED1"/>
    <w:rsid w:val="003D1F25"/>
    <w:rsid w:val="003D1F32"/>
    <w:rsid w:val="003D2024"/>
    <w:rsid w:val="003D2157"/>
    <w:rsid w:val="003D23A3"/>
    <w:rsid w:val="003D240E"/>
    <w:rsid w:val="003D24B2"/>
    <w:rsid w:val="003D2715"/>
    <w:rsid w:val="003D2949"/>
    <w:rsid w:val="003D2AA8"/>
    <w:rsid w:val="003D2AF8"/>
    <w:rsid w:val="003D2AFA"/>
    <w:rsid w:val="003D2B0C"/>
    <w:rsid w:val="003D2B0D"/>
    <w:rsid w:val="003D2D8D"/>
    <w:rsid w:val="003D2DE0"/>
    <w:rsid w:val="003D2DF2"/>
    <w:rsid w:val="003D2E0D"/>
    <w:rsid w:val="003D2EBC"/>
    <w:rsid w:val="003D2FCE"/>
    <w:rsid w:val="003D3131"/>
    <w:rsid w:val="003D3148"/>
    <w:rsid w:val="003D31A2"/>
    <w:rsid w:val="003D31AB"/>
    <w:rsid w:val="003D32C1"/>
    <w:rsid w:val="003D3330"/>
    <w:rsid w:val="003D3334"/>
    <w:rsid w:val="003D335A"/>
    <w:rsid w:val="003D3361"/>
    <w:rsid w:val="003D3402"/>
    <w:rsid w:val="003D344B"/>
    <w:rsid w:val="003D3504"/>
    <w:rsid w:val="003D3564"/>
    <w:rsid w:val="003D356D"/>
    <w:rsid w:val="003D36FF"/>
    <w:rsid w:val="003D374C"/>
    <w:rsid w:val="003D3788"/>
    <w:rsid w:val="003D37A5"/>
    <w:rsid w:val="003D3803"/>
    <w:rsid w:val="003D38B5"/>
    <w:rsid w:val="003D3979"/>
    <w:rsid w:val="003D3ABD"/>
    <w:rsid w:val="003D3BB6"/>
    <w:rsid w:val="003D3BE1"/>
    <w:rsid w:val="003D3C4B"/>
    <w:rsid w:val="003D3C67"/>
    <w:rsid w:val="003D3D0D"/>
    <w:rsid w:val="003D3D94"/>
    <w:rsid w:val="003D3DC1"/>
    <w:rsid w:val="003D3DEF"/>
    <w:rsid w:val="003D3EDD"/>
    <w:rsid w:val="003D3F3B"/>
    <w:rsid w:val="003D401E"/>
    <w:rsid w:val="003D405A"/>
    <w:rsid w:val="003D4119"/>
    <w:rsid w:val="003D4177"/>
    <w:rsid w:val="003D434D"/>
    <w:rsid w:val="003D4352"/>
    <w:rsid w:val="003D43D6"/>
    <w:rsid w:val="003D43E1"/>
    <w:rsid w:val="003D44FA"/>
    <w:rsid w:val="003D462C"/>
    <w:rsid w:val="003D4816"/>
    <w:rsid w:val="003D4830"/>
    <w:rsid w:val="003D49DF"/>
    <w:rsid w:val="003D4A23"/>
    <w:rsid w:val="003D4A70"/>
    <w:rsid w:val="003D4B4F"/>
    <w:rsid w:val="003D4B6B"/>
    <w:rsid w:val="003D4B7C"/>
    <w:rsid w:val="003D51A6"/>
    <w:rsid w:val="003D52F5"/>
    <w:rsid w:val="003D5365"/>
    <w:rsid w:val="003D547C"/>
    <w:rsid w:val="003D549E"/>
    <w:rsid w:val="003D551D"/>
    <w:rsid w:val="003D5579"/>
    <w:rsid w:val="003D567E"/>
    <w:rsid w:val="003D56A0"/>
    <w:rsid w:val="003D57C6"/>
    <w:rsid w:val="003D5856"/>
    <w:rsid w:val="003D58C6"/>
    <w:rsid w:val="003D59B7"/>
    <w:rsid w:val="003D5D90"/>
    <w:rsid w:val="003D5DA7"/>
    <w:rsid w:val="003D5DCA"/>
    <w:rsid w:val="003D5F66"/>
    <w:rsid w:val="003D5FC3"/>
    <w:rsid w:val="003D60BF"/>
    <w:rsid w:val="003D6191"/>
    <w:rsid w:val="003D6372"/>
    <w:rsid w:val="003D6373"/>
    <w:rsid w:val="003D63F3"/>
    <w:rsid w:val="003D65A1"/>
    <w:rsid w:val="003D6632"/>
    <w:rsid w:val="003D67B1"/>
    <w:rsid w:val="003D6801"/>
    <w:rsid w:val="003D6842"/>
    <w:rsid w:val="003D6863"/>
    <w:rsid w:val="003D68AD"/>
    <w:rsid w:val="003D68C8"/>
    <w:rsid w:val="003D68D8"/>
    <w:rsid w:val="003D6943"/>
    <w:rsid w:val="003D69DA"/>
    <w:rsid w:val="003D6C24"/>
    <w:rsid w:val="003D6CC7"/>
    <w:rsid w:val="003D6CE1"/>
    <w:rsid w:val="003D6D14"/>
    <w:rsid w:val="003D6DEB"/>
    <w:rsid w:val="003D6F4A"/>
    <w:rsid w:val="003D6FAD"/>
    <w:rsid w:val="003D7026"/>
    <w:rsid w:val="003D712B"/>
    <w:rsid w:val="003D71A1"/>
    <w:rsid w:val="003D7522"/>
    <w:rsid w:val="003D7790"/>
    <w:rsid w:val="003D77EC"/>
    <w:rsid w:val="003D7872"/>
    <w:rsid w:val="003D7903"/>
    <w:rsid w:val="003D79B2"/>
    <w:rsid w:val="003D7B87"/>
    <w:rsid w:val="003D7BCB"/>
    <w:rsid w:val="003D7C3B"/>
    <w:rsid w:val="003D7CA1"/>
    <w:rsid w:val="003D7CC8"/>
    <w:rsid w:val="003D7D4A"/>
    <w:rsid w:val="003D7DDB"/>
    <w:rsid w:val="003D7E4E"/>
    <w:rsid w:val="003D7E9C"/>
    <w:rsid w:val="003D7EEC"/>
    <w:rsid w:val="003D7FF1"/>
    <w:rsid w:val="003E000E"/>
    <w:rsid w:val="003E0109"/>
    <w:rsid w:val="003E02D6"/>
    <w:rsid w:val="003E03BD"/>
    <w:rsid w:val="003E05FF"/>
    <w:rsid w:val="003E069E"/>
    <w:rsid w:val="003E06A3"/>
    <w:rsid w:val="003E080E"/>
    <w:rsid w:val="003E083B"/>
    <w:rsid w:val="003E086F"/>
    <w:rsid w:val="003E08ED"/>
    <w:rsid w:val="003E0914"/>
    <w:rsid w:val="003E0AAF"/>
    <w:rsid w:val="003E0AC9"/>
    <w:rsid w:val="003E0B1C"/>
    <w:rsid w:val="003E0C3F"/>
    <w:rsid w:val="003E0C72"/>
    <w:rsid w:val="003E0D40"/>
    <w:rsid w:val="003E0DBD"/>
    <w:rsid w:val="003E0F5E"/>
    <w:rsid w:val="003E1110"/>
    <w:rsid w:val="003E118D"/>
    <w:rsid w:val="003E1226"/>
    <w:rsid w:val="003E126A"/>
    <w:rsid w:val="003E1297"/>
    <w:rsid w:val="003E131E"/>
    <w:rsid w:val="003E1716"/>
    <w:rsid w:val="003E1737"/>
    <w:rsid w:val="003E17A5"/>
    <w:rsid w:val="003E17F0"/>
    <w:rsid w:val="003E190F"/>
    <w:rsid w:val="003E1AE6"/>
    <w:rsid w:val="003E1AEA"/>
    <w:rsid w:val="003E1C97"/>
    <w:rsid w:val="003E1CF6"/>
    <w:rsid w:val="003E1D19"/>
    <w:rsid w:val="003E1F6F"/>
    <w:rsid w:val="003E1F95"/>
    <w:rsid w:val="003E2085"/>
    <w:rsid w:val="003E212F"/>
    <w:rsid w:val="003E23B7"/>
    <w:rsid w:val="003E24FE"/>
    <w:rsid w:val="003E2554"/>
    <w:rsid w:val="003E26A8"/>
    <w:rsid w:val="003E284A"/>
    <w:rsid w:val="003E28A6"/>
    <w:rsid w:val="003E294A"/>
    <w:rsid w:val="003E2998"/>
    <w:rsid w:val="003E2A17"/>
    <w:rsid w:val="003E2AC1"/>
    <w:rsid w:val="003E2B2F"/>
    <w:rsid w:val="003E2B5C"/>
    <w:rsid w:val="003E2B9D"/>
    <w:rsid w:val="003E2BF5"/>
    <w:rsid w:val="003E2C16"/>
    <w:rsid w:val="003E2C24"/>
    <w:rsid w:val="003E2C39"/>
    <w:rsid w:val="003E2D14"/>
    <w:rsid w:val="003E2E65"/>
    <w:rsid w:val="003E2EBC"/>
    <w:rsid w:val="003E3083"/>
    <w:rsid w:val="003E3111"/>
    <w:rsid w:val="003E314C"/>
    <w:rsid w:val="003E319A"/>
    <w:rsid w:val="003E31B2"/>
    <w:rsid w:val="003E324D"/>
    <w:rsid w:val="003E32C0"/>
    <w:rsid w:val="003E330C"/>
    <w:rsid w:val="003E3321"/>
    <w:rsid w:val="003E332F"/>
    <w:rsid w:val="003E35B3"/>
    <w:rsid w:val="003E378A"/>
    <w:rsid w:val="003E37AD"/>
    <w:rsid w:val="003E37F6"/>
    <w:rsid w:val="003E3831"/>
    <w:rsid w:val="003E39F7"/>
    <w:rsid w:val="003E3A0C"/>
    <w:rsid w:val="003E3BD8"/>
    <w:rsid w:val="003E3CDC"/>
    <w:rsid w:val="003E3DD4"/>
    <w:rsid w:val="003E3E01"/>
    <w:rsid w:val="003E3EC4"/>
    <w:rsid w:val="003E3F06"/>
    <w:rsid w:val="003E3FA2"/>
    <w:rsid w:val="003E4010"/>
    <w:rsid w:val="003E40C5"/>
    <w:rsid w:val="003E414A"/>
    <w:rsid w:val="003E42C3"/>
    <w:rsid w:val="003E4356"/>
    <w:rsid w:val="003E44B1"/>
    <w:rsid w:val="003E45E0"/>
    <w:rsid w:val="003E465E"/>
    <w:rsid w:val="003E47FD"/>
    <w:rsid w:val="003E481D"/>
    <w:rsid w:val="003E48A9"/>
    <w:rsid w:val="003E48C8"/>
    <w:rsid w:val="003E497D"/>
    <w:rsid w:val="003E49F8"/>
    <w:rsid w:val="003E4C32"/>
    <w:rsid w:val="003E4D1B"/>
    <w:rsid w:val="003E4D42"/>
    <w:rsid w:val="003E4DA9"/>
    <w:rsid w:val="003E4DB8"/>
    <w:rsid w:val="003E4E91"/>
    <w:rsid w:val="003E512A"/>
    <w:rsid w:val="003E5212"/>
    <w:rsid w:val="003E5222"/>
    <w:rsid w:val="003E5338"/>
    <w:rsid w:val="003E533E"/>
    <w:rsid w:val="003E535D"/>
    <w:rsid w:val="003E5411"/>
    <w:rsid w:val="003E541C"/>
    <w:rsid w:val="003E55C4"/>
    <w:rsid w:val="003E560D"/>
    <w:rsid w:val="003E5662"/>
    <w:rsid w:val="003E56BE"/>
    <w:rsid w:val="003E56E7"/>
    <w:rsid w:val="003E57C1"/>
    <w:rsid w:val="003E5946"/>
    <w:rsid w:val="003E59B2"/>
    <w:rsid w:val="003E5A77"/>
    <w:rsid w:val="003E5A88"/>
    <w:rsid w:val="003E5BE9"/>
    <w:rsid w:val="003E5FE0"/>
    <w:rsid w:val="003E6143"/>
    <w:rsid w:val="003E61E3"/>
    <w:rsid w:val="003E61F5"/>
    <w:rsid w:val="003E62A2"/>
    <w:rsid w:val="003E6448"/>
    <w:rsid w:val="003E6541"/>
    <w:rsid w:val="003E6982"/>
    <w:rsid w:val="003E6A2C"/>
    <w:rsid w:val="003E6A5B"/>
    <w:rsid w:val="003E6CD0"/>
    <w:rsid w:val="003E6CF9"/>
    <w:rsid w:val="003E6E89"/>
    <w:rsid w:val="003E70D3"/>
    <w:rsid w:val="003E7230"/>
    <w:rsid w:val="003E7402"/>
    <w:rsid w:val="003E7417"/>
    <w:rsid w:val="003E75F0"/>
    <w:rsid w:val="003E7600"/>
    <w:rsid w:val="003E770A"/>
    <w:rsid w:val="003E781F"/>
    <w:rsid w:val="003E7882"/>
    <w:rsid w:val="003E7ABC"/>
    <w:rsid w:val="003E7AE4"/>
    <w:rsid w:val="003E7C0F"/>
    <w:rsid w:val="003E7E57"/>
    <w:rsid w:val="003E7EA1"/>
    <w:rsid w:val="003E7EE4"/>
    <w:rsid w:val="003F000A"/>
    <w:rsid w:val="003F0045"/>
    <w:rsid w:val="003F0066"/>
    <w:rsid w:val="003F011B"/>
    <w:rsid w:val="003F038F"/>
    <w:rsid w:val="003F03BA"/>
    <w:rsid w:val="003F0487"/>
    <w:rsid w:val="003F0563"/>
    <w:rsid w:val="003F056A"/>
    <w:rsid w:val="003F05B0"/>
    <w:rsid w:val="003F0711"/>
    <w:rsid w:val="003F0DD3"/>
    <w:rsid w:val="003F0E89"/>
    <w:rsid w:val="003F0EEA"/>
    <w:rsid w:val="003F0F0A"/>
    <w:rsid w:val="003F10A9"/>
    <w:rsid w:val="003F1170"/>
    <w:rsid w:val="003F1376"/>
    <w:rsid w:val="003F13ED"/>
    <w:rsid w:val="003F13EF"/>
    <w:rsid w:val="003F1400"/>
    <w:rsid w:val="003F1590"/>
    <w:rsid w:val="003F167F"/>
    <w:rsid w:val="003F16B8"/>
    <w:rsid w:val="003F1749"/>
    <w:rsid w:val="003F1752"/>
    <w:rsid w:val="003F1938"/>
    <w:rsid w:val="003F1978"/>
    <w:rsid w:val="003F19F0"/>
    <w:rsid w:val="003F1A3F"/>
    <w:rsid w:val="003F1B40"/>
    <w:rsid w:val="003F1D7D"/>
    <w:rsid w:val="003F1DA4"/>
    <w:rsid w:val="003F1DCA"/>
    <w:rsid w:val="003F1E54"/>
    <w:rsid w:val="003F1EEE"/>
    <w:rsid w:val="003F20BC"/>
    <w:rsid w:val="003F20C7"/>
    <w:rsid w:val="003F20CF"/>
    <w:rsid w:val="003F20EE"/>
    <w:rsid w:val="003F215A"/>
    <w:rsid w:val="003F2267"/>
    <w:rsid w:val="003F23B0"/>
    <w:rsid w:val="003F23B9"/>
    <w:rsid w:val="003F23C0"/>
    <w:rsid w:val="003F23EC"/>
    <w:rsid w:val="003F2530"/>
    <w:rsid w:val="003F2587"/>
    <w:rsid w:val="003F26B3"/>
    <w:rsid w:val="003F2735"/>
    <w:rsid w:val="003F2882"/>
    <w:rsid w:val="003F29F6"/>
    <w:rsid w:val="003F2A46"/>
    <w:rsid w:val="003F2BF6"/>
    <w:rsid w:val="003F2E89"/>
    <w:rsid w:val="003F2EA0"/>
    <w:rsid w:val="003F3008"/>
    <w:rsid w:val="003F332E"/>
    <w:rsid w:val="003F333C"/>
    <w:rsid w:val="003F33D6"/>
    <w:rsid w:val="003F33E7"/>
    <w:rsid w:val="003F3621"/>
    <w:rsid w:val="003F3647"/>
    <w:rsid w:val="003F36AF"/>
    <w:rsid w:val="003F381B"/>
    <w:rsid w:val="003F3A1B"/>
    <w:rsid w:val="003F3AFA"/>
    <w:rsid w:val="003F3C21"/>
    <w:rsid w:val="003F3C35"/>
    <w:rsid w:val="003F3CB6"/>
    <w:rsid w:val="003F3E1C"/>
    <w:rsid w:val="003F3F22"/>
    <w:rsid w:val="003F407B"/>
    <w:rsid w:val="003F414B"/>
    <w:rsid w:val="003F42EF"/>
    <w:rsid w:val="003F4385"/>
    <w:rsid w:val="003F459F"/>
    <w:rsid w:val="003F4619"/>
    <w:rsid w:val="003F46D9"/>
    <w:rsid w:val="003F4798"/>
    <w:rsid w:val="003F4805"/>
    <w:rsid w:val="003F484D"/>
    <w:rsid w:val="003F488C"/>
    <w:rsid w:val="003F4A33"/>
    <w:rsid w:val="003F4B9A"/>
    <w:rsid w:val="003F4BA7"/>
    <w:rsid w:val="003F4D99"/>
    <w:rsid w:val="003F4DDA"/>
    <w:rsid w:val="003F4E5B"/>
    <w:rsid w:val="003F4FA7"/>
    <w:rsid w:val="003F5198"/>
    <w:rsid w:val="003F51EC"/>
    <w:rsid w:val="003F530A"/>
    <w:rsid w:val="003F535B"/>
    <w:rsid w:val="003F54FD"/>
    <w:rsid w:val="003F563C"/>
    <w:rsid w:val="003F5671"/>
    <w:rsid w:val="003F56BE"/>
    <w:rsid w:val="003F56EA"/>
    <w:rsid w:val="003F5724"/>
    <w:rsid w:val="003F5767"/>
    <w:rsid w:val="003F5807"/>
    <w:rsid w:val="003F5828"/>
    <w:rsid w:val="003F58BD"/>
    <w:rsid w:val="003F58CE"/>
    <w:rsid w:val="003F595C"/>
    <w:rsid w:val="003F5AFC"/>
    <w:rsid w:val="003F5C3D"/>
    <w:rsid w:val="003F5C95"/>
    <w:rsid w:val="003F5E1F"/>
    <w:rsid w:val="003F5EDB"/>
    <w:rsid w:val="003F5F47"/>
    <w:rsid w:val="003F61B2"/>
    <w:rsid w:val="003F61D6"/>
    <w:rsid w:val="003F628B"/>
    <w:rsid w:val="003F62A0"/>
    <w:rsid w:val="003F62D8"/>
    <w:rsid w:val="003F64AD"/>
    <w:rsid w:val="003F66B5"/>
    <w:rsid w:val="003F6901"/>
    <w:rsid w:val="003F6911"/>
    <w:rsid w:val="003F6AAA"/>
    <w:rsid w:val="003F6AC7"/>
    <w:rsid w:val="003F6C36"/>
    <w:rsid w:val="003F6CC0"/>
    <w:rsid w:val="003F6CE9"/>
    <w:rsid w:val="003F6D36"/>
    <w:rsid w:val="003F7003"/>
    <w:rsid w:val="003F7147"/>
    <w:rsid w:val="003F71DB"/>
    <w:rsid w:val="003F722F"/>
    <w:rsid w:val="003F7265"/>
    <w:rsid w:val="003F73B5"/>
    <w:rsid w:val="003F73DB"/>
    <w:rsid w:val="003F73E3"/>
    <w:rsid w:val="003F741A"/>
    <w:rsid w:val="003F751F"/>
    <w:rsid w:val="003F75CA"/>
    <w:rsid w:val="003F765C"/>
    <w:rsid w:val="003F7672"/>
    <w:rsid w:val="003F76C4"/>
    <w:rsid w:val="003F77F2"/>
    <w:rsid w:val="003F7883"/>
    <w:rsid w:val="003F78B2"/>
    <w:rsid w:val="003F7910"/>
    <w:rsid w:val="003F7929"/>
    <w:rsid w:val="003F7CF6"/>
    <w:rsid w:val="003F7F14"/>
    <w:rsid w:val="00400030"/>
    <w:rsid w:val="004000E7"/>
    <w:rsid w:val="00400114"/>
    <w:rsid w:val="0040020F"/>
    <w:rsid w:val="004002F0"/>
    <w:rsid w:val="0040033C"/>
    <w:rsid w:val="00400350"/>
    <w:rsid w:val="0040044E"/>
    <w:rsid w:val="004007EA"/>
    <w:rsid w:val="00400909"/>
    <w:rsid w:val="0040092E"/>
    <w:rsid w:val="0040094B"/>
    <w:rsid w:val="004009FC"/>
    <w:rsid w:val="00400A00"/>
    <w:rsid w:val="00400B07"/>
    <w:rsid w:val="00400B6A"/>
    <w:rsid w:val="00400BCE"/>
    <w:rsid w:val="00400CF0"/>
    <w:rsid w:val="00400E72"/>
    <w:rsid w:val="00400F7E"/>
    <w:rsid w:val="00400F88"/>
    <w:rsid w:val="00400FB4"/>
    <w:rsid w:val="00400FB7"/>
    <w:rsid w:val="0040115E"/>
    <w:rsid w:val="0040118D"/>
    <w:rsid w:val="004011AD"/>
    <w:rsid w:val="00401360"/>
    <w:rsid w:val="004014F4"/>
    <w:rsid w:val="004014FA"/>
    <w:rsid w:val="004015FA"/>
    <w:rsid w:val="00401608"/>
    <w:rsid w:val="00401612"/>
    <w:rsid w:val="0040174F"/>
    <w:rsid w:val="004018D7"/>
    <w:rsid w:val="004018FC"/>
    <w:rsid w:val="00401B24"/>
    <w:rsid w:val="00401BE7"/>
    <w:rsid w:val="00401D3E"/>
    <w:rsid w:val="00401EB9"/>
    <w:rsid w:val="004020A9"/>
    <w:rsid w:val="004020CA"/>
    <w:rsid w:val="00402193"/>
    <w:rsid w:val="00402222"/>
    <w:rsid w:val="004023D6"/>
    <w:rsid w:val="004026CB"/>
    <w:rsid w:val="00402732"/>
    <w:rsid w:val="00402755"/>
    <w:rsid w:val="004029E1"/>
    <w:rsid w:val="00402A2B"/>
    <w:rsid w:val="00402E52"/>
    <w:rsid w:val="00402E92"/>
    <w:rsid w:val="00402E9C"/>
    <w:rsid w:val="00403149"/>
    <w:rsid w:val="00403290"/>
    <w:rsid w:val="004032F8"/>
    <w:rsid w:val="00403365"/>
    <w:rsid w:val="0040356A"/>
    <w:rsid w:val="00403698"/>
    <w:rsid w:val="004036BE"/>
    <w:rsid w:val="004036C6"/>
    <w:rsid w:val="0040388A"/>
    <w:rsid w:val="004038AB"/>
    <w:rsid w:val="00403988"/>
    <w:rsid w:val="004039F0"/>
    <w:rsid w:val="00403A70"/>
    <w:rsid w:val="00403B0B"/>
    <w:rsid w:val="00403B66"/>
    <w:rsid w:val="0040403B"/>
    <w:rsid w:val="00404414"/>
    <w:rsid w:val="00404444"/>
    <w:rsid w:val="004044B2"/>
    <w:rsid w:val="004045E5"/>
    <w:rsid w:val="00404661"/>
    <w:rsid w:val="00404735"/>
    <w:rsid w:val="00404736"/>
    <w:rsid w:val="004048EB"/>
    <w:rsid w:val="0040491E"/>
    <w:rsid w:val="0040497E"/>
    <w:rsid w:val="004049EC"/>
    <w:rsid w:val="00404BEB"/>
    <w:rsid w:val="00404C40"/>
    <w:rsid w:val="00404C88"/>
    <w:rsid w:val="00404C8C"/>
    <w:rsid w:val="00404CAC"/>
    <w:rsid w:val="00404CF1"/>
    <w:rsid w:val="00404D2E"/>
    <w:rsid w:val="00404DFB"/>
    <w:rsid w:val="00404E01"/>
    <w:rsid w:val="00404E4F"/>
    <w:rsid w:val="00404F6C"/>
    <w:rsid w:val="004051AE"/>
    <w:rsid w:val="00405202"/>
    <w:rsid w:val="0040524B"/>
    <w:rsid w:val="0040526B"/>
    <w:rsid w:val="0040526D"/>
    <w:rsid w:val="004054D1"/>
    <w:rsid w:val="004055B2"/>
    <w:rsid w:val="004055D0"/>
    <w:rsid w:val="004056FE"/>
    <w:rsid w:val="00405807"/>
    <w:rsid w:val="00405821"/>
    <w:rsid w:val="00405829"/>
    <w:rsid w:val="00405895"/>
    <w:rsid w:val="004058EF"/>
    <w:rsid w:val="0040595D"/>
    <w:rsid w:val="00405986"/>
    <w:rsid w:val="00405A3C"/>
    <w:rsid w:val="00405A87"/>
    <w:rsid w:val="00405AF1"/>
    <w:rsid w:val="00405B33"/>
    <w:rsid w:val="00405B69"/>
    <w:rsid w:val="00405C05"/>
    <w:rsid w:val="00405CAB"/>
    <w:rsid w:val="00405D56"/>
    <w:rsid w:val="00405D6E"/>
    <w:rsid w:val="00405DA4"/>
    <w:rsid w:val="00405E1B"/>
    <w:rsid w:val="00405E97"/>
    <w:rsid w:val="00405EBC"/>
    <w:rsid w:val="00405F25"/>
    <w:rsid w:val="0040605B"/>
    <w:rsid w:val="00406072"/>
    <w:rsid w:val="004060B0"/>
    <w:rsid w:val="00406148"/>
    <w:rsid w:val="0040623E"/>
    <w:rsid w:val="00406251"/>
    <w:rsid w:val="00406302"/>
    <w:rsid w:val="004064F0"/>
    <w:rsid w:val="0040672F"/>
    <w:rsid w:val="0040690D"/>
    <w:rsid w:val="00406941"/>
    <w:rsid w:val="00406A73"/>
    <w:rsid w:val="00406C76"/>
    <w:rsid w:val="00406CC7"/>
    <w:rsid w:val="00406D55"/>
    <w:rsid w:val="00406E6B"/>
    <w:rsid w:val="00406EF6"/>
    <w:rsid w:val="00406FD6"/>
    <w:rsid w:val="004071E6"/>
    <w:rsid w:val="004072F7"/>
    <w:rsid w:val="004074B4"/>
    <w:rsid w:val="004074EF"/>
    <w:rsid w:val="00407526"/>
    <w:rsid w:val="0040794C"/>
    <w:rsid w:val="00407A1B"/>
    <w:rsid w:val="00407A84"/>
    <w:rsid w:val="00407BFE"/>
    <w:rsid w:val="00407D8C"/>
    <w:rsid w:val="00407E26"/>
    <w:rsid w:val="00407F54"/>
    <w:rsid w:val="0041006F"/>
    <w:rsid w:val="004100EA"/>
    <w:rsid w:val="004100F4"/>
    <w:rsid w:val="0041010D"/>
    <w:rsid w:val="00410149"/>
    <w:rsid w:val="00410158"/>
    <w:rsid w:val="0041016C"/>
    <w:rsid w:val="004102CE"/>
    <w:rsid w:val="00410364"/>
    <w:rsid w:val="004106B0"/>
    <w:rsid w:val="0041084A"/>
    <w:rsid w:val="00410A69"/>
    <w:rsid w:val="00410A87"/>
    <w:rsid w:val="00410B30"/>
    <w:rsid w:val="00410B8B"/>
    <w:rsid w:val="00410CCC"/>
    <w:rsid w:val="00410D14"/>
    <w:rsid w:val="00410D7F"/>
    <w:rsid w:val="00410D96"/>
    <w:rsid w:val="00410E0C"/>
    <w:rsid w:val="00410F98"/>
    <w:rsid w:val="0041105C"/>
    <w:rsid w:val="004110DF"/>
    <w:rsid w:val="004111E9"/>
    <w:rsid w:val="0041122F"/>
    <w:rsid w:val="004112F3"/>
    <w:rsid w:val="004113AE"/>
    <w:rsid w:val="00411444"/>
    <w:rsid w:val="004115B8"/>
    <w:rsid w:val="0041163E"/>
    <w:rsid w:val="004116AB"/>
    <w:rsid w:val="004116CB"/>
    <w:rsid w:val="00411797"/>
    <w:rsid w:val="0041183B"/>
    <w:rsid w:val="00411874"/>
    <w:rsid w:val="004118F2"/>
    <w:rsid w:val="004119BE"/>
    <w:rsid w:val="00411A4E"/>
    <w:rsid w:val="00411B85"/>
    <w:rsid w:val="00411C17"/>
    <w:rsid w:val="00411CFF"/>
    <w:rsid w:val="00411D4A"/>
    <w:rsid w:val="00411DE0"/>
    <w:rsid w:val="00411DFD"/>
    <w:rsid w:val="00411F1F"/>
    <w:rsid w:val="00411FBA"/>
    <w:rsid w:val="004120FB"/>
    <w:rsid w:val="00412172"/>
    <w:rsid w:val="004121F9"/>
    <w:rsid w:val="00412350"/>
    <w:rsid w:val="00412404"/>
    <w:rsid w:val="0041240F"/>
    <w:rsid w:val="00412448"/>
    <w:rsid w:val="00412576"/>
    <w:rsid w:val="0041266A"/>
    <w:rsid w:val="00412704"/>
    <w:rsid w:val="00412739"/>
    <w:rsid w:val="0041279E"/>
    <w:rsid w:val="004128DA"/>
    <w:rsid w:val="00412923"/>
    <w:rsid w:val="00412A68"/>
    <w:rsid w:val="00412BEC"/>
    <w:rsid w:val="00412C2C"/>
    <w:rsid w:val="00412C53"/>
    <w:rsid w:val="00412CDC"/>
    <w:rsid w:val="00412DD7"/>
    <w:rsid w:val="00412E1C"/>
    <w:rsid w:val="00412E75"/>
    <w:rsid w:val="00412ED3"/>
    <w:rsid w:val="00412EE9"/>
    <w:rsid w:val="00413245"/>
    <w:rsid w:val="0041329D"/>
    <w:rsid w:val="00413442"/>
    <w:rsid w:val="00413510"/>
    <w:rsid w:val="0041352F"/>
    <w:rsid w:val="0041354D"/>
    <w:rsid w:val="00413566"/>
    <w:rsid w:val="004135FA"/>
    <w:rsid w:val="004136C0"/>
    <w:rsid w:val="00413752"/>
    <w:rsid w:val="004137E4"/>
    <w:rsid w:val="00413839"/>
    <w:rsid w:val="00413924"/>
    <w:rsid w:val="00413AC5"/>
    <w:rsid w:val="00413F41"/>
    <w:rsid w:val="00413F6F"/>
    <w:rsid w:val="004142E2"/>
    <w:rsid w:val="004142FD"/>
    <w:rsid w:val="004143CB"/>
    <w:rsid w:val="00414600"/>
    <w:rsid w:val="00414660"/>
    <w:rsid w:val="004146BC"/>
    <w:rsid w:val="004146E9"/>
    <w:rsid w:val="00414867"/>
    <w:rsid w:val="0041488A"/>
    <w:rsid w:val="00414ABE"/>
    <w:rsid w:val="00414B5B"/>
    <w:rsid w:val="00414BA2"/>
    <w:rsid w:val="00414FE4"/>
    <w:rsid w:val="0041519A"/>
    <w:rsid w:val="00415216"/>
    <w:rsid w:val="0041526D"/>
    <w:rsid w:val="004152F7"/>
    <w:rsid w:val="00415304"/>
    <w:rsid w:val="004153EA"/>
    <w:rsid w:val="004156A7"/>
    <w:rsid w:val="004157BE"/>
    <w:rsid w:val="00415803"/>
    <w:rsid w:val="0041580D"/>
    <w:rsid w:val="00415870"/>
    <w:rsid w:val="004158F6"/>
    <w:rsid w:val="00415925"/>
    <w:rsid w:val="0041596C"/>
    <w:rsid w:val="00415A61"/>
    <w:rsid w:val="00415AF3"/>
    <w:rsid w:val="00415C14"/>
    <w:rsid w:val="00415C3C"/>
    <w:rsid w:val="00415C6E"/>
    <w:rsid w:val="00415C88"/>
    <w:rsid w:val="00415E17"/>
    <w:rsid w:val="00415E74"/>
    <w:rsid w:val="00415F23"/>
    <w:rsid w:val="00416040"/>
    <w:rsid w:val="0041619C"/>
    <w:rsid w:val="0041627B"/>
    <w:rsid w:val="004162A1"/>
    <w:rsid w:val="004163EB"/>
    <w:rsid w:val="00416481"/>
    <w:rsid w:val="0041656B"/>
    <w:rsid w:val="00416895"/>
    <w:rsid w:val="00416A13"/>
    <w:rsid w:val="00416A2C"/>
    <w:rsid w:val="00416B58"/>
    <w:rsid w:val="00416B89"/>
    <w:rsid w:val="00416C06"/>
    <w:rsid w:val="00416CC5"/>
    <w:rsid w:val="00416D8A"/>
    <w:rsid w:val="00416EB8"/>
    <w:rsid w:val="0041704D"/>
    <w:rsid w:val="00417117"/>
    <w:rsid w:val="004171CD"/>
    <w:rsid w:val="004171F4"/>
    <w:rsid w:val="00417230"/>
    <w:rsid w:val="004173EC"/>
    <w:rsid w:val="004174AA"/>
    <w:rsid w:val="004174FF"/>
    <w:rsid w:val="0041769D"/>
    <w:rsid w:val="004177F1"/>
    <w:rsid w:val="00417A69"/>
    <w:rsid w:val="00417A6D"/>
    <w:rsid w:val="00417AFD"/>
    <w:rsid w:val="00417B4D"/>
    <w:rsid w:val="00417B89"/>
    <w:rsid w:val="00417C5F"/>
    <w:rsid w:val="00417D3D"/>
    <w:rsid w:val="00417DE0"/>
    <w:rsid w:val="00417E71"/>
    <w:rsid w:val="00417F3F"/>
    <w:rsid w:val="00417FAA"/>
    <w:rsid w:val="00417FC7"/>
    <w:rsid w:val="00417FF4"/>
    <w:rsid w:val="0042002E"/>
    <w:rsid w:val="0042006E"/>
    <w:rsid w:val="00420119"/>
    <w:rsid w:val="004202DD"/>
    <w:rsid w:val="00420333"/>
    <w:rsid w:val="00420363"/>
    <w:rsid w:val="004203F0"/>
    <w:rsid w:val="004204B2"/>
    <w:rsid w:val="0042052E"/>
    <w:rsid w:val="0042054E"/>
    <w:rsid w:val="00420631"/>
    <w:rsid w:val="00420728"/>
    <w:rsid w:val="004207D7"/>
    <w:rsid w:val="004209B5"/>
    <w:rsid w:val="00420A03"/>
    <w:rsid w:val="00420DDE"/>
    <w:rsid w:val="00420F08"/>
    <w:rsid w:val="00421330"/>
    <w:rsid w:val="00421462"/>
    <w:rsid w:val="0042151F"/>
    <w:rsid w:val="004215A9"/>
    <w:rsid w:val="00421865"/>
    <w:rsid w:val="00421950"/>
    <w:rsid w:val="00421957"/>
    <w:rsid w:val="0042198C"/>
    <w:rsid w:val="00421A2B"/>
    <w:rsid w:val="00421AD6"/>
    <w:rsid w:val="00421B4D"/>
    <w:rsid w:val="00421B65"/>
    <w:rsid w:val="00421BA9"/>
    <w:rsid w:val="00421D14"/>
    <w:rsid w:val="00421D73"/>
    <w:rsid w:val="00422016"/>
    <w:rsid w:val="00422087"/>
    <w:rsid w:val="004220B2"/>
    <w:rsid w:val="00422181"/>
    <w:rsid w:val="004221DC"/>
    <w:rsid w:val="00422244"/>
    <w:rsid w:val="004222FF"/>
    <w:rsid w:val="0042243F"/>
    <w:rsid w:val="00422580"/>
    <w:rsid w:val="0042296A"/>
    <w:rsid w:val="00422A1C"/>
    <w:rsid w:val="00422AB6"/>
    <w:rsid w:val="00422CEE"/>
    <w:rsid w:val="00422D32"/>
    <w:rsid w:val="00422DB5"/>
    <w:rsid w:val="00422DB9"/>
    <w:rsid w:val="00422E15"/>
    <w:rsid w:val="00422EEC"/>
    <w:rsid w:val="00422EFE"/>
    <w:rsid w:val="00422F1E"/>
    <w:rsid w:val="00422F8E"/>
    <w:rsid w:val="00422FC1"/>
    <w:rsid w:val="00422FF1"/>
    <w:rsid w:val="00423094"/>
    <w:rsid w:val="0042311F"/>
    <w:rsid w:val="00423193"/>
    <w:rsid w:val="004231A2"/>
    <w:rsid w:val="0042332F"/>
    <w:rsid w:val="00423371"/>
    <w:rsid w:val="0042339A"/>
    <w:rsid w:val="004233C3"/>
    <w:rsid w:val="00423484"/>
    <w:rsid w:val="004234FC"/>
    <w:rsid w:val="0042357C"/>
    <w:rsid w:val="0042357D"/>
    <w:rsid w:val="00423586"/>
    <w:rsid w:val="00423587"/>
    <w:rsid w:val="004237A7"/>
    <w:rsid w:val="0042389F"/>
    <w:rsid w:val="0042396B"/>
    <w:rsid w:val="00423A85"/>
    <w:rsid w:val="00423BA6"/>
    <w:rsid w:val="00423C72"/>
    <w:rsid w:val="00423C95"/>
    <w:rsid w:val="00423D83"/>
    <w:rsid w:val="00423F10"/>
    <w:rsid w:val="00423F81"/>
    <w:rsid w:val="00423F90"/>
    <w:rsid w:val="0042405A"/>
    <w:rsid w:val="00424115"/>
    <w:rsid w:val="004241D8"/>
    <w:rsid w:val="004241E5"/>
    <w:rsid w:val="00424282"/>
    <w:rsid w:val="004243DF"/>
    <w:rsid w:val="004244D4"/>
    <w:rsid w:val="004244E7"/>
    <w:rsid w:val="0042453B"/>
    <w:rsid w:val="004245F0"/>
    <w:rsid w:val="00424664"/>
    <w:rsid w:val="0042470A"/>
    <w:rsid w:val="0042474A"/>
    <w:rsid w:val="00424773"/>
    <w:rsid w:val="004247F6"/>
    <w:rsid w:val="00424859"/>
    <w:rsid w:val="00424991"/>
    <w:rsid w:val="00424A00"/>
    <w:rsid w:val="00424AA7"/>
    <w:rsid w:val="00424BDC"/>
    <w:rsid w:val="00424C86"/>
    <w:rsid w:val="00424CAB"/>
    <w:rsid w:val="00424CE0"/>
    <w:rsid w:val="00425020"/>
    <w:rsid w:val="0042505D"/>
    <w:rsid w:val="0042508F"/>
    <w:rsid w:val="00425093"/>
    <w:rsid w:val="0042516F"/>
    <w:rsid w:val="0042517F"/>
    <w:rsid w:val="004251E5"/>
    <w:rsid w:val="004251EF"/>
    <w:rsid w:val="0042520F"/>
    <w:rsid w:val="004252A1"/>
    <w:rsid w:val="004253F1"/>
    <w:rsid w:val="004253F3"/>
    <w:rsid w:val="0042559C"/>
    <w:rsid w:val="004255B3"/>
    <w:rsid w:val="004256F7"/>
    <w:rsid w:val="0042575D"/>
    <w:rsid w:val="0042584A"/>
    <w:rsid w:val="0042587C"/>
    <w:rsid w:val="00425894"/>
    <w:rsid w:val="004258BE"/>
    <w:rsid w:val="004258D0"/>
    <w:rsid w:val="004258EE"/>
    <w:rsid w:val="004259BA"/>
    <w:rsid w:val="00425A45"/>
    <w:rsid w:val="00425B0E"/>
    <w:rsid w:val="00425C08"/>
    <w:rsid w:val="00425CC3"/>
    <w:rsid w:val="00425DE6"/>
    <w:rsid w:val="00425F4B"/>
    <w:rsid w:val="0042600C"/>
    <w:rsid w:val="0042606F"/>
    <w:rsid w:val="004260C9"/>
    <w:rsid w:val="00426178"/>
    <w:rsid w:val="004261EF"/>
    <w:rsid w:val="00426228"/>
    <w:rsid w:val="00426323"/>
    <w:rsid w:val="00426361"/>
    <w:rsid w:val="004263C4"/>
    <w:rsid w:val="00426504"/>
    <w:rsid w:val="0042679B"/>
    <w:rsid w:val="004267D4"/>
    <w:rsid w:val="004267F9"/>
    <w:rsid w:val="00426995"/>
    <w:rsid w:val="00426A4E"/>
    <w:rsid w:val="00426BA3"/>
    <w:rsid w:val="00426C1F"/>
    <w:rsid w:val="00426D94"/>
    <w:rsid w:val="0042706A"/>
    <w:rsid w:val="004270E5"/>
    <w:rsid w:val="00427322"/>
    <w:rsid w:val="0042736B"/>
    <w:rsid w:val="0042738B"/>
    <w:rsid w:val="00427433"/>
    <w:rsid w:val="004274C4"/>
    <w:rsid w:val="0042768D"/>
    <w:rsid w:val="004277CA"/>
    <w:rsid w:val="0042789D"/>
    <w:rsid w:val="004278AB"/>
    <w:rsid w:val="00427905"/>
    <w:rsid w:val="004279D8"/>
    <w:rsid w:val="004279FB"/>
    <w:rsid w:val="00427B21"/>
    <w:rsid w:val="00427B9F"/>
    <w:rsid w:val="00427DD5"/>
    <w:rsid w:val="00427E73"/>
    <w:rsid w:val="00427EEB"/>
    <w:rsid w:val="00427FF5"/>
    <w:rsid w:val="00430061"/>
    <w:rsid w:val="00430189"/>
    <w:rsid w:val="00430269"/>
    <w:rsid w:val="0043035E"/>
    <w:rsid w:val="004303EC"/>
    <w:rsid w:val="00430616"/>
    <w:rsid w:val="0043062B"/>
    <w:rsid w:val="0043062C"/>
    <w:rsid w:val="004307C2"/>
    <w:rsid w:val="0043087B"/>
    <w:rsid w:val="00430BFF"/>
    <w:rsid w:val="00430C5F"/>
    <w:rsid w:val="00430C62"/>
    <w:rsid w:val="00430D6D"/>
    <w:rsid w:val="00430DCB"/>
    <w:rsid w:val="00430E56"/>
    <w:rsid w:val="00430E85"/>
    <w:rsid w:val="00430F57"/>
    <w:rsid w:val="00430FB4"/>
    <w:rsid w:val="00430FB8"/>
    <w:rsid w:val="0043100D"/>
    <w:rsid w:val="0043104F"/>
    <w:rsid w:val="004310B1"/>
    <w:rsid w:val="0043113F"/>
    <w:rsid w:val="00431177"/>
    <w:rsid w:val="004312D1"/>
    <w:rsid w:val="00431336"/>
    <w:rsid w:val="00431420"/>
    <w:rsid w:val="00431483"/>
    <w:rsid w:val="004314B1"/>
    <w:rsid w:val="004314EB"/>
    <w:rsid w:val="0043163A"/>
    <w:rsid w:val="00431693"/>
    <w:rsid w:val="004316F0"/>
    <w:rsid w:val="0043175D"/>
    <w:rsid w:val="00431869"/>
    <w:rsid w:val="004319E1"/>
    <w:rsid w:val="004319E7"/>
    <w:rsid w:val="00431ABD"/>
    <w:rsid w:val="00431B74"/>
    <w:rsid w:val="00431BC7"/>
    <w:rsid w:val="00431C16"/>
    <w:rsid w:val="00431DC8"/>
    <w:rsid w:val="00431DF4"/>
    <w:rsid w:val="00431E9B"/>
    <w:rsid w:val="00431EF7"/>
    <w:rsid w:val="00431F56"/>
    <w:rsid w:val="00432048"/>
    <w:rsid w:val="004320B2"/>
    <w:rsid w:val="004320EE"/>
    <w:rsid w:val="004321DB"/>
    <w:rsid w:val="004322BE"/>
    <w:rsid w:val="004323E5"/>
    <w:rsid w:val="0043248E"/>
    <w:rsid w:val="004326C1"/>
    <w:rsid w:val="004326E6"/>
    <w:rsid w:val="004327FF"/>
    <w:rsid w:val="00432822"/>
    <w:rsid w:val="00432962"/>
    <w:rsid w:val="00432A10"/>
    <w:rsid w:val="00432B17"/>
    <w:rsid w:val="00432B8B"/>
    <w:rsid w:val="00432BA3"/>
    <w:rsid w:val="00432CBD"/>
    <w:rsid w:val="00432F56"/>
    <w:rsid w:val="00432FB3"/>
    <w:rsid w:val="004331A7"/>
    <w:rsid w:val="00433235"/>
    <w:rsid w:val="004332AF"/>
    <w:rsid w:val="004332B3"/>
    <w:rsid w:val="004332EB"/>
    <w:rsid w:val="004333EA"/>
    <w:rsid w:val="00433559"/>
    <w:rsid w:val="0043359D"/>
    <w:rsid w:val="00433654"/>
    <w:rsid w:val="0043388E"/>
    <w:rsid w:val="004339B0"/>
    <w:rsid w:val="004339D5"/>
    <w:rsid w:val="00433A11"/>
    <w:rsid w:val="00433B41"/>
    <w:rsid w:val="00433BF2"/>
    <w:rsid w:val="00433E73"/>
    <w:rsid w:val="00433F35"/>
    <w:rsid w:val="00433F8B"/>
    <w:rsid w:val="0043412B"/>
    <w:rsid w:val="00434168"/>
    <w:rsid w:val="004341BE"/>
    <w:rsid w:val="004341C2"/>
    <w:rsid w:val="004341CD"/>
    <w:rsid w:val="00434288"/>
    <w:rsid w:val="004342DD"/>
    <w:rsid w:val="004344BE"/>
    <w:rsid w:val="0043482E"/>
    <w:rsid w:val="00434849"/>
    <w:rsid w:val="00434889"/>
    <w:rsid w:val="00434891"/>
    <w:rsid w:val="004348BB"/>
    <w:rsid w:val="00434902"/>
    <w:rsid w:val="00434B7F"/>
    <w:rsid w:val="00434B9C"/>
    <w:rsid w:val="00434BD7"/>
    <w:rsid w:val="00434C91"/>
    <w:rsid w:val="00434DC1"/>
    <w:rsid w:val="00434EB2"/>
    <w:rsid w:val="00435173"/>
    <w:rsid w:val="0043531D"/>
    <w:rsid w:val="0043551C"/>
    <w:rsid w:val="00435624"/>
    <w:rsid w:val="00435735"/>
    <w:rsid w:val="004357E4"/>
    <w:rsid w:val="0043582C"/>
    <w:rsid w:val="00435833"/>
    <w:rsid w:val="0043588F"/>
    <w:rsid w:val="00435926"/>
    <w:rsid w:val="00435970"/>
    <w:rsid w:val="00435999"/>
    <w:rsid w:val="004359B3"/>
    <w:rsid w:val="00435B45"/>
    <w:rsid w:val="00435C1B"/>
    <w:rsid w:val="00435CD3"/>
    <w:rsid w:val="0043623D"/>
    <w:rsid w:val="00436553"/>
    <w:rsid w:val="0043660E"/>
    <w:rsid w:val="00436649"/>
    <w:rsid w:val="004369EA"/>
    <w:rsid w:val="00436A22"/>
    <w:rsid w:val="00436ABF"/>
    <w:rsid w:val="00436AF8"/>
    <w:rsid w:val="00436B8A"/>
    <w:rsid w:val="00436D63"/>
    <w:rsid w:val="00436E10"/>
    <w:rsid w:val="00436E56"/>
    <w:rsid w:val="00436ED4"/>
    <w:rsid w:val="00436FED"/>
    <w:rsid w:val="0043704B"/>
    <w:rsid w:val="0043710D"/>
    <w:rsid w:val="00437192"/>
    <w:rsid w:val="00437194"/>
    <w:rsid w:val="004371B9"/>
    <w:rsid w:val="00437229"/>
    <w:rsid w:val="004372D4"/>
    <w:rsid w:val="00437307"/>
    <w:rsid w:val="0043738C"/>
    <w:rsid w:val="004373AA"/>
    <w:rsid w:val="00437433"/>
    <w:rsid w:val="0043744D"/>
    <w:rsid w:val="004376CC"/>
    <w:rsid w:val="00437729"/>
    <w:rsid w:val="0043782A"/>
    <w:rsid w:val="00437899"/>
    <w:rsid w:val="0043790D"/>
    <w:rsid w:val="004379CE"/>
    <w:rsid w:val="00437A2D"/>
    <w:rsid w:val="00437BCD"/>
    <w:rsid w:val="00437C37"/>
    <w:rsid w:val="00437DDB"/>
    <w:rsid w:val="00437EBB"/>
    <w:rsid w:val="004400EE"/>
    <w:rsid w:val="0044019C"/>
    <w:rsid w:val="004401CA"/>
    <w:rsid w:val="004401EC"/>
    <w:rsid w:val="00440207"/>
    <w:rsid w:val="00440407"/>
    <w:rsid w:val="00440743"/>
    <w:rsid w:val="004407E4"/>
    <w:rsid w:val="004408D4"/>
    <w:rsid w:val="004408F2"/>
    <w:rsid w:val="004409C1"/>
    <w:rsid w:val="004409F6"/>
    <w:rsid w:val="00440BF5"/>
    <w:rsid w:val="00440C15"/>
    <w:rsid w:val="00440CCB"/>
    <w:rsid w:val="00440FEB"/>
    <w:rsid w:val="00440FEC"/>
    <w:rsid w:val="004410DF"/>
    <w:rsid w:val="00441223"/>
    <w:rsid w:val="004412A6"/>
    <w:rsid w:val="004412A7"/>
    <w:rsid w:val="004413EC"/>
    <w:rsid w:val="004415FE"/>
    <w:rsid w:val="00441655"/>
    <w:rsid w:val="00441667"/>
    <w:rsid w:val="004416BF"/>
    <w:rsid w:val="00441767"/>
    <w:rsid w:val="004417DA"/>
    <w:rsid w:val="00441928"/>
    <w:rsid w:val="00441A19"/>
    <w:rsid w:val="00441AE4"/>
    <w:rsid w:val="00441AFF"/>
    <w:rsid w:val="00441BC0"/>
    <w:rsid w:val="00441D2C"/>
    <w:rsid w:val="00441FDB"/>
    <w:rsid w:val="004420AE"/>
    <w:rsid w:val="00442127"/>
    <w:rsid w:val="00442129"/>
    <w:rsid w:val="0044212A"/>
    <w:rsid w:val="0044219A"/>
    <w:rsid w:val="00442271"/>
    <w:rsid w:val="0044236B"/>
    <w:rsid w:val="004424D2"/>
    <w:rsid w:val="00442661"/>
    <w:rsid w:val="0044276F"/>
    <w:rsid w:val="00442A52"/>
    <w:rsid w:val="00442AB9"/>
    <w:rsid w:val="00442D2B"/>
    <w:rsid w:val="00442DCA"/>
    <w:rsid w:val="00442E4F"/>
    <w:rsid w:val="00442E85"/>
    <w:rsid w:val="00442FA2"/>
    <w:rsid w:val="0044304A"/>
    <w:rsid w:val="00443076"/>
    <w:rsid w:val="00443094"/>
    <w:rsid w:val="004430A6"/>
    <w:rsid w:val="00443131"/>
    <w:rsid w:val="00443150"/>
    <w:rsid w:val="00443265"/>
    <w:rsid w:val="00443385"/>
    <w:rsid w:val="0044343A"/>
    <w:rsid w:val="004434A6"/>
    <w:rsid w:val="00443539"/>
    <w:rsid w:val="004438FF"/>
    <w:rsid w:val="00443930"/>
    <w:rsid w:val="00443AD4"/>
    <w:rsid w:val="00443B55"/>
    <w:rsid w:val="00443BDD"/>
    <w:rsid w:val="00443E0A"/>
    <w:rsid w:val="00443E29"/>
    <w:rsid w:val="00443E8B"/>
    <w:rsid w:val="00444054"/>
    <w:rsid w:val="004441E6"/>
    <w:rsid w:val="00444211"/>
    <w:rsid w:val="0044422B"/>
    <w:rsid w:val="00444258"/>
    <w:rsid w:val="00444345"/>
    <w:rsid w:val="00444481"/>
    <w:rsid w:val="00444556"/>
    <w:rsid w:val="00444582"/>
    <w:rsid w:val="004445FE"/>
    <w:rsid w:val="00444789"/>
    <w:rsid w:val="004447C9"/>
    <w:rsid w:val="00444830"/>
    <w:rsid w:val="004448CA"/>
    <w:rsid w:val="004449DC"/>
    <w:rsid w:val="00444A44"/>
    <w:rsid w:val="00444ABB"/>
    <w:rsid w:val="00444BB8"/>
    <w:rsid w:val="00444C0C"/>
    <w:rsid w:val="00444C6E"/>
    <w:rsid w:val="00444D86"/>
    <w:rsid w:val="00445037"/>
    <w:rsid w:val="0044524B"/>
    <w:rsid w:val="00445381"/>
    <w:rsid w:val="00445469"/>
    <w:rsid w:val="00445478"/>
    <w:rsid w:val="004454AE"/>
    <w:rsid w:val="00445508"/>
    <w:rsid w:val="00445532"/>
    <w:rsid w:val="0044563B"/>
    <w:rsid w:val="00445664"/>
    <w:rsid w:val="004456D8"/>
    <w:rsid w:val="00445709"/>
    <w:rsid w:val="00445976"/>
    <w:rsid w:val="004459CF"/>
    <w:rsid w:val="00445A37"/>
    <w:rsid w:val="00445A5D"/>
    <w:rsid w:val="00445ABB"/>
    <w:rsid w:val="00445B48"/>
    <w:rsid w:val="00445C6C"/>
    <w:rsid w:val="00445CBB"/>
    <w:rsid w:val="00445CF9"/>
    <w:rsid w:val="00445DA8"/>
    <w:rsid w:val="00445E6C"/>
    <w:rsid w:val="00445EF8"/>
    <w:rsid w:val="00445FC3"/>
    <w:rsid w:val="004460B6"/>
    <w:rsid w:val="004461F9"/>
    <w:rsid w:val="004463ED"/>
    <w:rsid w:val="0044643D"/>
    <w:rsid w:val="00446474"/>
    <w:rsid w:val="00446604"/>
    <w:rsid w:val="004467FD"/>
    <w:rsid w:val="004468C3"/>
    <w:rsid w:val="0044692C"/>
    <w:rsid w:val="00446B5F"/>
    <w:rsid w:val="00446BAE"/>
    <w:rsid w:val="00446D56"/>
    <w:rsid w:val="00446E98"/>
    <w:rsid w:val="00446EA4"/>
    <w:rsid w:val="00446EFD"/>
    <w:rsid w:val="00447016"/>
    <w:rsid w:val="004470E3"/>
    <w:rsid w:val="0044712D"/>
    <w:rsid w:val="0044720F"/>
    <w:rsid w:val="00447270"/>
    <w:rsid w:val="0044733B"/>
    <w:rsid w:val="00447518"/>
    <w:rsid w:val="004476BF"/>
    <w:rsid w:val="0044772F"/>
    <w:rsid w:val="0044782E"/>
    <w:rsid w:val="004479C8"/>
    <w:rsid w:val="00447A4A"/>
    <w:rsid w:val="00447DCE"/>
    <w:rsid w:val="00447DE9"/>
    <w:rsid w:val="00447FA9"/>
    <w:rsid w:val="0045000D"/>
    <w:rsid w:val="0045006E"/>
    <w:rsid w:val="00450156"/>
    <w:rsid w:val="00450165"/>
    <w:rsid w:val="00450177"/>
    <w:rsid w:val="0045018A"/>
    <w:rsid w:val="00450389"/>
    <w:rsid w:val="00450475"/>
    <w:rsid w:val="00450488"/>
    <w:rsid w:val="004504E6"/>
    <w:rsid w:val="004505DF"/>
    <w:rsid w:val="004506AC"/>
    <w:rsid w:val="004506F0"/>
    <w:rsid w:val="0045082D"/>
    <w:rsid w:val="00450897"/>
    <w:rsid w:val="004509C4"/>
    <w:rsid w:val="00450AB9"/>
    <w:rsid w:val="00450D02"/>
    <w:rsid w:val="00450D36"/>
    <w:rsid w:val="00450EC1"/>
    <w:rsid w:val="00450F40"/>
    <w:rsid w:val="00450F64"/>
    <w:rsid w:val="00451140"/>
    <w:rsid w:val="004511D8"/>
    <w:rsid w:val="00451324"/>
    <w:rsid w:val="00451489"/>
    <w:rsid w:val="004514DC"/>
    <w:rsid w:val="00451524"/>
    <w:rsid w:val="0045163A"/>
    <w:rsid w:val="004516E3"/>
    <w:rsid w:val="004516FF"/>
    <w:rsid w:val="004519C7"/>
    <w:rsid w:val="00451A57"/>
    <w:rsid w:val="00451AEB"/>
    <w:rsid w:val="00451BFB"/>
    <w:rsid w:val="00451CFE"/>
    <w:rsid w:val="00451D27"/>
    <w:rsid w:val="00451DDA"/>
    <w:rsid w:val="00452029"/>
    <w:rsid w:val="004523D7"/>
    <w:rsid w:val="00452464"/>
    <w:rsid w:val="0045246C"/>
    <w:rsid w:val="004525EF"/>
    <w:rsid w:val="004526C3"/>
    <w:rsid w:val="00452798"/>
    <w:rsid w:val="004527F9"/>
    <w:rsid w:val="0045282A"/>
    <w:rsid w:val="004528EF"/>
    <w:rsid w:val="004528FD"/>
    <w:rsid w:val="0045290B"/>
    <w:rsid w:val="004529F1"/>
    <w:rsid w:val="00452DEB"/>
    <w:rsid w:val="00452E2F"/>
    <w:rsid w:val="00452EA7"/>
    <w:rsid w:val="00452F17"/>
    <w:rsid w:val="00452F28"/>
    <w:rsid w:val="00452FCA"/>
    <w:rsid w:val="00453012"/>
    <w:rsid w:val="0045301E"/>
    <w:rsid w:val="004532DD"/>
    <w:rsid w:val="004536E6"/>
    <w:rsid w:val="004537EE"/>
    <w:rsid w:val="00453803"/>
    <w:rsid w:val="0045394C"/>
    <w:rsid w:val="00453A27"/>
    <w:rsid w:val="00453A9E"/>
    <w:rsid w:val="00453C2D"/>
    <w:rsid w:val="00453EAC"/>
    <w:rsid w:val="0045415E"/>
    <w:rsid w:val="00454683"/>
    <w:rsid w:val="00454744"/>
    <w:rsid w:val="00454754"/>
    <w:rsid w:val="004547E6"/>
    <w:rsid w:val="00454978"/>
    <w:rsid w:val="004549B1"/>
    <w:rsid w:val="00454AFA"/>
    <w:rsid w:val="00454BFC"/>
    <w:rsid w:val="00454D2B"/>
    <w:rsid w:val="00454D3D"/>
    <w:rsid w:val="00454D40"/>
    <w:rsid w:val="00454D72"/>
    <w:rsid w:val="00454DA6"/>
    <w:rsid w:val="00454DBE"/>
    <w:rsid w:val="00454F57"/>
    <w:rsid w:val="0045504A"/>
    <w:rsid w:val="00455129"/>
    <w:rsid w:val="004551AA"/>
    <w:rsid w:val="0045520C"/>
    <w:rsid w:val="004553C4"/>
    <w:rsid w:val="004553C8"/>
    <w:rsid w:val="004553DA"/>
    <w:rsid w:val="00455492"/>
    <w:rsid w:val="004554F6"/>
    <w:rsid w:val="004554FC"/>
    <w:rsid w:val="004555D7"/>
    <w:rsid w:val="00455601"/>
    <w:rsid w:val="00455658"/>
    <w:rsid w:val="00455695"/>
    <w:rsid w:val="0045573C"/>
    <w:rsid w:val="0045587E"/>
    <w:rsid w:val="00455967"/>
    <w:rsid w:val="004559E9"/>
    <w:rsid w:val="00455A0B"/>
    <w:rsid w:val="00455AED"/>
    <w:rsid w:val="00455C5B"/>
    <w:rsid w:val="00455C68"/>
    <w:rsid w:val="00455C75"/>
    <w:rsid w:val="00455EAC"/>
    <w:rsid w:val="00455EDE"/>
    <w:rsid w:val="00455F38"/>
    <w:rsid w:val="00455FE8"/>
    <w:rsid w:val="00456298"/>
    <w:rsid w:val="0045659A"/>
    <w:rsid w:val="004565E4"/>
    <w:rsid w:val="004567A1"/>
    <w:rsid w:val="004567A6"/>
    <w:rsid w:val="004567BD"/>
    <w:rsid w:val="004567EC"/>
    <w:rsid w:val="00456871"/>
    <w:rsid w:val="0045689E"/>
    <w:rsid w:val="004569C3"/>
    <w:rsid w:val="004569E8"/>
    <w:rsid w:val="00456A4D"/>
    <w:rsid w:val="00456B6B"/>
    <w:rsid w:val="00456BE5"/>
    <w:rsid w:val="00456BFB"/>
    <w:rsid w:val="00456C6A"/>
    <w:rsid w:val="00456CCA"/>
    <w:rsid w:val="00456D35"/>
    <w:rsid w:val="00456E3D"/>
    <w:rsid w:val="00456E87"/>
    <w:rsid w:val="0045700D"/>
    <w:rsid w:val="00457053"/>
    <w:rsid w:val="00457159"/>
    <w:rsid w:val="00457228"/>
    <w:rsid w:val="0045724A"/>
    <w:rsid w:val="00457575"/>
    <w:rsid w:val="00457817"/>
    <w:rsid w:val="0045783B"/>
    <w:rsid w:val="00457857"/>
    <w:rsid w:val="004578CB"/>
    <w:rsid w:val="00457A4B"/>
    <w:rsid w:val="00457AFF"/>
    <w:rsid w:val="00457BDC"/>
    <w:rsid w:val="00457BFB"/>
    <w:rsid w:val="00457C3E"/>
    <w:rsid w:val="00457C7D"/>
    <w:rsid w:val="00457D06"/>
    <w:rsid w:val="00457D6F"/>
    <w:rsid w:val="00457EC3"/>
    <w:rsid w:val="00457F13"/>
    <w:rsid w:val="004600E3"/>
    <w:rsid w:val="0046015F"/>
    <w:rsid w:val="004602FF"/>
    <w:rsid w:val="00460381"/>
    <w:rsid w:val="004603D3"/>
    <w:rsid w:val="004603E0"/>
    <w:rsid w:val="004604AD"/>
    <w:rsid w:val="00460525"/>
    <w:rsid w:val="004605A5"/>
    <w:rsid w:val="004605B7"/>
    <w:rsid w:val="004605D2"/>
    <w:rsid w:val="004606B7"/>
    <w:rsid w:val="00460799"/>
    <w:rsid w:val="004608D2"/>
    <w:rsid w:val="004608FD"/>
    <w:rsid w:val="00460D4B"/>
    <w:rsid w:val="00460F20"/>
    <w:rsid w:val="00460F42"/>
    <w:rsid w:val="0046104E"/>
    <w:rsid w:val="0046108B"/>
    <w:rsid w:val="004610A3"/>
    <w:rsid w:val="004612A8"/>
    <w:rsid w:val="004612B1"/>
    <w:rsid w:val="004613BC"/>
    <w:rsid w:val="004615B4"/>
    <w:rsid w:val="00461668"/>
    <w:rsid w:val="0046181D"/>
    <w:rsid w:val="004618BF"/>
    <w:rsid w:val="0046198F"/>
    <w:rsid w:val="004619EF"/>
    <w:rsid w:val="00461B18"/>
    <w:rsid w:val="00461DBE"/>
    <w:rsid w:val="00461E00"/>
    <w:rsid w:val="00461FFF"/>
    <w:rsid w:val="0046204A"/>
    <w:rsid w:val="00462059"/>
    <w:rsid w:val="00462070"/>
    <w:rsid w:val="00462297"/>
    <w:rsid w:val="004622EE"/>
    <w:rsid w:val="0046245A"/>
    <w:rsid w:val="0046245B"/>
    <w:rsid w:val="0046246B"/>
    <w:rsid w:val="00462613"/>
    <w:rsid w:val="00462676"/>
    <w:rsid w:val="004626E0"/>
    <w:rsid w:val="0046276E"/>
    <w:rsid w:val="00462865"/>
    <w:rsid w:val="00462891"/>
    <w:rsid w:val="00462CC0"/>
    <w:rsid w:val="00462DCE"/>
    <w:rsid w:val="00462F23"/>
    <w:rsid w:val="0046301D"/>
    <w:rsid w:val="004630BD"/>
    <w:rsid w:val="004631D1"/>
    <w:rsid w:val="0046329E"/>
    <w:rsid w:val="0046336F"/>
    <w:rsid w:val="00463419"/>
    <w:rsid w:val="0046346B"/>
    <w:rsid w:val="004635BD"/>
    <w:rsid w:val="004635FD"/>
    <w:rsid w:val="00463606"/>
    <w:rsid w:val="00463665"/>
    <w:rsid w:val="004637CB"/>
    <w:rsid w:val="0046389B"/>
    <w:rsid w:val="004638AD"/>
    <w:rsid w:val="00463946"/>
    <w:rsid w:val="00463BED"/>
    <w:rsid w:val="00463C10"/>
    <w:rsid w:val="00463D10"/>
    <w:rsid w:val="00463D62"/>
    <w:rsid w:val="00463D8A"/>
    <w:rsid w:val="00463E2E"/>
    <w:rsid w:val="00463E75"/>
    <w:rsid w:val="00463E9D"/>
    <w:rsid w:val="00463EC7"/>
    <w:rsid w:val="00463F5B"/>
    <w:rsid w:val="004640C8"/>
    <w:rsid w:val="0046423A"/>
    <w:rsid w:val="00464438"/>
    <w:rsid w:val="00464547"/>
    <w:rsid w:val="0046458A"/>
    <w:rsid w:val="004645B7"/>
    <w:rsid w:val="004645C5"/>
    <w:rsid w:val="004645E4"/>
    <w:rsid w:val="004646BC"/>
    <w:rsid w:val="00464757"/>
    <w:rsid w:val="0046478C"/>
    <w:rsid w:val="004647BD"/>
    <w:rsid w:val="00464A67"/>
    <w:rsid w:val="00464CBB"/>
    <w:rsid w:val="00464D10"/>
    <w:rsid w:val="00464D29"/>
    <w:rsid w:val="00464DA2"/>
    <w:rsid w:val="00464DB8"/>
    <w:rsid w:val="00464DC5"/>
    <w:rsid w:val="00464FAF"/>
    <w:rsid w:val="00464FF1"/>
    <w:rsid w:val="00465006"/>
    <w:rsid w:val="00465032"/>
    <w:rsid w:val="0046515E"/>
    <w:rsid w:val="00465193"/>
    <w:rsid w:val="004653CC"/>
    <w:rsid w:val="0046552E"/>
    <w:rsid w:val="0046554D"/>
    <w:rsid w:val="004655D1"/>
    <w:rsid w:val="004656D9"/>
    <w:rsid w:val="0046580D"/>
    <w:rsid w:val="00465833"/>
    <w:rsid w:val="0046583A"/>
    <w:rsid w:val="00465910"/>
    <w:rsid w:val="0046597C"/>
    <w:rsid w:val="00465988"/>
    <w:rsid w:val="00465A98"/>
    <w:rsid w:val="00465ADF"/>
    <w:rsid w:val="00465AF5"/>
    <w:rsid w:val="00465B6A"/>
    <w:rsid w:val="00465D57"/>
    <w:rsid w:val="00465DAE"/>
    <w:rsid w:val="00465E6A"/>
    <w:rsid w:val="0046609F"/>
    <w:rsid w:val="004660D6"/>
    <w:rsid w:val="00466113"/>
    <w:rsid w:val="00466259"/>
    <w:rsid w:val="00466514"/>
    <w:rsid w:val="004665F8"/>
    <w:rsid w:val="00466644"/>
    <w:rsid w:val="0046666C"/>
    <w:rsid w:val="00466741"/>
    <w:rsid w:val="00466864"/>
    <w:rsid w:val="0046689E"/>
    <w:rsid w:val="004668A7"/>
    <w:rsid w:val="004668E5"/>
    <w:rsid w:val="00466977"/>
    <w:rsid w:val="004669A9"/>
    <w:rsid w:val="004669B7"/>
    <w:rsid w:val="004669F0"/>
    <w:rsid w:val="00466A05"/>
    <w:rsid w:val="00466C97"/>
    <w:rsid w:val="00466E9D"/>
    <w:rsid w:val="00466EAE"/>
    <w:rsid w:val="00466FCD"/>
    <w:rsid w:val="004670A5"/>
    <w:rsid w:val="00467119"/>
    <w:rsid w:val="004671D3"/>
    <w:rsid w:val="004672F5"/>
    <w:rsid w:val="004673B8"/>
    <w:rsid w:val="004677CF"/>
    <w:rsid w:val="004679A3"/>
    <w:rsid w:val="00467A06"/>
    <w:rsid w:val="00467B2B"/>
    <w:rsid w:val="00467BE1"/>
    <w:rsid w:val="00467D61"/>
    <w:rsid w:val="00467D98"/>
    <w:rsid w:val="00467DCF"/>
    <w:rsid w:val="00467DE4"/>
    <w:rsid w:val="00467E15"/>
    <w:rsid w:val="00467E44"/>
    <w:rsid w:val="00467F98"/>
    <w:rsid w:val="00467FA9"/>
    <w:rsid w:val="004700C3"/>
    <w:rsid w:val="00470252"/>
    <w:rsid w:val="004702A5"/>
    <w:rsid w:val="00470307"/>
    <w:rsid w:val="0047052E"/>
    <w:rsid w:val="00470643"/>
    <w:rsid w:val="004706F3"/>
    <w:rsid w:val="0047074C"/>
    <w:rsid w:val="00470ACB"/>
    <w:rsid w:val="00470ACD"/>
    <w:rsid w:val="00470AEA"/>
    <w:rsid w:val="00470B63"/>
    <w:rsid w:val="00470BC9"/>
    <w:rsid w:val="00470C09"/>
    <w:rsid w:val="00470CDD"/>
    <w:rsid w:val="00470E70"/>
    <w:rsid w:val="00470F42"/>
    <w:rsid w:val="0047102D"/>
    <w:rsid w:val="004710D7"/>
    <w:rsid w:val="004711B2"/>
    <w:rsid w:val="004712FF"/>
    <w:rsid w:val="00471386"/>
    <w:rsid w:val="00471481"/>
    <w:rsid w:val="004714AE"/>
    <w:rsid w:val="004714C1"/>
    <w:rsid w:val="00471615"/>
    <w:rsid w:val="00471781"/>
    <w:rsid w:val="00471856"/>
    <w:rsid w:val="004718F4"/>
    <w:rsid w:val="00471936"/>
    <w:rsid w:val="00471A27"/>
    <w:rsid w:val="00471AA3"/>
    <w:rsid w:val="00471AB6"/>
    <w:rsid w:val="00471B49"/>
    <w:rsid w:val="00471BEC"/>
    <w:rsid w:val="00471C72"/>
    <w:rsid w:val="00471EEF"/>
    <w:rsid w:val="00471F74"/>
    <w:rsid w:val="00471F81"/>
    <w:rsid w:val="0047222C"/>
    <w:rsid w:val="0047224B"/>
    <w:rsid w:val="004722AE"/>
    <w:rsid w:val="004723E0"/>
    <w:rsid w:val="00472499"/>
    <w:rsid w:val="0047267F"/>
    <w:rsid w:val="00472699"/>
    <w:rsid w:val="004727DA"/>
    <w:rsid w:val="0047296F"/>
    <w:rsid w:val="00472ABB"/>
    <w:rsid w:val="00472AFE"/>
    <w:rsid w:val="00472C10"/>
    <w:rsid w:val="00472CBE"/>
    <w:rsid w:val="00472CD2"/>
    <w:rsid w:val="00472D77"/>
    <w:rsid w:val="00472E55"/>
    <w:rsid w:val="00472FDC"/>
    <w:rsid w:val="004731CD"/>
    <w:rsid w:val="00473240"/>
    <w:rsid w:val="00473389"/>
    <w:rsid w:val="0047355E"/>
    <w:rsid w:val="004735F4"/>
    <w:rsid w:val="004735FD"/>
    <w:rsid w:val="004738C5"/>
    <w:rsid w:val="0047397D"/>
    <w:rsid w:val="00473991"/>
    <w:rsid w:val="00473994"/>
    <w:rsid w:val="004739E0"/>
    <w:rsid w:val="00473B60"/>
    <w:rsid w:val="00473B8B"/>
    <w:rsid w:val="00473BCF"/>
    <w:rsid w:val="00473BDB"/>
    <w:rsid w:val="00473BF2"/>
    <w:rsid w:val="004740AE"/>
    <w:rsid w:val="00474113"/>
    <w:rsid w:val="004743C8"/>
    <w:rsid w:val="004744C6"/>
    <w:rsid w:val="004746AD"/>
    <w:rsid w:val="00474A9A"/>
    <w:rsid w:val="00474AAC"/>
    <w:rsid w:val="00474BAC"/>
    <w:rsid w:val="00474C79"/>
    <w:rsid w:val="00474CBD"/>
    <w:rsid w:val="00474CF1"/>
    <w:rsid w:val="00474F02"/>
    <w:rsid w:val="00474F14"/>
    <w:rsid w:val="00474FA0"/>
    <w:rsid w:val="00474FB6"/>
    <w:rsid w:val="00475009"/>
    <w:rsid w:val="0047508E"/>
    <w:rsid w:val="004750B2"/>
    <w:rsid w:val="00475248"/>
    <w:rsid w:val="004752C7"/>
    <w:rsid w:val="00475529"/>
    <w:rsid w:val="00475653"/>
    <w:rsid w:val="00475802"/>
    <w:rsid w:val="00475851"/>
    <w:rsid w:val="00475A2D"/>
    <w:rsid w:val="00475A45"/>
    <w:rsid w:val="00475A59"/>
    <w:rsid w:val="00475CA0"/>
    <w:rsid w:val="00475D0D"/>
    <w:rsid w:val="00475F03"/>
    <w:rsid w:val="00475F4F"/>
    <w:rsid w:val="00475FDA"/>
    <w:rsid w:val="00476041"/>
    <w:rsid w:val="004760AA"/>
    <w:rsid w:val="004760C2"/>
    <w:rsid w:val="004760E8"/>
    <w:rsid w:val="004761F4"/>
    <w:rsid w:val="0047620A"/>
    <w:rsid w:val="00476240"/>
    <w:rsid w:val="004762BD"/>
    <w:rsid w:val="00476423"/>
    <w:rsid w:val="00476449"/>
    <w:rsid w:val="00476488"/>
    <w:rsid w:val="004767C8"/>
    <w:rsid w:val="0047683C"/>
    <w:rsid w:val="00476A0F"/>
    <w:rsid w:val="00476C18"/>
    <w:rsid w:val="00476C49"/>
    <w:rsid w:val="00476C96"/>
    <w:rsid w:val="00476C9D"/>
    <w:rsid w:val="00476D9C"/>
    <w:rsid w:val="00476DD9"/>
    <w:rsid w:val="00476E96"/>
    <w:rsid w:val="00476F20"/>
    <w:rsid w:val="00476F87"/>
    <w:rsid w:val="0047708A"/>
    <w:rsid w:val="004770AB"/>
    <w:rsid w:val="00477374"/>
    <w:rsid w:val="004773D9"/>
    <w:rsid w:val="00477572"/>
    <w:rsid w:val="0047762E"/>
    <w:rsid w:val="004776CA"/>
    <w:rsid w:val="00477742"/>
    <w:rsid w:val="004777A8"/>
    <w:rsid w:val="00477935"/>
    <w:rsid w:val="00477936"/>
    <w:rsid w:val="00477984"/>
    <w:rsid w:val="004779EF"/>
    <w:rsid w:val="00477CEA"/>
    <w:rsid w:val="00477DDA"/>
    <w:rsid w:val="00477DF6"/>
    <w:rsid w:val="00477E35"/>
    <w:rsid w:val="00477ED0"/>
    <w:rsid w:val="00477FDC"/>
    <w:rsid w:val="004801AE"/>
    <w:rsid w:val="00480221"/>
    <w:rsid w:val="004803FF"/>
    <w:rsid w:val="0048042E"/>
    <w:rsid w:val="0048044E"/>
    <w:rsid w:val="004804E7"/>
    <w:rsid w:val="00480536"/>
    <w:rsid w:val="00480539"/>
    <w:rsid w:val="00480553"/>
    <w:rsid w:val="0048074C"/>
    <w:rsid w:val="004807B3"/>
    <w:rsid w:val="00480863"/>
    <w:rsid w:val="00480941"/>
    <w:rsid w:val="00480948"/>
    <w:rsid w:val="004809BF"/>
    <w:rsid w:val="00480A6A"/>
    <w:rsid w:val="00480B5F"/>
    <w:rsid w:val="00480B6A"/>
    <w:rsid w:val="00480B70"/>
    <w:rsid w:val="00480B8A"/>
    <w:rsid w:val="00480BAC"/>
    <w:rsid w:val="00480BDB"/>
    <w:rsid w:val="00480C5B"/>
    <w:rsid w:val="00480D0F"/>
    <w:rsid w:val="00480DFA"/>
    <w:rsid w:val="00480E82"/>
    <w:rsid w:val="00480F93"/>
    <w:rsid w:val="0048104C"/>
    <w:rsid w:val="00481060"/>
    <w:rsid w:val="00481107"/>
    <w:rsid w:val="00481219"/>
    <w:rsid w:val="00481223"/>
    <w:rsid w:val="0048128C"/>
    <w:rsid w:val="004813A6"/>
    <w:rsid w:val="004813F8"/>
    <w:rsid w:val="004814E9"/>
    <w:rsid w:val="004815E5"/>
    <w:rsid w:val="00481647"/>
    <w:rsid w:val="00481733"/>
    <w:rsid w:val="004818FE"/>
    <w:rsid w:val="00481920"/>
    <w:rsid w:val="00481BF4"/>
    <w:rsid w:val="00481CC0"/>
    <w:rsid w:val="00481E2C"/>
    <w:rsid w:val="00481EEF"/>
    <w:rsid w:val="00481F01"/>
    <w:rsid w:val="00482071"/>
    <w:rsid w:val="0048208B"/>
    <w:rsid w:val="0048209C"/>
    <w:rsid w:val="00482164"/>
    <w:rsid w:val="00482227"/>
    <w:rsid w:val="004822A2"/>
    <w:rsid w:val="00482364"/>
    <w:rsid w:val="00482658"/>
    <w:rsid w:val="004826B9"/>
    <w:rsid w:val="00482792"/>
    <w:rsid w:val="0048283D"/>
    <w:rsid w:val="00482875"/>
    <w:rsid w:val="004828EB"/>
    <w:rsid w:val="0048297E"/>
    <w:rsid w:val="00482ACF"/>
    <w:rsid w:val="00482B2E"/>
    <w:rsid w:val="00482BED"/>
    <w:rsid w:val="00482D4D"/>
    <w:rsid w:val="00482E30"/>
    <w:rsid w:val="00482E97"/>
    <w:rsid w:val="00482EA1"/>
    <w:rsid w:val="00482F70"/>
    <w:rsid w:val="00482F83"/>
    <w:rsid w:val="0048311F"/>
    <w:rsid w:val="00483139"/>
    <w:rsid w:val="0048313E"/>
    <w:rsid w:val="004832FB"/>
    <w:rsid w:val="004835E4"/>
    <w:rsid w:val="00483669"/>
    <w:rsid w:val="004838C1"/>
    <w:rsid w:val="004838E3"/>
    <w:rsid w:val="004839AD"/>
    <w:rsid w:val="004839C9"/>
    <w:rsid w:val="00483A3F"/>
    <w:rsid w:val="00483C2C"/>
    <w:rsid w:val="00483D0A"/>
    <w:rsid w:val="00483D19"/>
    <w:rsid w:val="00483D2E"/>
    <w:rsid w:val="00483ED7"/>
    <w:rsid w:val="00483FD0"/>
    <w:rsid w:val="00483FF3"/>
    <w:rsid w:val="0048411F"/>
    <w:rsid w:val="00484138"/>
    <w:rsid w:val="00484272"/>
    <w:rsid w:val="004842E2"/>
    <w:rsid w:val="004843DF"/>
    <w:rsid w:val="00484519"/>
    <w:rsid w:val="0048457D"/>
    <w:rsid w:val="00484629"/>
    <w:rsid w:val="004846CC"/>
    <w:rsid w:val="0048470E"/>
    <w:rsid w:val="00484719"/>
    <w:rsid w:val="00484762"/>
    <w:rsid w:val="004847C9"/>
    <w:rsid w:val="00484992"/>
    <w:rsid w:val="004849FC"/>
    <w:rsid w:val="00484B3A"/>
    <w:rsid w:val="00484B79"/>
    <w:rsid w:val="00484C51"/>
    <w:rsid w:val="00484CFD"/>
    <w:rsid w:val="00484DE0"/>
    <w:rsid w:val="00484E0C"/>
    <w:rsid w:val="00484E59"/>
    <w:rsid w:val="00484F03"/>
    <w:rsid w:val="00484F17"/>
    <w:rsid w:val="0048506A"/>
    <w:rsid w:val="004851C2"/>
    <w:rsid w:val="004851E9"/>
    <w:rsid w:val="00485215"/>
    <w:rsid w:val="00485244"/>
    <w:rsid w:val="0048524E"/>
    <w:rsid w:val="00485298"/>
    <w:rsid w:val="004852A7"/>
    <w:rsid w:val="0048540F"/>
    <w:rsid w:val="004854E9"/>
    <w:rsid w:val="0048552C"/>
    <w:rsid w:val="0048565B"/>
    <w:rsid w:val="004856EA"/>
    <w:rsid w:val="00485723"/>
    <w:rsid w:val="0048587D"/>
    <w:rsid w:val="0048595B"/>
    <w:rsid w:val="00485AB6"/>
    <w:rsid w:val="00485ABC"/>
    <w:rsid w:val="00485FF7"/>
    <w:rsid w:val="004860B5"/>
    <w:rsid w:val="00486101"/>
    <w:rsid w:val="00486201"/>
    <w:rsid w:val="00486257"/>
    <w:rsid w:val="004862ED"/>
    <w:rsid w:val="00486385"/>
    <w:rsid w:val="00486442"/>
    <w:rsid w:val="0048667D"/>
    <w:rsid w:val="004867CF"/>
    <w:rsid w:val="00486828"/>
    <w:rsid w:val="00486851"/>
    <w:rsid w:val="0048694D"/>
    <w:rsid w:val="004869D4"/>
    <w:rsid w:val="00486A39"/>
    <w:rsid w:val="00486AC2"/>
    <w:rsid w:val="00486B27"/>
    <w:rsid w:val="00486B8D"/>
    <w:rsid w:val="00486BA8"/>
    <w:rsid w:val="00486BB2"/>
    <w:rsid w:val="00486BCB"/>
    <w:rsid w:val="00486C15"/>
    <w:rsid w:val="00486D8F"/>
    <w:rsid w:val="00486E3E"/>
    <w:rsid w:val="00486F47"/>
    <w:rsid w:val="00487258"/>
    <w:rsid w:val="0048729E"/>
    <w:rsid w:val="00487388"/>
    <w:rsid w:val="0048741B"/>
    <w:rsid w:val="004874FD"/>
    <w:rsid w:val="0048754E"/>
    <w:rsid w:val="004875F0"/>
    <w:rsid w:val="00487623"/>
    <w:rsid w:val="004876A6"/>
    <w:rsid w:val="004876A7"/>
    <w:rsid w:val="0048774B"/>
    <w:rsid w:val="004878D6"/>
    <w:rsid w:val="00487965"/>
    <w:rsid w:val="00487979"/>
    <w:rsid w:val="00487994"/>
    <w:rsid w:val="00487A0A"/>
    <w:rsid w:val="00487A31"/>
    <w:rsid w:val="00487BE2"/>
    <w:rsid w:val="00487CED"/>
    <w:rsid w:val="00487D32"/>
    <w:rsid w:val="00487DEB"/>
    <w:rsid w:val="00487DF7"/>
    <w:rsid w:val="00487EC0"/>
    <w:rsid w:val="00487F07"/>
    <w:rsid w:val="00487F80"/>
    <w:rsid w:val="00490028"/>
    <w:rsid w:val="00490068"/>
    <w:rsid w:val="004901BF"/>
    <w:rsid w:val="00490223"/>
    <w:rsid w:val="004903BC"/>
    <w:rsid w:val="0049046F"/>
    <w:rsid w:val="0049049C"/>
    <w:rsid w:val="004906AB"/>
    <w:rsid w:val="00490827"/>
    <w:rsid w:val="00490984"/>
    <w:rsid w:val="004909A1"/>
    <w:rsid w:val="004909FE"/>
    <w:rsid w:val="00490A5F"/>
    <w:rsid w:val="00490B81"/>
    <w:rsid w:val="00490BD7"/>
    <w:rsid w:val="00490D4F"/>
    <w:rsid w:val="00490E91"/>
    <w:rsid w:val="00490E95"/>
    <w:rsid w:val="00490FE6"/>
    <w:rsid w:val="00491169"/>
    <w:rsid w:val="004912D6"/>
    <w:rsid w:val="0049163F"/>
    <w:rsid w:val="00491685"/>
    <w:rsid w:val="00491910"/>
    <w:rsid w:val="00491953"/>
    <w:rsid w:val="00491AD9"/>
    <w:rsid w:val="00491BA8"/>
    <w:rsid w:val="00491C2D"/>
    <w:rsid w:val="00491F0A"/>
    <w:rsid w:val="00491F30"/>
    <w:rsid w:val="00492056"/>
    <w:rsid w:val="004920F0"/>
    <w:rsid w:val="004922A2"/>
    <w:rsid w:val="004922E6"/>
    <w:rsid w:val="004922E9"/>
    <w:rsid w:val="00492386"/>
    <w:rsid w:val="0049242A"/>
    <w:rsid w:val="004924C4"/>
    <w:rsid w:val="0049253D"/>
    <w:rsid w:val="0049255F"/>
    <w:rsid w:val="004925FB"/>
    <w:rsid w:val="004926C6"/>
    <w:rsid w:val="0049271B"/>
    <w:rsid w:val="00492794"/>
    <w:rsid w:val="004927AA"/>
    <w:rsid w:val="00492A4F"/>
    <w:rsid w:val="00492B29"/>
    <w:rsid w:val="00492BBD"/>
    <w:rsid w:val="00492D69"/>
    <w:rsid w:val="00492DF4"/>
    <w:rsid w:val="00492E56"/>
    <w:rsid w:val="00492E89"/>
    <w:rsid w:val="00492E8B"/>
    <w:rsid w:val="00492E98"/>
    <w:rsid w:val="00493041"/>
    <w:rsid w:val="00493143"/>
    <w:rsid w:val="00493163"/>
    <w:rsid w:val="0049317E"/>
    <w:rsid w:val="00493185"/>
    <w:rsid w:val="004932B2"/>
    <w:rsid w:val="004932B9"/>
    <w:rsid w:val="00493471"/>
    <w:rsid w:val="00493645"/>
    <w:rsid w:val="00493660"/>
    <w:rsid w:val="00493686"/>
    <w:rsid w:val="00493706"/>
    <w:rsid w:val="00493837"/>
    <w:rsid w:val="00493887"/>
    <w:rsid w:val="004938E6"/>
    <w:rsid w:val="004938F7"/>
    <w:rsid w:val="00493AE1"/>
    <w:rsid w:val="00493C93"/>
    <w:rsid w:val="00493E4F"/>
    <w:rsid w:val="00493F6D"/>
    <w:rsid w:val="0049406B"/>
    <w:rsid w:val="0049432A"/>
    <w:rsid w:val="004943CC"/>
    <w:rsid w:val="004944D9"/>
    <w:rsid w:val="00494566"/>
    <w:rsid w:val="0049458E"/>
    <w:rsid w:val="004945DD"/>
    <w:rsid w:val="00494760"/>
    <w:rsid w:val="00494934"/>
    <w:rsid w:val="00494C3C"/>
    <w:rsid w:val="00494CA8"/>
    <w:rsid w:val="00494E03"/>
    <w:rsid w:val="00494E8B"/>
    <w:rsid w:val="00494EA7"/>
    <w:rsid w:val="00494F49"/>
    <w:rsid w:val="00494FD3"/>
    <w:rsid w:val="0049505E"/>
    <w:rsid w:val="0049540A"/>
    <w:rsid w:val="0049541A"/>
    <w:rsid w:val="00495496"/>
    <w:rsid w:val="004954FF"/>
    <w:rsid w:val="00495514"/>
    <w:rsid w:val="00495529"/>
    <w:rsid w:val="00495617"/>
    <w:rsid w:val="004956A8"/>
    <w:rsid w:val="0049574D"/>
    <w:rsid w:val="004958EF"/>
    <w:rsid w:val="00495BD0"/>
    <w:rsid w:val="00495DF7"/>
    <w:rsid w:val="00495E97"/>
    <w:rsid w:val="00495FFD"/>
    <w:rsid w:val="00496203"/>
    <w:rsid w:val="00496285"/>
    <w:rsid w:val="004962CD"/>
    <w:rsid w:val="0049635E"/>
    <w:rsid w:val="00496389"/>
    <w:rsid w:val="00496396"/>
    <w:rsid w:val="004964EC"/>
    <w:rsid w:val="00496538"/>
    <w:rsid w:val="004965D5"/>
    <w:rsid w:val="00496645"/>
    <w:rsid w:val="00496680"/>
    <w:rsid w:val="0049678B"/>
    <w:rsid w:val="0049684C"/>
    <w:rsid w:val="004968FC"/>
    <w:rsid w:val="00496A5E"/>
    <w:rsid w:val="00496AB4"/>
    <w:rsid w:val="00496AF0"/>
    <w:rsid w:val="00496BB1"/>
    <w:rsid w:val="00496C1A"/>
    <w:rsid w:val="00496DA6"/>
    <w:rsid w:val="00496DD8"/>
    <w:rsid w:val="00496EAB"/>
    <w:rsid w:val="00496F81"/>
    <w:rsid w:val="0049701A"/>
    <w:rsid w:val="0049724B"/>
    <w:rsid w:val="00497394"/>
    <w:rsid w:val="004974A8"/>
    <w:rsid w:val="004974C1"/>
    <w:rsid w:val="0049753E"/>
    <w:rsid w:val="00497554"/>
    <w:rsid w:val="004975A1"/>
    <w:rsid w:val="004975D0"/>
    <w:rsid w:val="0049768B"/>
    <w:rsid w:val="004976B1"/>
    <w:rsid w:val="00497723"/>
    <w:rsid w:val="0049776A"/>
    <w:rsid w:val="004977AB"/>
    <w:rsid w:val="004977B6"/>
    <w:rsid w:val="00497828"/>
    <w:rsid w:val="004979CA"/>
    <w:rsid w:val="00497A80"/>
    <w:rsid w:val="00497B0E"/>
    <w:rsid w:val="00497B3C"/>
    <w:rsid w:val="00497D34"/>
    <w:rsid w:val="00497D7F"/>
    <w:rsid w:val="00497DF2"/>
    <w:rsid w:val="004A0049"/>
    <w:rsid w:val="004A0064"/>
    <w:rsid w:val="004A00B9"/>
    <w:rsid w:val="004A0289"/>
    <w:rsid w:val="004A034B"/>
    <w:rsid w:val="004A05A5"/>
    <w:rsid w:val="004A0A59"/>
    <w:rsid w:val="004A0AF8"/>
    <w:rsid w:val="004A0B36"/>
    <w:rsid w:val="004A0D13"/>
    <w:rsid w:val="004A0E1C"/>
    <w:rsid w:val="004A0EF1"/>
    <w:rsid w:val="004A0F7B"/>
    <w:rsid w:val="004A1048"/>
    <w:rsid w:val="004A1579"/>
    <w:rsid w:val="004A169E"/>
    <w:rsid w:val="004A16B1"/>
    <w:rsid w:val="004A1728"/>
    <w:rsid w:val="004A1754"/>
    <w:rsid w:val="004A1874"/>
    <w:rsid w:val="004A1879"/>
    <w:rsid w:val="004A1939"/>
    <w:rsid w:val="004A1A66"/>
    <w:rsid w:val="004A1A86"/>
    <w:rsid w:val="004A1B04"/>
    <w:rsid w:val="004A1B83"/>
    <w:rsid w:val="004A1D39"/>
    <w:rsid w:val="004A1DF0"/>
    <w:rsid w:val="004A1EEF"/>
    <w:rsid w:val="004A1FA5"/>
    <w:rsid w:val="004A21E0"/>
    <w:rsid w:val="004A22A0"/>
    <w:rsid w:val="004A2437"/>
    <w:rsid w:val="004A243A"/>
    <w:rsid w:val="004A249C"/>
    <w:rsid w:val="004A24A5"/>
    <w:rsid w:val="004A24D4"/>
    <w:rsid w:val="004A250D"/>
    <w:rsid w:val="004A2574"/>
    <w:rsid w:val="004A268D"/>
    <w:rsid w:val="004A26A8"/>
    <w:rsid w:val="004A2748"/>
    <w:rsid w:val="004A27E5"/>
    <w:rsid w:val="004A2894"/>
    <w:rsid w:val="004A294E"/>
    <w:rsid w:val="004A299C"/>
    <w:rsid w:val="004A2A8A"/>
    <w:rsid w:val="004A2AA8"/>
    <w:rsid w:val="004A2B18"/>
    <w:rsid w:val="004A2C20"/>
    <w:rsid w:val="004A2C22"/>
    <w:rsid w:val="004A2C6D"/>
    <w:rsid w:val="004A2CF1"/>
    <w:rsid w:val="004A2D6D"/>
    <w:rsid w:val="004A2DB0"/>
    <w:rsid w:val="004A2E00"/>
    <w:rsid w:val="004A2E84"/>
    <w:rsid w:val="004A3093"/>
    <w:rsid w:val="004A318A"/>
    <w:rsid w:val="004A3464"/>
    <w:rsid w:val="004A34ED"/>
    <w:rsid w:val="004A3507"/>
    <w:rsid w:val="004A36CF"/>
    <w:rsid w:val="004A36DC"/>
    <w:rsid w:val="004A37D4"/>
    <w:rsid w:val="004A37D7"/>
    <w:rsid w:val="004A3813"/>
    <w:rsid w:val="004A39A9"/>
    <w:rsid w:val="004A39BC"/>
    <w:rsid w:val="004A3AA8"/>
    <w:rsid w:val="004A3BB8"/>
    <w:rsid w:val="004A3CA6"/>
    <w:rsid w:val="004A3DDE"/>
    <w:rsid w:val="004A3E27"/>
    <w:rsid w:val="004A3E48"/>
    <w:rsid w:val="004A3E54"/>
    <w:rsid w:val="004A3F4A"/>
    <w:rsid w:val="004A4026"/>
    <w:rsid w:val="004A4073"/>
    <w:rsid w:val="004A40D7"/>
    <w:rsid w:val="004A41BF"/>
    <w:rsid w:val="004A420C"/>
    <w:rsid w:val="004A4321"/>
    <w:rsid w:val="004A43A9"/>
    <w:rsid w:val="004A44E5"/>
    <w:rsid w:val="004A451D"/>
    <w:rsid w:val="004A4578"/>
    <w:rsid w:val="004A46BD"/>
    <w:rsid w:val="004A49FD"/>
    <w:rsid w:val="004A4AB5"/>
    <w:rsid w:val="004A4F6D"/>
    <w:rsid w:val="004A5100"/>
    <w:rsid w:val="004A5143"/>
    <w:rsid w:val="004A5195"/>
    <w:rsid w:val="004A5219"/>
    <w:rsid w:val="004A5287"/>
    <w:rsid w:val="004A5387"/>
    <w:rsid w:val="004A542B"/>
    <w:rsid w:val="004A557E"/>
    <w:rsid w:val="004A558C"/>
    <w:rsid w:val="004A5B18"/>
    <w:rsid w:val="004A5B9C"/>
    <w:rsid w:val="004A5D60"/>
    <w:rsid w:val="004A5DAD"/>
    <w:rsid w:val="004A5E74"/>
    <w:rsid w:val="004A5EE1"/>
    <w:rsid w:val="004A5F03"/>
    <w:rsid w:val="004A5F22"/>
    <w:rsid w:val="004A5F4F"/>
    <w:rsid w:val="004A5FBF"/>
    <w:rsid w:val="004A612B"/>
    <w:rsid w:val="004A61C7"/>
    <w:rsid w:val="004A62BF"/>
    <w:rsid w:val="004A6320"/>
    <w:rsid w:val="004A632A"/>
    <w:rsid w:val="004A6367"/>
    <w:rsid w:val="004A658D"/>
    <w:rsid w:val="004A6834"/>
    <w:rsid w:val="004A683C"/>
    <w:rsid w:val="004A6892"/>
    <w:rsid w:val="004A68E0"/>
    <w:rsid w:val="004A6BDE"/>
    <w:rsid w:val="004A6C69"/>
    <w:rsid w:val="004A6D47"/>
    <w:rsid w:val="004A6DB1"/>
    <w:rsid w:val="004A70F1"/>
    <w:rsid w:val="004A716A"/>
    <w:rsid w:val="004A71B8"/>
    <w:rsid w:val="004A7254"/>
    <w:rsid w:val="004A75D0"/>
    <w:rsid w:val="004A7667"/>
    <w:rsid w:val="004A781C"/>
    <w:rsid w:val="004A7ACA"/>
    <w:rsid w:val="004A7AEF"/>
    <w:rsid w:val="004A7B72"/>
    <w:rsid w:val="004A7F80"/>
    <w:rsid w:val="004A7FA7"/>
    <w:rsid w:val="004A7FBE"/>
    <w:rsid w:val="004A7FE4"/>
    <w:rsid w:val="004B00F6"/>
    <w:rsid w:val="004B0218"/>
    <w:rsid w:val="004B0326"/>
    <w:rsid w:val="004B032D"/>
    <w:rsid w:val="004B03B0"/>
    <w:rsid w:val="004B042D"/>
    <w:rsid w:val="004B04E3"/>
    <w:rsid w:val="004B059E"/>
    <w:rsid w:val="004B05B6"/>
    <w:rsid w:val="004B061C"/>
    <w:rsid w:val="004B07FC"/>
    <w:rsid w:val="004B08D6"/>
    <w:rsid w:val="004B0978"/>
    <w:rsid w:val="004B0A2F"/>
    <w:rsid w:val="004B0A61"/>
    <w:rsid w:val="004B0AFA"/>
    <w:rsid w:val="004B0B81"/>
    <w:rsid w:val="004B0CAB"/>
    <w:rsid w:val="004B0E53"/>
    <w:rsid w:val="004B0ED5"/>
    <w:rsid w:val="004B0F7F"/>
    <w:rsid w:val="004B10AA"/>
    <w:rsid w:val="004B10FC"/>
    <w:rsid w:val="004B1157"/>
    <w:rsid w:val="004B1190"/>
    <w:rsid w:val="004B123A"/>
    <w:rsid w:val="004B12F3"/>
    <w:rsid w:val="004B142F"/>
    <w:rsid w:val="004B1434"/>
    <w:rsid w:val="004B144F"/>
    <w:rsid w:val="004B153B"/>
    <w:rsid w:val="004B1547"/>
    <w:rsid w:val="004B15B0"/>
    <w:rsid w:val="004B1609"/>
    <w:rsid w:val="004B1859"/>
    <w:rsid w:val="004B1889"/>
    <w:rsid w:val="004B190B"/>
    <w:rsid w:val="004B1AA6"/>
    <w:rsid w:val="004B1BF2"/>
    <w:rsid w:val="004B1CD3"/>
    <w:rsid w:val="004B1D45"/>
    <w:rsid w:val="004B1D4E"/>
    <w:rsid w:val="004B1E7B"/>
    <w:rsid w:val="004B1EAF"/>
    <w:rsid w:val="004B1EFD"/>
    <w:rsid w:val="004B1F31"/>
    <w:rsid w:val="004B1F71"/>
    <w:rsid w:val="004B1F87"/>
    <w:rsid w:val="004B2053"/>
    <w:rsid w:val="004B215F"/>
    <w:rsid w:val="004B2180"/>
    <w:rsid w:val="004B22D5"/>
    <w:rsid w:val="004B23AF"/>
    <w:rsid w:val="004B23FA"/>
    <w:rsid w:val="004B24C3"/>
    <w:rsid w:val="004B25E1"/>
    <w:rsid w:val="004B268D"/>
    <w:rsid w:val="004B273D"/>
    <w:rsid w:val="004B2763"/>
    <w:rsid w:val="004B28B5"/>
    <w:rsid w:val="004B2A06"/>
    <w:rsid w:val="004B2A23"/>
    <w:rsid w:val="004B2ABD"/>
    <w:rsid w:val="004B2B60"/>
    <w:rsid w:val="004B2C6C"/>
    <w:rsid w:val="004B2D05"/>
    <w:rsid w:val="004B2D61"/>
    <w:rsid w:val="004B2E84"/>
    <w:rsid w:val="004B2ECF"/>
    <w:rsid w:val="004B2EF0"/>
    <w:rsid w:val="004B2F42"/>
    <w:rsid w:val="004B301A"/>
    <w:rsid w:val="004B31C2"/>
    <w:rsid w:val="004B31EF"/>
    <w:rsid w:val="004B31F3"/>
    <w:rsid w:val="004B332F"/>
    <w:rsid w:val="004B336A"/>
    <w:rsid w:val="004B348B"/>
    <w:rsid w:val="004B3555"/>
    <w:rsid w:val="004B364C"/>
    <w:rsid w:val="004B3661"/>
    <w:rsid w:val="004B37E3"/>
    <w:rsid w:val="004B387B"/>
    <w:rsid w:val="004B3AAC"/>
    <w:rsid w:val="004B3C07"/>
    <w:rsid w:val="004B3C63"/>
    <w:rsid w:val="004B3D6E"/>
    <w:rsid w:val="004B3F45"/>
    <w:rsid w:val="004B400D"/>
    <w:rsid w:val="004B403F"/>
    <w:rsid w:val="004B41F7"/>
    <w:rsid w:val="004B4210"/>
    <w:rsid w:val="004B4230"/>
    <w:rsid w:val="004B431B"/>
    <w:rsid w:val="004B443F"/>
    <w:rsid w:val="004B447D"/>
    <w:rsid w:val="004B448C"/>
    <w:rsid w:val="004B4495"/>
    <w:rsid w:val="004B4538"/>
    <w:rsid w:val="004B4640"/>
    <w:rsid w:val="004B480B"/>
    <w:rsid w:val="004B4844"/>
    <w:rsid w:val="004B48F6"/>
    <w:rsid w:val="004B4C26"/>
    <w:rsid w:val="004B4D61"/>
    <w:rsid w:val="004B4EB0"/>
    <w:rsid w:val="004B4EC2"/>
    <w:rsid w:val="004B4F28"/>
    <w:rsid w:val="004B4F2F"/>
    <w:rsid w:val="004B501D"/>
    <w:rsid w:val="004B5082"/>
    <w:rsid w:val="004B5260"/>
    <w:rsid w:val="004B53CA"/>
    <w:rsid w:val="004B546F"/>
    <w:rsid w:val="004B54E2"/>
    <w:rsid w:val="004B552D"/>
    <w:rsid w:val="004B5568"/>
    <w:rsid w:val="004B56A0"/>
    <w:rsid w:val="004B5710"/>
    <w:rsid w:val="004B57A1"/>
    <w:rsid w:val="004B59D8"/>
    <w:rsid w:val="004B5A80"/>
    <w:rsid w:val="004B5AED"/>
    <w:rsid w:val="004B5B0F"/>
    <w:rsid w:val="004B5B50"/>
    <w:rsid w:val="004B5C1F"/>
    <w:rsid w:val="004B5C44"/>
    <w:rsid w:val="004B5D19"/>
    <w:rsid w:val="004B5D3F"/>
    <w:rsid w:val="004B5DF7"/>
    <w:rsid w:val="004B5E5F"/>
    <w:rsid w:val="004B5EEF"/>
    <w:rsid w:val="004B5F36"/>
    <w:rsid w:val="004B5F93"/>
    <w:rsid w:val="004B5F9A"/>
    <w:rsid w:val="004B5F9D"/>
    <w:rsid w:val="004B6024"/>
    <w:rsid w:val="004B609E"/>
    <w:rsid w:val="004B62BF"/>
    <w:rsid w:val="004B6311"/>
    <w:rsid w:val="004B6452"/>
    <w:rsid w:val="004B64DD"/>
    <w:rsid w:val="004B64F9"/>
    <w:rsid w:val="004B6518"/>
    <w:rsid w:val="004B661D"/>
    <w:rsid w:val="004B67B4"/>
    <w:rsid w:val="004B68E4"/>
    <w:rsid w:val="004B6900"/>
    <w:rsid w:val="004B6A51"/>
    <w:rsid w:val="004B6BDF"/>
    <w:rsid w:val="004B6D1E"/>
    <w:rsid w:val="004B6F1C"/>
    <w:rsid w:val="004B6F4F"/>
    <w:rsid w:val="004B708C"/>
    <w:rsid w:val="004B70B5"/>
    <w:rsid w:val="004B71F6"/>
    <w:rsid w:val="004B724F"/>
    <w:rsid w:val="004B73CB"/>
    <w:rsid w:val="004B7422"/>
    <w:rsid w:val="004B7568"/>
    <w:rsid w:val="004B7598"/>
    <w:rsid w:val="004B75FF"/>
    <w:rsid w:val="004B77D7"/>
    <w:rsid w:val="004B77FF"/>
    <w:rsid w:val="004B7830"/>
    <w:rsid w:val="004B788E"/>
    <w:rsid w:val="004B798D"/>
    <w:rsid w:val="004B79EC"/>
    <w:rsid w:val="004B79ED"/>
    <w:rsid w:val="004B7AB2"/>
    <w:rsid w:val="004B7AD5"/>
    <w:rsid w:val="004B7B07"/>
    <w:rsid w:val="004B7B28"/>
    <w:rsid w:val="004B7B6D"/>
    <w:rsid w:val="004B7BDD"/>
    <w:rsid w:val="004B7C39"/>
    <w:rsid w:val="004B7C7F"/>
    <w:rsid w:val="004B7CC0"/>
    <w:rsid w:val="004B7CD7"/>
    <w:rsid w:val="004B7D10"/>
    <w:rsid w:val="004B7D13"/>
    <w:rsid w:val="004B7DA8"/>
    <w:rsid w:val="004B7DA9"/>
    <w:rsid w:val="004B7E82"/>
    <w:rsid w:val="004B7F33"/>
    <w:rsid w:val="004B7F9E"/>
    <w:rsid w:val="004C004A"/>
    <w:rsid w:val="004C01D0"/>
    <w:rsid w:val="004C03C4"/>
    <w:rsid w:val="004C0489"/>
    <w:rsid w:val="004C04C2"/>
    <w:rsid w:val="004C0590"/>
    <w:rsid w:val="004C07B0"/>
    <w:rsid w:val="004C08F4"/>
    <w:rsid w:val="004C0B41"/>
    <w:rsid w:val="004C0B4F"/>
    <w:rsid w:val="004C0C0C"/>
    <w:rsid w:val="004C0C5C"/>
    <w:rsid w:val="004C0C75"/>
    <w:rsid w:val="004C0D05"/>
    <w:rsid w:val="004C0E59"/>
    <w:rsid w:val="004C0E81"/>
    <w:rsid w:val="004C0FE9"/>
    <w:rsid w:val="004C1292"/>
    <w:rsid w:val="004C134A"/>
    <w:rsid w:val="004C135F"/>
    <w:rsid w:val="004C13A0"/>
    <w:rsid w:val="004C14E8"/>
    <w:rsid w:val="004C1500"/>
    <w:rsid w:val="004C153F"/>
    <w:rsid w:val="004C16CB"/>
    <w:rsid w:val="004C179A"/>
    <w:rsid w:val="004C17B0"/>
    <w:rsid w:val="004C188F"/>
    <w:rsid w:val="004C1A01"/>
    <w:rsid w:val="004C1ACA"/>
    <w:rsid w:val="004C1AEC"/>
    <w:rsid w:val="004C1C9D"/>
    <w:rsid w:val="004C1D7B"/>
    <w:rsid w:val="004C1EC1"/>
    <w:rsid w:val="004C1FDC"/>
    <w:rsid w:val="004C2082"/>
    <w:rsid w:val="004C2172"/>
    <w:rsid w:val="004C21CF"/>
    <w:rsid w:val="004C21E7"/>
    <w:rsid w:val="004C23A8"/>
    <w:rsid w:val="004C23E0"/>
    <w:rsid w:val="004C24EF"/>
    <w:rsid w:val="004C25E0"/>
    <w:rsid w:val="004C26EF"/>
    <w:rsid w:val="004C275A"/>
    <w:rsid w:val="004C27B7"/>
    <w:rsid w:val="004C27BC"/>
    <w:rsid w:val="004C2871"/>
    <w:rsid w:val="004C2941"/>
    <w:rsid w:val="004C2960"/>
    <w:rsid w:val="004C2971"/>
    <w:rsid w:val="004C2A5B"/>
    <w:rsid w:val="004C2B04"/>
    <w:rsid w:val="004C2B6A"/>
    <w:rsid w:val="004C2BC8"/>
    <w:rsid w:val="004C2D08"/>
    <w:rsid w:val="004C2D0E"/>
    <w:rsid w:val="004C2D81"/>
    <w:rsid w:val="004C2E65"/>
    <w:rsid w:val="004C2F54"/>
    <w:rsid w:val="004C2F64"/>
    <w:rsid w:val="004C2F77"/>
    <w:rsid w:val="004C3009"/>
    <w:rsid w:val="004C3013"/>
    <w:rsid w:val="004C30AA"/>
    <w:rsid w:val="004C30D8"/>
    <w:rsid w:val="004C31BE"/>
    <w:rsid w:val="004C3276"/>
    <w:rsid w:val="004C333F"/>
    <w:rsid w:val="004C3367"/>
    <w:rsid w:val="004C3587"/>
    <w:rsid w:val="004C3625"/>
    <w:rsid w:val="004C363D"/>
    <w:rsid w:val="004C3700"/>
    <w:rsid w:val="004C3718"/>
    <w:rsid w:val="004C3825"/>
    <w:rsid w:val="004C387E"/>
    <w:rsid w:val="004C39EC"/>
    <w:rsid w:val="004C3C1C"/>
    <w:rsid w:val="004C3C83"/>
    <w:rsid w:val="004C3C93"/>
    <w:rsid w:val="004C3D05"/>
    <w:rsid w:val="004C3DE6"/>
    <w:rsid w:val="004C3FAA"/>
    <w:rsid w:val="004C4011"/>
    <w:rsid w:val="004C4132"/>
    <w:rsid w:val="004C41D9"/>
    <w:rsid w:val="004C4350"/>
    <w:rsid w:val="004C44E2"/>
    <w:rsid w:val="004C44FB"/>
    <w:rsid w:val="004C454E"/>
    <w:rsid w:val="004C4614"/>
    <w:rsid w:val="004C4836"/>
    <w:rsid w:val="004C483F"/>
    <w:rsid w:val="004C496E"/>
    <w:rsid w:val="004C4B52"/>
    <w:rsid w:val="004C4D89"/>
    <w:rsid w:val="004C4F03"/>
    <w:rsid w:val="004C5432"/>
    <w:rsid w:val="004C547B"/>
    <w:rsid w:val="004C557B"/>
    <w:rsid w:val="004C557C"/>
    <w:rsid w:val="004C5632"/>
    <w:rsid w:val="004C56D3"/>
    <w:rsid w:val="004C57B6"/>
    <w:rsid w:val="004C59E4"/>
    <w:rsid w:val="004C5BFD"/>
    <w:rsid w:val="004C5D43"/>
    <w:rsid w:val="004C6077"/>
    <w:rsid w:val="004C607B"/>
    <w:rsid w:val="004C60C1"/>
    <w:rsid w:val="004C610C"/>
    <w:rsid w:val="004C6164"/>
    <w:rsid w:val="004C62C4"/>
    <w:rsid w:val="004C6389"/>
    <w:rsid w:val="004C63C4"/>
    <w:rsid w:val="004C6430"/>
    <w:rsid w:val="004C6510"/>
    <w:rsid w:val="004C6621"/>
    <w:rsid w:val="004C6672"/>
    <w:rsid w:val="004C66A3"/>
    <w:rsid w:val="004C66FB"/>
    <w:rsid w:val="004C6890"/>
    <w:rsid w:val="004C699E"/>
    <w:rsid w:val="004C6A55"/>
    <w:rsid w:val="004C6ABE"/>
    <w:rsid w:val="004C6BAE"/>
    <w:rsid w:val="004C6C23"/>
    <w:rsid w:val="004C6D42"/>
    <w:rsid w:val="004C6DB8"/>
    <w:rsid w:val="004C724C"/>
    <w:rsid w:val="004C72D8"/>
    <w:rsid w:val="004C738B"/>
    <w:rsid w:val="004C7436"/>
    <w:rsid w:val="004C752B"/>
    <w:rsid w:val="004C75CD"/>
    <w:rsid w:val="004C76E0"/>
    <w:rsid w:val="004C79A2"/>
    <w:rsid w:val="004C7AA2"/>
    <w:rsid w:val="004C7B0C"/>
    <w:rsid w:val="004C7B1C"/>
    <w:rsid w:val="004C7B7F"/>
    <w:rsid w:val="004C7C0E"/>
    <w:rsid w:val="004C7D9B"/>
    <w:rsid w:val="004C7E08"/>
    <w:rsid w:val="004C7E93"/>
    <w:rsid w:val="004D0035"/>
    <w:rsid w:val="004D0193"/>
    <w:rsid w:val="004D01BA"/>
    <w:rsid w:val="004D0247"/>
    <w:rsid w:val="004D02E4"/>
    <w:rsid w:val="004D0683"/>
    <w:rsid w:val="004D06F5"/>
    <w:rsid w:val="004D0864"/>
    <w:rsid w:val="004D0891"/>
    <w:rsid w:val="004D0C02"/>
    <w:rsid w:val="004D0CF9"/>
    <w:rsid w:val="004D0D16"/>
    <w:rsid w:val="004D0F27"/>
    <w:rsid w:val="004D11D2"/>
    <w:rsid w:val="004D11EF"/>
    <w:rsid w:val="004D12B7"/>
    <w:rsid w:val="004D1332"/>
    <w:rsid w:val="004D1362"/>
    <w:rsid w:val="004D1395"/>
    <w:rsid w:val="004D144B"/>
    <w:rsid w:val="004D1720"/>
    <w:rsid w:val="004D18E3"/>
    <w:rsid w:val="004D1944"/>
    <w:rsid w:val="004D1A0F"/>
    <w:rsid w:val="004D1A27"/>
    <w:rsid w:val="004D1B21"/>
    <w:rsid w:val="004D1B85"/>
    <w:rsid w:val="004D1D83"/>
    <w:rsid w:val="004D1DF6"/>
    <w:rsid w:val="004D1E23"/>
    <w:rsid w:val="004D1E5B"/>
    <w:rsid w:val="004D202A"/>
    <w:rsid w:val="004D216A"/>
    <w:rsid w:val="004D2191"/>
    <w:rsid w:val="004D2299"/>
    <w:rsid w:val="004D2432"/>
    <w:rsid w:val="004D2569"/>
    <w:rsid w:val="004D259E"/>
    <w:rsid w:val="004D2663"/>
    <w:rsid w:val="004D26F4"/>
    <w:rsid w:val="004D27E9"/>
    <w:rsid w:val="004D284E"/>
    <w:rsid w:val="004D2964"/>
    <w:rsid w:val="004D29C6"/>
    <w:rsid w:val="004D2AAA"/>
    <w:rsid w:val="004D2C6A"/>
    <w:rsid w:val="004D2D95"/>
    <w:rsid w:val="004D2E0D"/>
    <w:rsid w:val="004D30CA"/>
    <w:rsid w:val="004D31EE"/>
    <w:rsid w:val="004D325A"/>
    <w:rsid w:val="004D3296"/>
    <w:rsid w:val="004D3313"/>
    <w:rsid w:val="004D343E"/>
    <w:rsid w:val="004D3553"/>
    <w:rsid w:val="004D3562"/>
    <w:rsid w:val="004D363F"/>
    <w:rsid w:val="004D3688"/>
    <w:rsid w:val="004D371F"/>
    <w:rsid w:val="004D37BF"/>
    <w:rsid w:val="004D383D"/>
    <w:rsid w:val="004D38E9"/>
    <w:rsid w:val="004D39B3"/>
    <w:rsid w:val="004D3AE9"/>
    <w:rsid w:val="004D3E7B"/>
    <w:rsid w:val="004D3EC2"/>
    <w:rsid w:val="004D3F7A"/>
    <w:rsid w:val="004D40BB"/>
    <w:rsid w:val="004D41C6"/>
    <w:rsid w:val="004D41F7"/>
    <w:rsid w:val="004D4211"/>
    <w:rsid w:val="004D4322"/>
    <w:rsid w:val="004D434B"/>
    <w:rsid w:val="004D43A6"/>
    <w:rsid w:val="004D4457"/>
    <w:rsid w:val="004D4513"/>
    <w:rsid w:val="004D4891"/>
    <w:rsid w:val="004D4908"/>
    <w:rsid w:val="004D4A91"/>
    <w:rsid w:val="004D4AEF"/>
    <w:rsid w:val="004D4AF7"/>
    <w:rsid w:val="004D4B98"/>
    <w:rsid w:val="004D4C93"/>
    <w:rsid w:val="004D4E05"/>
    <w:rsid w:val="004D4E73"/>
    <w:rsid w:val="004D4F48"/>
    <w:rsid w:val="004D5012"/>
    <w:rsid w:val="004D5027"/>
    <w:rsid w:val="004D5151"/>
    <w:rsid w:val="004D518A"/>
    <w:rsid w:val="004D5212"/>
    <w:rsid w:val="004D527C"/>
    <w:rsid w:val="004D529A"/>
    <w:rsid w:val="004D52A5"/>
    <w:rsid w:val="004D5301"/>
    <w:rsid w:val="004D5377"/>
    <w:rsid w:val="004D5460"/>
    <w:rsid w:val="004D5550"/>
    <w:rsid w:val="004D55D0"/>
    <w:rsid w:val="004D564D"/>
    <w:rsid w:val="004D567D"/>
    <w:rsid w:val="004D56BA"/>
    <w:rsid w:val="004D5821"/>
    <w:rsid w:val="004D5840"/>
    <w:rsid w:val="004D59C8"/>
    <w:rsid w:val="004D5A19"/>
    <w:rsid w:val="004D5A32"/>
    <w:rsid w:val="004D5AAE"/>
    <w:rsid w:val="004D5B74"/>
    <w:rsid w:val="004D5C50"/>
    <w:rsid w:val="004D5C53"/>
    <w:rsid w:val="004D5C6A"/>
    <w:rsid w:val="004D5DD4"/>
    <w:rsid w:val="004D5ED0"/>
    <w:rsid w:val="004D60A1"/>
    <w:rsid w:val="004D6156"/>
    <w:rsid w:val="004D61BC"/>
    <w:rsid w:val="004D622C"/>
    <w:rsid w:val="004D6310"/>
    <w:rsid w:val="004D631D"/>
    <w:rsid w:val="004D6321"/>
    <w:rsid w:val="004D632D"/>
    <w:rsid w:val="004D64C4"/>
    <w:rsid w:val="004D6593"/>
    <w:rsid w:val="004D65DC"/>
    <w:rsid w:val="004D677B"/>
    <w:rsid w:val="004D682C"/>
    <w:rsid w:val="004D6A20"/>
    <w:rsid w:val="004D6A3C"/>
    <w:rsid w:val="004D6A97"/>
    <w:rsid w:val="004D6AC6"/>
    <w:rsid w:val="004D6B0E"/>
    <w:rsid w:val="004D6C1A"/>
    <w:rsid w:val="004D6C32"/>
    <w:rsid w:val="004D6C48"/>
    <w:rsid w:val="004D6C5E"/>
    <w:rsid w:val="004D6E45"/>
    <w:rsid w:val="004D6EBE"/>
    <w:rsid w:val="004D6F26"/>
    <w:rsid w:val="004D6FA8"/>
    <w:rsid w:val="004D6FE0"/>
    <w:rsid w:val="004D6FEA"/>
    <w:rsid w:val="004D7012"/>
    <w:rsid w:val="004D7022"/>
    <w:rsid w:val="004D7036"/>
    <w:rsid w:val="004D70B1"/>
    <w:rsid w:val="004D7464"/>
    <w:rsid w:val="004D74D3"/>
    <w:rsid w:val="004D7503"/>
    <w:rsid w:val="004D7593"/>
    <w:rsid w:val="004D7605"/>
    <w:rsid w:val="004D7736"/>
    <w:rsid w:val="004D77D6"/>
    <w:rsid w:val="004D7803"/>
    <w:rsid w:val="004D792C"/>
    <w:rsid w:val="004D7A7C"/>
    <w:rsid w:val="004D7AA9"/>
    <w:rsid w:val="004D7C59"/>
    <w:rsid w:val="004D7CD3"/>
    <w:rsid w:val="004D7CD7"/>
    <w:rsid w:val="004D7CFD"/>
    <w:rsid w:val="004D7DDD"/>
    <w:rsid w:val="004D7E80"/>
    <w:rsid w:val="004D7ED7"/>
    <w:rsid w:val="004D7EE8"/>
    <w:rsid w:val="004D7F82"/>
    <w:rsid w:val="004D7FAB"/>
    <w:rsid w:val="004D7FD4"/>
    <w:rsid w:val="004E002F"/>
    <w:rsid w:val="004E0060"/>
    <w:rsid w:val="004E0267"/>
    <w:rsid w:val="004E02C2"/>
    <w:rsid w:val="004E0434"/>
    <w:rsid w:val="004E045F"/>
    <w:rsid w:val="004E07A9"/>
    <w:rsid w:val="004E07F0"/>
    <w:rsid w:val="004E0833"/>
    <w:rsid w:val="004E0930"/>
    <w:rsid w:val="004E0951"/>
    <w:rsid w:val="004E0BE3"/>
    <w:rsid w:val="004E0CD6"/>
    <w:rsid w:val="004E0DDB"/>
    <w:rsid w:val="004E0E37"/>
    <w:rsid w:val="004E0E61"/>
    <w:rsid w:val="004E0EBD"/>
    <w:rsid w:val="004E1112"/>
    <w:rsid w:val="004E13E5"/>
    <w:rsid w:val="004E1426"/>
    <w:rsid w:val="004E1500"/>
    <w:rsid w:val="004E1518"/>
    <w:rsid w:val="004E1536"/>
    <w:rsid w:val="004E153F"/>
    <w:rsid w:val="004E1617"/>
    <w:rsid w:val="004E163A"/>
    <w:rsid w:val="004E164E"/>
    <w:rsid w:val="004E16EA"/>
    <w:rsid w:val="004E16FC"/>
    <w:rsid w:val="004E1A0D"/>
    <w:rsid w:val="004E1A27"/>
    <w:rsid w:val="004E1C32"/>
    <w:rsid w:val="004E1DE9"/>
    <w:rsid w:val="004E1DF7"/>
    <w:rsid w:val="004E1E25"/>
    <w:rsid w:val="004E1F05"/>
    <w:rsid w:val="004E1FD8"/>
    <w:rsid w:val="004E2019"/>
    <w:rsid w:val="004E23F1"/>
    <w:rsid w:val="004E2419"/>
    <w:rsid w:val="004E242F"/>
    <w:rsid w:val="004E248D"/>
    <w:rsid w:val="004E24E3"/>
    <w:rsid w:val="004E257D"/>
    <w:rsid w:val="004E2614"/>
    <w:rsid w:val="004E261B"/>
    <w:rsid w:val="004E2651"/>
    <w:rsid w:val="004E27D0"/>
    <w:rsid w:val="004E27D6"/>
    <w:rsid w:val="004E28C6"/>
    <w:rsid w:val="004E294F"/>
    <w:rsid w:val="004E2A3B"/>
    <w:rsid w:val="004E2BA8"/>
    <w:rsid w:val="004E2C62"/>
    <w:rsid w:val="004E2D26"/>
    <w:rsid w:val="004E2E1C"/>
    <w:rsid w:val="004E2E2F"/>
    <w:rsid w:val="004E2EFA"/>
    <w:rsid w:val="004E2F8F"/>
    <w:rsid w:val="004E306E"/>
    <w:rsid w:val="004E3104"/>
    <w:rsid w:val="004E326E"/>
    <w:rsid w:val="004E32D8"/>
    <w:rsid w:val="004E3329"/>
    <w:rsid w:val="004E340D"/>
    <w:rsid w:val="004E34DE"/>
    <w:rsid w:val="004E3520"/>
    <w:rsid w:val="004E3556"/>
    <w:rsid w:val="004E3701"/>
    <w:rsid w:val="004E382C"/>
    <w:rsid w:val="004E385D"/>
    <w:rsid w:val="004E392B"/>
    <w:rsid w:val="004E39F3"/>
    <w:rsid w:val="004E3AEC"/>
    <w:rsid w:val="004E3B30"/>
    <w:rsid w:val="004E3BBB"/>
    <w:rsid w:val="004E3C13"/>
    <w:rsid w:val="004E3C98"/>
    <w:rsid w:val="004E3D53"/>
    <w:rsid w:val="004E3DBA"/>
    <w:rsid w:val="004E3E23"/>
    <w:rsid w:val="004E3F2E"/>
    <w:rsid w:val="004E3F3C"/>
    <w:rsid w:val="004E3F61"/>
    <w:rsid w:val="004E3FB4"/>
    <w:rsid w:val="004E42BE"/>
    <w:rsid w:val="004E43AA"/>
    <w:rsid w:val="004E43C9"/>
    <w:rsid w:val="004E43E5"/>
    <w:rsid w:val="004E443B"/>
    <w:rsid w:val="004E4443"/>
    <w:rsid w:val="004E44CF"/>
    <w:rsid w:val="004E4522"/>
    <w:rsid w:val="004E47B1"/>
    <w:rsid w:val="004E494E"/>
    <w:rsid w:val="004E4A10"/>
    <w:rsid w:val="004E4A24"/>
    <w:rsid w:val="004E4A6F"/>
    <w:rsid w:val="004E4B23"/>
    <w:rsid w:val="004E4B83"/>
    <w:rsid w:val="004E4BDB"/>
    <w:rsid w:val="004E4C6F"/>
    <w:rsid w:val="004E4CE1"/>
    <w:rsid w:val="004E4DE7"/>
    <w:rsid w:val="004E4E26"/>
    <w:rsid w:val="004E4E7E"/>
    <w:rsid w:val="004E4F23"/>
    <w:rsid w:val="004E4FBD"/>
    <w:rsid w:val="004E50B4"/>
    <w:rsid w:val="004E513B"/>
    <w:rsid w:val="004E5145"/>
    <w:rsid w:val="004E51F7"/>
    <w:rsid w:val="004E533A"/>
    <w:rsid w:val="004E53A4"/>
    <w:rsid w:val="004E5453"/>
    <w:rsid w:val="004E54D2"/>
    <w:rsid w:val="004E55F0"/>
    <w:rsid w:val="004E561F"/>
    <w:rsid w:val="004E5805"/>
    <w:rsid w:val="004E5A1F"/>
    <w:rsid w:val="004E5B5B"/>
    <w:rsid w:val="004E5D69"/>
    <w:rsid w:val="004E5EC2"/>
    <w:rsid w:val="004E5EC8"/>
    <w:rsid w:val="004E5F71"/>
    <w:rsid w:val="004E60EA"/>
    <w:rsid w:val="004E6195"/>
    <w:rsid w:val="004E6258"/>
    <w:rsid w:val="004E6262"/>
    <w:rsid w:val="004E6294"/>
    <w:rsid w:val="004E630A"/>
    <w:rsid w:val="004E6461"/>
    <w:rsid w:val="004E646B"/>
    <w:rsid w:val="004E6756"/>
    <w:rsid w:val="004E6762"/>
    <w:rsid w:val="004E677C"/>
    <w:rsid w:val="004E6840"/>
    <w:rsid w:val="004E6948"/>
    <w:rsid w:val="004E69A3"/>
    <w:rsid w:val="004E69F8"/>
    <w:rsid w:val="004E6A45"/>
    <w:rsid w:val="004E6B93"/>
    <w:rsid w:val="004E6C49"/>
    <w:rsid w:val="004E6C6A"/>
    <w:rsid w:val="004E6D45"/>
    <w:rsid w:val="004E6DAB"/>
    <w:rsid w:val="004E6EE9"/>
    <w:rsid w:val="004E6F03"/>
    <w:rsid w:val="004E6F04"/>
    <w:rsid w:val="004E7082"/>
    <w:rsid w:val="004E70A0"/>
    <w:rsid w:val="004E70C7"/>
    <w:rsid w:val="004E70D5"/>
    <w:rsid w:val="004E7171"/>
    <w:rsid w:val="004E7178"/>
    <w:rsid w:val="004E7217"/>
    <w:rsid w:val="004E728B"/>
    <w:rsid w:val="004E7321"/>
    <w:rsid w:val="004E7676"/>
    <w:rsid w:val="004E76BE"/>
    <w:rsid w:val="004E779B"/>
    <w:rsid w:val="004E7876"/>
    <w:rsid w:val="004E78C3"/>
    <w:rsid w:val="004E7940"/>
    <w:rsid w:val="004E79CC"/>
    <w:rsid w:val="004E7BCB"/>
    <w:rsid w:val="004E7D21"/>
    <w:rsid w:val="004E7D5C"/>
    <w:rsid w:val="004E7DB6"/>
    <w:rsid w:val="004E7E05"/>
    <w:rsid w:val="004E7E5F"/>
    <w:rsid w:val="004E7ECB"/>
    <w:rsid w:val="004E7EFE"/>
    <w:rsid w:val="004E7F52"/>
    <w:rsid w:val="004F0040"/>
    <w:rsid w:val="004F0206"/>
    <w:rsid w:val="004F023C"/>
    <w:rsid w:val="004F02B4"/>
    <w:rsid w:val="004F0370"/>
    <w:rsid w:val="004F0663"/>
    <w:rsid w:val="004F07C0"/>
    <w:rsid w:val="004F08B3"/>
    <w:rsid w:val="004F08C4"/>
    <w:rsid w:val="004F08DB"/>
    <w:rsid w:val="004F0A6C"/>
    <w:rsid w:val="004F0ACE"/>
    <w:rsid w:val="004F0AED"/>
    <w:rsid w:val="004F0BF1"/>
    <w:rsid w:val="004F0C74"/>
    <w:rsid w:val="004F0C9C"/>
    <w:rsid w:val="004F0CD5"/>
    <w:rsid w:val="004F0CD8"/>
    <w:rsid w:val="004F0D12"/>
    <w:rsid w:val="004F0EA9"/>
    <w:rsid w:val="004F0FE5"/>
    <w:rsid w:val="004F100A"/>
    <w:rsid w:val="004F10CC"/>
    <w:rsid w:val="004F1116"/>
    <w:rsid w:val="004F1132"/>
    <w:rsid w:val="004F114D"/>
    <w:rsid w:val="004F11E6"/>
    <w:rsid w:val="004F11F6"/>
    <w:rsid w:val="004F138F"/>
    <w:rsid w:val="004F1409"/>
    <w:rsid w:val="004F14B1"/>
    <w:rsid w:val="004F15D7"/>
    <w:rsid w:val="004F1649"/>
    <w:rsid w:val="004F193C"/>
    <w:rsid w:val="004F1A11"/>
    <w:rsid w:val="004F1B27"/>
    <w:rsid w:val="004F1C60"/>
    <w:rsid w:val="004F1EB9"/>
    <w:rsid w:val="004F1EFA"/>
    <w:rsid w:val="004F20C6"/>
    <w:rsid w:val="004F215C"/>
    <w:rsid w:val="004F2231"/>
    <w:rsid w:val="004F22F9"/>
    <w:rsid w:val="004F236D"/>
    <w:rsid w:val="004F23B3"/>
    <w:rsid w:val="004F2425"/>
    <w:rsid w:val="004F243A"/>
    <w:rsid w:val="004F24C2"/>
    <w:rsid w:val="004F24E2"/>
    <w:rsid w:val="004F2555"/>
    <w:rsid w:val="004F2688"/>
    <w:rsid w:val="004F2695"/>
    <w:rsid w:val="004F273D"/>
    <w:rsid w:val="004F27E5"/>
    <w:rsid w:val="004F2837"/>
    <w:rsid w:val="004F2918"/>
    <w:rsid w:val="004F2A48"/>
    <w:rsid w:val="004F2A6C"/>
    <w:rsid w:val="004F2A87"/>
    <w:rsid w:val="004F2C4A"/>
    <w:rsid w:val="004F2CAC"/>
    <w:rsid w:val="004F2FF1"/>
    <w:rsid w:val="004F3030"/>
    <w:rsid w:val="004F3053"/>
    <w:rsid w:val="004F3092"/>
    <w:rsid w:val="004F3248"/>
    <w:rsid w:val="004F3374"/>
    <w:rsid w:val="004F33C1"/>
    <w:rsid w:val="004F359C"/>
    <w:rsid w:val="004F3739"/>
    <w:rsid w:val="004F3778"/>
    <w:rsid w:val="004F3959"/>
    <w:rsid w:val="004F3964"/>
    <w:rsid w:val="004F3D39"/>
    <w:rsid w:val="004F3ECB"/>
    <w:rsid w:val="004F3F1A"/>
    <w:rsid w:val="004F4378"/>
    <w:rsid w:val="004F442C"/>
    <w:rsid w:val="004F4800"/>
    <w:rsid w:val="004F4840"/>
    <w:rsid w:val="004F4845"/>
    <w:rsid w:val="004F488E"/>
    <w:rsid w:val="004F4952"/>
    <w:rsid w:val="004F4A38"/>
    <w:rsid w:val="004F4C24"/>
    <w:rsid w:val="004F4C80"/>
    <w:rsid w:val="004F4C85"/>
    <w:rsid w:val="004F4DF6"/>
    <w:rsid w:val="004F4EE7"/>
    <w:rsid w:val="004F4EF1"/>
    <w:rsid w:val="004F5011"/>
    <w:rsid w:val="004F5040"/>
    <w:rsid w:val="004F51BF"/>
    <w:rsid w:val="004F521C"/>
    <w:rsid w:val="004F5335"/>
    <w:rsid w:val="004F5560"/>
    <w:rsid w:val="004F55F4"/>
    <w:rsid w:val="004F561C"/>
    <w:rsid w:val="004F56F6"/>
    <w:rsid w:val="004F578D"/>
    <w:rsid w:val="004F57A8"/>
    <w:rsid w:val="004F585C"/>
    <w:rsid w:val="004F5964"/>
    <w:rsid w:val="004F5A5E"/>
    <w:rsid w:val="004F5B35"/>
    <w:rsid w:val="004F5B8D"/>
    <w:rsid w:val="004F6036"/>
    <w:rsid w:val="004F603C"/>
    <w:rsid w:val="004F63BD"/>
    <w:rsid w:val="004F63D2"/>
    <w:rsid w:val="004F63EA"/>
    <w:rsid w:val="004F6455"/>
    <w:rsid w:val="004F6492"/>
    <w:rsid w:val="004F6562"/>
    <w:rsid w:val="004F660F"/>
    <w:rsid w:val="004F6894"/>
    <w:rsid w:val="004F6A9C"/>
    <w:rsid w:val="004F6ADC"/>
    <w:rsid w:val="004F6BB0"/>
    <w:rsid w:val="004F6C42"/>
    <w:rsid w:val="004F6DC2"/>
    <w:rsid w:val="004F6E3D"/>
    <w:rsid w:val="004F6E8A"/>
    <w:rsid w:val="004F6F92"/>
    <w:rsid w:val="004F7038"/>
    <w:rsid w:val="004F70CB"/>
    <w:rsid w:val="004F71D8"/>
    <w:rsid w:val="004F7273"/>
    <w:rsid w:val="004F7523"/>
    <w:rsid w:val="004F75A2"/>
    <w:rsid w:val="004F7647"/>
    <w:rsid w:val="004F769F"/>
    <w:rsid w:val="004F7784"/>
    <w:rsid w:val="004F7837"/>
    <w:rsid w:val="004F7881"/>
    <w:rsid w:val="004F788C"/>
    <w:rsid w:val="004F7895"/>
    <w:rsid w:val="004F7B3F"/>
    <w:rsid w:val="004F7B75"/>
    <w:rsid w:val="004F7BD8"/>
    <w:rsid w:val="004F7D57"/>
    <w:rsid w:val="004F7D84"/>
    <w:rsid w:val="004F7E02"/>
    <w:rsid w:val="004F7F6D"/>
    <w:rsid w:val="00500097"/>
    <w:rsid w:val="005001AC"/>
    <w:rsid w:val="005001D5"/>
    <w:rsid w:val="00500201"/>
    <w:rsid w:val="005003FA"/>
    <w:rsid w:val="0050043A"/>
    <w:rsid w:val="005004C0"/>
    <w:rsid w:val="0050052D"/>
    <w:rsid w:val="005005AD"/>
    <w:rsid w:val="005005DA"/>
    <w:rsid w:val="0050062B"/>
    <w:rsid w:val="0050074A"/>
    <w:rsid w:val="00500952"/>
    <w:rsid w:val="00500992"/>
    <w:rsid w:val="005009CB"/>
    <w:rsid w:val="00500A18"/>
    <w:rsid w:val="00500A4D"/>
    <w:rsid w:val="00500ADC"/>
    <w:rsid w:val="00500B1F"/>
    <w:rsid w:val="00500B57"/>
    <w:rsid w:val="00500C10"/>
    <w:rsid w:val="00500CCB"/>
    <w:rsid w:val="00500CEF"/>
    <w:rsid w:val="00500D49"/>
    <w:rsid w:val="00500D86"/>
    <w:rsid w:val="00500DBD"/>
    <w:rsid w:val="00500F9D"/>
    <w:rsid w:val="005010A9"/>
    <w:rsid w:val="005011E1"/>
    <w:rsid w:val="0050121B"/>
    <w:rsid w:val="0050127C"/>
    <w:rsid w:val="005013AA"/>
    <w:rsid w:val="005015FE"/>
    <w:rsid w:val="00501816"/>
    <w:rsid w:val="0050186E"/>
    <w:rsid w:val="00501889"/>
    <w:rsid w:val="00501915"/>
    <w:rsid w:val="00501A15"/>
    <w:rsid w:val="00501A9E"/>
    <w:rsid w:val="00501B78"/>
    <w:rsid w:val="00501CA0"/>
    <w:rsid w:val="00501CA4"/>
    <w:rsid w:val="00501CB1"/>
    <w:rsid w:val="00501DE6"/>
    <w:rsid w:val="00501EC9"/>
    <w:rsid w:val="005020E9"/>
    <w:rsid w:val="00502131"/>
    <w:rsid w:val="0050216E"/>
    <w:rsid w:val="005021D9"/>
    <w:rsid w:val="00502257"/>
    <w:rsid w:val="005022F4"/>
    <w:rsid w:val="00502364"/>
    <w:rsid w:val="00502444"/>
    <w:rsid w:val="005024E4"/>
    <w:rsid w:val="0050257E"/>
    <w:rsid w:val="0050264E"/>
    <w:rsid w:val="0050276D"/>
    <w:rsid w:val="00502809"/>
    <w:rsid w:val="0050298F"/>
    <w:rsid w:val="00502A7F"/>
    <w:rsid w:val="00502AF3"/>
    <w:rsid w:val="00502B65"/>
    <w:rsid w:val="00502BEC"/>
    <w:rsid w:val="00502DE4"/>
    <w:rsid w:val="00502E0F"/>
    <w:rsid w:val="00502E6F"/>
    <w:rsid w:val="00502EBC"/>
    <w:rsid w:val="00502F6E"/>
    <w:rsid w:val="005031F6"/>
    <w:rsid w:val="00503244"/>
    <w:rsid w:val="00503265"/>
    <w:rsid w:val="00503305"/>
    <w:rsid w:val="00503327"/>
    <w:rsid w:val="005034CF"/>
    <w:rsid w:val="005034D5"/>
    <w:rsid w:val="0050363B"/>
    <w:rsid w:val="0050392E"/>
    <w:rsid w:val="005039BF"/>
    <w:rsid w:val="00503A91"/>
    <w:rsid w:val="00503B58"/>
    <w:rsid w:val="00503B64"/>
    <w:rsid w:val="00503BDB"/>
    <w:rsid w:val="00503C29"/>
    <w:rsid w:val="00503C87"/>
    <w:rsid w:val="00503D63"/>
    <w:rsid w:val="00503D6D"/>
    <w:rsid w:val="00503E13"/>
    <w:rsid w:val="00503EEF"/>
    <w:rsid w:val="00503FA5"/>
    <w:rsid w:val="0050420B"/>
    <w:rsid w:val="0050432A"/>
    <w:rsid w:val="00504370"/>
    <w:rsid w:val="00504422"/>
    <w:rsid w:val="00504470"/>
    <w:rsid w:val="00504643"/>
    <w:rsid w:val="005046A5"/>
    <w:rsid w:val="0050487D"/>
    <w:rsid w:val="00504908"/>
    <w:rsid w:val="005049D2"/>
    <w:rsid w:val="00504A58"/>
    <w:rsid w:val="00504CAB"/>
    <w:rsid w:val="00504CF0"/>
    <w:rsid w:val="00504D14"/>
    <w:rsid w:val="00504DF5"/>
    <w:rsid w:val="00504E49"/>
    <w:rsid w:val="00504F5B"/>
    <w:rsid w:val="00505079"/>
    <w:rsid w:val="0050521A"/>
    <w:rsid w:val="005052D2"/>
    <w:rsid w:val="00505347"/>
    <w:rsid w:val="005053D4"/>
    <w:rsid w:val="0050543E"/>
    <w:rsid w:val="005054A1"/>
    <w:rsid w:val="005055F3"/>
    <w:rsid w:val="00505611"/>
    <w:rsid w:val="00505654"/>
    <w:rsid w:val="005056A5"/>
    <w:rsid w:val="005056DA"/>
    <w:rsid w:val="0050570A"/>
    <w:rsid w:val="005057A3"/>
    <w:rsid w:val="005057DF"/>
    <w:rsid w:val="00505818"/>
    <w:rsid w:val="005058D0"/>
    <w:rsid w:val="00505A76"/>
    <w:rsid w:val="00505A92"/>
    <w:rsid w:val="00505D25"/>
    <w:rsid w:val="00505D7E"/>
    <w:rsid w:val="00505F65"/>
    <w:rsid w:val="00506054"/>
    <w:rsid w:val="005060CB"/>
    <w:rsid w:val="00506165"/>
    <w:rsid w:val="00506215"/>
    <w:rsid w:val="00506221"/>
    <w:rsid w:val="0050637B"/>
    <w:rsid w:val="00506381"/>
    <w:rsid w:val="00506412"/>
    <w:rsid w:val="005064EB"/>
    <w:rsid w:val="00506515"/>
    <w:rsid w:val="00506566"/>
    <w:rsid w:val="005065AC"/>
    <w:rsid w:val="0050664E"/>
    <w:rsid w:val="005066FB"/>
    <w:rsid w:val="0050670B"/>
    <w:rsid w:val="00506852"/>
    <w:rsid w:val="005069AF"/>
    <w:rsid w:val="005069B7"/>
    <w:rsid w:val="00506AF8"/>
    <w:rsid w:val="00506CF3"/>
    <w:rsid w:val="00506E80"/>
    <w:rsid w:val="0050713B"/>
    <w:rsid w:val="00507166"/>
    <w:rsid w:val="005072C2"/>
    <w:rsid w:val="00507566"/>
    <w:rsid w:val="00507606"/>
    <w:rsid w:val="005076CB"/>
    <w:rsid w:val="005078E5"/>
    <w:rsid w:val="005078F5"/>
    <w:rsid w:val="0050799D"/>
    <w:rsid w:val="005079F9"/>
    <w:rsid w:val="00507AFD"/>
    <w:rsid w:val="00507CA1"/>
    <w:rsid w:val="00507CFE"/>
    <w:rsid w:val="00507D02"/>
    <w:rsid w:val="00507D3F"/>
    <w:rsid w:val="00507F3F"/>
    <w:rsid w:val="00507FCB"/>
    <w:rsid w:val="0051004E"/>
    <w:rsid w:val="00510067"/>
    <w:rsid w:val="00510127"/>
    <w:rsid w:val="00510175"/>
    <w:rsid w:val="005101D5"/>
    <w:rsid w:val="00510237"/>
    <w:rsid w:val="0051026A"/>
    <w:rsid w:val="00510672"/>
    <w:rsid w:val="005107D9"/>
    <w:rsid w:val="0051080E"/>
    <w:rsid w:val="005108B0"/>
    <w:rsid w:val="00510962"/>
    <w:rsid w:val="005109EE"/>
    <w:rsid w:val="00510AD6"/>
    <w:rsid w:val="00510B32"/>
    <w:rsid w:val="00510B79"/>
    <w:rsid w:val="00510C13"/>
    <w:rsid w:val="00510C62"/>
    <w:rsid w:val="00510C6C"/>
    <w:rsid w:val="00510E7F"/>
    <w:rsid w:val="0051103B"/>
    <w:rsid w:val="00511183"/>
    <w:rsid w:val="005111C7"/>
    <w:rsid w:val="00511204"/>
    <w:rsid w:val="0051127E"/>
    <w:rsid w:val="00511326"/>
    <w:rsid w:val="00511452"/>
    <w:rsid w:val="005114B9"/>
    <w:rsid w:val="00511559"/>
    <w:rsid w:val="00511654"/>
    <w:rsid w:val="0051169A"/>
    <w:rsid w:val="005116FA"/>
    <w:rsid w:val="00511844"/>
    <w:rsid w:val="005118F0"/>
    <w:rsid w:val="00511907"/>
    <w:rsid w:val="00511973"/>
    <w:rsid w:val="00511C4E"/>
    <w:rsid w:val="00511D79"/>
    <w:rsid w:val="00511DCB"/>
    <w:rsid w:val="00511E2D"/>
    <w:rsid w:val="00511F66"/>
    <w:rsid w:val="00511F75"/>
    <w:rsid w:val="005121B2"/>
    <w:rsid w:val="005121DD"/>
    <w:rsid w:val="00512290"/>
    <w:rsid w:val="005122B8"/>
    <w:rsid w:val="00512343"/>
    <w:rsid w:val="005123A4"/>
    <w:rsid w:val="005123BE"/>
    <w:rsid w:val="005124D2"/>
    <w:rsid w:val="005128A3"/>
    <w:rsid w:val="00512A44"/>
    <w:rsid w:val="00512A81"/>
    <w:rsid w:val="00512CEE"/>
    <w:rsid w:val="00512D95"/>
    <w:rsid w:val="00512EEB"/>
    <w:rsid w:val="00512FD2"/>
    <w:rsid w:val="005130A0"/>
    <w:rsid w:val="005130C5"/>
    <w:rsid w:val="005132CD"/>
    <w:rsid w:val="00513520"/>
    <w:rsid w:val="00513591"/>
    <w:rsid w:val="00513679"/>
    <w:rsid w:val="0051378F"/>
    <w:rsid w:val="0051381D"/>
    <w:rsid w:val="00513988"/>
    <w:rsid w:val="00513B21"/>
    <w:rsid w:val="00513B32"/>
    <w:rsid w:val="00513B3D"/>
    <w:rsid w:val="00513BDA"/>
    <w:rsid w:val="00513BF0"/>
    <w:rsid w:val="00513C40"/>
    <w:rsid w:val="00513E1F"/>
    <w:rsid w:val="00513EF0"/>
    <w:rsid w:val="00513F3A"/>
    <w:rsid w:val="00513F81"/>
    <w:rsid w:val="00513FA5"/>
    <w:rsid w:val="00513FAC"/>
    <w:rsid w:val="005140AE"/>
    <w:rsid w:val="005140E4"/>
    <w:rsid w:val="00514105"/>
    <w:rsid w:val="005141BA"/>
    <w:rsid w:val="005141E8"/>
    <w:rsid w:val="0051431E"/>
    <w:rsid w:val="005143E8"/>
    <w:rsid w:val="00514446"/>
    <w:rsid w:val="005145B1"/>
    <w:rsid w:val="00514696"/>
    <w:rsid w:val="005147C6"/>
    <w:rsid w:val="005147E1"/>
    <w:rsid w:val="00514811"/>
    <w:rsid w:val="00514871"/>
    <w:rsid w:val="00514BFD"/>
    <w:rsid w:val="00514C3D"/>
    <w:rsid w:val="00514C55"/>
    <w:rsid w:val="00514C5C"/>
    <w:rsid w:val="00514C93"/>
    <w:rsid w:val="00514E99"/>
    <w:rsid w:val="00514F4A"/>
    <w:rsid w:val="0051507F"/>
    <w:rsid w:val="005151EB"/>
    <w:rsid w:val="00515235"/>
    <w:rsid w:val="00515279"/>
    <w:rsid w:val="0051529B"/>
    <w:rsid w:val="005152AD"/>
    <w:rsid w:val="005155B2"/>
    <w:rsid w:val="005155E4"/>
    <w:rsid w:val="005155ED"/>
    <w:rsid w:val="005156D5"/>
    <w:rsid w:val="0051572D"/>
    <w:rsid w:val="005157DE"/>
    <w:rsid w:val="00515881"/>
    <w:rsid w:val="0051598A"/>
    <w:rsid w:val="00515BF1"/>
    <w:rsid w:val="00515C65"/>
    <w:rsid w:val="00515E69"/>
    <w:rsid w:val="005160A9"/>
    <w:rsid w:val="005162E8"/>
    <w:rsid w:val="00516401"/>
    <w:rsid w:val="00516486"/>
    <w:rsid w:val="005164B7"/>
    <w:rsid w:val="005165CC"/>
    <w:rsid w:val="00516696"/>
    <w:rsid w:val="00516714"/>
    <w:rsid w:val="0051688E"/>
    <w:rsid w:val="0051691F"/>
    <w:rsid w:val="005169E2"/>
    <w:rsid w:val="00516A69"/>
    <w:rsid w:val="00516B18"/>
    <w:rsid w:val="00516B33"/>
    <w:rsid w:val="00516BF7"/>
    <w:rsid w:val="00516CA6"/>
    <w:rsid w:val="00516CAE"/>
    <w:rsid w:val="00516D0B"/>
    <w:rsid w:val="00516F0E"/>
    <w:rsid w:val="00516F3F"/>
    <w:rsid w:val="005170B3"/>
    <w:rsid w:val="005170C8"/>
    <w:rsid w:val="005173E1"/>
    <w:rsid w:val="00517419"/>
    <w:rsid w:val="005174EC"/>
    <w:rsid w:val="0051751A"/>
    <w:rsid w:val="00517586"/>
    <w:rsid w:val="00517653"/>
    <w:rsid w:val="0051777F"/>
    <w:rsid w:val="005178CC"/>
    <w:rsid w:val="0051799A"/>
    <w:rsid w:val="00517A3C"/>
    <w:rsid w:val="00517A83"/>
    <w:rsid w:val="00517C47"/>
    <w:rsid w:val="00520084"/>
    <w:rsid w:val="0052013D"/>
    <w:rsid w:val="00520387"/>
    <w:rsid w:val="005203BC"/>
    <w:rsid w:val="00520441"/>
    <w:rsid w:val="0052052E"/>
    <w:rsid w:val="00520567"/>
    <w:rsid w:val="005205D0"/>
    <w:rsid w:val="005205F1"/>
    <w:rsid w:val="00520794"/>
    <w:rsid w:val="005207A3"/>
    <w:rsid w:val="00520921"/>
    <w:rsid w:val="00520A1E"/>
    <w:rsid w:val="00520A6D"/>
    <w:rsid w:val="00520B17"/>
    <w:rsid w:val="00520BA7"/>
    <w:rsid w:val="00520C04"/>
    <w:rsid w:val="00520C44"/>
    <w:rsid w:val="00520CF8"/>
    <w:rsid w:val="00520D15"/>
    <w:rsid w:val="00520D77"/>
    <w:rsid w:val="00520DB6"/>
    <w:rsid w:val="00521029"/>
    <w:rsid w:val="005211EB"/>
    <w:rsid w:val="00521255"/>
    <w:rsid w:val="005213D5"/>
    <w:rsid w:val="005215D1"/>
    <w:rsid w:val="005215D5"/>
    <w:rsid w:val="0052170E"/>
    <w:rsid w:val="0052187F"/>
    <w:rsid w:val="0052192C"/>
    <w:rsid w:val="00521A24"/>
    <w:rsid w:val="00521AA0"/>
    <w:rsid w:val="00521AA7"/>
    <w:rsid w:val="00521AEC"/>
    <w:rsid w:val="00521B9D"/>
    <w:rsid w:val="00521BB8"/>
    <w:rsid w:val="00521C7E"/>
    <w:rsid w:val="00521D5F"/>
    <w:rsid w:val="00521DFF"/>
    <w:rsid w:val="00521E5E"/>
    <w:rsid w:val="00522027"/>
    <w:rsid w:val="00522029"/>
    <w:rsid w:val="005220F7"/>
    <w:rsid w:val="0052211C"/>
    <w:rsid w:val="00522276"/>
    <w:rsid w:val="00522318"/>
    <w:rsid w:val="0052244C"/>
    <w:rsid w:val="005224CA"/>
    <w:rsid w:val="005224FD"/>
    <w:rsid w:val="00522517"/>
    <w:rsid w:val="005225AB"/>
    <w:rsid w:val="00522844"/>
    <w:rsid w:val="005228C7"/>
    <w:rsid w:val="00522923"/>
    <w:rsid w:val="0052293F"/>
    <w:rsid w:val="00522AAA"/>
    <w:rsid w:val="00522ACA"/>
    <w:rsid w:val="00522B51"/>
    <w:rsid w:val="00522B89"/>
    <w:rsid w:val="00522B9E"/>
    <w:rsid w:val="00522BE4"/>
    <w:rsid w:val="00522C33"/>
    <w:rsid w:val="00522CBB"/>
    <w:rsid w:val="00522DB5"/>
    <w:rsid w:val="00522E06"/>
    <w:rsid w:val="00522E27"/>
    <w:rsid w:val="00522F10"/>
    <w:rsid w:val="0052307E"/>
    <w:rsid w:val="0052312E"/>
    <w:rsid w:val="00523173"/>
    <w:rsid w:val="005232D5"/>
    <w:rsid w:val="005234D2"/>
    <w:rsid w:val="00523518"/>
    <w:rsid w:val="00523552"/>
    <w:rsid w:val="005235F7"/>
    <w:rsid w:val="0052377F"/>
    <w:rsid w:val="0052379E"/>
    <w:rsid w:val="005238BB"/>
    <w:rsid w:val="00523A9A"/>
    <w:rsid w:val="00523B79"/>
    <w:rsid w:val="00523CD1"/>
    <w:rsid w:val="00523D6E"/>
    <w:rsid w:val="00523DB0"/>
    <w:rsid w:val="00523E2E"/>
    <w:rsid w:val="00523E38"/>
    <w:rsid w:val="00523FD1"/>
    <w:rsid w:val="00524046"/>
    <w:rsid w:val="005240EC"/>
    <w:rsid w:val="005241D2"/>
    <w:rsid w:val="00524240"/>
    <w:rsid w:val="00524317"/>
    <w:rsid w:val="005243FC"/>
    <w:rsid w:val="00524431"/>
    <w:rsid w:val="0052444C"/>
    <w:rsid w:val="00524489"/>
    <w:rsid w:val="0052451D"/>
    <w:rsid w:val="005245D0"/>
    <w:rsid w:val="005246A9"/>
    <w:rsid w:val="005246AB"/>
    <w:rsid w:val="005247E3"/>
    <w:rsid w:val="00524A4A"/>
    <w:rsid w:val="00524BF2"/>
    <w:rsid w:val="00524CFB"/>
    <w:rsid w:val="00525067"/>
    <w:rsid w:val="0052526B"/>
    <w:rsid w:val="00525354"/>
    <w:rsid w:val="005253A5"/>
    <w:rsid w:val="005253F9"/>
    <w:rsid w:val="0052544C"/>
    <w:rsid w:val="005254C0"/>
    <w:rsid w:val="0052568A"/>
    <w:rsid w:val="0052568E"/>
    <w:rsid w:val="00525776"/>
    <w:rsid w:val="0052578E"/>
    <w:rsid w:val="0052581B"/>
    <w:rsid w:val="00525832"/>
    <w:rsid w:val="005258FD"/>
    <w:rsid w:val="005259B5"/>
    <w:rsid w:val="00525A60"/>
    <w:rsid w:val="00525A91"/>
    <w:rsid w:val="00525C26"/>
    <w:rsid w:val="00525C81"/>
    <w:rsid w:val="00525D99"/>
    <w:rsid w:val="00525DCA"/>
    <w:rsid w:val="00525DD5"/>
    <w:rsid w:val="00525E95"/>
    <w:rsid w:val="00526086"/>
    <w:rsid w:val="005260A4"/>
    <w:rsid w:val="00526322"/>
    <w:rsid w:val="00526342"/>
    <w:rsid w:val="00526509"/>
    <w:rsid w:val="0052660A"/>
    <w:rsid w:val="00526679"/>
    <w:rsid w:val="005266A5"/>
    <w:rsid w:val="005267E3"/>
    <w:rsid w:val="005267FE"/>
    <w:rsid w:val="00526892"/>
    <w:rsid w:val="0052689F"/>
    <w:rsid w:val="005268AE"/>
    <w:rsid w:val="0052691D"/>
    <w:rsid w:val="005269DA"/>
    <w:rsid w:val="00526B23"/>
    <w:rsid w:val="00526C36"/>
    <w:rsid w:val="00526D1E"/>
    <w:rsid w:val="00526D4B"/>
    <w:rsid w:val="00526D7E"/>
    <w:rsid w:val="00526F45"/>
    <w:rsid w:val="00527266"/>
    <w:rsid w:val="00527591"/>
    <w:rsid w:val="005276B2"/>
    <w:rsid w:val="005276CC"/>
    <w:rsid w:val="005277D0"/>
    <w:rsid w:val="00527861"/>
    <w:rsid w:val="005278BA"/>
    <w:rsid w:val="005279F2"/>
    <w:rsid w:val="00527A45"/>
    <w:rsid w:val="00527AC4"/>
    <w:rsid w:val="00527ACB"/>
    <w:rsid w:val="00527BE6"/>
    <w:rsid w:val="00527CF9"/>
    <w:rsid w:val="00527E4D"/>
    <w:rsid w:val="00527EE7"/>
    <w:rsid w:val="0053001B"/>
    <w:rsid w:val="005300E5"/>
    <w:rsid w:val="00530128"/>
    <w:rsid w:val="0053017B"/>
    <w:rsid w:val="00530197"/>
    <w:rsid w:val="005301A0"/>
    <w:rsid w:val="005301A4"/>
    <w:rsid w:val="00530313"/>
    <w:rsid w:val="0053088F"/>
    <w:rsid w:val="005308EA"/>
    <w:rsid w:val="00530B63"/>
    <w:rsid w:val="00530CCC"/>
    <w:rsid w:val="00530DA8"/>
    <w:rsid w:val="00530DAD"/>
    <w:rsid w:val="00530E00"/>
    <w:rsid w:val="00530E5D"/>
    <w:rsid w:val="00530F5D"/>
    <w:rsid w:val="00530FAA"/>
    <w:rsid w:val="005310F8"/>
    <w:rsid w:val="00531108"/>
    <w:rsid w:val="00531124"/>
    <w:rsid w:val="0053121B"/>
    <w:rsid w:val="00531244"/>
    <w:rsid w:val="00531250"/>
    <w:rsid w:val="005312A5"/>
    <w:rsid w:val="00531339"/>
    <w:rsid w:val="00531483"/>
    <w:rsid w:val="00531530"/>
    <w:rsid w:val="00531580"/>
    <w:rsid w:val="005315CA"/>
    <w:rsid w:val="005316BD"/>
    <w:rsid w:val="005316CB"/>
    <w:rsid w:val="005316DB"/>
    <w:rsid w:val="00531772"/>
    <w:rsid w:val="005318B1"/>
    <w:rsid w:val="005318B4"/>
    <w:rsid w:val="005319FC"/>
    <w:rsid w:val="00531A99"/>
    <w:rsid w:val="00531AEF"/>
    <w:rsid w:val="00531B0A"/>
    <w:rsid w:val="00531B2D"/>
    <w:rsid w:val="00531B39"/>
    <w:rsid w:val="00531BE9"/>
    <w:rsid w:val="00531C07"/>
    <w:rsid w:val="00531C47"/>
    <w:rsid w:val="00531DD7"/>
    <w:rsid w:val="00531DFF"/>
    <w:rsid w:val="00531FD1"/>
    <w:rsid w:val="00532015"/>
    <w:rsid w:val="0053206B"/>
    <w:rsid w:val="005320EF"/>
    <w:rsid w:val="005321CA"/>
    <w:rsid w:val="00532267"/>
    <w:rsid w:val="0053226E"/>
    <w:rsid w:val="00532361"/>
    <w:rsid w:val="00532373"/>
    <w:rsid w:val="00532386"/>
    <w:rsid w:val="005323E0"/>
    <w:rsid w:val="0053240D"/>
    <w:rsid w:val="00532499"/>
    <w:rsid w:val="005326C4"/>
    <w:rsid w:val="00532742"/>
    <w:rsid w:val="00532984"/>
    <w:rsid w:val="005329C8"/>
    <w:rsid w:val="005329EA"/>
    <w:rsid w:val="00532D55"/>
    <w:rsid w:val="00532F4F"/>
    <w:rsid w:val="00532F94"/>
    <w:rsid w:val="00533074"/>
    <w:rsid w:val="005331E3"/>
    <w:rsid w:val="005331E5"/>
    <w:rsid w:val="005332E9"/>
    <w:rsid w:val="0053352C"/>
    <w:rsid w:val="005335F0"/>
    <w:rsid w:val="005335F9"/>
    <w:rsid w:val="00533631"/>
    <w:rsid w:val="00533701"/>
    <w:rsid w:val="00533733"/>
    <w:rsid w:val="005337BB"/>
    <w:rsid w:val="00533C42"/>
    <w:rsid w:val="00533D33"/>
    <w:rsid w:val="00533D67"/>
    <w:rsid w:val="00533E22"/>
    <w:rsid w:val="00533F3F"/>
    <w:rsid w:val="005340DB"/>
    <w:rsid w:val="0053418B"/>
    <w:rsid w:val="00534247"/>
    <w:rsid w:val="005342AA"/>
    <w:rsid w:val="0053433B"/>
    <w:rsid w:val="005343F9"/>
    <w:rsid w:val="00534683"/>
    <w:rsid w:val="0053472D"/>
    <w:rsid w:val="00534767"/>
    <w:rsid w:val="00534993"/>
    <w:rsid w:val="00534A24"/>
    <w:rsid w:val="00534AD6"/>
    <w:rsid w:val="00534B1E"/>
    <w:rsid w:val="00534BE5"/>
    <w:rsid w:val="00534C12"/>
    <w:rsid w:val="00534C17"/>
    <w:rsid w:val="00534C1E"/>
    <w:rsid w:val="00534CC2"/>
    <w:rsid w:val="00534D90"/>
    <w:rsid w:val="00534E65"/>
    <w:rsid w:val="00534EED"/>
    <w:rsid w:val="00534F3D"/>
    <w:rsid w:val="005350A1"/>
    <w:rsid w:val="005350B9"/>
    <w:rsid w:val="0053534A"/>
    <w:rsid w:val="00535693"/>
    <w:rsid w:val="00535839"/>
    <w:rsid w:val="0053586D"/>
    <w:rsid w:val="00535975"/>
    <w:rsid w:val="0053597A"/>
    <w:rsid w:val="00535A04"/>
    <w:rsid w:val="00535A07"/>
    <w:rsid w:val="00535A31"/>
    <w:rsid w:val="00535B4E"/>
    <w:rsid w:val="00535B93"/>
    <w:rsid w:val="00535CC0"/>
    <w:rsid w:val="00535D9F"/>
    <w:rsid w:val="00535EA3"/>
    <w:rsid w:val="00535F25"/>
    <w:rsid w:val="00535F2E"/>
    <w:rsid w:val="00536034"/>
    <w:rsid w:val="00536042"/>
    <w:rsid w:val="005362CC"/>
    <w:rsid w:val="00536324"/>
    <w:rsid w:val="00536370"/>
    <w:rsid w:val="00536377"/>
    <w:rsid w:val="0053655C"/>
    <w:rsid w:val="00536802"/>
    <w:rsid w:val="00536922"/>
    <w:rsid w:val="005369AF"/>
    <w:rsid w:val="00536A12"/>
    <w:rsid w:val="00536ABF"/>
    <w:rsid w:val="00536AF7"/>
    <w:rsid w:val="00536BE4"/>
    <w:rsid w:val="00536CC6"/>
    <w:rsid w:val="00536D2A"/>
    <w:rsid w:val="00536FE9"/>
    <w:rsid w:val="00537002"/>
    <w:rsid w:val="00537037"/>
    <w:rsid w:val="005370CF"/>
    <w:rsid w:val="00537205"/>
    <w:rsid w:val="00537436"/>
    <w:rsid w:val="0053758A"/>
    <w:rsid w:val="00537633"/>
    <w:rsid w:val="005377BC"/>
    <w:rsid w:val="0053783C"/>
    <w:rsid w:val="005378E2"/>
    <w:rsid w:val="00537998"/>
    <w:rsid w:val="00537A18"/>
    <w:rsid w:val="00537AC6"/>
    <w:rsid w:val="00537C65"/>
    <w:rsid w:val="00537D1A"/>
    <w:rsid w:val="00537DA7"/>
    <w:rsid w:val="00537E35"/>
    <w:rsid w:val="005400B7"/>
    <w:rsid w:val="005400F4"/>
    <w:rsid w:val="00540315"/>
    <w:rsid w:val="005403A7"/>
    <w:rsid w:val="0054044B"/>
    <w:rsid w:val="005404DE"/>
    <w:rsid w:val="00540537"/>
    <w:rsid w:val="005405D9"/>
    <w:rsid w:val="00540716"/>
    <w:rsid w:val="00540721"/>
    <w:rsid w:val="00540840"/>
    <w:rsid w:val="005408F5"/>
    <w:rsid w:val="00540AE8"/>
    <w:rsid w:val="00540B9F"/>
    <w:rsid w:val="00540CD2"/>
    <w:rsid w:val="00540DD4"/>
    <w:rsid w:val="00541042"/>
    <w:rsid w:val="00541068"/>
    <w:rsid w:val="005410C7"/>
    <w:rsid w:val="0054111C"/>
    <w:rsid w:val="005412CD"/>
    <w:rsid w:val="005412D5"/>
    <w:rsid w:val="0054131E"/>
    <w:rsid w:val="00541456"/>
    <w:rsid w:val="0054149D"/>
    <w:rsid w:val="005415B8"/>
    <w:rsid w:val="005416BD"/>
    <w:rsid w:val="00541AF0"/>
    <w:rsid w:val="00541B07"/>
    <w:rsid w:val="00541B0A"/>
    <w:rsid w:val="00541BA5"/>
    <w:rsid w:val="00541D18"/>
    <w:rsid w:val="00541D1D"/>
    <w:rsid w:val="00541D62"/>
    <w:rsid w:val="00541D84"/>
    <w:rsid w:val="00541F78"/>
    <w:rsid w:val="00541F99"/>
    <w:rsid w:val="00542060"/>
    <w:rsid w:val="005420B3"/>
    <w:rsid w:val="00542226"/>
    <w:rsid w:val="0054226E"/>
    <w:rsid w:val="0054234A"/>
    <w:rsid w:val="00542598"/>
    <w:rsid w:val="005426F6"/>
    <w:rsid w:val="005427C9"/>
    <w:rsid w:val="005428AD"/>
    <w:rsid w:val="005428BD"/>
    <w:rsid w:val="005429E4"/>
    <w:rsid w:val="00542AC2"/>
    <w:rsid w:val="00542BE6"/>
    <w:rsid w:val="00542C53"/>
    <w:rsid w:val="00542CCA"/>
    <w:rsid w:val="00542DA3"/>
    <w:rsid w:val="00542DDC"/>
    <w:rsid w:val="00542EB8"/>
    <w:rsid w:val="00542F03"/>
    <w:rsid w:val="00543088"/>
    <w:rsid w:val="005432BE"/>
    <w:rsid w:val="0054343A"/>
    <w:rsid w:val="00543491"/>
    <w:rsid w:val="00543560"/>
    <w:rsid w:val="005437E3"/>
    <w:rsid w:val="0054387B"/>
    <w:rsid w:val="00543A55"/>
    <w:rsid w:val="00543BD7"/>
    <w:rsid w:val="00543CEC"/>
    <w:rsid w:val="00543D01"/>
    <w:rsid w:val="00543D34"/>
    <w:rsid w:val="00543FDE"/>
    <w:rsid w:val="00544004"/>
    <w:rsid w:val="0054405B"/>
    <w:rsid w:val="00544086"/>
    <w:rsid w:val="005441F8"/>
    <w:rsid w:val="00544276"/>
    <w:rsid w:val="00544328"/>
    <w:rsid w:val="005447DA"/>
    <w:rsid w:val="00544862"/>
    <w:rsid w:val="005448C3"/>
    <w:rsid w:val="00544AA0"/>
    <w:rsid w:val="00544DD7"/>
    <w:rsid w:val="00544FBF"/>
    <w:rsid w:val="0054519E"/>
    <w:rsid w:val="00545332"/>
    <w:rsid w:val="005453BE"/>
    <w:rsid w:val="0054543A"/>
    <w:rsid w:val="005454AE"/>
    <w:rsid w:val="005454F3"/>
    <w:rsid w:val="005456BD"/>
    <w:rsid w:val="00545766"/>
    <w:rsid w:val="005457C5"/>
    <w:rsid w:val="005458C3"/>
    <w:rsid w:val="00545BEC"/>
    <w:rsid w:val="00545C45"/>
    <w:rsid w:val="00545D42"/>
    <w:rsid w:val="0054606F"/>
    <w:rsid w:val="005462B0"/>
    <w:rsid w:val="005463BD"/>
    <w:rsid w:val="0054648A"/>
    <w:rsid w:val="0054652C"/>
    <w:rsid w:val="005465D9"/>
    <w:rsid w:val="00546737"/>
    <w:rsid w:val="00546744"/>
    <w:rsid w:val="0054676F"/>
    <w:rsid w:val="00546900"/>
    <w:rsid w:val="00546992"/>
    <w:rsid w:val="005469B6"/>
    <w:rsid w:val="00546A89"/>
    <w:rsid w:val="00546CF9"/>
    <w:rsid w:val="00546D22"/>
    <w:rsid w:val="00546F19"/>
    <w:rsid w:val="00546F46"/>
    <w:rsid w:val="00547026"/>
    <w:rsid w:val="005471C2"/>
    <w:rsid w:val="00547254"/>
    <w:rsid w:val="0054728C"/>
    <w:rsid w:val="0054743A"/>
    <w:rsid w:val="00547486"/>
    <w:rsid w:val="005475A6"/>
    <w:rsid w:val="005476C3"/>
    <w:rsid w:val="0054774E"/>
    <w:rsid w:val="005477D0"/>
    <w:rsid w:val="0054788D"/>
    <w:rsid w:val="005478AB"/>
    <w:rsid w:val="005478BF"/>
    <w:rsid w:val="00547A9E"/>
    <w:rsid w:val="00547AB8"/>
    <w:rsid w:val="00547B30"/>
    <w:rsid w:val="00547B78"/>
    <w:rsid w:val="00547B80"/>
    <w:rsid w:val="00547C31"/>
    <w:rsid w:val="00547CAD"/>
    <w:rsid w:val="00547F20"/>
    <w:rsid w:val="00547F2D"/>
    <w:rsid w:val="00547F50"/>
    <w:rsid w:val="00547F94"/>
    <w:rsid w:val="00550076"/>
    <w:rsid w:val="0055016B"/>
    <w:rsid w:val="005501E9"/>
    <w:rsid w:val="00550281"/>
    <w:rsid w:val="005502B6"/>
    <w:rsid w:val="005502F8"/>
    <w:rsid w:val="005504CD"/>
    <w:rsid w:val="005504E3"/>
    <w:rsid w:val="0055078A"/>
    <w:rsid w:val="0055078F"/>
    <w:rsid w:val="00550A77"/>
    <w:rsid w:val="00550AA9"/>
    <w:rsid w:val="00550BD1"/>
    <w:rsid w:val="00550C6C"/>
    <w:rsid w:val="00550C99"/>
    <w:rsid w:val="00550D31"/>
    <w:rsid w:val="00550ED5"/>
    <w:rsid w:val="00550F28"/>
    <w:rsid w:val="00550F37"/>
    <w:rsid w:val="00551170"/>
    <w:rsid w:val="00551287"/>
    <w:rsid w:val="0055130B"/>
    <w:rsid w:val="0055133C"/>
    <w:rsid w:val="005513BC"/>
    <w:rsid w:val="00551790"/>
    <w:rsid w:val="00551A3C"/>
    <w:rsid w:val="00551A65"/>
    <w:rsid w:val="00551A99"/>
    <w:rsid w:val="00551C4E"/>
    <w:rsid w:val="00551CE6"/>
    <w:rsid w:val="00551D0B"/>
    <w:rsid w:val="00551D68"/>
    <w:rsid w:val="00551DD1"/>
    <w:rsid w:val="00551E55"/>
    <w:rsid w:val="00551F95"/>
    <w:rsid w:val="00552074"/>
    <w:rsid w:val="0055212F"/>
    <w:rsid w:val="0055220B"/>
    <w:rsid w:val="005522C0"/>
    <w:rsid w:val="00552405"/>
    <w:rsid w:val="00552872"/>
    <w:rsid w:val="00552A18"/>
    <w:rsid w:val="00552B61"/>
    <w:rsid w:val="00552BB9"/>
    <w:rsid w:val="00552CD5"/>
    <w:rsid w:val="00552D7C"/>
    <w:rsid w:val="00552E87"/>
    <w:rsid w:val="00552F88"/>
    <w:rsid w:val="00553006"/>
    <w:rsid w:val="00553101"/>
    <w:rsid w:val="00553131"/>
    <w:rsid w:val="0055314F"/>
    <w:rsid w:val="005532B4"/>
    <w:rsid w:val="005532F0"/>
    <w:rsid w:val="00553376"/>
    <w:rsid w:val="00553413"/>
    <w:rsid w:val="00553469"/>
    <w:rsid w:val="005534BB"/>
    <w:rsid w:val="005534BF"/>
    <w:rsid w:val="005535FD"/>
    <w:rsid w:val="005536AE"/>
    <w:rsid w:val="005536C4"/>
    <w:rsid w:val="005537E6"/>
    <w:rsid w:val="00553856"/>
    <w:rsid w:val="0055386A"/>
    <w:rsid w:val="005538BC"/>
    <w:rsid w:val="00553913"/>
    <w:rsid w:val="005539B7"/>
    <w:rsid w:val="00553CA4"/>
    <w:rsid w:val="00553CE4"/>
    <w:rsid w:val="00553D1A"/>
    <w:rsid w:val="00553E2D"/>
    <w:rsid w:val="00553F1E"/>
    <w:rsid w:val="005540B6"/>
    <w:rsid w:val="005540CC"/>
    <w:rsid w:val="0055418A"/>
    <w:rsid w:val="005541B3"/>
    <w:rsid w:val="005542D3"/>
    <w:rsid w:val="005542EA"/>
    <w:rsid w:val="00554351"/>
    <w:rsid w:val="005544C4"/>
    <w:rsid w:val="0055450D"/>
    <w:rsid w:val="00554588"/>
    <w:rsid w:val="005546DF"/>
    <w:rsid w:val="005547AE"/>
    <w:rsid w:val="005547DD"/>
    <w:rsid w:val="005547F9"/>
    <w:rsid w:val="00554807"/>
    <w:rsid w:val="00554848"/>
    <w:rsid w:val="00554932"/>
    <w:rsid w:val="0055493A"/>
    <w:rsid w:val="00554990"/>
    <w:rsid w:val="00554AA5"/>
    <w:rsid w:val="00554B75"/>
    <w:rsid w:val="00554C35"/>
    <w:rsid w:val="00554CA6"/>
    <w:rsid w:val="00554D61"/>
    <w:rsid w:val="00554DAF"/>
    <w:rsid w:val="00554DD9"/>
    <w:rsid w:val="00554E02"/>
    <w:rsid w:val="00554E6A"/>
    <w:rsid w:val="00554F2F"/>
    <w:rsid w:val="00554FB2"/>
    <w:rsid w:val="00554FE2"/>
    <w:rsid w:val="00555090"/>
    <w:rsid w:val="005550D6"/>
    <w:rsid w:val="0055513D"/>
    <w:rsid w:val="005551BD"/>
    <w:rsid w:val="005551E2"/>
    <w:rsid w:val="0055527D"/>
    <w:rsid w:val="005552E3"/>
    <w:rsid w:val="005552E8"/>
    <w:rsid w:val="005553B7"/>
    <w:rsid w:val="00555731"/>
    <w:rsid w:val="0055574F"/>
    <w:rsid w:val="00555750"/>
    <w:rsid w:val="00555751"/>
    <w:rsid w:val="005557CB"/>
    <w:rsid w:val="005558D2"/>
    <w:rsid w:val="00555A7F"/>
    <w:rsid w:val="00555BD7"/>
    <w:rsid w:val="00555CA8"/>
    <w:rsid w:val="00555CB0"/>
    <w:rsid w:val="00555D05"/>
    <w:rsid w:val="00555DC9"/>
    <w:rsid w:val="00555EB3"/>
    <w:rsid w:val="00555F06"/>
    <w:rsid w:val="00555F13"/>
    <w:rsid w:val="00555F82"/>
    <w:rsid w:val="00555FDA"/>
    <w:rsid w:val="005560C9"/>
    <w:rsid w:val="00556129"/>
    <w:rsid w:val="00556152"/>
    <w:rsid w:val="00556388"/>
    <w:rsid w:val="0055639E"/>
    <w:rsid w:val="005563C8"/>
    <w:rsid w:val="005564E6"/>
    <w:rsid w:val="00556511"/>
    <w:rsid w:val="0055657E"/>
    <w:rsid w:val="0055662D"/>
    <w:rsid w:val="0055667E"/>
    <w:rsid w:val="005566D4"/>
    <w:rsid w:val="005569DE"/>
    <w:rsid w:val="00556A0D"/>
    <w:rsid w:val="00556A66"/>
    <w:rsid w:val="00556AAA"/>
    <w:rsid w:val="00556B53"/>
    <w:rsid w:val="00556BD4"/>
    <w:rsid w:val="00556C6E"/>
    <w:rsid w:val="00556CF7"/>
    <w:rsid w:val="00556CFE"/>
    <w:rsid w:val="00556D19"/>
    <w:rsid w:val="00556E0F"/>
    <w:rsid w:val="00556F0C"/>
    <w:rsid w:val="00557159"/>
    <w:rsid w:val="005571EC"/>
    <w:rsid w:val="00557341"/>
    <w:rsid w:val="00557482"/>
    <w:rsid w:val="0055762A"/>
    <w:rsid w:val="005576FC"/>
    <w:rsid w:val="0055786A"/>
    <w:rsid w:val="00557A21"/>
    <w:rsid w:val="00557A5A"/>
    <w:rsid w:val="00557AC7"/>
    <w:rsid w:val="00557BBE"/>
    <w:rsid w:val="00557C40"/>
    <w:rsid w:val="00557D41"/>
    <w:rsid w:val="00557D70"/>
    <w:rsid w:val="00557DE5"/>
    <w:rsid w:val="00557E56"/>
    <w:rsid w:val="00557E63"/>
    <w:rsid w:val="00557FA0"/>
    <w:rsid w:val="005601B9"/>
    <w:rsid w:val="005602B3"/>
    <w:rsid w:val="0056030F"/>
    <w:rsid w:val="00560353"/>
    <w:rsid w:val="0056035C"/>
    <w:rsid w:val="00560382"/>
    <w:rsid w:val="005603D2"/>
    <w:rsid w:val="0056040F"/>
    <w:rsid w:val="00560619"/>
    <w:rsid w:val="005606CA"/>
    <w:rsid w:val="00560779"/>
    <w:rsid w:val="00560826"/>
    <w:rsid w:val="00560898"/>
    <w:rsid w:val="00560913"/>
    <w:rsid w:val="005609C7"/>
    <w:rsid w:val="00560DCD"/>
    <w:rsid w:val="00560E6B"/>
    <w:rsid w:val="00560E9D"/>
    <w:rsid w:val="00560ED0"/>
    <w:rsid w:val="00560F3B"/>
    <w:rsid w:val="005611BD"/>
    <w:rsid w:val="005612CE"/>
    <w:rsid w:val="005612E9"/>
    <w:rsid w:val="005612F1"/>
    <w:rsid w:val="00561308"/>
    <w:rsid w:val="00561363"/>
    <w:rsid w:val="00561508"/>
    <w:rsid w:val="00561781"/>
    <w:rsid w:val="005617BA"/>
    <w:rsid w:val="0056187F"/>
    <w:rsid w:val="00561B93"/>
    <w:rsid w:val="00561D26"/>
    <w:rsid w:val="00561D69"/>
    <w:rsid w:val="00561D99"/>
    <w:rsid w:val="00561EF9"/>
    <w:rsid w:val="00561F2B"/>
    <w:rsid w:val="00562049"/>
    <w:rsid w:val="005620EC"/>
    <w:rsid w:val="0056211D"/>
    <w:rsid w:val="00562129"/>
    <w:rsid w:val="00562180"/>
    <w:rsid w:val="00562385"/>
    <w:rsid w:val="005623B6"/>
    <w:rsid w:val="00562735"/>
    <w:rsid w:val="00562899"/>
    <w:rsid w:val="0056291F"/>
    <w:rsid w:val="0056292D"/>
    <w:rsid w:val="00562950"/>
    <w:rsid w:val="00562A0E"/>
    <w:rsid w:val="00562B14"/>
    <w:rsid w:val="00562B2E"/>
    <w:rsid w:val="00562CB0"/>
    <w:rsid w:val="00562D7C"/>
    <w:rsid w:val="00562E00"/>
    <w:rsid w:val="00562EC2"/>
    <w:rsid w:val="00562EFC"/>
    <w:rsid w:val="00562F7B"/>
    <w:rsid w:val="00563028"/>
    <w:rsid w:val="005630D4"/>
    <w:rsid w:val="0056325A"/>
    <w:rsid w:val="005632A5"/>
    <w:rsid w:val="005633EC"/>
    <w:rsid w:val="0056351E"/>
    <w:rsid w:val="00563526"/>
    <w:rsid w:val="00563861"/>
    <w:rsid w:val="005638A6"/>
    <w:rsid w:val="00563903"/>
    <w:rsid w:val="00563AFE"/>
    <w:rsid w:val="00563C6C"/>
    <w:rsid w:val="00563C90"/>
    <w:rsid w:val="00563D11"/>
    <w:rsid w:val="00563EBA"/>
    <w:rsid w:val="00563EF8"/>
    <w:rsid w:val="00563F43"/>
    <w:rsid w:val="005641D7"/>
    <w:rsid w:val="00564243"/>
    <w:rsid w:val="005642E1"/>
    <w:rsid w:val="005644AC"/>
    <w:rsid w:val="005644F8"/>
    <w:rsid w:val="00564667"/>
    <w:rsid w:val="00564694"/>
    <w:rsid w:val="005646C9"/>
    <w:rsid w:val="005646FD"/>
    <w:rsid w:val="005646FE"/>
    <w:rsid w:val="00564832"/>
    <w:rsid w:val="00564857"/>
    <w:rsid w:val="005649AF"/>
    <w:rsid w:val="005649FF"/>
    <w:rsid w:val="00564AC1"/>
    <w:rsid w:val="00564B03"/>
    <w:rsid w:val="00564B61"/>
    <w:rsid w:val="00564BA9"/>
    <w:rsid w:val="00564CD0"/>
    <w:rsid w:val="00564D74"/>
    <w:rsid w:val="00564D96"/>
    <w:rsid w:val="00564DC6"/>
    <w:rsid w:val="00564E12"/>
    <w:rsid w:val="005651DD"/>
    <w:rsid w:val="0056528C"/>
    <w:rsid w:val="0056532C"/>
    <w:rsid w:val="0056538F"/>
    <w:rsid w:val="0056545E"/>
    <w:rsid w:val="00565498"/>
    <w:rsid w:val="005654EF"/>
    <w:rsid w:val="00565500"/>
    <w:rsid w:val="00565538"/>
    <w:rsid w:val="0056554A"/>
    <w:rsid w:val="005655A5"/>
    <w:rsid w:val="00565627"/>
    <w:rsid w:val="00565819"/>
    <w:rsid w:val="0056581C"/>
    <w:rsid w:val="00565824"/>
    <w:rsid w:val="00565836"/>
    <w:rsid w:val="005658F6"/>
    <w:rsid w:val="00565B36"/>
    <w:rsid w:val="00565B5C"/>
    <w:rsid w:val="00565BFE"/>
    <w:rsid w:val="00565C7A"/>
    <w:rsid w:val="005662AF"/>
    <w:rsid w:val="00566335"/>
    <w:rsid w:val="00566370"/>
    <w:rsid w:val="005664B2"/>
    <w:rsid w:val="005665A3"/>
    <w:rsid w:val="005666DE"/>
    <w:rsid w:val="005667E9"/>
    <w:rsid w:val="0056687B"/>
    <w:rsid w:val="005668FA"/>
    <w:rsid w:val="0056691A"/>
    <w:rsid w:val="00566A06"/>
    <w:rsid w:val="00566A90"/>
    <w:rsid w:val="00566A92"/>
    <w:rsid w:val="00566C3D"/>
    <w:rsid w:val="00566D9E"/>
    <w:rsid w:val="00566DA5"/>
    <w:rsid w:val="00566F2D"/>
    <w:rsid w:val="00566FCB"/>
    <w:rsid w:val="00566FDF"/>
    <w:rsid w:val="005670AC"/>
    <w:rsid w:val="005670FD"/>
    <w:rsid w:val="005671D3"/>
    <w:rsid w:val="00567305"/>
    <w:rsid w:val="0056737C"/>
    <w:rsid w:val="005673CF"/>
    <w:rsid w:val="00567582"/>
    <w:rsid w:val="00567598"/>
    <w:rsid w:val="005675C0"/>
    <w:rsid w:val="00567606"/>
    <w:rsid w:val="0056773B"/>
    <w:rsid w:val="00567780"/>
    <w:rsid w:val="00567784"/>
    <w:rsid w:val="0056790F"/>
    <w:rsid w:val="00567921"/>
    <w:rsid w:val="0056796B"/>
    <w:rsid w:val="005679B3"/>
    <w:rsid w:val="005679E2"/>
    <w:rsid w:val="00567BA9"/>
    <w:rsid w:val="00567BEF"/>
    <w:rsid w:val="00567C0D"/>
    <w:rsid w:val="00567D10"/>
    <w:rsid w:val="00567DD3"/>
    <w:rsid w:val="00567E86"/>
    <w:rsid w:val="0057006B"/>
    <w:rsid w:val="00570126"/>
    <w:rsid w:val="0057023F"/>
    <w:rsid w:val="00570314"/>
    <w:rsid w:val="0057035A"/>
    <w:rsid w:val="00570364"/>
    <w:rsid w:val="005703DE"/>
    <w:rsid w:val="00570424"/>
    <w:rsid w:val="005704E1"/>
    <w:rsid w:val="00570561"/>
    <w:rsid w:val="0057076C"/>
    <w:rsid w:val="00570817"/>
    <w:rsid w:val="00570892"/>
    <w:rsid w:val="00570940"/>
    <w:rsid w:val="00570977"/>
    <w:rsid w:val="005709BC"/>
    <w:rsid w:val="005709FF"/>
    <w:rsid w:val="00570AB6"/>
    <w:rsid w:val="00570AF7"/>
    <w:rsid w:val="00570BA2"/>
    <w:rsid w:val="00570C24"/>
    <w:rsid w:val="00570CBF"/>
    <w:rsid w:val="00570CFE"/>
    <w:rsid w:val="00570E5F"/>
    <w:rsid w:val="00570EB1"/>
    <w:rsid w:val="00570F6C"/>
    <w:rsid w:val="0057103F"/>
    <w:rsid w:val="0057107F"/>
    <w:rsid w:val="005712E4"/>
    <w:rsid w:val="005713E4"/>
    <w:rsid w:val="00571547"/>
    <w:rsid w:val="0057169F"/>
    <w:rsid w:val="005716A7"/>
    <w:rsid w:val="005717CA"/>
    <w:rsid w:val="00571814"/>
    <w:rsid w:val="00571818"/>
    <w:rsid w:val="00571880"/>
    <w:rsid w:val="005718A3"/>
    <w:rsid w:val="00571946"/>
    <w:rsid w:val="005719AE"/>
    <w:rsid w:val="005719BF"/>
    <w:rsid w:val="00571A23"/>
    <w:rsid w:val="00571A91"/>
    <w:rsid w:val="00571BA1"/>
    <w:rsid w:val="00571CD9"/>
    <w:rsid w:val="00571D73"/>
    <w:rsid w:val="00571E00"/>
    <w:rsid w:val="00571E8D"/>
    <w:rsid w:val="00571FBE"/>
    <w:rsid w:val="0057222A"/>
    <w:rsid w:val="00572353"/>
    <w:rsid w:val="0057240F"/>
    <w:rsid w:val="0057242D"/>
    <w:rsid w:val="00572469"/>
    <w:rsid w:val="00572605"/>
    <w:rsid w:val="0057266D"/>
    <w:rsid w:val="00572775"/>
    <w:rsid w:val="00572832"/>
    <w:rsid w:val="005728B4"/>
    <w:rsid w:val="00572916"/>
    <w:rsid w:val="00572949"/>
    <w:rsid w:val="005729D1"/>
    <w:rsid w:val="00572A0C"/>
    <w:rsid w:val="00572B65"/>
    <w:rsid w:val="00572DDD"/>
    <w:rsid w:val="00572E26"/>
    <w:rsid w:val="00572EF3"/>
    <w:rsid w:val="00572FC3"/>
    <w:rsid w:val="0057312E"/>
    <w:rsid w:val="005731BA"/>
    <w:rsid w:val="00573285"/>
    <w:rsid w:val="005732AA"/>
    <w:rsid w:val="005732F0"/>
    <w:rsid w:val="00573329"/>
    <w:rsid w:val="00573355"/>
    <w:rsid w:val="005734DB"/>
    <w:rsid w:val="005737D7"/>
    <w:rsid w:val="0057384B"/>
    <w:rsid w:val="00573A88"/>
    <w:rsid w:val="00573B11"/>
    <w:rsid w:val="00573BE4"/>
    <w:rsid w:val="00573E89"/>
    <w:rsid w:val="00573EC2"/>
    <w:rsid w:val="00573EEA"/>
    <w:rsid w:val="00573FA2"/>
    <w:rsid w:val="0057403C"/>
    <w:rsid w:val="005740BA"/>
    <w:rsid w:val="005741AB"/>
    <w:rsid w:val="005743D0"/>
    <w:rsid w:val="005744FF"/>
    <w:rsid w:val="00574A46"/>
    <w:rsid w:val="00574BB9"/>
    <w:rsid w:val="00574BBC"/>
    <w:rsid w:val="00574C78"/>
    <w:rsid w:val="00574C7D"/>
    <w:rsid w:val="00574C8D"/>
    <w:rsid w:val="0057501B"/>
    <w:rsid w:val="00575031"/>
    <w:rsid w:val="0057507D"/>
    <w:rsid w:val="005750F5"/>
    <w:rsid w:val="00575256"/>
    <w:rsid w:val="0057530A"/>
    <w:rsid w:val="00575490"/>
    <w:rsid w:val="00575516"/>
    <w:rsid w:val="00575628"/>
    <w:rsid w:val="00575657"/>
    <w:rsid w:val="0057565C"/>
    <w:rsid w:val="005757B1"/>
    <w:rsid w:val="00575831"/>
    <w:rsid w:val="00575939"/>
    <w:rsid w:val="005759BC"/>
    <w:rsid w:val="00575BF5"/>
    <w:rsid w:val="00575C35"/>
    <w:rsid w:val="00575DDB"/>
    <w:rsid w:val="00575E74"/>
    <w:rsid w:val="00575E82"/>
    <w:rsid w:val="00575FA3"/>
    <w:rsid w:val="005760BC"/>
    <w:rsid w:val="00576135"/>
    <w:rsid w:val="00576146"/>
    <w:rsid w:val="0057617B"/>
    <w:rsid w:val="005761D2"/>
    <w:rsid w:val="005761DA"/>
    <w:rsid w:val="0057630A"/>
    <w:rsid w:val="00576400"/>
    <w:rsid w:val="00576413"/>
    <w:rsid w:val="0057647F"/>
    <w:rsid w:val="005764A4"/>
    <w:rsid w:val="005764F5"/>
    <w:rsid w:val="005764FD"/>
    <w:rsid w:val="0057656A"/>
    <w:rsid w:val="00576AEB"/>
    <w:rsid w:val="00576C22"/>
    <w:rsid w:val="00576DEE"/>
    <w:rsid w:val="00576F93"/>
    <w:rsid w:val="00576FA4"/>
    <w:rsid w:val="0057718B"/>
    <w:rsid w:val="00577192"/>
    <w:rsid w:val="005771A3"/>
    <w:rsid w:val="005771F4"/>
    <w:rsid w:val="005773C5"/>
    <w:rsid w:val="00577411"/>
    <w:rsid w:val="0057743E"/>
    <w:rsid w:val="00577504"/>
    <w:rsid w:val="00577550"/>
    <w:rsid w:val="0057755E"/>
    <w:rsid w:val="005775D1"/>
    <w:rsid w:val="005775E3"/>
    <w:rsid w:val="00577784"/>
    <w:rsid w:val="00577843"/>
    <w:rsid w:val="005779B8"/>
    <w:rsid w:val="00577AF8"/>
    <w:rsid w:val="00577D46"/>
    <w:rsid w:val="00577D88"/>
    <w:rsid w:val="00577D8B"/>
    <w:rsid w:val="00577DB2"/>
    <w:rsid w:val="00577DC4"/>
    <w:rsid w:val="00577DF1"/>
    <w:rsid w:val="00577FC6"/>
    <w:rsid w:val="00577FCC"/>
    <w:rsid w:val="0058000F"/>
    <w:rsid w:val="005803C1"/>
    <w:rsid w:val="00580867"/>
    <w:rsid w:val="0058091B"/>
    <w:rsid w:val="00580937"/>
    <w:rsid w:val="00580954"/>
    <w:rsid w:val="00580E89"/>
    <w:rsid w:val="00580E90"/>
    <w:rsid w:val="00580EAF"/>
    <w:rsid w:val="00580F2B"/>
    <w:rsid w:val="00580F71"/>
    <w:rsid w:val="0058110C"/>
    <w:rsid w:val="0058114C"/>
    <w:rsid w:val="0058122D"/>
    <w:rsid w:val="0058126B"/>
    <w:rsid w:val="0058127B"/>
    <w:rsid w:val="0058141D"/>
    <w:rsid w:val="00581452"/>
    <w:rsid w:val="00581471"/>
    <w:rsid w:val="005815F3"/>
    <w:rsid w:val="0058166A"/>
    <w:rsid w:val="005816CA"/>
    <w:rsid w:val="0058170F"/>
    <w:rsid w:val="00581ACB"/>
    <w:rsid w:val="00581AE8"/>
    <w:rsid w:val="00581BBE"/>
    <w:rsid w:val="00581BC8"/>
    <w:rsid w:val="00581D5B"/>
    <w:rsid w:val="00581E2F"/>
    <w:rsid w:val="00582092"/>
    <w:rsid w:val="00582105"/>
    <w:rsid w:val="0058211D"/>
    <w:rsid w:val="00582144"/>
    <w:rsid w:val="005823D0"/>
    <w:rsid w:val="005823E6"/>
    <w:rsid w:val="00582423"/>
    <w:rsid w:val="005825AC"/>
    <w:rsid w:val="00582768"/>
    <w:rsid w:val="0058280F"/>
    <w:rsid w:val="0058287E"/>
    <w:rsid w:val="005828BD"/>
    <w:rsid w:val="00582920"/>
    <w:rsid w:val="00582A04"/>
    <w:rsid w:val="00582A45"/>
    <w:rsid w:val="00582A69"/>
    <w:rsid w:val="00582ADD"/>
    <w:rsid w:val="00582B52"/>
    <w:rsid w:val="00582C1C"/>
    <w:rsid w:val="00582C3F"/>
    <w:rsid w:val="00582E02"/>
    <w:rsid w:val="00582F41"/>
    <w:rsid w:val="00582FB6"/>
    <w:rsid w:val="00583019"/>
    <w:rsid w:val="0058312E"/>
    <w:rsid w:val="0058320C"/>
    <w:rsid w:val="00583287"/>
    <w:rsid w:val="00583339"/>
    <w:rsid w:val="00583408"/>
    <w:rsid w:val="005834EA"/>
    <w:rsid w:val="0058358E"/>
    <w:rsid w:val="005835F9"/>
    <w:rsid w:val="00583648"/>
    <w:rsid w:val="0058369E"/>
    <w:rsid w:val="0058374E"/>
    <w:rsid w:val="005837BB"/>
    <w:rsid w:val="005838F8"/>
    <w:rsid w:val="00583DB4"/>
    <w:rsid w:val="00583DBC"/>
    <w:rsid w:val="00583DF3"/>
    <w:rsid w:val="00583E49"/>
    <w:rsid w:val="00583EB2"/>
    <w:rsid w:val="00583F9A"/>
    <w:rsid w:val="00584048"/>
    <w:rsid w:val="0058411A"/>
    <w:rsid w:val="00584160"/>
    <w:rsid w:val="00584182"/>
    <w:rsid w:val="005842BB"/>
    <w:rsid w:val="005842DB"/>
    <w:rsid w:val="0058436F"/>
    <w:rsid w:val="005843D9"/>
    <w:rsid w:val="00584438"/>
    <w:rsid w:val="005844FC"/>
    <w:rsid w:val="00584603"/>
    <w:rsid w:val="005846F7"/>
    <w:rsid w:val="00584960"/>
    <w:rsid w:val="005849F6"/>
    <w:rsid w:val="00584A25"/>
    <w:rsid w:val="00584AFD"/>
    <w:rsid w:val="00584BC9"/>
    <w:rsid w:val="00584C7F"/>
    <w:rsid w:val="00584D98"/>
    <w:rsid w:val="00584DAD"/>
    <w:rsid w:val="00584DB1"/>
    <w:rsid w:val="00584DB3"/>
    <w:rsid w:val="00584DC7"/>
    <w:rsid w:val="00584F51"/>
    <w:rsid w:val="00584FBC"/>
    <w:rsid w:val="00584FC9"/>
    <w:rsid w:val="00585198"/>
    <w:rsid w:val="00585397"/>
    <w:rsid w:val="00585587"/>
    <w:rsid w:val="005855C5"/>
    <w:rsid w:val="00585631"/>
    <w:rsid w:val="005856C1"/>
    <w:rsid w:val="00585707"/>
    <w:rsid w:val="0058573F"/>
    <w:rsid w:val="005857A9"/>
    <w:rsid w:val="005857FE"/>
    <w:rsid w:val="00585802"/>
    <w:rsid w:val="0058580A"/>
    <w:rsid w:val="0058587B"/>
    <w:rsid w:val="005858D1"/>
    <w:rsid w:val="00585A5F"/>
    <w:rsid w:val="00585A94"/>
    <w:rsid w:val="00585ACD"/>
    <w:rsid w:val="00585B17"/>
    <w:rsid w:val="00585BC6"/>
    <w:rsid w:val="00585CD7"/>
    <w:rsid w:val="00585E43"/>
    <w:rsid w:val="00585EFF"/>
    <w:rsid w:val="00586098"/>
    <w:rsid w:val="005860A4"/>
    <w:rsid w:val="005861AE"/>
    <w:rsid w:val="00586227"/>
    <w:rsid w:val="00586302"/>
    <w:rsid w:val="0058636E"/>
    <w:rsid w:val="00586384"/>
    <w:rsid w:val="00586489"/>
    <w:rsid w:val="00586507"/>
    <w:rsid w:val="0058654F"/>
    <w:rsid w:val="00586593"/>
    <w:rsid w:val="0058670F"/>
    <w:rsid w:val="00586762"/>
    <w:rsid w:val="005867EE"/>
    <w:rsid w:val="005867F7"/>
    <w:rsid w:val="00586842"/>
    <w:rsid w:val="00586905"/>
    <w:rsid w:val="0058694B"/>
    <w:rsid w:val="005869AA"/>
    <w:rsid w:val="00586AC0"/>
    <w:rsid w:val="00586AF0"/>
    <w:rsid w:val="00586BF7"/>
    <w:rsid w:val="00586C25"/>
    <w:rsid w:val="00586E06"/>
    <w:rsid w:val="00586E6F"/>
    <w:rsid w:val="00587058"/>
    <w:rsid w:val="0058714B"/>
    <w:rsid w:val="005871CB"/>
    <w:rsid w:val="00587292"/>
    <w:rsid w:val="005872CA"/>
    <w:rsid w:val="005872DA"/>
    <w:rsid w:val="005872F7"/>
    <w:rsid w:val="00587438"/>
    <w:rsid w:val="005876AE"/>
    <w:rsid w:val="00587728"/>
    <w:rsid w:val="005877CA"/>
    <w:rsid w:val="005878EC"/>
    <w:rsid w:val="0058792B"/>
    <w:rsid w:val="00587A20"/>
    <w:rsid w:val="00587B07"/>
    <w:rsid w:val="00587B19"/>
    <w:rsid w:val="00587B30"/>
    <w:rsid w:val="00587BA9"/>
    <w:rsid w:val="00587BE3"/>
    <w:rsid w:val="00587C61"/>
    <w:rsid w:val="00587C8E"/>
    <w:rsid w:val="00587CA5"/>
    <w:rsid w:val="00587CF2"/>
    <w:rsid w:val="00587CF9"/>
    <w:rsid w:val="00587E20"/>
    <w:rsid w:val="00590220"/>
    <w:rsid w:val="00590236"/>
    <w:rsid w:val="00590398"/>
    <w:rsid w:val="005905E7"/>
    <w:rsid w:val="005907FF"/>
    <w:rsid w:val="005908CD"/>
    <w:rsid w:val="00590A11"/>
    <w:rsid w:val="00590A6D"/>
    <w:rsid w:val="00590AC1"/>
    <w:rsid w:val="00590B13"/>
    <w:rsid w:val="00590B47"/>
    <w:rsid w:val="00590D1D"/>
    <w:rsid w:val="00590E60"/>
    <w:rsid w:val="00590E67"/>
    <w:rsid w:val="00590E71"/>
    <w:rsid w:val="00590FBF"/>
    <w:rsid w:val="005911EE"/>
    <w:rsid w:val="00591282"/>
    <w:rsid w:val="0059177A"/>
    <w:rsid w:val="005917E8"/>
    <w:rsid w:val="00591A5A"/>
    <w:rsid w:val="00591A81"/>
    <w:rsid w:val="00591A8E"/>
    <w:rsid w:val="00591B34"/>
    <w:rsid w:val="00591BCE"/>
    <w:rsid w:val="00591EDF"/>
    <w:rsid w:val="00591EE3"/>
    <w:rsid w:val="00592038"/>
    <w:rsid w:val="00592056"/>
    <w:rsid w:val="0059207E"/>
    <w:rsid w:val="00592115"/>
    <w:rsid w:val="00592141"/>
    <w:rsid w:val="00592259"/>
    <w:rsid w:val="005922D2"/>
    <w:rsid w:val="005922FC"/>
    <w:rsid w:val="0059232B"/>
    <w:rsid w:val="00592405"/>
    <w:rsid w:val="00592514"/>
    <w:rsid w:val="0059266A"/>
    <w:rsid w:val="005927C2"/>
    <w:rsid w:val="005927FD"/>
    <w:rsid w:val="00592867"/>
    <w:rsid w:val="00592B73"/>
    <w:rsid w:val="00592DBD"/>
    <w:rsid w:val="00592DDA"/>
    <w:rsid w:val="00592DE7"/>
    <w:rsid w:val="00592E04"/>
    <w:rsid w:val="00592E44"/>
    <w:rsid w:val="00592E61"/>
    <w:rsid w:val="00592F7A"/>
    <w:rsid w:val="0059309B"/>
    <w:rsid w:val="0059313F"/>
    <w:rsid w:val="0059329F"/>
    <w:rsid w:val="00593314"/>
    <w:rsid w:val="005934CC"/>
    <w:rsid w:val="005934DA"/>
    <w:rsid w:val="00593710"/>
    <w:rsid w:val="00593827"/>
    <w:rsid w:val="005938B0"/>
    <w:rsid w:val="005938EF"/>
    <w:rsid w:val="00593986"/>
    <w:rsid w:val="00593A2B"/>
    <w:rsid w:val="00593AD1"/>
    <w:rsid w:val="00593B55"/>
    <w:rsid w:val="00593C5E"/>
    <w:rsid w:val="00593C92"/>
    <w:rsid w:val="00593CAD"/>
    <w:rsid w:val="00593D9B"/>
    <w:rsid w:val="00593E2D"/>
    <w:rsid w:val="00593FA3"/>
    <w:rsid w:val="005942EA"/>
    <w:rsid w:val="00594315"/>
    <w:rsid w:val="00594433"/>
    <w:rsid w:val="00594496"/>
    <w:rsid w:val="00594504"/>
    <w:rsid w:val="0059483B"/>
    <w:rsid w:val="00594849"/>
    <w:rsid w:val="00594872"/>
    <w:rsid w:val="005948FC"/>
    <w:rsid w:val="00594AD5"/>
    <w:rsid w:val="00594B3C"/>
    <w:rsid w:val="00594B4C"/>
    <w:rsid w:val="00594B8F"/>
    <w:rsid w:val="00594C3E"/>
    <w:rsid w:val="00594CBE"/>
    <w:rsid w:val="00594CE7"/>
    <w:rsid w:val="00594D5E"/>
    <w:rsid w:val="00594DEA"/>
    <w:rsid w:val="00594E5E"/>
    <w:rsid w:val="00595030"/>
    <w:rsid w:val="00595113"/>
    <w:rsid w:val="00595187"/>
    <w:rsid w:val="005951C0"/>
    <w:rsid w:val="005951C5"/>
    <w:rsid w:val="005951F8"/>
    <w:rsid w:val="00595265"/>
    <w:rsid w:val="005952FD"/>
    <w:rsid w:val="005952FF"/>
    <w:rsid w:val="0059553C"/>
    <w:rsid w:val="00595692"/>
    <w:rsid w:val="005956D0"/>
    <w:rsid w:val="005957A3"/>
    <w:rsid w:val="00595A60"/>
    <w:rsid w:val="00595B0B"/>
    <w:rsid w:val="00595B3E"/>
    <w:rsid w:val="00595B4C"/>
    <w:rsid w:val="00595E14"/>
    <w:rsid w:val="00595E54"/>
    <w:rsid w:val="00595E66"/>
    <w:rsid w:val="00595F07"/>
    <w:rsid w:val="00595F7C"/>
    <w:rsid w:val="00595FF9"/>
    <w:rsid w:val="005960F7"/>
    <w:rsid w:val="00596141"/>
    <w:rsid w:val="00596259"/>
    <w:rsid w:val="005962A0"/>
    <w:rsid w:val="005962A7"/>
    <w:rsid w:val="005962FA"/>
    <w:rsid w:val="0059642B"/>
    <w:rsid w:val="00596515"/>
    <w:rsid w:val="00596566"/>
    <w:rsid w:val="00596588"/>
    <w:rsid w:val="005965C7"/>
    <w:rsid w:val="005965CB"/>
    <w:rsid w:val="00596692"/>
    <w:rsid w:val="00596911"/>
    <w:rsid w:val="0059693E"/>
    <w:rsid w:val="005969A4"/>
    <w:rsid w:val="00596A19"/>
    <w:rsid w:val="00596A37"/>
    <w:rsid w:val="00596A8C"/>
    <w:rsid w:val="00596ADE"/>
    <w:rsid w:val="00596BFE"/>
    <w:rsid w:val="00596C3D"/>
    <w:rsid w:val="00596DA2"/>
    <w:rsid w:val="00596EEF"/>
    <w:rsid w:val="00596F43"/>
    <w:rsid w:val="00596F88"/>
    <w:rsid w:val="00597055"/>
    <w:rsid w:val="005972C0"/>
    <w:rsid w:val="005972CF"/>
    <w:rsid w:val="00597318"/>
    <w:rsid w:val="00597334"/>
    <w:rsid w:val="0059736D"/>
    <w:rsid w:val="005973B9"/>
    <w:rsid w:val="0059742B"/>
    <w:rsid w:val="00597444"/>
    <w:rsid w:val="005974D5"/>
    <w:rsid w:val="0059753B"/>
    <w:rsid w:val="00597675"/>
    <w:rsid w:val="0059789D"/>
    <w:rsid w:val="00597933"/>
    <w:rsid w:val="0059793B"/>
    <w:rsid w:val="00597982"/>
    <w:rsid w:val="00597987"/>
    <w:rsid w:val="00597A41"/>
    <w:rsid w:val="00597A64"/>
    <w:rsid w:val="00597D6D"/>
    <w:rsid w:val="005A00F6"/>
    <w:rsid w:val="005A0163"/>
    <w:rsid w:val="005A02CD"/>
    <w:rsid w:val="005A03AF"/>
    <w:rsid w:val="005A03DE"/>
    <w:rsid w:val="005A05B6"/>
    <w:rsid w:val="005A0668"/>
    <w:rsid w:val="005A08A7"/>
    <w:rsid w:val="005A08D1"/>
    <w:rsid w:val="005A096B"/>
    <w:rsid w:val="005A098C"/>
    <w:rsid w:val="005A0A20"/>
    <w:rsid w:val="005A0AF3"/>
    <w:rsid w:val="005A0B9A"/>
    <w:rsid w:val="005A0BD6"/>
    <w:rsid w:val="005A0CA2"/>
    <w:rsid w:val="005A0D2D"/>
    <w:rsid w:val="005A0D3A"/>
    <w:rsid w:val="005A0E39"/>
    <w:rsid w:val="005A0E51"/>
    <w:rsid w:val="005A0EFB"/>
    <w:rsid w:val="005A0F1A"/>
    <w:rsid w:val="005A0F2D"/>
    <w:rsid w:val="005A0F44"/>
    <w:rsid w:val="005A0FAD"/>
    <w:rsid w:val="005A0FDF"/>
    <w:rsid w:val="005A1000"/>
    <w:rsid w:val="005A1164"/>
    <w:rsid w:val="005A1223"/>
    <w:rsid w:val="005A1233"/>
    <w:rsid w:val="005A1237"/>
    <w:rsid w:val="005A12A3"/>
    <w:rsid w:val="005A134C"/>
    <w:rsid w:val="005A1404"/>
    <w:rsid w:val="005A15B6"/>
    <w:rsid w:val="005A15F1"/>
    <w:rsid w:val="005A1634"/>
    <w:rsid w:val="005A16CF"/>
    <w:rsid w:val="005A1779"/>
    <w:rsid w:val="005A17C9"/>
    <w:rsid w:val="005A1834"/>
    <w:rsid w:val="005A18E8"/>
    <w:rsid w:val="005A1AC6"/>
    <w:rsid w:val="005A1B63"/>
    <w:rsid w:val="005A1C66"/>
    <w:rsid w:val="005A1D32"/>
    <w:rsid w:val="005A1DA7"/>
    <w:rsid w:val="005A1DEF"/>
    <w:rsid w:val="005A1E64"/>
    <w:rsid w:val="005A1EBE"/>
    <w:rsid w:val="005A203D"/>
    <w:rsid w:val="005A2229"/>
    <w:rsid w:val="005A223F"/>
    <w:rsid w:val="005A22C5"/>
    <w:rsid w:val="005A2310"/>
    <w:rsid w:val="005A23BB"/>
    <w:rsid w:val="005A244E"/>
    <w:rsid w:val="005A2481"/>
    <w:rsid w:val="005A25D5"/>
    <w:rsid w:val="005A2622"/>
    <w:rsid w:val="005A2645"/>
    <w:rsid w:val="005A26D5"/>
    <w:rsid w:val="005A2701"/>
    <w:rsid w:val="005A278F"/>
    <w:rsid w:val="005A27AD"/>
    <w:rsid w:val="005A27EC"/>
    <w:rsid w:val="005A28EB"/>
    <w:rsid w:val="005A2A49"/>
    <w:rsid w:val="005A2BA4"/>
    <w:rsid w:val="005A2CD4"/>
    <w:rsid w:val="005A2D40"/>
    <w:rsid w:val="005A2DC6"/>
    <w:rsid w:val="005A2DE5"/>
    <w:rsid w:val="005A2EA1"/>
    <w:rsid w:val="005A2EF5"/>
    <w:rsid w:val="005A2F1F"/>
    <w:rsid w:val="005A3035"/>
    <w:rsid w:val="005A305C"/>
    <w:rsid w:val="005A308A"/>
    <w:rsid w:val="005A3199"/>
    <w:rsid w:val="005A327E"/>
    <w:rsid w:val="005A341E"/>
    <w:rsid w:val="005A37CF"/>
    <w:rsid w:val="005A3893"/>
    <w:rsid w:val="005A392E"/>
    <w:rsid w:val="005A3A5E"/>
    <w:rsid w:val="005A3A70"/>
    <w:rsid w:val="005A3AD0"/>
    <w:rsid w:val="005A3B80"/>
    <w:rsid w:val="005A3D53"/>
    <w:rsid w:val="005A402D"/>
    <w:rsid w:val="005A4207"/>
    <w:rsid w:val="005A4494"/>
    <w:rsid w:val="005A449B"/>
    <w:rsid w:val="005A45C7"/>
    <w:rsid w:val="005A468D"/>
    <w:rsid w:val="005A4714"/>
    <w:rsid w:val="005A491F"/>
    <w:rsid w:val="005A4AAD"/>
    <w:rsid w:val="005A4AE1"/>
    <w:rsid w:val="005A4C58"/>
    <w:rsid w:val="005A4D33"/>
    <w:rsid w:val="005A4DB2"/>
    <w:rsid w:val="005A4DC5"/>
    <w:rsid w:val="005A4E66"/>
    <w:rsid w:val="005A50D4"/>
    <w:rsid w:val="005A513C"/>
    <w:rsid w:val="005A52C4"/>
    <w:rsid w:val="005A541E"/>
    <w:rsid w:val="005A54C2"/>
    <w:rsid w:val="005A5666"/>
    <w:rsid w:val="005A567B"/>
    <w:rsid w:val="005A5717"/>
    <w:rsid w:val="005A5A2A"/>
    <w:rsid w:val="005A5B22"/>
    <w:rsid w:val="005A5B7A"/>
    <w:rsid w:val="005A5BAD"/>
    <w:rsid w:val="005A5CCB"/>
    <w:rsid w:val="005A5D9C"/>
    <w:rsid w:val="005A5DEE"/>
    <w:rsid w:val="005A5FCA"/>
    <w:rsid w:val="005A6141"/>
    <w:rsid w:val="005A6234"/>
    <w:rsid w:val="005A62F8"/>
    <w:rsid w:val="005A633E"/>
    <w:rsid w:val="005A646D"/>
    <w:rsid w:val="005A6564"/>
    <w:rsid w:val="005A66D7"/>
    <w:rsid w:val="005A6781"/>
    <w:rsid w:val="005A679A"/>
    <w:rsid w:val="005A6810"/>
    <w:rsid w:val="005A68F0"/>
    <w:rsid w:val="005A6ADC"/>
    <w:rsid w:val="005A6AFD"/>
    <w:rsid w:val="005A6B44"/>
    <w:rsid w:val="005A6BCF"/>
    <w:rsid w:val="005A6CE2"/>
    <w:rsid w:val="005A6E00"/>
    <w:rsid w:val="005A6EBC"/>
    <w:rsid w:val="005A6EC0"/>
    <w:rsid w:val="005A71BA"/>
    <w:rsid w:val="005A742B"/>
    <w:rsid w:val="005A7581"/>
    <w:rsid w:val="005A759A"/>
    <w:rsid w:val="005A7650"/>
    <w:rsid w:val="005A7669"/>
    <w:rsid w:val="005A7681"/>
    <w:rsid w:val="005A76B7"/>
    <w:rsid w:val="005A78DC"/>
    <w:rsid w:val="005A78E9"/>
    <w:rsid w:val="005A7909"/>
    <w:rsid w:val="005A7933"/>
    <w:rsid w:val="005A7C53"/>
    <w:rsid w:val="005A7D4D"/>
    <w:rsid w:val="005A7F04"/>
    <w:rsid w:val="005A7FA5"/>
    <w:rsid w:val="005B00AE"/>
    <w:rsid w:val="005B00E1"/>
    <w:rsid w:val="005B0106"/>
    <w:rsid w:val="005B017C"/>
    <w:rsid w:val="005B0269"/>
    <w:rsid w:val="005B02F1"/>
    <w:rsid w:val="005B06AE"/>
    <w:rsid w:val="005B0798"/>
    <w:rsid w:val="005B07EC"/>
    <w:rsid w:val="005B0986"/>
    <w:rsid w:val="005B0B3F"/>
    <w:rsid w:val="005B0D46"/>
    <w:rsid w:val="005B0D51"/>
    <w:rsid w:val="005B0D94"/>
    <w:rsid w:val="005B0E19"/>
    <w:rsid w:val="005B0F71"/>
    <w:rsid w:val="005B0FCA"/>
    <w:rsid w:val="005B10C1"/>
    <w:rsid w:val="005B1118"/>
    <w:rsid w:val="005B11CB"/>
    <w:rsid w:val="005B1202"/>
    <w:rsid w:val="005B1267"/>
    <w:rsid w:val="005B14B4"/>
    <w:rsid w:val="005B14C1"/>
    <w:rsid w:val="005B161F"/>
    <w:rsid w:val="005B1643"/>
    <w:rsid w:val="005B16E8"/>
    <w:rsid w:val="005B19B5"/>
    <w:rsid w:val="005B1B78"/>
    <w:rsid w:val="005B1C38"/>
    <w:rsid w:val="005B1DD7"/>
    <w:rsid w:val="005B1DE0"/>
    <w:rsid w:val="005B1E36"/>
    <w:rsid w:val="005B1FDB"/>
    <w:rsid w:val="005B2010"/>
    <w:rsid w:val="005B205A"/>
    <w:rsid w:val="005B207F"/>
    <w:rsid w:val="005B20F0"/>
    <w:rsid w:val="005B2100"/>
    <w:rsid w:val="005B249B"/>
    <w:rsid w:val="005B2595"/>
    <w:rsid w:val="005B259C"/>
    <w:rsid w:val="005B268B"/>
    <w:rsid w:val="005B2871"/>
    <w:rsid w:val="005B28DD"/>
    <w:rsid w:val="005B2943"/>
    <w:rsid w:val="005B299A"/>
    <w:rsid w:val="005B2A2E"/>
    <w:rsid w:val="005B2A8A"/>
    <w:rsid w:val="005B2B5D"/>
    <w:rsid w:val="005B2C35"/>
    <w:rsid w:val="005B2C99"/>
    <w:rsid w:val="005B2E17"/>
    <w:rsid w:val="005B34B8"/>
    <w:rsid w:val="005B36B3"/>
    <w:rsid w:val="005B3850"/>
    <w:rsid w:val="005B3866"/>
    <w:rsid w:val="005B38FC"/>
    <w:rsid w:val="005B396E"/>
    <w:rsid w:val="005B3A9C"/>
    <w:rsid w:val="005B3AEE"/>
    <w:rsid w:val="005B3B7B"/>
    <w:rsid w:val="005B3BBC"/>
    <w:rsid w:val="005B3E7E"/>
    <w:rsid w:val="005B3EC3"/>
    <w:rsid w:val="005B3F16"/>
    <w:rsid w:val="005B4104"/>
    <w:rsid w:val="005B411D"/>
    <w:rsid w:val="005B417B"/>
    <w:rsid w:val="005B4339"/>
    <w:rsid w:val="005B440B"/>
    <w:rsid w:val="005B4485"/>
    <w:rsid w:val="005B4498"/>
    <w:rsid w:val="005B46B2"/>
    <w:rsid w:val="005B4702"/>
    <w:rsid w:val="005B4736"/>
    <w:rsid w:val="005B4750"/>
    <w:rsid w:val="005B47C4"/>
    <w:rsid w:val="005B486F"/>
    <w:rsid w:val="005B48AC"/>
    <w:rsid w:val="005B4BB4"/>
    <w:rsid w:val="005B4BF7"/>
    <w:rsid w:val="005B4D29"/>
    <w:rsid w:val="005B4DE5"/>
    <w:rsid w:val="005B4E8B"/>
    <w:rsid w:val="005B50A6"/>
    <w:rsid w:val="005B5103"/>
    <w:rsid w:val="005B515F"/>
    <w:rsid w:val="005B5247"/>
    <w:rsid w:val="005B53BE"/>
    <w:rsid w:val="005B566F"/>
    <w:rsid w:val="005B5728"/>
    <w:rsid w:val="005B5738"/>
    <w:rsid w:val="005B59BA"/>
    <w:rsid w:val="005B5A6D"/>
    <w:rsid w:val="005B5B9C"/>
    <w:rsid w:val="005B5BB4"/>
    <w:rsid w:val="005B5EB4"/>
    <w:rsid w:val="005B5EE4"/>
    <w:rsid w:val="005B5F1A"/>
    <w:rsid w:val="005B5F7D"/>
    <w:rsid w:val="005B609B"/>
    <w:rsid w:val="005B60FA"/>
    <w:rsid w:val="005B61F4"/>
    <w:rsid w:val="005B6232"/>
    <w:rsid w:val="005B6325"/>
    <w:rsid w:val="005B633B"/>
    <w:rsid w:val="005B65DE"/>
    <w:rsid w:val="005B6808"/>
    <w:rsid w:val="005B682D"/>
    <w:rsid w:val="005B69CD"/>
    <w:rsid w:val="005B6AC6"/>
    <w:rsid w:val="005B6BA6"/>
    <w:rsid w:val="005B6BE4"/>
    <w:rsid w:val="005B6C17"/>
    <w:rsid w:val="005B6CBE"/>
    <w:rsid w:val="005B6D88"/>
    <w:rsid w:val="005B6F8A"/>
    <w:rsid w:val="005B6FF6"/>
    <w:rsid w:val="005B706C"/>
    <w:rsid w:val="005B70CA"/>
    <w:rsid w:val="005B7247"/>
    <w:rsid w:val="005B72DD"/>
    <w:rsid w:val="005B7525"/>
    <w:rsid w:val="005B7555"/>
    <w:rsid w:val="005B7758"/>
    <w:rsid w:val="005B78FE"/>
    <w:rsid w:val="005B79C8"/>
    <w:rsid w:val="005B7AD1"/>
    <w:rsid w:val="005B7BE4"/>
    <w:rsid w:val="005B7C47"/>
    <w:rsid w:val="005B7E19"/>
    <w:rsid w:val="005B7F66"/>
    <w:rsid w:val="005C01A8"/>
    <w:rsid w:val="005C03C5"/>
    <w:rsid w:val="005C03D9"/>
    <w:rsid w:val="005C04B7"/>
    <w:rsid w:val="005C0501"/>
    <w:rsid w:val="005C06CE"/>
    <w:rsid w:val="005C06F0"/>
    <w:rsid w:val="005C0789"/>
    <w:rsid w:val="005C0809"/>
    <w:rsid w:val="005C0866"/>
    <w:rsid w:val="005C08D4"/>
    <w:rsid w:val="005C093A"/>
    <w:rsid w:val="005C0959"/>
    <w:rsid w:val="005C0AB0"/>
    <w:rsid w:val="005C0B69"/>
    <w:rsid w:val="005C0CA5"/>
    <w:rsid w:val="005C0E25"/>
    <w:rsid w:val="005C10CA"/>
    <w:rsid w:val="005C117C"/>
    <w:rsid w:val="005C1191"/>
    <w:rsid w:val="005C122D"/>
    <w:rsid w:val="005C1317"/>
    <w:rsid w:val="005C16A2"/>
    <w:rsid w:val="005C179B"/>
    <w:rsid w:val="005C17F1"/>
    <w:rsid w:val="005C1818"/>
    <w:rsid w:val="005C1823"/>
    <w:rsid w:val="005C18CE"/>
    <w:rsid w:val="005C1961"/>
    <w:rsid w:val="005C1A23"/>
    <w:rsid w:val="005C1A32"/>
    <w:rsid w:val="005C1A7A"/>
    <w:rsid w:val="005C1B10"/>
    <w:rsid w:val="005C1BE4"/>
    <w:rsid w:val="005C1D45"/>
    <w:rsid w:val="005C1F13"/>
    <w:rsid w:val="005C1FF2"/>
    <w:rsid w:val="005C21A5"/>
    <w:rsid w:val="005C231A"/>
    <w:rsid w:val="005C2349"/>
    <w:rsid w:val="005C2356"/>
    <w:rsid w:val="005C23E5"/>
    <w:rsid w:val="005C2413"/>
    <w:rsid w:val="005C251E"/>
    <w:rsid w:val="005C2573"/>
    <w:rsid w:val="005C25F4"/>
    <w:rsid w:val="005C2679"/>
    <w:rsid w:val="005C26BF"/>
    <w:rsid w:val="005C2799"/>
    <w:rsid w:val="005C2944"/>
    <w:rsid w:val="005C298B"/>
    <w:rsid w:val="005C2B0E"/>
    <w:rsid w:val="005C2D06"/>
    <w:rsid w:val="005C2D25"/>
    <w:rsid w:val="005C2D74"/>
    <w:rsid w:val="005C2DD3"/>
    <w:rsid w:val="005C3139"/>
    <w:rsid w:val="005C322F"/>
    <w:rsid w:val="005C324A"/>
    <w:rsid w:val="005C3296"/>
    <w:rsid w:val="005C32C2"/>
    <w:rsid w:val="005C32F5"/>
    <w:rsid w:val="005C3362"/>
    <w:rsid w:val="005C3413"/>
    <w:rsid w:val="005C3461"/>
    <w:rsid w:val="005C34F4"/>
    <w:rsid w:val="005C39A7"/>
    <w:rsid w:val="005C3A4D"/>
    <w:rsid w:val="005C3A9C"/>
    <w:rsid w:val="005C3AED"/>
    <w:rsid w:val="005C3B1B"/>
    <w:rsid w:val="005C3BC5"/>
    <w:rsid w:val="005C3CCC"/>
    <w:rsid w:val="005C3D0D"/>
    <w:rsid w:val="005C3E6D"/>
    <w:rsid w:val="005C3EA1"/>
    <w:rsid w:val="005C3EE6"/>
    <w:rsid w:val="005C3F4D"/>
    <w:rsid w:val="005C4032"/>
    <w:rsid w:val="005C4300"/>
    <w:rsid w:val="005C4365"/>
    <w:rsid w:val="005C450C"/>
    <w:rsid w:val="005C45BF"/>
    <w:rsid w:val="005C48A8"/>
    <w:rsid w:val="005C48E3"/>
    <w:rsid w:val="005C497D"/>
    <w:rsid w:val="005C49E9"/>
    <w:rsid w:val="005C4A8B"/>
    <w:rsid w:val="005C4B74"/>
    <w:rsid w:val="005C4D1F"/>
    <w:rsid w:val="005C4DBE"/>
    <w:rsid w:val="005C4F5D"/>
    <w:rsid w:val="005C4F61"/>
    <w:rsid w:val="005C4FBB"/>
    <w:rsid w:val="005C50C9"/>
    <w:rsid w:val="005C5132"/>
    <w:rsid w:val="005C5191"/>
    <w:rsid w:val="005C538C"/>
    <w:rsid w:val="005C5440"/>
    <w:rsid w:val="005C54E8"/>
    <w:rsid w:val="005C5503"/>
    <w:rsid w:val="005C5538"/>
    <w:rsid w:val="005C587E"/>
    <w:rsid w:val="005C5885"/>
    <w:rsid w:val="005C58A4"/>
    <w:rsid w:val="005C58B3"/>
    <w:rsid w:val="005C5935"/>
    <w:rsid w:val="005C59A3"/>
    <w:rsid w:val="005C5A79"/>
    <w:rsid w:val="005C5E52"/>
    <w:rsid w:val="005C5EFD"/>
    <w:rsid w:val="005C5F75"/>
    <w:rsid w:val="005C5FE6"/>
    <w:rsid w:val="005C604B"/>
    <w:rsid w:val="005C6052"/>
    <w:rsid w:val="005C60C3"/>
    <w:rsid w:val="005C6232"/>
    <w:rsid w:val="005C62CC"/>
    <w:rsid w:val="005C643C"/>
    <w:rsid w:val="005C6494"/>
    <w:rsid w:val="005C6618"/>
    <w:rsid w:val="005C6640"/>
    <w:rsid w:val="005C6704"/>
    <w:rsid w:val="005C670E"/>
    <w:rsid w:val="005C676B"/>
    <w:rsid w:val="005C6976"/>
    <w:rsid w:val="005C6A0B"/>
    <w:rsid w:val="005C6A1C"/>
    <w:rsid w:val="005C6B46"/>
    <w:rsid w:val="005C6CE1"/>
    <w:rsid w:val="005C6E69"/>
    <w:rsid w:val="005C6EFD"/>
    <w:rsid w:val="005C6FA9"/>
    <w:rsid w:val="005C7055"/>
    <w:rsid w:val="005C70D7"/>
    <w:rsid w:val="005C70E7"/>
    <w:rsid w:val="005C711B"/>
    <w:rsid w:val="005C72EA"/>
    <w:rsid w:val="005C730D"/>
    <w:rsid w:val="005C73DD"/>
    <w:rsid w:val="005C7547"/>
    <w:rsid w:val="005C766D"/>
    <w:rsid w:val="005C767D"/>
    <w:rsid w:val="005C76AB"/>
    <w:rsid w:val="005C76B5"/>
    <w:rsid w:val="005C76B7"/>
    <w:rsid w:val="005C7824"/>
    <w:rsid w:val="005C78E3"/>
    <w:rsid w:val="005C7959"/>
    <w:rsid w:val="005C7AB2"/>
    <w:rsid w:val="005C7B17"/>
    <w:rsid w:val="005C7B59"/>
    <w:rsid w:val="005C7B9B"/>
    <w:rsid w:val="005C7BBF"/>
    <w:rsid w:val="005C7C89"/>
    <w:rsid w:val="005C7DC4"/>
    <w:rsid w:val="005C7DCF"/>
    <w:rsid w:val="005C7EB1"/>
    <w:rsid w:val="005C7F62"/>
    <w:rsid w:val="005D0024"/>
    <w:rsid w:val="005D0039"/>
    <w:rsid w:val="005D0041"/>
    <w:rsid w:val="005D00CE"/>
    <w:rsid w:val="005D0132"/>
    <w:rsid w:val="005D0320"/>
    <w:rsid w:val="005D0333"/>
    <w:rsid w:val="005D0682"/>
    <w:rsid w:val="005D070D"/>
    <w:rsid w:val="005D0788"/>
    <w:rsid w:val="005D0915"/>
    <w:rsid w:val="005D0B65"/>
    <w:rsid w:val="005D0CBD"/>
    <w:rsid w:val="005D0E5E"/>
    <w:rsid w:val="005D0E8A"/>
    <w:rsid w:val="005D1016"/>
    <w:rsid w:val="005D1082"/>
    <w:rsid w:val="005D1210"/>
    <w:rsid w:val="005D1448"/>
    <w:rsid w:val="005D146E"/>
    <w:rsid w:val="005D153D"/>
    <w:rsid w:val="005D1600"/>
    <w:rsid w:val="005D17C4"/>
    <w:rsid w:val="005D18A6"/>
    <w:rsid w:val="005D18EE"/>
    <w:rsid w:val="005D1B13"/>
    <w:rsid w:val="005D1B42"/>
    <w:rsid w:val="005D1C51"/>
    <w:rsid w:val="005D1D5A"/>
    <w:rsid w:val="005D208C"/>
    <w:rsid w:val="005D20AE"/>
    <w:rsid w:val="005D20B9"/>
    <w:rsid w:val="005D2317"/>
    <w:rsid w:val="005D232E"/>
    <w:rsid w:val="005D239A"/>
    <w:rsid w:val="005D253A"/>
    <w:rsid w:val="005D254A"/>
    <w:rsid w:val="005D270E"/>
    <w:rsid w:val="005D272D"/>
    <w:rsid w:val="005D2761"/>
    <w:rsid w:val="005D2837"/>
    <w:rsid w:val="005D2887"/>
    <w:rsid w:val="005D2C50"/>
    <w:rsid w:val="005D2D1A"/>
    <w:rsid w:val="005D2D3A"/>
    <w:rsid w:val="005D2E76"/>
    <w:rsid w:val="005D303C"/>
    <w:rsid w:val="005D30DF"/>
    <w:rsid w:val="005D3127"/>
    <w:rsid w:val="005D3191"/>
    <w:rsid w:val="005D3194"/>
    <w:rsid w:val="005D32C6"/>
    <w:rsid w:val="005D32CA"/>
    <w:rsid w:val="005D3363"/>
    <w:rsid w:val="005D33F4"/>
    <w:rsid w:val="005D3559"/>
    <w:rsid w:val="005D3603"/>
    <w:rsid w:val="005D37A8"/>
    <w:rsid w:val="005D3A6F"/>
    <w:rsid w:val="005D3B01"/>
    <w:rsid w:val="005D3BED"/>
    <w:rsid w:val="005D4073"/>
    <w:rsid w:val="005D4093"/>
    <w:rsid w:val="005D4202"/>
    <w:rsid w:val="005D42E3"/>
    <w:rsid w:val="005D4418"/>
    <w:rsid w:val="005D45DC"/>
    <w:rsid w:val="005D4639"/>
    <w:rsid w:val="005D4849"/>
    <w:rsid w:val="005D49D0"/>
    <w:rsid w:val="005D49ED"/>
    <w:rsid w:val="005D4A56"/>
    <w:rsid w:val="005D4B91"/>
    <w:rsid w:val="005D4C44"/>
    <w:rsid w:val="005D4CAE"/>
    <w:rsid w:val="005D4F8A"/>
    <w:rsid w:val="005D502D"/>
    <w:rsid w:val="005D50D4"/>
    <w:rsid w:val="005D5133"/>
    <w:rsid w:val="005D51D9"/>
    <w:rsid w:val="005D524B"/>
    <w:rsid w:val="005D5265"/>
    <w:rsid w:val="005D5585"/>
    <w:rsid w:val="005D565F"/>
    <w:rsid w:val="005D56DC"/>
    <w:rsid w:val="005D576A"/>
    <w:rsid w:val="005D5995"/>
    <w:rsid w:val="005D5B9E"/>
    <w:rsid w:val="005D5C51"/>
    <w:rsid w:val="005D5C99"/>
    <w:rsid w:val="005D5D1D"/>
    <w:rsid w:val="005D5D7F"/>
    <w:rsid w:val="005D5DA0"/>
    <w:rsid w:val="005D60B5"/>
    <w:rsid w:val="005D6162"/>
    <w:rsid w:val="005D619D"/>
    <w:rsid w:val="005D632B"/>
    <w:rsid w:val="005D641F"/>
    <w:rsid w:val="005D642B"/>
    <w:rsid w:val="005D64DC"/>
    <w:rsid w:val="005D64F6"/>
    <w:rsid w:val="005D656A"/>
    <w:rsid w:val="005D668F"/>
    <w:rsid w:val="005D67A2"/>
    <w:rsid w:val="005D680C"/>
    <w:rsid w:val="005D6811"/>
    <w:rsid w:val="005D6875"/>
    <w:rsid w:val="005D68DA"/>
    <w:rsid w:val="005D690D"/>
    <w:rsid w:val="005D6911"/>
    <w:rsid w:val="005D6940"/>
    <w:rsid w:val="005D69DB"/>
    <w:rsid w:val="005D69F1"/>
    <w:rsid w:val="005D6A45"/>
    <w:rsid w:val="005D6AA6"/>
    <w:rsid w:val="005D6C0F"/>
    <w:rsid w:val="005D6C64"/>
    <w:rsid w:val="005D6C91"/>
    <w:rsid w:val="005D6D22"/>
    <w:rsid w:val="005D6F38"/>
    <w:rsid w:val="005D71C6"/>
    <w:rsid w:val="005D72B0"/>
    <w:rsid w:val="005D7411"/>
    <w:rsid w:val="005D75C7"/>
    <w:rsid w:val="005D75C8"/>
    <w:rsid w:val="005D7669"/>
    <w:rsid w:val="005D77EB"/>
    <w:rsid w:val="005D7875"/>
    <w:rsid w:val="005D78ED"/>
    <w:rsid w:val="005D7A74"/>
    <w:rsid w:val="005D7C1B"/>
    <w:rsid w:val="005D7C3F"/>
    <w:rsid w:val="005D7C55"/>
    <w:rsid w:val="005D7CB9"/>
    <w:rsid w:val="005D7CFF"/>
    <w:rsid w:val="005D7D87"/>
    <w:rsid w:val="005D7E15"/>
    <w:rsid w:val="005D7E7E"/>
    <w:rsid w:val="005D7F04"/>
    <w:rsid w:val="005D7FCD"/>
    <w:rsid w:val="005E0229"/>
    <w:rsid w:val="005E023C"/>
    <w:rsid w:val="005E025B"/>
    <w:rsid w:val="005E0357"/>
    <w:rsid w:val="005E038D"/>
    <w:rsid w:val="005E062C"/>
    <w:rsid w:val="005E066D"/>
    <w:rsid w:val="005E067D"/>
    <w:rsid w:val="005E076B"/>
    <w:rsid w:val="005E0789"/>
    <w:rsid w:val="005E0989"/>
    <w:rsid w:val="005E0999"/>
    <w:rsid w:val="005E09E3"/>
    <w:rsid w:val="005E0A8E"/>
    <w:rsid w:val="005E0AD2"/>
    <w:rsid w:val="005E0BD3"/>
    <w:rsid w:val="005E0C7D"/>
    <w:rsid w:val="005E0CC3"/>
    <w:rsid w:val="005E0CDD"/>
    <w:rsid w:val="005E0DD0"/>
    <w:rsid w:val="005E0DFE"/>
    <w:rsid w:val="005E0F05"/>
    <w:rsid w:val="005E0FFD"/>
    <w:rsid w:val="005E12B7"/>
    <w:rsid w:val="005E1310"/>
    <w:rsid w:val="005E13AF"/>
    <w:rsid w:val="005E148B"/>
    <w:rsid w:val="005E14C5"/>
    <w:rsid w:val="005E150C"/>
    <w:rsid w:val="005E1535"/>
    <w:rsid w:val="005E1577"/>
    <w:rsid w:val="005E15F2"/>
    <w:rsid w:val="005E1709"/>
    <w:rsid w:val="005E18A3"/>
    <w:rsid w:val="005E1962"/>
    <w:rsid w:val="005E1BB3"/>
    <w:rsid w:val="005E1C6D"/>
    <w:rsid w:val="005E1D2B"/>
    <w:rsid w:val="005E1D49"/>
    <w:rsid w:val="005E1E35"/>
    <w:rsid w:val="005E1E3E"/>
    <w:rsid w:val="005E207A"/>
    <w:rsid w:val="005E207D"/>
    <w:rsid w:val="005E22E2"/>
    <w:rsid w:val="005E2419"/>
    <w:rsid w:val="005E244E"/>
    <w:rsid w:val="005E273E"/>
    <w:rsid w:val="005E27C4"/>
    <w:rsid w:val="005E28AB"/>
    <w:rsid w:val="005E2911"/>
    <w:rsid w:val="005E29A4"/>
    <w:rsid w:val="005E29E5"/>
    <w:rsid w:val="005E2A0D"/>
    <w:rsid w:val="005E2A2B"/>
    <w:rsid w:val="005E2AF9"/>
    <w:rsid w:val="005E2AFC"/>
    <w:rsid w:val="005E2B94"/>
    <w:rsid w:val="005E2BD4"/>
    <w:rsid w:val="005E2CAE"/>
    <w:rsid w:val="005E2CF2"/>
    <w:rsid w:val="005E2D8C"/>
    <w:rsid w:val="005E2EC9"/>
    <w:rsid w:val="005E300C"/>
    <w:rsid w:val="005E32A5"/>
    <w:rsid w:val="005E32BD"/>
    <w:rsid w:val="005E32F9"/>
    <w:rsid w:val="005E33ED"/>
    <w:rsid w:val="005E352D"/>
    <w:rsid w:val="005E3548"/>
    <w:rsid w:val="005E35D9"/>
    <w:rsid w:val="005E3602"/>
    <w:rsid w:val="005E3777"/>
    <w:rsid w:val="005E3785"/>
    <w:rsid w:val="005E37F8"/>
    <w:rsid w:val="005E38A8"/>
    <w:rsid w:val="005E3981"/>
    <w:rsid w:val="005E39E2"/>
    <w:rsid w:val="005E3AA0"/>
    <w:rsid w:val="005E3B73"/>
    <w:rsid w:val="005E3BEE"/>
    <w:rsid w:val="005E3BFD"/>
    <w:rsid w:val="005E3C47"/>
    <w:rsid w:val="005E3DD0"/>
    <w:rsid w:val="005E3E4F"/>
    <w:rsid w:val="005E3F23"/>
    <w:rsid w:val="005E40A9"/>
    <w:rsid w:val="005E40FA"/>
    <w:rsid w:val="005E4162"/>
    <w:rsid w:val="005E41C5"/>
    <w:rsid w:val="005E41EC"/>
    <w:rsid w:val="005E42E1"/>
    <w:rsid w:val="005E4308"/>
    <w:rsid w:val="005E4431"/>
    <w:rsid w:val="005E4799"/>
    <w:rsid w:val="005E47AD"/>
    <w:rsid w:val="005E4857"/>
    <w:rsid w:val="005E4ADF"/>
    <w:rsid w:val="005E4B1E"/>
    <w:rsid w:val="005E4B83"/>
    <w:rsid w:val="005E4E17"/>
    <w:rsid w:val="005E4E2A"/>
    <w:rsid w:val="005E4E64"/>
    <w:rsid w:val="005E4ED2"/>
    <w:rsid w:val="005E4FD8"/>
    <w:rsid w:val="005E517C"/>
    <w:rsid w:val="005E51D8"/>
    <w:rsid w:val="005E522B"/>
    <w:rsid w:val="005E535A"/>
    <w:rsid w:val="005E53E1"/>
    <w:rsid w:val="005E53FC"/>
    <w:rsid w:val="005E54D7"/>
    <w:rsid w:val="005E55AC"/>
    <w:rsid w:val="005E565C"/>
    <w:rsid w:val="005E56B9"/>
    <w:rsid w:val="005E57BF"/>
    <w:rsid w:val="005E598C"/>
    <w:rsid w:val="005E5992"/>
    <w:rsid w:val="005E5A6C"/>
    <w:rsid w:val="005E5A8A"/>
    <w:rsid w:val="005E5E68"/>
    <w:rsid w:val="005E5EB7"/>
    <w:rsid w:val="005E5F75"/>
    <w:rsid w:val="005E60CA"/>
    <w:rsid w:val="005E60DE"/>
    <w:rsid w:val="005E61FD"/>
    <w:rsid w:val="005E6203"/>
    <w:rsid w:val="005E63F0"/>
    <w:rsid w:val="005E6519"/>
    <w:rsid w:val="005E654D"/>
    <w:rsid w:val="005E6591"/>
    <w:rsid w:val="005E6681"/>
    <w:rsid w:val="005E67B5"/>
    <w:rsid w:val="005E685B"/>
    <w:rsid w:val="005E687F"/>
    <w:rsid w:val="005E6A43"/>
    <w:rsid w:val="005E6B52"/>
    <w:rsid w:val="005E6C86"/>
    <w:rsid w:val="005E6E87"/>
    <w:rsid w:val="005E6F17"/>
    <w:rsid w:val="005E6FAC"/>
    <w:rsid w:val="005E6FF5"/>
    <w:rsid w:val="005E703E"/>
    <w:rsid w:val="005E7061"/>
    <w:rsid w:val="005E70D3"/>
    <w:rsid w:val="005E72CA"/>
    <w:rsid w:val="005E7330"/>
    <w:rsid w:val="005E7385"/>
    <w:rsid w:val="005E741F"/>
    <w:rsid w:val="005E7460"/>
    <w:rsid w:val="005E74FA"/>
    <w:rsid w:val="005E755A"/>
    <w:rsid w:val="005E7565"/>
    <w:rsid w:val="005E7576"/>
    <w:rsid w:val="005E7577"/>
    <w:rsid w:val="005E7671"/>
    <w:rsid w:val="005E7734"/>
    <w:rsid w:val="005E7760"/>
    <w:rsid w:val="005E77EC"/>
    <w:rsid w:val="005E78A5"/>
    <w:rsid w:val="005E79D0"/>
    <w:rsid w:val="005E7A37"/>
    <w:rsid w:val="005E7ACE"/>
    <w:rsid w:val="005E7B4E"/>
    <w:rsid w:val="005E7B58"/>
    <w:rsid w:val="005E7C2A"/>
    <w:rsid w:val="005E7D94"/>
    <w:rsid w:val="005E7FD5"/>
    <w:rsid w:val="005E7FE6"/>
    <w:rsid w:val="005F003B"/>
    <w:rsid w:val="005F009B"/>
    <w:rsid w:val="005F014B"/>
    <w:rsid w:val="005F025B"/>
    <w:rsid w:val="005F02BD"/>
    <w:rsid w:val="005F038D"/>
    <w:rsid w:val="005F0400"/>
    <w:rsid w:val="005F041C"/>
    <w:rsid w:val="005F05FB"/>
    <w:rsid w:val="005F0633"/>
    <w:rsid w:val="005F0781"/>
    <w:rsid w:val="005F083F"/>
    <w:rsid w:val="005F08E2"/>
    <w:rsid w:val="005F0917"/>
    <w:rsid w:val="005F0A51"/>
    <w:rsid w:val="005F0B73"/>
    <w:rsid w:val="005F0BA0"/>
    <w:rsid w:val="005F0BC0"/>
    <w:rsid w:val="005F0CDF"/>
    <w:rsid w:val="005F0D3D"/>
    <w:rsid w:val="005F0D43"/>
    <w:rsid w:val="005F1043"/>
    <w:rsid w:val="005F111D"/>
    <w:rsid w:val="005F1265"/>
    <w:rsid w:val="005F129F"/>
    <w:rsid w:val="005F12C0"/>
    <w:rsid w:val="005F13C3"/>
    <w:rsid w:val="005F1503"/>
    <w:rsid w:val="005F1543"/>
    <w:rsid w:val="005F15A0"/>
    <w:rsid w:val="005F15D3"/>
    <w:rsid w:val="005F165B"/>
    <w:rsid w:val="005F16E7"/>
    <w:rsid w:val="005F176D"/>
    <w:rsid w:val="005F1789"/>
    <w:rsid w:val="005F1820"/>
    <w:rsid w:val="005F189F"/>
    <w:rsid w:val="005F195A"/>
    <w:rsid w:val="005F1AC9"/>
    <w:rsid w:val="005F1AEB"/>
    <w:rsid w:val="005F1BF8"/>
    <w:rsid w:val="005F1D88"/>
    <w:rsid w:val="005F1FBA"/>
    <w:rsid w:val="005F20BA"/>
    <w:rsid w:val="005F2155"/>
    <w:rsid w:val="005F2258"/>
    <w:rsid w:val="005F2263"/>
    <w:rsid w:val="005F24D9"/>
    <w:rsid w:val="005F26C5"/>
    <w:rsid w:val="005F27EB"/>
    <w:rsid w:val="005F28BA"/>
    <w:rsid w:val="005F28DA"/>
    <w:rsid w:val="005F293C"/>
    <w:rsid w:val="005F2B25"/>
    <w:rsid w:val="005F2B7A"/>
    <w:rsid w:val="005F2BA9"/>
    <w:rsid w:val="005F2BB2"/>
    <w:rsid w:val="005F2BB3"/>
    <w:rsid w:val="005F2C6B"/>
    <w:rsid w:val="005F2C9B"/>
    <w:rsid w:val="005F2D20"/>
    <w:rsid w:val="005F2D94"/>
    <w:rsid w:val="005F2DE0"/>
    <w:rsid w:val="005F2F4E"/>
    <w:rsid w:val="005F2FC0"/>
    <w:rsid w:val="005F2FEE"/>
    <w:rsid w:val="005F3138"/>
    <w:rsid w:val="005F3164"/>
    <w:rsid w:val="005F3168"/>
    <w:rsid w:val="005F321A"/>
    <w:rsid w:val="005F32F6"/>
    <w:rsid w:val="005F3454"/>
    <w:rsid w:val="005F346C"/>
    <w:rsid w:val="005F35BD"/>
    <w:rsid w:val="005F35FB"/>
    <w:rsid w:val="005F3629"/>
    <w:rsid w:val="005F3672"/>
    <w:rsid w:val="005F38C8"/>
    <w:rsid w:val="005F3AC4"/>
    <w:rsid w:val="005F3B75"/>
    <w:rsid w:val="005F3E14"/>
    <w:rsid w:val="005F3ED7"/>
    <w:rsid w:val="005F40CE"/>
    <w:rsid w:val="005F417A"/>
    <w:rsid w:val="005F421D"/>
    <w:rsid w:val="005F422D"/>
    <w:rsid w:val="005F444B"/>
    <w:rsid w:val="005F45E1"/>
    <w:rsid w:val="005F46AD"/>
    <w:rsid w:val="005F47A4"/>
    <w:rsid w:val="005F4816"/>
    <w:rsid w:val="005F487B"/>
    <w:rsid w:val="005F4892"/>
    <w:rsid w:val="005F48FC"/>
    <w:rsid w:val="005F4944"/>
    <w:rsid w:val="005F49B3"/>
    <w:rsid w:val="005F4A80"/>
    <w:rsid w:val="005F4AA0"/>
    <w:rsid w:val="005F4B74"/>
    <w:rsid w:val="005F4B7D"/>
    <w:rsid w:val="005F4BAB"/>
    <w:rsid w:val="005F4BB6"/>
    <w:rsid w:val="005F4C51"/>
    <w:rsid w:val="005F4DE7"/>
    <w:rsid w:val="005F4E89"/>
    <w:rsid w:val="005F4EB0"/>
    <w:rsid w:val="005F4F4A"/>
    <w:rsid w:val="005F4FD7"/>
    <w:rsid w:val="005F4FE2"/>
    <w:rsid w:val="005F5052"/>
    <w:rsid w:val="005F5068"/>
    <w:rsid w:val="005F5150"/>
    <w:rsid w:val="005F520E"/>
    <w:rsid w:val="005F52E2"/>
    <w:rsid w:val="005F53A8"/>
    <w:rsid w:val="005F53AB"/>
    <w:rsid w:val="005F5424"/>
    <w:rsid w:val="005F54DE"/>
    <w:rsid w:val="005F55AB"/>
    <w:rsid w:val="005F55CE"/>
    <w:rsid w:val="005F5629"/>
    <w:rsid w:val="005F5690"/>
    <w:rsid w:val="005F56EA"/>
    <w:rsid w:val="005F57B2"/>
    <w:rsid w:val="005F58D5"/>
    <w:rsid w:val="005F58DC"/>
    <w:rsid w:val="005F596C"/>
    <w:rsid w:val="005F59B4"/>
    <w:rsid w:val="005F5A06"/>
    <w:rsid w:val="005F5AC2"/>
    <w:rsid w:val="005F5B08"/>
    <w:rsid w:val="005F5B60"/>
    <w:rsid w:val="005F5B67"/>
    <w:rsid w:val="005F5BAB"/>
    <w:rsid w:val="005F5CCE"/>
    <w:rsid w:val="005F5CE3"/>
    <w:rsid w:val="005F5E19"/>
    <w:rsid w:val="005F5E6D"/>
    <w:rsid w:val="005F5F93"/>
    <w:rsid w:val="005F5FAA"/>
    <w:rsid w:val="005F5FE1"/>
    <w:rsid w:val="005F5FEA"/>
    <w:rsid w:val="005F61D2"/>
    <w:rsid w:val="005F63A1"/>
    <w:rsid w:val="005F660E"/>
    <w:rsid w:val="005F6746"/>
    <w:rsid w:val="005F6772"/>
    <w:rsid w:val="005F67B0"/>
    <w:rsid w:val="005F68A5"/>
    <w:rsid w:val="005F6908"/>
    <w:rsid w:val="005F6966"/>
    <w:rsid w:val="005F6A54"/>
    <w:rsid w:val="005F6B16"/>
    <w:rsid w:val="005F6BBC"/>
    <w:rsid w:val="005F6CC2"/>
    <w:rsid w:val="005F6D17"/>
    <w:rsid w:val="005F6E6C"/>
    <w:rsid w:val="005F6F1E"/>
    <w:rsid w:val="005F7134"/>
    <w:rsid w:val="005F71A4"/>
    <w:rsid w:val="005F7288"/>
    <w:rsid w:val="005F7329"/>
    <w:rsid w:val="005F739B"/>
    <w:rsid w:val="005F7410"/>
    <w:rsid w:val="005F75D8"/>
    <w:rsid w:val="005F77F3"/>
    <w:rsid w:val="005F79C1"/>
    <w:rsid w:val="005F7A00"/>
    <w:rsid w:val="005F7A10"/>
    <w:rsid w:val="005F7A88"/>
    <w:rsid w:val="005F7C6B"/>
    <w:rsid w:val="005F7DA0"/>
    <w:rsid w:val="005F7F27"/>
    <w:rsid w:val="005F7FC5"/>
    <w:rsid w:val="00600074"/>
    <w:rsid w:val="00600147"/>
    <w:rsid w:val="00600206"/>
    <w:rsid w:val="006003E5"/>
    <w:rsid w:val="00600452"/>
    <w:rsid w:val="006004BB"/>
    <w:rsid w:val="006004E2"/>
    <w:rsid w:val="00600539"/>
    <w:rsid w:val="0060068B"/>
    <w:rsid w:val="00600698"/>
    <w:rsid w:val="00600838"/>
    <w:rsid w:val="00600859"/>
    <w:rsid w:val="0060086F"/>
    <w:rsid w:val="0060087A"/>
    <w:rsid w:val="0060099C"/>
    <w:rsid w:val="00600BFC"/>
    <w:rsid w:val="00600C36"/>
    <w:rsid w:val="00600C8A"/>
    <w:rsid w:val="00600E0B"/>
    <w:rsid w:val="00600E3F"/>
    <w:rsid w:val="00600EA9"/>
    <w:rsid w:val="00600FC7"/>
    <w:rsid w:val="00600FDB"/>
    <w:rsid w:val="00601044"/>
    <w:rsid w:val="00601050"/>
    <w:rsid w:val="00601140"/>
    <w:rsid w:val="00601309"/>
    <w:rsid w:val="0060132B"/>
    <w:rsid w:val="0060134D"/>
    <w:rsid w:val="00601470"/>
    <w:rsid w:val="0060172C"/>
    <w:rsid w:val="00601748"/>
    <w:rsid w:val="0060177C"/>
    <w:rsid w:val="00601868"/>
    <w:rsid w:val="0060187A"/>
    <w:rsid w:val="00601898"/>
    <w:rsid w:val="006019B6"/>
    <w:rsid w:val="00601AAD"/>
    <w:rsid w:val="00601AB6"/>
    <w:rsid w:val="00601C77"/>
    <w:rsid w:val="00601C9B"/>
    <w:rsid w:val="00601E8D"/>
    <w:rsid w:val="00601F4E"/>
    <w:rsid w:val="00602002"/>
    <w:rsid w:val="006020F5"/>
    <w:rsid w:val="006021D7"/>
    <w:rsid w:val="00602239"/>
    <w:rsid w:val="006025D0"/>
    <w:rsid w:val="006026B9"/>
    <w:rsid w:val="00602711"/>
    <w:rsid w:val="00602768"/>
    <w:rsid w:val="006028CF"/>
    <w:rsid w:val="006028DB"/>
    <w:rsid w:val="00602941"/>
    <w:rsid w:val="00602955"/>
    <w:rsid w:val="00602A14"/>
    <w:rsid w:val="00602A45"/>
    <w:rsid w:val="00602ADA"/>
    <w:rsid w:val="00602AFE"/>
    <w:rsid w:val="00602B72"/>
    <w:rsid w:val="00602B9C"/>
    <w:rsid w:val="00602BA4"/>
    <w:rsid w:val="00602C68"/>
    <w:rsid w:val="00602CAA"/>
    <w:rsid w:val="00602CE6"/>
    <w:rsid w:val="00602D71"/>
    <w:rsid w:val="0060307B"/>
    <w:rsid w:val="006030CA"/>
    <w:rsid w:val="00603161"/>
    <w:rsid w:val="006034A4"/>
    <w:rsid w:val="00603596"/>
    <w:rsid w:val="006035DD"/>
    <w:rsid w:val="00603647"/>
    <w:rsid w:val="00603694"/>
    <w:rsid w:val="00603874"/>
    <w:rsid w:val="00603953"/>
    <w:rsid w:val="00603975"/>
    <w:rsid w:val="00603A08"/>
    <w:rsid w:val="00603A84"/>
    <w:rsid w:val="00603BBD"/>
    <w:rsid w:val="00603BED"/>
    <w:rsid w:val="00603C98"/>
    <w:rsid w:val="00603CC8"/>
    <w:rsid w:val="00603DB0"/>
    <w:rsid w:val="00603E8A"/>
    <w:rsid w:val="00603F31"/>
    <w:rsid w:val="00603F86"/>
    <w:rsid w:val="00603FB1"/>
    <w:rsid w:val="00603FD5"/>
    <w:rsid w:val="00603FF8"/>
    <w:rsid w:val="006041B0"/>
    <w:rsid w:val="006041DF"/>
    <w:rsid w:val="006044D1"/>
    <w:rsid w:val="006045EC"/>
    <w:rsid w:val="006046D3"/>
    <w:rsid w:val="006047A6"/>
    <w:rsid w:val="006047C6"/>
    <w:rsid w:val="006049C9"/>
    <w:rsid w:val="00604C43"/>
    <w:rsid w:val="00604E11"/>
    <w:rsid w:val="00604E2C"/>
    <w:rsid w:val="00604EE3"/>
    <w:rsid w:val="00604FE8"/>
    <w:rsid w:val="00605047"/>
    <w:rsid w:val="0060506E"/>
    <w:rsid w:val="00605086"/>
    <w:rsid w:val="0060508A"/>
    <w:rsid w:val="006050A9"/>
    <w:rsid w:val="006050B5"/>
    <w:rsid w:val="00605224"/>
    <w:rsid w:val="006052AC"/>
    <w:rsid w:val="006052B2"/>
    <w:rsid w:val="006052E8"/>
    <w:rsid w:val="0060540A"/>
    <w:rsid w:val="0060546B"/>
    <w:rsid w:val="00605539"/>
    <w:rsid w:val="006055D9"/>
    <w:rsid w:val="00605631"/>
    <w:rsid w:val="006057E1"/>
    <w:rsid w:val="00605AC1"/>
    <w:rsid w:val="00605B0C"/>
    <w:rsid w:val="00605B54"/>
    <w:rsid w:val="00605BF5"/>
    <w:rsid w:val="00605CC5"/>
    <w:rsid w:val="00605DE2"/>
    <w:rsid w:val="00605F1B"/>
    <w:rsid w:val="00605F9D"/>
    <w:rsid w:val="00606134"/>
    <w:rsid w:val="00606147"/>
    <w:rsid w:val="0060615D"/>
    <w:rsid w:val="006063D2"/>
    <w:rsid w:val="00606576"/>
    <w:rsid w:val="0060657D"/>
    <w:rsid w:val="00606664"/>
    <w:rsid w:val="006066EE"/>
    <w:rsid w:val="00606850"/>
    <w:rsid w:val="006068FC"/>
    <w:rsid w:val="00606934"/>
    <w:rsid w:val="006069A9"/>
    <w:rsid w:val="00606ACC"/>
    <w:rsid w:val="00606AEF"/>
    <w:rsid w:val="00606BEC"/>
    <w:rsid w:val="00606C08"/>
    <w:rsid w:val="00606C54"/>
    <w:rsid w:val="00606D21"/>
    <w:rsid w:val="00606F32"/>
    <w:rsid w:val="00606FFC"/>
    <w:rsid w:val="00607012"/>
    <w:rsid w:val="00607092"/>
    <w:rsid w:val="006070D4"/>
    <w:rsid w:val="00607138"/>
    <w:rsid w:val="006072A2"/>
    <w:rsid w:val="0060754D"/>
    <w:rsid w:val="00607558"/>
    <w:rsid w:val="00607607"/>
    <w:rsid w:val="0060762B"/>
    <w:rsid w:val="006076D4"/>
    <w:rsid w:val="0060784E"/>
    <w:rsid w:val="00607853"/>
    <w:rsid w:val="006078C7"/>
    <w:rsid w:val="006078D0"/>
    <w:rsid w:val="00607AB9"/>
    <w:rsid w:val="00607CBC"/>
    <w:rsid w:val="00607CFD"/>
    <w:rsid w:val="00607D3D"/>
    <w:rsid w:val="00607DFE"/>
    <w:rsid w:val="00607E79"/>
    <w:rsid w:val="00607EE8"/>
    <w:rsid w:val="006100DC"/>
    <w:rsid w:val="006100F6"/>
    <w:rsid w:val="00610114"/>
    <w:rsid w:val="00610170"/>
    <w:rsid w:val="00610182"/>
    <w:rsid w:val="0061020C"/>
    <w:rsid w:val="0061021B"/>
    <w:rsid w:val="00610326"/>
    <w:rsid w:val="006104F2"/>
    <w:rsid w:val="0061083B"/>
    <w:rsid w:val="00610894"/>
    <w:rsid w:val="006108FB"/>
    <w:rsid w:val="006109F5"/>
    <w:rsid w:val="00610A00"/>
    <w:rsid w:val="00610A27"/>
    <w:rsid w:val="00610EA8"/>
    <w:rsid w:val="00610EAB"/>
    <w:rsid w:val="00611253"/>
    <w:rsid w:val="00611403"/>
    <w:rsid w:val="00611457"/>
    <w:rsid w:val="0061154E"/>
    <w:rsid w:val="0061157B"/>
    <w:rsid w:val="006115B4"/>
    <w:rsid w:val="006115C0"/>
    <w:rsid w:val="006115CF"/>
    <w:rsid w:val="006115E1"/>
    <w:rsid w:val="006118C2"/>
    <w:rsid w:val="006119C8"/>
    <w:rsid w:val="00611A2B"/>
    <w:rsid w:val="00611A79"/>
    <w:rsid w:val="00611A87"/>
    <w:rsid w:val="00611C20"/>
    <w:rsid w:val="00611C48"/>
    <w:rsid w:val="00611E15"/>
    <w:rsid w:val="00612042"/>
    <w:rsid w:val="006121F5"/>
    <w:rsid w:val="0061227A"/>
    <w:rsid w:val="006122E3"/>
    <w:rsid w:val="006123AA"/>
    <w:rsid w:val="006123F5"/>
    <w:rsid w:val="006123F8"/>
    <w:rsid w:val="00612504"/>
    <w:rsid w:val="00612564"/>
    <w:rsid w:val="006126CA"/>
    <w:rsid w:val="0061274E"/>
    <w:rsid w:val="0061275E"/>
    <w:rsid w:val="00612799"/>
    <w:rsid w:val="006127A8"/>
    <w:rsid w:val="006127FF"/>
    <w:rsid w:val="00612803"/>
    <w:rsid w:val="006128A3"/>
    <w:rsid w:val="00612A59"/>
    <w:rsid w:val="00612A98"/>
    <w:rsid w:val="00612BF3"/>
    <w:rsid w:val="00612C1A"/>
    <w:rsid w:val="00612C73"/>
    <w:rsid w:val="00612D45"/>
    <w:rsid w:val="00612E6D"/>
    <w:rsid w:val="00612E6F"/>
    <w:rsid w:val="00612E84"/>
    <w:rsid w:val="00612EF1"/>
    <w:rsid w:val="0061302E"/>
    <w:rsid w:val="006130F2"/>
    <w:rsid w:val="006131BB"/>
    <w:rsid w:val="00613484"/>
    <w:rsid w:val="00613810"/>
    <w:rsid w:val="00613941"/>
    <w:rsid w:val="006139C2"/>
    <w:rsid w:val="006139F7"/>
    <w:rsid w:val="00613BDC"/>
    <w:rsid w:val="00613E42"/>
    <w:rsid w:val="00613FC6"/>
    <w:rsid w:val="006140F7"/>
    <w:rsid w:val="0061416F"/>
    <w:rsid w:val="0061425D"/>
    <w:rsid w:val="006143CF"/>
    <w:rsid w:val="006143D1"/>
    <w:rsid w:val="0061443B"/>
    <w:rsid w:val="00614442"/>
    <w:rsid w:val="00614534"/>
    <w:rsid w:val="006145CE"/>
    <w:rsid w:val="00614637"/>
    <w:rsid w:val="006146FE"/>
    <w:rsid w:val="006147BD"/>
    <w:rsid w:val="00614822"/>
    <w:rsid w:val="0061485B"/>
    <w:rsid w:val="006148DA"/>
    <w:rsid w:val="00614954"/>
    <w:rsid w:val="006149D1"/>
    <w:rsid w:val="00614B89"/>
    <w:rsid w:val="00614C0D"/>
    <w:rsid w:val="00614D9A"/>
    <w:rsid w:val="00614E22"/>
    <w:rsid w:val="00614E32"/>
    <w:rsid w:val="00614EE0"/>
    <w:rsid w:val="00614FDA"/>
    <w:rsid w:val="0061506C"/>
    <w:rsid w:val="006150FC"/>
    <w:rsid w:val="0061511F"/>
    <w:rsid w:val="00615169"/>
    <w:rsid w:val="006151D5"/>
    <w:rsid w:val="006151DE"/>
    <w:rsid w:val="006151E5"/>
    <w:rsid w:val="00615267"/>
    <w:rsid w:val="006152F0"/>
    <w:rsid w:val="00615342"/>
    <w:rsid w:val="00615507"/>
    <w:rsid w:val="00615834"/>
    <w:rsid w:val="00615961"/>
    <w:rsid w:val="00615993"/>
    <w:rsid w:val="006159AF"/>
    <w:rsid w:val="00615A56"/>
    <w:rsid w:val="00615ADF"/>
    <w:rsid w:val="00615B68"/>
    <w:rsid w:val="00615E4D"/>
    <w:rsid w:val="006160EC"/>
    <w:rsid w:val="00616120"/>
    <w:rsid w:val="00616149"/>
    <w:rsid w:val="0061619B"/>
    <w:rsid w:val="006161E2"/>
    <w:rsid w:val="00616243"/>
    <w:rsid w:val="0061628A"/>
    <w:rsid w:val="006164C2"/>
    <w:rsid w:val="006164E9"/>
    <w:rsid w:val="0061654C"/>
    <w:rsid w:val="006166BD"/>
    <w:rsid w:val="0061672A"/>
    <w:rsid w:val="0061673A"/>
    <w:rsid w:val="0061675F"/>
    <w:rsid w:val="006167D0"/>
    <w:rsid w:val="006167FA"/>
    <w:rsid w:val="00616809"/>
    <w:rsid w:val="00616832"/>
    <w:rsid w:val="00616868"/>
    <w:rsid w:val="0061689E"/>
    <w:rsid w:val="006168FF"/>
    <w:rsid w:val="00616938"/>
    <w:rsid w:val="006169C0"/>
    <w:rsid w:val="006169CA"/>
    <w:rsid w:val="00616B62"/>
    <w:rsid w:val="00616B79"/>
    <w:rsid w:val="00616B9F"/>
    <w:rsid w:val="00616BAE"/>
    <w:rsid w:val="00616CC2"/>
    <w:rsid w:val="00616DAB"/>
    <w:rsid w:val="00616DC8"/>
    <w:rsid w:val="00616ECB"/>
    <w:rsid w:val="00616FDF"/>
    <w:rsid w:val="00616FE3"/>
    <w:rsid w:val="0061708D"/>
    <w:rsid w:val="006172BA"/>
    <w:rsid w:val="00617314"/>
    <w:rsid w:val="006174F8"/>
    <w:rsid w:val="006174FC"/>
    <w:rsid w:val="0061754B"/>
    <w:rsid w:val="0061785A"/>
    <w:rsid w:val="00617885"/>
    <w:rsid w:val="006178F4"/>
    <w:rsid w:val="00617914"/>
    <w:rsid w:val="006179BA"/>
    <w:rsid w:val="00617BC3"/>
    <w:rsid w:val="00617BE2"/>
    <w:rsid w:val="00617E18"/>
    <w:rsid w:val="00620005"/>
    <w:rsid w:val="006201C5"/>
    <w:rsid w:val="0062034F"/>
    <w:rsid w:val="006204B0"/>
    <w:rsid w:val="006205F4"/>
    <w:rsid w:val="006206AE"/>
    <w:rsid w:val="006206CC"/>
    <w:rsid w:val="0062075F"/>
    <w:rsid w:val="00620777"/>
    <w:rsid w:val="0062077C"/>
    <w:rsid w:val="006208C4"/>
    <w:rsid w:val="00620925"/>
    <w:rsid w:val="00620B17"/>
    <w:rsid w:val="00620BE7"/>
    <w:rsid w:val="00620CAB"/>
    <w:rsid w:val="00620D36"/>
    <w:rsid w:val="00620EAB"/>
    <w:rsid w:val="006210E8"/>
    <w:rsid w:val="0062112B"/>
    <w:rsid w:val="0062125D"/>
    <w:rsid w:val="006212B6"/>
    <w:rsid w:val="006213BF"/>
    <w:rsid w:val="00621400"/>
    <w:rsid w:val="006215B4"/>
    <w:rsid w:val="00621602"/>
    <w:rsid w:val="0062163A"/>
    <w:rsid w:val="00621768"/>
    <w:rsid w:val="00621838"/>
    <w:rsid w:val="00621879"/>
    <w:rsid w:val="00621954"/>
    <w:rsid w:val="00621AF6"/>
    <w:rsid w:val="00621B79"/>
    <w:rsid w:val="00621BD3"/>
    <w:rsid w:val="00621CDC"/>
    <w:rsid w:val="00621DC2"/>
    <w:rsid w:val="00621F39"/>
    <w:rsid w:val="00621F4F"/>
    <w:rsid w:val="00621F87"/>
    <w:rsid w:val="00621F9D"/>
    <w:rsid w:val="0062205D"/>
    <w:rsid w:val="006220E6"/>
    <w:rsid w:val="006221AC"/>
    <w:rsid w:val="00622248"/>
    <w:rsid w:val="006222C4"/>
    <w:rsid w:val="006222F5"/>
    <w:rsid w:val="00622536"/>
    <w:rsid w:val="006226BB"/>
    <w:rsid w:val="00622726"/>
    <w:rsid w:val="006227EE"/>
    <w:rsid w:val="006229F8"/>
    <w:rsid w:val="006229FE"/>
    <w:rsid w:val="00622B2D"/>
    <w:rsid w:val="00622C59"/>
    <w:rsid w:val="00622CBB"/>
    <w:rsid w:val="00622F26"/>
    <w:rsid w:val="00622FE2"/>
    <w:rsid w:val="00623008"/>
    <w:rsid w:val="00623117"/>
    <w:rsid w:val="006231D9"/>
    <w:rsid w:val="00623283"/>
    <w:rsid w:val="00623290"/>
    <w:rsid w:val="006232C3"/>
    <w:rsid w:val="00623361"/>
    <w:rsid w:val="006233A2"/>
    <w:rsid w:val="006233A5"/>
    <w:rsid w:val="006233EE"/>
    <w:rsid w:val="00623585"/>
    <w:rsid w:val="00623640"/>
    <w:rsid w:val="00623850"/>
    <w:rsid w:val="00623878"/>
    <w:rsid w:val="0062387A"/>
    <w:rsid w:val="0062391B"/>
    <w:rsid w:val="00623989"/>
    <w:rsid w:val="00623A0B"/>
    <w:rsid w:val="00623A2D"/>
    <w:rsid w:val="00623B6B"/>
    <w:rsid w:val="00623B98"/>
    <w:rsid w:val="00623C57"/>
    <w:rsid w:val="00623FFC"/>
    <w:rsid w:val="00624030"/>
    <w:rsid w:val="006240E0"/>
    <w:rsid w:val="006240EE"/>
    <w:rsid w:val="006240EF"/>
    <w:rsid w:val="00624305"/>
    <w:rsid w:val="00624360"/>
    <w:rsid w:val="00624375"/>
    <w:rsid w:val="006243E8"/>
    <w:rsid w:val="006243F2"/>
    <w:rsid w:val="0062441B"/>
    <w:rsid w:val="0062442E"/>
    <w:rsid w:val="006244E9"/>
    <w:rsid w:val="00624508"/>
    <w:rsid w:val="00624569"/>
    <w:rsid w:val="006245DB"/>
    <w:rsid w:val="00624627"/>
    <w:rsid w:val="00624664"/>
    <w:rsid w:val="00624736"/>
    <w:rsid w:val="0062478B"/>
    <w:rsid w:val="006247C4"/>
    <w:rsid w:val="006247D0"/>
    <w:rsid w:val="00624982"/>
    <w:rsid w:val="00624AAE"/>
    <w:rsid w:val="00624AD2"/>
    <w:rsid w:val="00624B70"/>
    <w:rsid w:val="00624DD5"/>
    <w:rsid w:val="00624FDC"/>
    <w:rsid w:val="00625113"/>
    <w:rsid w:val="0062525A"/>
    <w:rsid w:val="0062526D"/>
    <w:rsid w:val="00625520"/>
    <w:rsid w:val="0062565E"/>
    <w:rsid w:val="006256BD"/>
    <w:rsid w:val="006257D4"/>
    <w:rsid w:val="006257F9"/>
    <w:rsid w:val="0062599B"/>
    <w:rsid w:val="006259C9"/>
    <w:rsid w:val="00625A0F"/>
    <w:rsid w:val="00625A62"/>
    <w:rsid w:val="00625B29"/>
    <w:rsid w:val="00625C81"/>
    <w:rsid w:val="00625E8D"/>
    <w:rsid w:val="00625FAE"/>
    <w:rsid w:val="00625FD4"/>
    <w:rsid w:val="00626012"/>
    <w:rsid w:val="00626027"/>
    <w:rsid w:val="00626093"/>
    <w:rsid w:val="0062614D"/>
    <w:rsid w:val="0062618A"/>
    <w:rsid w:val="006261FC"/>
    <w:rsid w:val="00626200"/>
    <w:rsid w:val="006262E2"/>
    <w:rsid w:val="006263F4"/>
    <w:rsid w:val="00626581"/>
    <w:rsid w:val="0062659B"/>
    <w:rsid w:val="006265CC"/>
    <w:rsid w:val="0062660C"/>
    <w:rsid w:val="006266E5"/>
    <w:rsid w:val="006267DA"/>
    <w:rsid w:val="006268B3"/>
    <w:rsid w:val="00626998"/>
    <w:rsid w:val="006269DD"/>
    <w:rsid w:val="00626C85"/>
    <w:rsid w:val="00626D81"/>
    <w:rsid w:val="00626DFB"/>
    <w:rsid w:val="00626E34"/>
    <w:rsid w:val="00626F00"/>
    <w:rsid w:val="0062700E"/>
    <w:rsid w:val="00627058"/>
    <w:rsid w:val="00627094"/>
    <w:rsid w:val="006270BD"/>
    <w:rsid w:val="00627156"/>
    <w:rsid w:val="0062723E"/>
    <w:rsid w:val="00627254"/>
    <w:rsid w:val="006272ED"/>
    <w:rsid w:val="006273D1"/>
    <w:rsid w:val="0062763C"/>
    <w:rsid w:val="006276B4"/>
    <w:rsid w:val="00627730"/>
    <w:rsid w:val="0062778A"/>
    <w:rsid w:val="00627ACE"/>
    <w:rsid w:val="00627B15"/>
    <w:rsid w:val="00627BB5"/>
    <w:rsid w:val="00627D7A"/>
    <w:rsid w:val="00627DEB"/>
    <w:rsid w:val="00627E06"/>
    <w:rsid w:val="0063008A"/>
    <w:rsid w:val="0063019F"/>
    <w:rsid w:val="0063034B"/>
    <w:rsid w:val="00630411"/>
    <w:rsid w:val="00630703"/>
    <w:rsid w:val="0063078E"/>
    <w:rsid w:val="0063081F"/>
    <w:rsid w:val="006308C7"/>
    <w:rsid w:val="00630B75"/>
    <w:rsid w:val="00630BD0"/>
    <w:rsid w:val="00630CF7"/>
    <w:rsid w:val="00630D25"/>
    <w:rsid w:val="00630F64"/>
    <w:rsid w:val="00631025"/>
    <w:rsid w:val="006310E2"/>
    <w:rsid w:val="00631116"/>
    <w:rsid w:val="00631208"/>
    <w:rsid w:val="0063126C"/>
    <w:rsid w:val="006313BE"/>
    <w:rsid w:val="0063156F"/>
    <w:rsid w:val="006316C9"/>
    <w:rsid w:val="0063177A"/>
    <w:rsid w:val="0063185B"/>
    <w:rsid w:val="0063187C"/>
    <w:rsid w:val="00631A84"/>
    <w:rsid w:val="00631B9A"/>
    <w:rsid w:val="00631C4C"/>
    <w:rsid w:val="00631C68"/>
    <w:rsid w:val="00631D83"/>
    <w:rsid w:val="00631E39"/>
    <w:rsid w:val="006320DC"/>
    <w:rsid w:val="0063210A"/>
    <w:rsid w:val="0063219D"/>
    <w:rsid w:val="0063227F"/>
    <w:rsid w:val="00632334"/>
    <w:rsid w:val="00632363"/>
    <w:rsid w:val="006323BC"/>
    <w:rsid w:val="00632435"/>
    <w:rsid w:val="0063246D"/>
    <w:rsid w:val="006325CC"/>
    <w:rsid w:val="00632673"/>
    <w:rsid w:val="00632716"/>
    <w:rsid w:val="006327D5"/>
    <w:rsid w:val="006328A0"/>
    <w:rsid w:val="00632BC8"/>
    <w:rsid w:val="00632D5D"/>
    <w:rsid w:val="00632D78"/>
    <w:rsid w:val="00632E6B"/>
    <w:rsid w:val="00632EEE"/>
    <w:rsid w:val="00632FD8"/>
    <w:rsid w:val="0063339C"/>
    <w:rsid w:val="006334C5"/>
    <w:rsid w:val="0063361A"/>
    <w:rsid w:val="00633683"/>
    <w:rsid w:val="00633793"/>
    <w:rsid w:val="006337CF"/>
    <w:rsid w:val="006337ED"/>
    <w:rsid w:val="0063392A"/>
    <w:rsid w:val="00633963"/>
    <w:rsid w:val="00633A19"/>
    <w:rsid w:val="00633B31"/>
    <w:rsid w:val="00633BB9"/>
    <w:rsid w:val="00633C82"/>
    <w:rsid w:val="00633DF4"/>
    <w:rsid w:val="00633EB9"/>
    <w:rsid w:val="00633EE6"/>
    <w:rsid w:val="00633F09"/>
    <w:rsid w:val="006341BB"/>
    <w:rsid w:val="00634299"/>
    <w:rsid w:val="00634336"/>
    <w:rsid w:val="00634357"/>
    <w:rsid w:val="00634377"/>
    <w:rsid w:val="0063439C"/>
    <w:rsid w:val="006343A4"/>
    <w:rsid w:val="006343B3"/>
    <w:rsid w:val="006344DB"/>
    <w:rsid w:val="00634535"/>
    <w:rsid w:val="00634681"/>
    <w:rsid w:val="0063488B"/>
    <w:rsid w:val="00634A9E"/>
    <w:rsid w:val="00634AA5"/>
    <w:rsid w:val="00634AB0"/>
    <w:rsid w:val="00634ACD"/>
    <w:rsid w:val="00634C61"/>
    <w:rsid w:val="00634D55"/>
    <w:rsid w:val="00634D58"/>
    <w:rsid w:val="00634DE9"/>
    <w:rsid w:val="00634E1E"/>
    <w:rsid w:val="00634F6F"/>
    <w:rsid w:val="00634FE8"/>
    <w:rsid w:val="00635027"/>
    <w:rsid w:val="0063513B"/>
    <w:rsid w:val="00635251"/>
    <w:rsid w:val="00635372"/>
    <w:rsid w:val="00635753"/>
    <w:rsid w:val="006357CF"/>
    <w:rsid w:val="00635851"/>
    <w:rsid w:val="0063595A"/>
    <w:rsid w:val="00635A8C"/>
    <w:rsid w:val="00635AC0"/>
    <w:rsid w:val="00635B03"/>
    <w:rsid w:val="00635C80"/>
    <w:rsid w:val="00635C98"/>
    <w:rsid w:val="00635DC7"/>
    <w:rsid w:val="00635FC6"/>
    <w:rsid w:val="00636091"/>
    <w:rsid w:val="006360DA"/>
    <w:rsid w:val="00636130"/>
    <w:rsid w:val="0063616A"/>
    <w:rsid w:val="00636255"/>
    <w:rsid w:val="006362DB"/>
    <w:rsid w:val="0063632F"/>
    <w:rsid w:val="00636538"/>
    <w:rsid w:val="00636596"/>
    <w:rsid w:val="00636624"/>
    <w:rsid w:val="0063665E"/>
    <w:rsid w:val="00636760"/>
    <w:rsid w:val="00636866"/>
    <w:rsid w:val="0063699E"/>
    <w:rsid w:val="00636B87"/>
    <w:rsid w:val="00636CAC"/>
    <w:rsid w:val="00636EE1"/>
    <w:rsid w:val="00636FC0"/>
    <w:rsid w:val="00636FC2"/>
    <w:rsid w:val="00637098"/>
    <w:rsid w:val="0063718E"/>
    <w:rsid w:val="00637256"/>
    <w:rsid w:val="006372D1"/>
    <w:rsid w:val="006373ED"/>
    <w:rsid w:val="00637429"/>
    <w:rsid w:val="006374AA"/>
    <w:rsid w:val="006374AE"/>
    <w:rsid w:val="00637609"/>
    <w:rsid w:val="00637683"/>
    <w:rsid w:val="006376AA"/>
    <w:rsid w:val="006377D2"/>
    <w:rsid w:val="006377DC"/>
    <w:rsid w:val="006377F3"/>
    <w:rsid w:val="00637810"/>
    <w:rsid w:val="00637945"/>
    <w:rsid w:val="00637A57"/>
    <w:rsid w:val="00637B26"/>
    <w:rsid w:val="00637BD8"/>
    <w:rsid w:val="00637CF8"/>
    <w:rsid w:val="00637D1E"/>
    <w:rsid w:val="00637EF5"/>
    <w:rsid w:val="006400E7"/>
    <w:rsid w:val="00640120"/>
    <w:rsid w:val="00640243"/>
    <w:rsid w:val="006402C6"/>
    <w:rsid w:val="00640441"/>
    <w:rsid w:val="0064046E"/>
    <w:rsid w:val="006404C6"/>
    <w:rsid w:val="006404E2"/>
    <w:rsid w:val="00640588"/>
    <w:rsid w:val="0064058D"/>
    <w:rsid w:val="006406EC"/>
    <w:rsid w:val="00640726"/>
    <w:rsid w:val="00640727"/>
    <w:rsid w:val="006409C4"/>
    <w:rsid w:val="00640BBA"/>
    <w:rsid w:val="00640C21"/>
    <w:rsid w:val="00640C5A"/>
    <w:rsid w:val="00640CD7"/>
    <w:rsid w:val="00640CE1"/>
    <w:rsid w:val="00640CF2"/>
    <w:rsid w:val="00640D5D"/>
    <w:rsid w:val="00640DBA"/>
    <w:rsid w:val="00640E61"/>
    <w:rsid w:val="00640F99"/>
    <w:rsid w:val="00641074"/>
    <w:rsid w:val="0064111F"/>
    <w:rsid w:val="006411A5"/>
    <w:rsid w:val="006411C8"/>
    <w:rsid w:val="00641320"/>
    <w:rsid w:val="006413D8"/>
    <w:rsid w:val="0064140A"/>
    <w:rsid w:val="00641418"/>
    <w:rsid w:val="00641575"/>
    <w:rsid w:val="006415B8"/>
    <w:rsid w:val="006415CB"/>
    <w:rsid w:val="006415DB"/>
    <w:rsid w:val="00641794"/>
    <w:rsid w:val="006417B5"/>
    <w:rsid w:val="006417D8"/>
    <w:rsid w:val="00641868"/>
    <w:rsid w:val="00641B03"/>
    <w:rsid w:val="00641B20"/>
    <w:rsid w:val="00641B80"/>
    <w:rsid w:val="00641BA2"/>
    <w:rsid w:val="00641D37"/>
    <w:rsid w:val="00641F84"/>
    <w:rsid w:val="0064205F"/>
    <w:rsid w:val="0064211C"/>
    <w:rsid w:val="00642161"/>
    <w:rsid w:val="0064223C"/>
    <w:rsid w:val="006422A3"/>
    <w:rsid w:val="006422C3"/>
    <w:rsid w:val="006423FB"/>
    <w:rsid w:val="00642512"/>
    <w:rsid w:val="006425A8"/>
    <w:rsid w:val="00642F78"/>
    <w:rsid w:val="00642FBD"/>
    <w:rsid w:val="00643073"/>
    <w:rsid w:val="0064314F"/>
    <w:rsid w:val="006431D2"/>
    <w:rsid w:val="00643203"/>
    <w:rsid w:val="00643398"/>
    <w:rsid w:val="00643460"/>
    <w:rsid w:val="006436A8"/>
    <w:rsid w:val="00643761"/>
    <w:rsid w:val="0064377F"/>
    <w:rsid w:val="00643889"/>
    <w:rsid w:val="00643935"/>
    <w:rsid w:val="00643A3D"/>
    <w:rsid w:val="00643A53"/>
    <w:rsid w:val="00643B55"/>
    <w:rsid w:val="00643C8F"/>
    <w:rsid w:val="00643CEE"/>
    <w:rsid w:val="00643D85"/>
    <w:rsid w:val="00643F0C"/>
    <w:rsid w:val="00643F1E"/>
    <w:rsid w:val="00644045"/>
    <w:rsid w:val="00644267"/>
    <w:rsid w:val="0064428B"/>
    <w:rsid w:val="006442E4"/>
    <w:rsid w:val="00644409"/>
    <w:rsid w:val="006447AB"/>
    <w:rsid w:val="006447B0"/>
    <w:rsid w:val="0064484A"/>
    <w:rsid w:val="006449B6"/>
    <w:rsid w:val="00644A85"/>
    <w:rsid w:val="00644ABC"/>
    <w:rsid w:val="00644B11"/>
    <w:rsid w:val="00644B86"/>
    <w:rsid w:val="00644BF3"/>
    <w:rsid w:val="00644EA5"/>
    <w:rsid w:val="00644EF4"/>
    <w:rsid w:val="00645049"/>
    <w:rsid w:val="0064507C"/>
    <w:rsid w:val="0064508B"/>
    <w:rsid w:val="006450AD"/>
    <w:rsid w:val="0064524E"/>
    <w:rsid w:val="0064525B"/>
    <w:rsid w:val="0064529D"/>
    <w:rsid w:val="006452B7"/>
    <w:rsid w:val="0064553D"/>
    <w:rsid w:val="006455ED"/>
    <w:rsid w:val="00645759"/>
    <w:rsid w:val="00645795"/>
    <w:rsid w:val="00645893"/>
    <w:rsid w:val="00645A11"/>
    <w:rsid w:val="00645A57"/>
    <w:rsid w:val="00645A6F"/>
    <w:rsid w:val="00645B1F"/>
    <w:rsid w:val="00645CAC"/>
    <w:rsid w:val="00645CB3"/>
    <w:rsid w:val="00645CF6"/>
    <w:rsid w:val="00645DCE"/>
    <w:rsid w:val="00645DD5"/>
    <w:rsid w:val="00645F9F"/>
    <w:rsid w:val="006460A1"/>
    <w:rsid w:val="0064616B"/>
    <w:rsid w:val="006461CE"/>
    <w:rsid w:val="006462E7"/>
    <w:rsid w:val="00646488"/>
    <w:rsid w:val="006464D3"/>
    <w:rsid w:val="00646588"/>
    <w:rsid w:val="006466D3"/>
    <w:rsid w:val="00646799"/>
    <w:rsid w:val="00646B44"/>
    <w:rsid w:val="00646BB6"/>
    <w:rsid w:val="00646DE4"/>
    <w:rsid w:val="00646F7E"/>
    <w:rsid w:val="00646F92"/>
    <w:rsid w:val="00646F98"/>
    <w:rsid w:val="00647357"/>
    <w:rsid w:val="006474C2"/>
    <w:rsid w:val="006474C5"/>
    <w:rsid w:val="0064756A"/>
    <w:rsid w:val="00647592"/>
    <w:rsid w:val="006476D2"/>
    <w:rsid w:val="006476F7"/>
    <w:rsid w:val="006476FB"/>
    <w:rsid w:val="00647769"/>
    <w:rsid w:val="00647795"/>
    <w:rsid w:val="006479DC"/>
    <w:rsid w:val="006479FD"/>
    <w:rsid w:val="00647A28"/>
    <w:rsid w:val="00647BB6"/>
    <w:rsid w:val="00647FDF"/>
    <w:rsid w:val="006500C5"/>
    <w:rsid w:val="006500DF"/>
    <w:rsid w:val="0065037E"/>
    <w:rsid w:val="00650454"/>
    <w:rsid w:val="00650700"/>
    <w:rsid w:val="00650926"/>
    <w:rsid w:val="00650998"/>
    <w:rsid w:val="00650A53"/>
    <w:rsid w:val="00650B13"/>
    <w:rsid w:val="00650CB6"/>
    <w:rsid w:val="00650D47"/>
    <w:rsid w:val="00651005"/>
    <w:rsid w:val="00651110"/>
    <w:rsid w:val="0065118E"/>
    <w:rsid w:val="006511E2"/>
    <w:rsid w:val="00651289"/>
    <w:rsid w:val="00651320"/>
    <w:rsid w:val="0065132A"/>
    <w:rsid w:val="00651380"/>
    <w:rsid w:val="00651491"/>
    <w:rsid w:val="006514D0"/>
    <w:rsid w:val="0065160D"/>
    <w:rsid w:val="00651739"/>
    <w:rsid w:val="006517C5"/>
    <w:rsid w:val="00651A5E"/>
    <w:rsid w:val="00651A7B"/>
    <w:rsid w:val="00651AC8"/>
    <w:rsid w:val="00651C64"/>
    <w:rsid w:val="00651C8F"/>
    <w:rsid w:val="00651CAD"/>
    <w:rsid w:val="00651D99"/>
    <w:rsid w:val="00651DD2"/>
    <w:rsid w:val="00651E73"/>
    <w:rsid w:val="00651EB3"/>
    <w:rsid w:val="00651EE6"/>
    <w:rsid w:val="00651F5B"/>
    <w:rsid w:val="00651F5D"/>
    <w:rsid w:val="00652044"/>
    <w:rsid w:val="00652212"/>
    <w:rsid w:val="00652345"/>
    <w:rsid w:val="0065242F"/>
    <w:rsid w:val="006524B6"/>
    <w:rsid w:val="006524CD"/>
    <w:rsid w:val="00652535"/>
    <w:rsid w:val="00652712"/>
    <w:rsid w:val="00652960"/>
    <w:rsid w:val="006529E4"/>
    <w:rsid w:val="006529E8"/>
    <w:rsid w:val="00652A2E"/>
    <w:rsid w:val="00652A60"/>
    <w:rsid w:val="00652A98"/>
    <w:rsid w:val="00652B85"/>
    <w:rsid w:val="00652BBA"/>
    <w:rsid w:val="00652BE7"/>
    <w:rsid w:val="00652DD6"/>
    <w:rsid w:val="00652F0F"/>
    <w:rsid w:val="0065306C"/>
    <w:rsid w:val="0065309C"/>
    <w:rsid w:val="006531CC"/>
    <w:rsid w:val="006531F3"/>
    <w:rsid w:val="00653292"/>
    <w:rsid w:val="006532DD"/>
    <w:rsid w:val="00653400"/>
    <w:rsid w:val="00653474"/>
    <w:rsid w:val="0065348A"/>
    <w:rsid w:val="006534A7"/>
    <w:rsid w:val="00653601"/>
    <w:rsid w:val="0065362E"/>
    <w:rsid w:val="0065364A"/>
    <w:rsid w:val="00653860"/>
    <w:rsid w:val="00653A54"/>
    <w:rsid w:val="00653A68"/>
    <w:rsid w:val="00653AB6"/>
    <w:rsid w:val="00653AB9"/>
    <w:rsid w:val="00653B72"/>
    <w:rsid w:val="00653B8F"/>
    <w:rsid w:val="00653BB0"/>
    <w:rsid w:val="00653BD2"/>
    <w:rsid w:val="00653C0D"/>
    <w:rsid w:val="00653CF6"/>
    <w:rsid w:val="00653E16"/>
    <w:rsid w:val="006541DA"/>
    <w:rsid w:val="00654286"/>
    <w:rsid w:val="006542FB"/>
    <w:rsid w:val="00654484"/>
    <w:rsid w:val="00654486"/>
    <w:rsid w:val="0065479C"/>
    <w:rsid w:val="00654805"/>
    <w:rsid w:val="00654932"/>
    <w:rsid w:val="00654950"/>
    <w:rsid w:val="006549C2"/>
    <w:rsid w:val="00654A6F"/>
    <w:rsid w:val="00654A96"/>
    <w:rsid w:val="00654D17"/>
    <w:rsid w:val="00654D83"/>
    <w:rsid w:val="00654F1A"/>
    <w:rsid w:val="00654F73"/>
    <w:rsid w:val="00655031"/>
    <w:rsid w:val="00655092"/>
    <w:rsid w:val="0065510A"/>
    <w:rsid w:val="0065523D"/>
    <w:rsid w:val="0065524E"/>
    <w:rsid w:val="006552D2"/>
    <w:rsid w:val="006554A9"/>
    <w:rsid w:val="006554AE"/>
    <w:rsid w:val="006558CD"/>
    <w:rsid w:val="00655A60"/>
    <w:rsid w:val="00655AB4"/>
    <w:rsid w:val="00655B72"/>
    <w:rsid w:val="00655C45"/>
    <w:rsid w:val="00655C99"/>
    <w:rsid w:val="00655CE1"/>
    <w:rsid w:val="00655E67"/>
    <w:rsid w:val="0065611B"/>
    <w:rsid w:val="00656159"/>
    <w:rsid w:val="0065617B"/>
    <w:rsid w:val="00656252"/>
    <w:rsid w:val="00656460"/>
    <w:rsid w:val="00656491"/>
    <w:rsid w:val="006565A7"/>
    <w:rsid w:val="00656684"/>
    <w:rsid w:val="006566A2"/>
    <w:rsid w:val="00656818"/>
    <w:rsid w:val="006568B6"/>
    <w:rsid w:val="00656914"/>
    <w:rsid w:val="0065692C"/>
    <w:rsid w:val="00656931"/>
    <w:rsid w:val="00656977"/>
    <w:rsid w:val="00656A48"/>
    <w:rsid w:val="00656A4D"/>
    <w:rsid w:val="00656A90"/>
    <w:rsid w:val="00656C4B"/>
    <w:rsid w:val="00656C5D"/>
    <w:rsid w:val="00656C80"/>
    <w:rsid w:val="00656ECB"/>
    <w:rsid w:val="00656EDF"/>
    <w:rsid w:val="00656F2C"/>
    <w:rsid w:val="00656F89"/>
    <w:rsid w:val="0065712F"/>
    <w:rsid w:val="006571B3"/>
    <w:rsid w:val="006572A9"/>
    <w:rsid w:val="00657323"/>
    <w:rsid w:val="00657365"/>
    <w:rsid w:val="00657445"/>
    <w:rsid w:val="006577D0"/>
    <w:rsid w:val="006577F3"/>
    <w:rsid w:val="0065788E"/>
    <w:rsid w:val="00657894"/>
    <w:rsid w:val="00657908"/>
    <w:rsid w:val="00657989"/>
    <w:rsid w:val="00657C44"/>
    <w:rsid w:val="00657C77"/>
    <w:rsid w:val="00657F79"/>
    <w:rsid w:val="0066014D"/>
    <w:rsid w:val="0066016D"/>
    <w:rsid w:val="006601CE"/>
    <w:rsid w:val="006601E2"/>
    <w:rsid w:val="0066042D"/>
    <w:rsid w:val="006605B2"/>
    <w:rsid w:val="00660646"/>
    <w:rsid w:val="006606B7"/>
    <w:rsid w:val="00660768"/>
    <w:rsid w:val="006607DD"/>
    <w:rsid w:val="006608BF"/>
    <w:rsid w:val="006608D0"/>
    <w:rsid w:val="006608EA"/>
    <w:rsid w:val="0066092C"/>
    <w:rsid w:val="00660A26"/>
    <w:rsid w:val="00660A8C"/>
    <w:rsid w:val="00660ACC"/>
    <w:rsid w:val="00660B1B"/>
    <w:rsid w:val="00660C78"/>
    <w:rsid w:val="00660D2F"/>
    <w:rsid w:val="00660EEF"/>
    <w:rsid w:val="00660FE2"/>
    <w:rsid w:val="00661043"/>
    <w:rsid w:val="00661157"/>
    <w:rsid w:val="00661215"/>
    <w:rsid w:val="006612BA"/>
    <w:rsid w:val="0066131A"/>
    <w:rsid w:val="00661381"/>
    <w:rsid w:val="006614BC"/>
    <w:rsid w:val="006615C3"/>
    <w:rsid w:val="0066166A"/>
    <w:rsid w:val="0066168C"/>
    <w:rsid w:val="006616CE"/>
    <w:rsid w:val="006616D5"/>
    <w:rsid w:val="006618CD"/>
    <w:rsid w:val="0066195C"/>
    <w:rsid w:val="00661962"/>
    <w:rsid w:val="00661964"/>
    <w:rsid w:val="00661AC4"/>
    <w:rsid w:val="00661E04"/>
    <w:rsid w:val="00661EB8"/>
    <w:rsid w:val="00661FF7"/>
    <w:rsid w:val="006623E7"/>
    <w:rsid w:val="0066247C"/>
    <w:rsid w:val="006624D8"/>
    <w:rsid w:val="0066257A"/>
    <w:rsid w:val="00662647"/>
    <w:rsid w:val="0066268E"/>
    <w:rsid w:val="006626DC"/>
    <w:rsid w:val="00662962"/>
    <w:rsid w:val="00662DD1"/>
    <w:rsid w:val="00662FAC"/>
    <w:rsid w:val="00663123"/>
    <w:rsid w:val="00663212"/>
    <w:rsid w:val="00663278"/>
    <w:rsid w:val="006634C6"/>
    <w:rsid w:val="00663688"/>
    <w:rsid w:val="006636F3"/>
    <w:rsid w:val="00663904"/>
    <w:rsid w:val="00663905"/>
    <w:rsid w:val="00663B97"/>
    <w:rsid w:val="00663BB8"/>
    <w:rsid w:val="00663C72"/>
    <w:rsid w:val="00663CAD"/>
    <w:rsid w:val="00663CE2"/>
    <w:rsid w:val="00663DE1"/>
    <w:rsid w:val="00663E98"/>
    <w:rsid w:val="00663EE8"/>
    <w:rsid w:val="00664031"/>
    <w:rsid w:val="00664065"/>
    <w:rsid w:val="00664072"/>
    <w:rsid w:val="00664101"/>
    <w:rsid w:val="00664192"/>
    <w:rsid w:val="0066429D"/>
    <w:rsid w:val="00664630"/>
    <w:rsid w:val="00664640"/>
    <w:rsid w:val="00664888"/>
    <w:rsid w:val="0066492D"/>
    <w:rsid w:val="006649AF"/>
    <w:rsid w:val="006649C0"/>
    <w:rsid w:val="006649EC"/>
    <w:rsid w:val="00664EF4"/>
    <w:rsid w:val="00664F74"/>
    <w:rsid w:val="00664FE3"/>
    <w:rsid w:val="00665023"/>
    <w:rsid w:val="00665316"/>
    <w:rsid w:val="006653B6"/>
    <w:rsid w:val="00665452"/>
    <w:rsid w:val="006654BA"/>
    <w:rsid w:val="00665591"/>
    <w:rsid w:val="0066580C"/>
    <w:rsid w:val="00665849"/>
    <w:rsid w:val="00665870"/>
    <w:rsid w:val="0066597B"/>
    <w:rsid w:val="0066598F"/>
    <w:rsid w:val="006659D7"/>
    <w:rsid w:val="00665AA8"/>
    <w:rsid w:val="00665ABB"/>
    <w:rsid w:val="00665CEC"/>
    <w:rsid w:val="00665F0C"/>
    <w:rsid w:val="0066600D"/>
    <w:rsid w:val="0066617F"/>
    <w:rsid w:val="00666183"/>
    <w:rsid w:val="00666229"/>
    <w:rsid w:val="00666331"/>
    <w:rsid w:val="00666385"/>
    <w:rsid w:val="00666414"/>
    <w:rsid w:val="006664D1"/>
    <w:rsid w:val="00666716"/>
    <w:rsid w:val="00666729"/>
    <w:rsid w:val="0066674A"/>
    <w:rsid w:val="00666769"/>
    <w:rsid w:val="006667AC"/>
    <w:rsid w:val="0066682C"/>
    <w:rsid w:val="006668CB"/>
    <w:rsid w:val="006669B6"/>
    <w:rsid w:val="006669CB"/>
    <w:rsid w:val="00666A0A"/>
    <w:rsid w:val="00666AE3"/>
    <w:rsid w:val="00666B7E"/>
    <w:rsid w:val="00666BCD"/>
    <w:rsid w:val="00666BE4"/>
    <w:rsid w:val="00666E08"/>
    <w:rsid w:val="00666E6D"/>
    <w:rsid w:val="00666EF4"/>
    <w:rsid w:val="00666F36"/>
    <w:rsid w:val="00667063"/>
    <w:rsid w:val="006671E8"/>
    <w:rsid w:val="00667444"/>
    <w:rsid w:val="006674D1"/>
    <w:rsid w:val="0066753A"/>
    <w:rsid w:val="00667558"/>
    <w:rsid w:val="0066756B"/>
    <w:rsid w:val="0066757B"/>
    <w:rsid w:val="0066767D"/>
    <w:rsid w:val="006678BB"/>
    <w:rsid w:val="006678D6"/>
    <w:rsid w:val="00667A10"/>
    <w:rsid w:val="00667A86"/>
    <w:rsid w:val="00667A8F"/>
    <w:rsid w:val="00667C36"/>
    <w:rsid w:val="00670009"/>
    <w:rsid w:val="00670033"/>
    <w:rsid w:val="00670054"/>
    <w:rsid w:val="00670164"/>
    <w:rsid w:val="006701DB"/>
    <w:rsid w:val="00670275"/>
    <w:rsid w:val="006702A7"/>
    <w:rsid w:val="006702CD"/>
    <w:rsid w:val="0067039D"/>
    <w:rsid w:val="006703CA"/>
    <w:rsid w:val="0067050F"/>
    <w:rsid w:val="00670556"/>
    <w:rsid w:val="006705C3"/>
    <w:rsid w:val="006705EC"/>
    <w:rsid w:val="0067060A"/>
    <w:rsid w:val="00670654"/>
    <w:rsid w:val="0067065A"/>
    <w:rsid w:val="0067097D"/>
    <w:rsid w:val="0067098C"/>
    <w:rsid w:val="00670ABB"/>
    <w:rsid w:val="00670ABC"/>
    <w:rsid w:val="00670CA8"/>
    <w:rsid w:val="00670D2E"/>
    <w:rsid w:val="00670EAB"/>
    <w:rsid w:val="00670F2F"/>
    <w:rsid w:val="00670F55"/>
    <w:rsid w:val="00671052"/>
    <w:rsid w:val="00671126"/>
    <w:rsid w:val="0067116D"/>
    <w:rsid w:val="0067142D"/>
    <w:rsid w:val="00671458"/>
    <w:rsid w:val="00671726"/>
    <w:rsid w:val="006718A0"/>
    <w:rsid w:val="006718F9"/>
    <w:rsid w:val="00671BA7"/>
    <w:rsid w:val="00671C24"/>
    <w:rsid w:val="00671CC1"/>
    <w:rsid w:val="00671CF0"/>
    <w:rsid w:val="00671DA3"/>
    <w:rsid w:val="00671DE4"/>
    <w:rsid w:val="00671F28"/>
    <w:rsid w:val="00671FCE"/>
    <w:rsid w:val="00672047"/>
    <w:rsid w:val="0067205F"/>
    <w:rsid w:val="006720A1"/>
    <w:rsid w:val="006720F8"/>
    <w:rsid w:val="006723A6"/>
    <w:rsid w:val="0067240C"/>
    <w:rsid w:val="0067243A"/>
    <w:rsid w:val="0067259F"/>
    <w:rsid w:val="006725CD"/>
    <w:rsid w:val="006725F4"/>
    <w:rsid w:val="006726B1"/>
    <w:rsid w:val="006728BD"/>
    <w:rsid w:val="0067296B"/>
    <w:rsid w:val="00672A3D"/>
    <w:rsid w:val="00672A50"/>
    <w:rsid w:val="00672A7A"/>
    <w:rsid w:val="00672BA8"/>
    <w:rsid w:val="00672C49"/>
    <w:rsid w:val="00672CA1"/>
    <w:rsid w:val="00672E45"/>
    <w:rsid w:val="00672E57"/>
    <w:rsid w:val="00672E77"/>
    <w:rsid w:val="00672E9E"/>
    <w:rsid w:val="00672F06"/>
    <w:rsid w:val="00672F72"/>
    <w:rsid w:val="00672F7B"/>
    <w:rsid w:val="00672FD1"/>
    <w:rsid w:val="006731CD"/>
    <w:rsid w:val="00673371"/>
    <w:rsid w:val="00673473"/>
    <w:rsid w:val="00673522"/>
    <w:rsid w:val="00673539"/>
    <w:rsid w:val="00673583"/>
    <w:rsid w:val="006736C9"/>
    <w:rsid w:val="00673808"/>
    <w:rsid w:val="0067389B"/>
    <w:rsid w:val="00673967"/>
    <w:rsid w:val="00673A1D"/>
    <w:rsid w:val="00673AC0"/>
    <w:rsid w:val="00673C2F"/>
    <w:rsid w:val="00673DEE"/>
    <w:rsid w:val="00673E04"/>
    <w:rsid w:val="00673FB7"/>
    <w:rsid w:val="00674044"/>
    <w:rsid w:val="006741AF"/>
    <w:rsid w:val="00674256"/>
    <w:rsid w:val="00674318"/>
    <w:rsid w:val="006743BD"/>
    <w:rsid w:val="00674437"/>
    <w:rsid w:val="0067458D"/>
    <w:rsid w:val="006746E3"/>
    <w:rsid w:val="00674780"/>
    <w:rsid w:val="0067480D"/>
    <w:rsid w:val="0067490F"/>
    <w:rsid w:val="00674966"/>
    <w:rsid w:val="00674C24"/>
    <w:rsid w:val="00674DA4"/>
    <w:rsid w:val="00674F0B"/>
    <w:rsid w:val="006750C5"/>
    <w:rsid w:val="00675221"/>
    <w:rsid w:val="0067523A"/>
    <w:rsid w:val="006752E8"/>
    <w:rsid w:val="00675395"/>
    <w:rsid w:val="006753A2"/>
    <w:rsid w:val="006753F5"/>
    <w:rsid w:val="00675483"/>
    <w:rsid w:val="006754AD"/>
    <w:rsid w:val="006754B1"/>
    <w:rsid w:val="006754D1"/>
    <w:rsid w:val="00675560"/>
    <w:rsid w:val="006755D2"/>
    <w:rsid w:val="0067581B"/>
    <w:rsid w:val="00675824"/>
    <w:rsid w:val="00675850"/>
    <w:rsid w:val="0067605D"/>
    <w:rsid w:val="006760A2"/>
    <w:rsid w:val="006761B8"/>
    <w:rsid w:val="006762A9"/>
    <w:rsid w:val="00676466"/>
    <w:rsid w:val="00676522"/>
    <w:rsid w:val="006767B7"/>
    <w:rsid w:val="00676869"/>
    <w:rsid w:val="00676AC5"/>
    <w:rsid w:val="00676ACC"/>
    <w:rsid w:val="00676B17"/>
    <w:rsid w:val="00676BDF"/>
    <w:rsid w:val="00676C18"/>
    <w:rsid w:val="00676D2D"/>
    <w:rsid w:val="00676D55"/>
    <w:rsid w:val="00676E16"/>
    <w:rsid w:val="00676F19"/>
    <w:rsid w:val="00676FDE"/>
    <w:rsid w:val="0067724F"/>
    <w:rsid w:val="00677255"/>
    <w:rsid w:val="00677422"/>
    <w:rsid w:val="00677468"/>
    <w:rsid w:val="006774AF"/>
    <w:rsid w:val="0067759B"/>
    <w:rsid w:val="006777CE"/>
    <w:rsid w:val="00677912"/>
    <w:rsid w:val="00677931"/>
    <w:rsid w:val="00677AA3"/>
    <w:rsid w:val="00677B7C"/>
    <w:rsid w:val="00677B98"/>
    <w:rsid w:val="00677C5D"/>
    <w:rsid w:val="00677D08"/>
    <w:rsid w:val="00677EBB"/>
    <w:rsid w:val="00677FB3"/>
    <w:rsid w:val="006800AB"/>
    <w:rsid w:val="00680112"/>
    <w:rsid w:val="00680221"/>
    <w:rsid w:val="00680410"/>
    <w:rsid w:val="00680432"/>
    <w:rsid w:val="00680435"/>
    <w:rsid w:val="00680554"/>
    <w:rsid w:val="00680588"/>
    <w:rsid w:val="006805F5"/>
    <w:rsid w:val="00680686"/>
    <w:rsid w:val="006806F8"/>
    <w:rsid w:val="00680788"/>
    <w:rsid w:val="00680807"/>
    <w:rsid w:val="00680B13"/>
    <w:rsid w:val="00680B66"/>
    <w:rsid w:val="00680C10"/>
    <w:rsid w:val="00680DD7"/>
    <w:rsid w:val="00680DFC"/>
    <w:rsid w:val="006810D1"/>
    <w:rsid w:val="006811E2"/>
    <w:rsid w:val="006812AE"/>
    <w:rsid w:val="0068132B"/>
    <w:rsid w:val="00681341"/>
    <w:rsid w:val="00681361"/>
    <w:rsid w:val="00681498"/>
    <w:rsid w:val="00681588"/>
    <w:rsid w:val="0068158B"/>
    <w:rsid w:val="006816DB"/>
    <w:rsid w:val="00681701"/>
    <w:rsid w:val="006817C6"/>
    <w:rsid w:val="00681B57"/>
    <w:rsid w:val="00681B8B"/>
    <w:rsid w:val="00681C34"/>
    <w:rsid w:val="00681D5A"/>
    <w:rsid w:val="00681E08"/>
    <w:rsid w:val="00681E80"/>
    <w:rsid w:val="00681EDD"/>
    <w:rsid w:val="00681F20"/>
    <w:rsid w:val="006821DC"/>
    <w:rsid w:val="006821FC"/>
    <w:rsid w:val="006822B9"/>
    <w:rsid w:val="0068246C"/>
    <w:rsid w:val="006824E3"/>
    <w:rsid w:val="0068253C"/>
    <w:rsid w:val="006825FF"/>
    <w:rsid w:val="00682602"/>
    <w:rsid w:val="006826F0"/>
    <w:rsid w:val="00682790"/>
    <w:rsid w:val="00682839"/>
    <w:rsid w:val="0068287F"/>
    <w:rsid w:val="00682990"/>
    <w:rsid w:val="00682B08"/>
    <w:rsid w:val="00682B8A"/>
    <w:rsid w:val="00682E66"/>
    <w:rsid w:val="00682EDE"/>
    <w:rsid w:val="00682F90"/>
    <w:rsid w:val="00682FD0"/>
    <w:rsid w:val="00682FDD"/>
    <w:rsid w:val="006832F5"/>
    <w:rsid w:val="00683338"/>
    <w:rsid w:val="006833F1"/>
    <w:rsid w:val="00683410"/>
    <w:rsid w:val="00683507"/>
    <w:rsid w:val="006839DB"/>
    <w:rsid w:val="00683B1D"/>
    <w:rsid w:val="00683BAE"/>
    <w:rsid w:val="00683C06"/>
    <w:rsid w:val="00683D42"/>
    <w:rsid w:val="00683D54"/>
    <w:rsid w:val="00683DFA"/>
    <w:rsid w:val="0068419B"/>
    <w:rsid w:val="00684219"/>
    <w:rsid w:val="0068425B"/>
    <w:rsid w:val="006843A6"/>
    <w:rsid w:val="006843B1"/>
    <w:rsid w:val="006843C3"/>
    <w:rsid w:val="006843E9"/>
    <w:rsid w:val="0068440F"/>
    <w:rsid w:val="0068466A"/>
    <w:rsid w:val="00684745"/>
    <w:rsid w:val="006847EF"/>
    <w:rsid w:val="006847F7"/>
    <w:rsid w:val="006849BC"/>
    <w:rsid w:val="00684BAE"/>
    <w:rsid w:val="00684C4A"/>
    <w:rsid w:val="00684CA0"/>
    <w:rsid w:val="00684DCF"/>
    <w:rsid w:val="00684DF1"/>
    <w:rsid w:val="00684E1F"/>
    <w:rsid w:val="006850C6"/>
    <w:rsid w:val="00685123"/>
    <w:rsid w:val="0068534F"/>
    <w:rsid w:val="00685384"/>
    <w:rsid w:val="006853D8"/>
    <w:rsid w:val="00685455"/>
    <w:rsid w:val="0068552D"/>
    <w:rsid w:val="006855EE"/>
    <w:rsid w:val="006857B8"/>
    <w:rsid w:val="006857FA"/>
    <w:rsid w:val="006859C6"/>
    <w:rsid w:val="006859F8"/>
    <w:rsid w:val="00685B6C"/>
    <w:rsid w:val="00685BF4"/>
    <w:rsid w:val="00685C6C"/>
    <w:rsid w:val="00685DA8"/>
    <w:rsid w:val="00685ED3"/>
    <w:rsid w:val="00685F0F"/>
    <w:rsid w:val="00686021"/>
    <w:rsid w:val="00686243"/>
    <w:rsid w:val="006863B8"/>
    <w:rsid w:val="0068642C"/>
    <w:rsid w:val="00686587"/>
    <w:rsid w:val="006865BC"/>
    <w:rsid w:val="00686637"/>
    <w:rsid w:val="00686657"/>
    <w:rsid w:val="006866E1"/>
    <w:rsid w:val="006867A2"/>
    <w:rsid w:val="00686802"/>
    <w:rsid w:val="0068682A"/>
    <w:rsid w:val="0068689B"/>
    <w:rsid w:val="006868AA"/>
    <w:rsid w:val="006869DF"/>
    <w:rsid w:val="00686A47"/>
    <w:rsid w:val="00686AB7"/>
    <w:rsid w:val="00686E2F"/>
    <w:rsid w:val="00686EB9"/>
    <w:rsid w:val="00686F71"/>
    <w:rsid w:val="00687143"/>
    <w:rsid w:val="0068724F"/>
    <w:rsid w:val="0068731D"/>
    <w:rsid w:val="006874B7"/>
    <w:rsid w:val="006876C9"/>
    <w:rsid w:val="006876E3"/>
    <w:rsid w:val="006879B2"/>
    <w:rsid w:val="00687A36"/>
    <w:rsid w:val="00687BA2"/>
    <w:rsid w:val="00690027"/>
    <w:rsid w:val="006900F4"/>
    <w:rsid w:val="006901F1"/>
    <w:rsid w:val="006903B5"/>
    <w:rsid w:val="00690424"/>
    <w:rsid w:val="00690451"/>
    <w:rsid w:val="006904B8"/>
    <w:rsid w:val="00690543"/>
    <w:rsid w:val="00690553"/>
    <w:rsid w:val="006905B1"/>
    <w:rsid w:val="00690607"/>
    <w:rsid w:val="00690636"/>
    <w:rsid w:val="00690661"/>
    <w:rsid w:val="0069066E"/>
    <w:rsid w:val="0069081A"/>
    <w:rsid w:val="006909AC"/>
    <w:rsid w:val="006909BB"/>
    <w:rsid w:val="00690A6D"/>
    <w:rsid w:val="00690A9E"/>
    <w:rsid w:val="00690AA5"/>
    <w:rsid w:val="00690AE0"/>
    <w:rsid w:val="00690D4D"/>
    <w:rsid w:val="00690DD0"/>
    <w:rsid w:val="00690DEC"/>
    <w:rsid w:val="00690E8B"/>
    <w:rsid w:val="00690EC5"/>
    <w:rsid w:val="006910B6"/>
    <w:rsid w:val="006910BB"/>
    <w:rsid w:val="0069118C"/>
    <w:rsid w:val="006911CE"/>
    <w:rsid w:val="006912BA"/>
    <w:rsid w:val="006912D7"/>
    <w:rsid w:val="0069131C"/>
    <w:rsid w:val="006914D1"/>
    <w:rsid w:val="006914D5"/>
    <w:rsid w:val="0069191B"/>
    <w:rsid w:val="0069197B"/>
    <w:rsid w:val="006919BD"/>
    <w:rsid w:val="00691AAB"/>
    <w:rsid w:val="00691ABD"/>
    <w:rsid w:val="00691B97"/>
    <w:rsid w:val="00691BA5"/>
    <w:rsid w:val="00691BE4"/>
    <w:rsid w:val="00691C87"/>
    <w:rsid w:val="00691D6F"/>
    <w:rsid w:val="00691DC2"/>
    <w:rsid w:val="00691DFA"/>
    <w:rsid w:val="00691E80"/>
    <w:rsid w:val="00691E98"/>
    <w:rsid w:val="00691F0D"/>
    <w:rsid w:val="00691F4E"/>
    <w:rsid w:val="006921B7"/>
    <w:rsid w:val="0069255D"/>
    <w:rsid w:val="006926A7"/>
    <w:rsid w:val="00692837"/>
    <w:rsid w:val="00692844"/>
    <w:rsid w:val="006929C3"/>
    <w:rsid w:val="00692AB8"/>
    <w:rsid w:val="00692B48"/>
    <w:rsid w:val="00692B6D"/>
    <w:rsid w:val="00692C29"/>
    <w:rsid w:val="00692C2E"/>
    <w:rsid w:val="00692C3F"/>
    <w:rsid w:val="00692C52"/>
    <w:rsid w:val="00692CAF"/>
    <w:rsid w:val="00692CE9"/>
    <w:rsid w:val="00692D7F"/>
    <w:rsid w:val="00692DA8"/>
    <w:rsid w:val="00693096"/>
    <w:rsid w:val="00693156"/>
    <w:rsid w:val="006931AD"/>
    <w:rsid w:val="00693384"/>
    <w:rsid w:val="006933EC"/>
    <w:rsid w:val="0069365D"/>
    <w:rsid w:val="006937AB"/>
    <w:rsid w:val="0069380A"/>
    <w:rsid w:val="00693957"/>
    <w:rsid w:val="00693967"/>
    <w:rsid w:val="0069397C"/>
    <w:rsid w:val="00693A6B"/>
    <w:rsid w:val="00693A8F"/>
    <w:rsid w:val="00693B55"/>
    <w:rsid w:val="00693BA1"/>
    <w:rsid w:val="00693E0E"/>
    <w:rsid w:val="00693F57"/>
    <w:rsid w:val="00694144"/>
    <w:rsid w:val="00694221"/>
    <w:rsid w:val="0069425C"/>
    <w:rsid w:val="006942CB"/>
    <w:rsid w:val="006943D8"/>
    <w:rsid w:val="00694420"/>
    <w:rsid w:val="0069455F"/>
    <w:rsid w:val="00694659"/>
    <w:rsid w:val="00694757"/>
    <w:rsid w:val="006947DF"/>
    <w:rsid w:val="006948DA"/>
    <w:rsid w:val="00694901"/>
    <w:rsid w:val="0069494D"/>
    <w:rsid w:val="00694985"/>
    <w:rsid w:val="00694A5A"/>
    <w:rsid w:val="00694B25"/>
    <w:rsid w:val="00694C48"/>
    <w:rsid w:val="00694ED6"/>
    <w:rsid w:val="00695130"/>
    <w:rsid w:val="006951D4"/>
    <w:rsid w:val="00695248"/>
    <w:rsid w:val="00695389"/>
    <w:rsid w:val="00695589"/>
    <w:rsid w:val="0069560A"/>
    <w:rsid w:val="006956A7"/>
    <w:rsid w:val="0069571F"/>
    <w:rsid w:val="0069572C"/>
    <w:rsid w:val="00695766"/>
    <w:rsid w:val="0069585F"/>
    <w:rsid w:val="006959B0"/>
    <w:rsid w:val="00695A1E"/>
    <w:rsid w:val="00695A56"/>
    <w:rsid w:val="00695A81"/>
    <w:rsid w:val="00695B15"/>
    <w:rsid w:val="00695B52"/>
    <w:rsid w:val="00695BAD"/>
    <w:rsid w:val="00695BF8"/>
    <w:rsid w:val="00695C16"/>
    <w:rsid w:val="00695C2C"/>
    <w:rsid w:val="00695C84"/>
    <w:rsid w:val="006960E4"/>
    <w:rsid w:val="006963B7"/>
    <w:rsid w:val="0069643F"/>
    <w:rsid w:val="00696474"/>
    <w:rsid w:val="006964B6"/>
    <w:rsid w:val="006964CE"/>
    <w:rsid w:val="006964F3"/>
    <w:rsid w:val="0069651F"/>
    <w:rsid w:val="00696597"/>
    <w:rsid w:val="00696612"/>
    <w:rsid w:val="006966DD"/>
    <w:rsid w:val="00696798"/>
    <w:rsid w:val="00696812"/>
    <w:rsid w:val="00696AC7"/>
    <w:rsid w:val="00696B3B"/>
    <w:rsid w:val="00696CD1"/>
    <w:rsid w:val="00696D9C"/>
    <w:rsid w:val="00696EE3"/>
    <w:rsid w:val="00696F9B"/>
    <w:rsid w:val="006970BD"/>
    <w:rsid w:val="00697162"/>
    <w:rsid w:val="00697300"/>
    <w:rsid w:val="006973E4"/>
    <w:rsid w:val="00697499"/>
    <w:rsid w:val="006974CE"/>
    <w:rsid w:val="006975F7"/>
    <w:rsid w:val="0069775D"/>
    <w:rsid w:val="00697788"/>
    <w:rsid w:val="00697797"/>
    <w:rsid w:val="006977F9"/>
    <w:rsid w:val="00697BEB"/>
    <w:rsid w:val="00697CFA"/>
    <w:rsid w:val="006A0041"/>
    <w:rsid w:val="006A0379"/>
    <w:rsid w:val="006A03BE"/>
    <w:rsid w:val="006A057D"/>
    <w:rsid w:val="006A05D4"/>
    <w:rsid w:val="006A0768"/>
    <w:rsid w:val="006A08C4"/>
    <w:rsid w:val="006A08F8"/>
    <w:rsid w:val="006A09FE"/>
    <w:rsid w:val="006A0A87"/>
    <w:rsid w:val="006A0B43"/>
    <w:rsid w:val="006A0D0A"/>
    <w:rsid w:val="006A0D12"/>
    <w:rsid w:val="006A0DB8"/>
    <w:rsid w:val="006A0E24"/>
    <w:rsid w:val="006A0E40"/>
    <w:rsid w:val="006A0FAF"/>
    <w:rsid w:val="006A10D4"/>
    <w:rsid w:val="006A1410"/>
    <w:rsid w:val="006A1439"/>
    <w:rsid w:val="006A14B6"/>
    <w:rsid w:val="006A150E"/>
    <w:rsid w:val="006A16D5"/>
    <w:rsid w:val="006A17CE"/>
    <w:rsid w:val="006A18CE"/>
    <w:rsid w:val="006A1929"/>
    <w:rsid w:val="006A1951"/>
    <w:rsid w:val="006A1AF0"/>
    <w:rsid w:val="006A1B86"/>
    <w:rsid w:val="006A1BB1"/>
    <w:rsid w:val="006A1C01"/>
    <w:rsid w:val="006A1C4C"/>
    <w:rsid w:val="006A1DBD"/>
    <w:rsid w:val="006A1DEF"/>
    <w:rsid w:val="006A1E42"/>
    <w:rsid w:val="006A1EB4"/>
    <w:rsid w:val="006A1ECD"/>
    <w:rsid w:val="006A1F72"/>
    <w:rsid w:val="006A223D"/>
    <w:rsid w:val="006A2271"/>
    <w:rsid w:val="006A22BB"/>
    <w:rsid w:val="006A22CE"/>
    <w:rsid w:val="006A231D"/>
    <w:rsid w:val="006A2678"/>
    <w:rsid w:val="006A26EE"/>
    <w:rsid w:val="006A26F2"/>
    <w:rsid w:val="006A26FC"/>
    <w:rsid w:val="006A2702"/>
    <w:rsid w:val="006A2704"/>
    <w:rsid w:val="006A2729"/>
    <w:rsid w:val="006A2794"/>
    <w:rsid w:val="006A2835"/>
    <w:rsid w:val="006A295C"/>
    <w:rsid w:val="006A2AD7"/>
    <w:rsid w:val="006A2B87"/>
    <w:rsid w:val="006A2CAA"/>
    <w:rsid w:val="006A2CFA"/>
    <w:rsid w:val="006A31A4"/>
    <w:rsid w:val="006A3290"/>
    <w:rsid w:val="006A3302"/>
    <w:rsid w:val="006A33CE"/>
    <w:rsid w:val="006A33DA"/>
    <w:rsid w:val="006A356A"/>
    <w:rsid w:val="006A36D4"/>
    <w:rsid w:val="006A3923"/>
    <w:rsid w:val="006A393C"/>
    <w:rsid w:val="006A396C"/>
    <w:rsid w:val="006A3970"/>
    <w:rsid w:val="006A3B22"/>
    <w:rsid w:val="006A3B34"/>
    <w:rsid w:val="006A3B71"/>
    <w:rsid w:val="006A3CA1"/>
    <w:rsid w:val="006A3D48"/>
    <w:rsid w:val="006A3D54"/>
    <w:rsid w:val="006A3D9E"/>
    <w:rsid w:val="006A40CA"/>
    <w:rsid w:val="006A40CE"/>
    <w:rsid w:val="006A41B5"/>
    <w:rsid w:val="006A4270"/>
    <w:rsid w:val="006A4322"/>
    <w:rsid w:val="006A44C2"/>
    <w:rsid w:val="006A44E0"/>
    <w:rsid w:val="006A44F4"/>
    <w:rsid w:val="006A46B8"/>
    <w:rsid w:val="006A4AA1"/>
    <w:rsid w:val="006A4ACA"/>
    <w:rsid w:val="006A4B06"/>
    <w:rsid w:val="006A4CDE"/>
    <w:rsid w:val="006A4D45"/>
    <w:rsid w:val="006A4E94"/>
    <w:rsid w:val="006A4EBC"/>
    <w:rsid w:val="006A4F33"/>
    <w:rsid w:val="006A4FB7"/>
    <w:rsid w:val="006A5046"/>
    <w:rsid w:val="006A507D"/>
    <w:rsid w:val="006A5097"/>
    <w:rsid w:val="006A5133"/>
    <w:rsid w:val="006A51FF"/>
    <w:rsid w:val="006A5375"/>
    <w:rsid w:val="006A53AF"/>
    <w:rsid w:val="006A53BC"/>
    <w:rsid w:val="006A53CB"/>
    <w:rsid w:val="006A5432"/>
    <w:rsid w:val="006A5460"/>
    <w:rsid w:val="006A55ED"/>
    <w:rsid w:val="006A56BC"/>
    <w:rsid w:val="006A56E3"/>
    <w:rsid w:val="006A575D"/>
    <w:rsid w:val="006A57A8"/>
    <w:rsid w:val="006A585D"/>
    <w:rsid w:val="006A5998"/>
    <w:rsid w:val="006A5A3B"/>
    <w:rsid w:val="006A5AD7"/>
    <w:rsid w:val="006A5BF1"/>
    <w:rsid w:val="006A5C19"/>
    <w:rsid w:val="006A5C5A"/>
    <w:rsid w:val="006A5CB4"/>
    <w:rsid w:val="006A5CB5"/>
    <w:rsid w:val="006A5DD4"/>
    <w:rsid w:val="006A5DEA"/>
    <w:rsid w:val="006A5E02"/>
    <w:rsid w:val="006A5E10"/>
    <w:rsid w:val="006A6217"/>
    <w:rsid w:val="006A625C"/>
    <w:rsid w:val="006A63ED"/>
    <w:rsid w:val="006A65B5"/>
    <w:rsid w:val="006A661D"/>
    <w:rsid w:val="006A668B"/>
    <w:rsid w:val="006A6743"/>
    <w:rsid w:val="006A6785"/>
    <w:rsid w:val="006A67EB"/>
    <w:rsid w:val="006A68CD"/>
    <w:rsid w:val="006A68EC"/>
    <w:rsid w:val="006A690B"/>
    <w:rsid w:val="006A6990"/>
    <w:rsid w:val="006A6A16"/>
    <w:rsid w:val="006A6B07"/>
    <w:rsid w:val="006A6C3B"/>
    <w:rsid w:val="006A7191"/>
    <w:rsid w:val="006A724C"/>
    <w:rsid w:val="006A7560"/>
    <w:rsid w:val="006A7640"/>
    <w:rsid w:val="006A7854"/>
    <w:rsid w:val="006A78B3"/>
    <w:rsid w:val="006A793F"/>
    <w:rsid w:val="006A7A3D"/>
    <w:rsid w:val="006A7A4E"/>
    <w:rsid w:val="006A7AD8"/>
    <w:rsid w:val="006A7BAC"/>
    <w:rsid w:val="006A7C71"/>
    <w:rsid w:val="006A7CBA"/>
    <w:rsid w:val="006A7D28"/>
    <w:rsid w:val="006A7D61"/>
    <w:rsid w:val="006B0082"/>
    <w:rsid w:val="006B0085"/>
    <w:rsid w:val="006B0212"/>
    <w:rsid w:val="006B025F"/>
    <w:rsid w:val="006B03CD"/>
    <w:rsid w:val="006B044A"/>
    <w:rsid w:val="006B0651"/>
    <w:rsid w:val="006B06EA"/>
    <w:rsid w:val="006B0791"/>
    <w:rsid w:val="006B0A53"/>
    <w:rsid w:val="006B0BFB"/>
    <w:rsid w:val="006B0E4B"/>
    <w:rsid w:val="006B102E"/>
    <w:rsid w:val="006B1067"/>
    <w:rsid w:val="006B114F"/>
    <w:rsid w:val="006B11AF"/>
    <w:rsid w:val="006B11C0"/>
    <w:rsid w:val="006B1269"/>
    <w:rsid w:val="006B12CD"/>
    <w:rsid w:val="006B133A"/>
    <w:rsid w:val="006B14C2"/>
    <w:rsid w:val="006B14E7"/>
    <w:rsid w:val="006B1540"/>
    <w:rsid w:val="006B15D0"/>
    <w:rsid w:val="006B15E9"/>
    <w:rsid w:val="006B1609"/>
    <w:rsid w:val="006B164A"/>
    <w:rsid w:val="006B175C"/>
    <w:rsid w:val="006B1816"/>
    <w:rsid w:val="006B1835"/>
    <w:rsid w:val="006B18A8"/>
    <w:rsid w:val="006B18E0"/>
    <w:rsid w:val="006B1967"/>
    <w:rsid w:val="006B19B7"/>
    <w:rsid w:val="006B1B80"/>
    <w:rsid w:val="006B1BE0"/>
    <w:rsid w:val="006B1C93"/>
    <w:rsid w:val="006B1CD5"/>
    <w:rsid w:val="006B1E70"/>
    <w:rsid w:val="006B1F4E"/>
    <w:rsid w:val="006B1F9D"/>
    <w:rsid w:val="006B1FED"/>
    <w:rsid w:val="006B20EB"/>
    <w:rsid w:val="006B2130"/>
    <w:rsid w:val="006B2165"/>
    <w:rsid w:val="006B2254"/>
    <w:rsid w:val="006B2320"/>
    <w:rsid w:val="006B234B"/>
    <w:rsid w:val="006B2360"/>
    <w:rsid w:val="006B2361"/>
    <w:rsid w:val="006B2519"/>
    <w:rsid w:val="006B263D"/>
    <w:rsid w:val="006B26E5"/>
    <w:rsid w:val="006B280B"/>
    <w:rsid w:val="006B2964"/>
    <w:rsid w:val="006B29C0"/>
    <w:rsid w:val="006B29E5"/>
    <w:rsid w:val="006B2DD1"/>
    <w:rsid w:val="006B2E5C"/>
    <w:rsid w:val="006B2EF1"/>
    <w:rsid w:val="006B3007"/>
    <w:rsid w:val="006B328C"/>
    <w:rsid w:val="006B32C0"/>
    <w:rsid w:val="006B33EA"/>
    <w:rsid w:val="006B33F5"/>
    <w:rsid w:val="006B3465"/>
    <w:rsid w:val="006B34FD"/>
    <w:rsid w:val="006B3637"/>
    <w:rsid w:val="006B3786"/>
    <w:rsid w:val="006B37B0"/>
    <w:rsid w:val="006B37D8"/>
    <w:rsid w:val="006B3945"/>
    <w:rsid w:val="006B399B"/>
    <w:rsid w:val="006B39EB"/>
    <w:rsid w:val="006B3C05"/>
    <w:rsid w:val="006B3CD9"/>
    <w:rsid w:val="006B3E4C"/>
    <w:rsid w:val="006B3E82"/>
    <w:rsid w:val="006B3FC2"/>
    <w:rsid w:val="006B3FE3"/>
    <w:rsid w:val="006B4005"/>
    <w:rsid w:val="006B402E"/>
    <w:rsid w:val="006B406B"/>
    <w:rsid w:val="006B4133"/>
    <w:rsid w:val="006B4155"/>
    <w:rsid w:val="006B41D4"/>
    <w:rsid w:val="006B41F5"/>
    <w:rsid w:val="006B449C"/>
    <w:rsid w:val="006B44BF"/>
    <w:rsid w:val="006B44F1"/>
    <w:rsid w:val="006B4520"/>
    <w:rsid w:val="006B454E"/>
    <w:rsid w:val="006B4550"/>
    <w:rsid w:val="006B4649"/>
    <w:rsid w:val="006B4681"/>
    <w:rsid w:val="006B4935"/>
    <w:rsid w:val="006B49F6"/>
    <w:rsid w:val="006B4AD1"/>
    <w:rsid w:val="006B4AED"/>
    <w:rsid w:val="006B4B0E"/>
    <w:rsid w:val="006B4DBF"/>
    <w:rsid w:val="006B4DC5"/>
    <w:rsid w:val="006B4F3C"/>
    <w:rsid w:val="006B5100"/>
    <w:rsid w:val="006B519C"/>
    <w:rsid w:val="006B51E1"/>
    <w:rsid w:val="006B51F9"/>
    <w:rsid w:val="006B52E6"/>
    <w:rsid w:val="006B54DB"/>
    <w:rsid w:val="006B569D"/>
    <w:rsid w:val="006B5718"/>
    <w:rsid w:val="006B5727"/>
    <w:rsid w:val="006B57A7"/>
    <w:rsid w:val="006B57B7"/>
    <w:rsid w:val="006B586F"/>
    <w:rsid w:val="006B593E"/>
    <w:rsid w:val="006B5A4B"/>
    <w:rsid w:val="006B5AA8"/>
    <w:rsid w:val="006B5C68"/>
    <w:rsid w:val="006B5F84"/>
    <w:rsid w:val="006B5FB6"/>
    <w:rsid w:val="006B6071"/>
    <w:rsid w:val="006B615B"/>
    <w:rsid w:val="006B61E2"/>
    <w:rsid w:val="006B623E"/>
    <w:rsid w:val="006B62C0"/>
    <w:rsid w:val="006B62DD"/>
    <w:rsid w:val="006B632E"/>
    <w:rsid w:val="006B63C5"/>
    <w:rsid w:val="006B6406"/>
    <w:rsid w:val="006B6475"/>
    <w:rsid w:val="006B65BD"/>
    <w:rsid w:val="006B65E6"/>
    <w:rsid w:val="006B6670"/>
    <w:rsid w:val="006B66E2"/>
    <w:rsid w:val="006B66E4"/>
    <w:rsid w:val="006B679C"/>
    <w:rsid w:val="006B67CB"/>
    <w:rsid w:val="006B680C"/>
    <w:rsid w:val="006B6885"/>
    <w:rsid w:val="006B6892"/>
    <w:rsid w:val="006B695E"/>
    <w:rsid w:val="006B6B58"/>
    <w:rsid w:val="006B6E39"/>
    <w:rsid w:val="006B6F76"/>
    <w:rsid w:val="006B7060"/>
    <w:rsid w:val="006B71B1"/>
    <w:rsid w:val="006B7298"/>
    <w:rsid w:val="006B72CE"/>
    <w:rsid w:val="006B731F"/>
    <w:rsid w:val="006B734A"/>
    <w:rsid w:val="006B7381"/>
    <w:rsid w:val="006B73DA"/>
    <w:rsid w:val="006B7435"/>
    <w:rsid w:val="006B74A0"/>
    <w:rsid w:val="006B74AA"/>
    <w:rsid w:val="006B756F"/>
    <w:rsid w:val="006B7620"/>
    <w:rsid w:val="006B76E7"/>
    <w:rsid w:val="006B784A"/>
    <w:rsid w:val="006B7954"/>
    <w:rsid w:val="006B79A6"/>
    <w:rsid w:val="006B79B5"/>
    <w:rsid w:val="006B7AD9"/>
    <w:rsid w:val="006B7BD9"/>
    <w:rsid w:val="006B7C1B"/>
    <w:rsid w:val="006B7D1F"/>
    <w:rsid w:val="006B7E52"/>
    <w:rsid w:val="006B7F45"/>
    <w:rsid w:val="006BB427"/>
    <w:rsid w:val="006C02FC"/>
    <w:rsid w:val="006C03DD"/>
    <w:rsid w:val="006C044F"/>
    <w:rsid w:val="006C04F2"/>
    <w:rsid w:val="006C070D"/>
    <w:rsid w:val="006C0813"/>
    <w:rsid w:val="006C086A"/>
    <w:rsid w:val="006C09B7"/>
    <w:rsid w:val="006C0ACF"/>
    <w:rsid w:val="006C0B51"/>
    <w:rsid w:val="006C0B6F"/>
    <w:rsid w:val="006C0D43"/>
    <w:rsid w:val="006C0D74"/>
    <w:rsid w:val="006C0EA8"/>
    <w:rsid w:val="006C11A5"/>
    <w:rsid w:val="006C11BA"/>
    <w:rsid w:val="006C1234"/>
    <w:rsid w:val="006C1266"/>
    <w:rsid w:val="006C12BA"/>
    <w:rsid w:val="006C1397"/>
    <w:rsid w:val="006C1457"/>
    <w:rsid w:val="006C1462"/>
    <w:rsid w:val="006C1548"/>
    <w:rsid w:val="006C1571"/>
    <w:rsid w:val="006C176E"/>
    <w:rsid w:val="006C18D4"/>
    <w:rsid w:val="006C192B"/>
    <w:rsid w:val="006C19A4"/>
    <w:rsid w:val="006C19DD"/>
    <w:rsid w:val="006C1A53"/>
    <w:rsid w:val="006C1BE5"/>
    <w:rsid w:val="006C1C3A"/>
    <w:rsid w:val="006C1DD8"/>
    <w:rsid w:val="006C1E35"/>
    <w:rsid w:val="006C1EB9"/>
    <w:rsid w:val="006C20FE"/>
    <w:rsid w:val="006C218D"/>
    <w:rsid w:val="006C224D"/>
    <w:rsid w:val="006C22D5"/>
    <w:rsid w:val="006C235E"/>
    <w:rsid w:val="006C2377"/>
    <w:rsid w:val="006C2610"/>
    <w:rsid w:val="006C2674"/>
    <w:rsid w:val="006C2733"/>
    <w:rsid w:val="006C2965"/>
    <w:rsid w:val="006C29B7"/>
    <w:rsid w:val="006C2A71"/>
    <w:rsid w:val="006C2ABB"/>
    <w:rsid w:val="006C2B05"/>
    <w:rsid w:val="006C2C6D"/>
    <w:rsid w:val="006C2D17"/>
    <w:rsid w:val="006C2FE1"/>
    <w:rsid w:val="006C301B"/>
    <w:rsid w:val="006C3198"/>
    <w:rsid w:val="006C320C"/>
    <w:rsid w:val="006C3229"/>
    <w:rsid w:val="006C3237"/>
    <w:rsid w:val="006C32FB"/>
    <w:rsid w:val="006C3397"/>
    <w:rsid w:val="006C33E4"/>
    <w:rsid w:val="006C352F"/>
    <w:rsid w:val="006C3590"/>
    <w:rsid w:val="006C35D7"/>
    <w:rsid w:val="006C36DB"/>
    <w:rsid w:val="006C378A"/>
    <w:rsid w:val="006C38CD"/>
    <w:rsid w:val="006C3964"/>
    <w:rsid w:val="006C39C3"/>
    <w:rsid w:val="006C3A55"/>
    <w:rsid w:val="006C3AC1"/>
    <w:rsid w:val="006C3BCF"/>
    <w:rsid w:val="006C3C1B"/>
    <w:rsid w:val="006C3C43"/>
    <w:rsid w:val="006C3EC3"/>
    <w:rsid w:val="006C3F50"/>
    <w:rsid w:val="006C4166"/>
    <w:rsid w:val="006C4212"/>
    <w:rsid w:val="006C4216"/>
    <w:rsid w:val="006C42D2"/>
    <w:rsid w:val="006C43D8"/>
    <w:rsid w:val="006C45AF"/>
    <w:rsid w:val="006C4616"/>
    <w:rsid w:val="006C4676"/>
    <w:rsid w:val="006C487E"/>
    <w:rsid w:val="006C48B7"/>
    <w:rsid w:val="006C496A"/>
    <w:rsid w:val="006C4AF4"/>
    <w:rsid w:val="006C4C2A"/>
    <w:rsid w:val="006C4C44"/>
    <w:rsid w:val="006C4CC8"/>
    <w:rsid w:val="006C4D45"/>
    <w:rsid w:val="006C4D6B"/>
    <w:rsid w:val="006C4DB2"/>
    <w:rsid w:val="006C4F89"/>
    <w:rsid w:val="006C525B"/>
    <w:rsid w:val="006C53C9"/>
    <w:rsid w:val="006C5602"/>
    <w:rsid w:val="006C567D"/>
    <w:rsid w:val="006C56CF"/>
    <w:rsid w:val="006C5710"/>
    <w:rsid w:val="006C57E1"/>
    <w:rsid w:val="006C57F9"/>
    <w:rsid w:val="006C598D"/>
    <w:rsid w:val="006C59CE"/>
    <w:rsid w:val="006C5A80"/>
    <w:rsid w:val="006C5BE5"/>
    <w:rsid w:val="006C5CDC"/>
    <w:rsid w:val="006C5D9C"/>
    <w:rsid w:val="006C5DD8"/>
    <w:rsid w:val="006C5E87"/>
    <w:rsid w:val="006C5F96"/>
    <w:rsid w:val="006C5FC7"/>
    <w:rsid w:val="006C607A"/>
    <w:rsid w:val="006C60AE"/>
    <w:rsid w:val="006C6258"/>
    <w:rsid w:val="006C626B"/>
    <w:rsid w:val="006C65B7"/>
    <w:rsid w:val="006C6773"/>
    <w:rsid w:val="006C6A7F"/>
    <w:rsid w:val="006C6AA8"/>
    <w:rsid w:val="006C6B0B"/>
    <w:rsid w:val="006C6CA1"/>
    <w:rsid w:val="006C6CC9"/>
    <w:rsid w:val="006C6CCF"/>
    <w:rsid w:val="006C6D4D"/>
    <w:rsid w:val="006C6FA4"/>
    <w:rsid w:val="006C7083"/>
    <w:rsid w:val="006C70AA"/>
    <w:rsid w:val="006C714E"/>
    <w:rsid w:val="006C71D8"/>
    <w:rsid w:val="006C71E5"/>
    <w:rsid w:val="006C7281"/>
    <w:rsid w:val="006C72AE"/>
    <w:rsid w:val="006C730A"/>
    <w:rsid w:val="006C730C"/>
    <w:rsid w:val="006C738B"/>
    <w:rsid w:val="006C743A"/>
    <w:rsid w:val="006C74F5"/>
    <w:rsid w:val="006C75A5"/>
    <w:rsid w:val="006C75DC"/>
    <w:rsid w:val="006C76FE"/>
    <w:rsid w:val="006C771E"/>
    <w:rsid w:val="006C772B"/>
    <w:rsid w:val="006C7763"/>
    <w:rsid w:val="006C776A"/>
    <w:rsid w:val="006C7882"/>
    <w:rsid w:val="006C7AB9"/>
    <w:rsid w:val="006C7BF8"/>
    <w:rsid w:val="006C7C5C"/>
    <w:rsid w:val="006C7C5E"/>
    <w:rsid w:val="006C7CCF"/>
    <w:rsid w:val="006C7CDB"/>
    <w:rsid w:val="006C7D4B"/>
    <w:rsid w:val="006C7DD7"/>
    <w:rsid w:val="006C7E07"/>
    <w:rsid w:val="006C7E59"/>
    <w:rsid w:val="006C7EF8"/>
    <w:rsid w:val="006C7FB4"/>
    <w:rsid w:val="006D020B"/>
    <w:rsid w:val="006D0270"/>
    <w:rsid w:val="006D0390"/>
    <w:rsid w:val="006D07FC"/>
    <w:rsid w:val="006D08B5"/>
    <w:rsid w:val="006D08BF"/>
    <w:rsid w:val="006D091D"/>
    <w:rsid w:val="006D0935"/>
    <w:rsid w:val="006D0A83"/>
    <w:rsid w:val="006D0C13"/>
    <w:rsid w:val="006D0C76"/>
    <w:rsid w:val="006D0C87"/>
    <w:rsid w:val="006D0CD3"/>
    <w:rsid w:val="006D0D97"/>
    <w:rsid w:val="006D0E1F"/>
    <w:rsid w:val="006D106F"/>
    <w:rsid w:val="006D10DA"/>
    <w:rsid w:val="006D1126"/>
    <w:rsid w:val="006D1209"/>
    <w:rsid w:val="006D1220"/>
    <w:rsid w:val="006D1226"/>
    <w:rsid w:val="006D122A"/>
    <w:rsid w:val="006D1268"/>
    <w:rsid w:val="006D1309"/>
    <w:rsid w:val="006D1330"/>
    <w:rsid w:val="006D13C9"/>
    <w:rsid w:val="006D13D8"/>
    <w:rsid w:val="006D13F7"/>
    <w:rsid w:val="006D150E"/>
    <w:rsid w:val="006D1564"/>
    <w:rsid w:val="006D15A6"/>
    <w:rsid w:val="006D17B3"/>
    <w:rsid w:val="006D17E4"/>
    <w:rsid w:val="006D1826"/>
    <w:rsid w:val="006D183A"/>
    <w:rsid w:val="006D1BEE"/>
    <w:rsid w:val="006D1D1D"/>
    <w:rsid w:val="006D1D8B"/>
    <w:rsid w:val="006D1DD3"/>
    <w:rsid w:val="006D1DFE"/>
    <w:rsid w:val="006D1E7F"/>
    <w:rsid w:val="006D1F23"/>
    <w:rsid w:val="006D1F37"/>
    <w:rsid w:val="006D1F80"/>
    <w:rsid w:val="006D1F83"/>
    <w:rsid w:val="006D1FC6"/>
    <w:rsid w:val="006D2054"/>
    <w:rsid w:val="006D21B3"/>
    <w:rsid w:val="006D21F0"/>
    <w:rsid w:val="006D224B"/>
    <w:rsid w:val="006D2283"/>
    <w:rsid w:val="006D261B"/>
    <w:rsid w:val="006D26A8"/>
    <w:rsid w:val="006D26C5"/>
    <w:rsid w:val="006D2A85"/>
    <w:rsid w:val="006D2C44"/>
    <w:rsid w:val="006D2C65"/>
    <w:rsid w:val="006D2CAD"/>
    <w:rsid w:val="006D2ECE"/>
    <w:rsid w:val="006D302C"/>
    <w:rsid w:val="006D3120"/>
    <w:rsid w:val="006D3348"/>
    <w:rsid w:val="006D33A9"/>
    <w:rsid w:val="006D33E6"/>
    <w:rsid w:val="006D344A"/>
    <w:rsid w:val="006D348E"/>
    <w:rsid w:val="006D34F9"/>
    <w:rsid w:val="006D355A"/>
    <w:rsid w:val="006D35D9"/>
    <w:rsid w:val="006D3677"/>
    <w:rsid w:val="006D3695"/>
    <w:rsid w:val="006D37D2"/>
    <w:rsid w:val="006D39D4"/>
    <w:rsid w:val="006D3A01"/>
    <w:rsid w:val="006D3A72"/>
    <w:rsid w:val="006D3AB2"/>
    <w:rsid w:val="006D3B0B"/>
    <w:rsid w:val="006D3B47"/>
    <w:rsid w:val="006D3CA0"/>
    <w:rsid w:val="006D3E6A"/>
    <w:rsid w:val="006D3EC7"/>
    <w:rsid w:val="006D3F2F"/>
    <w:rsid w:val="006D4053"/>
    <w:rsid w:val="006D40F4"/>
    <w:rsid w:val="006D4135"/>
    <w:rsid w:val="006D42F6"/>
    <w:rsid w:val="006D45DD"/>
    <w:rsid w:val="006D46C1"/>
    <w:rsid w:val="006D46C7"/>
    <w:rsid w:val="006D47FB"/>
    <w:rsid w:val="006D4806"/>
    <w:rsid w:val="006D4AED"/>
    <w:rsid w:val="006D4C67"/>
    <w:rsid w:val="006D4F25"/>
    <w:rsid w:val="006D50AB"/>
    <w:rsid w:val="006D50D9"/>
    <w:rsid w:val="006D51B5"/>
    <w:rsid w:val="006D51F0"/>
    <w:rsid w:val="006D5458"/>
    <w:rsid w:val="006D54DD"/>
    <w:rsid w:val="006D550B"/>
    <w:rsid w:val="006D5653"/>
    <w:rsid w:val="006D5757"/>
    <w:rsid w:val="006D584B"/>
    <w:rsid w:val="006D58E4"/>
    <w:rsid w:val="006D5929"/>
    <w:rsid w:val="006D599D"/>
    <w:rsid w:val="006D5A5C"/>
    <w:rsid w:val="006D5A5E"/>
    <w:rsid w:val="006D5A70"/>
    <w:rsid w:val="006D5AF7"/>
    <w:rsid w:val="006D5DF7"/>
    <w:rsid w:val="006D61B8"/>
    <w:rsid w:val="006D61C5"/>
    <w:rsid w:val="006D6564"/>
    <w:rsid w:val="006D65BA"/>
    <w:rsid w:val="006D660C"/>
    <w:rsid w:val="006D662D"/>
    <w:rsid w:val="006D67B4"/>
    <w:rsid w:val="006D68AF"/>
    <w:rsid w:val="006D6917"/>
    <w:rsid w:val="006D6A4E"/>
    <w:rsid w:val="006D6AC1"/>
    <w:rsid w:val="006D6B26"/>
    <w:rsid w:val="006D6C4E"/>
    <w:rsid w:val="006D6D4D"/>
    <w:rsid w:val="006D6DA8"/>
    <w:rsid w:val="006D6DFF"/>
    <w:rsid w:val="006D6E69"/>
    <w:rsid w:val="006D6F1B"/>
    <w:rsid w:val="006D70FB"/>
    <w:rsid w:val="006D7130"/>
    <w:rsid w:val="006D72C7"/>
    <w:rsid w:val="006D73B9"/>
    <w:rsid w:val="006D7561"/>
    <w:rsid w:val="006D773A"/>
    <w:rsid w:val="006D7747"/>
    <w:rsid w:val="006D77A5"/>
    <w:rsid w:val="006D78B9"/>
    <w:rsid w:val="006D78C2"/>
    <w:rsid w:val="006D793E"/>
    <w:rsid w:val="006D7B1F"/>
    <w:rsid w:val="006D7BA2"/>
    <w:rsid w:val="006D7C23"/>
    <w:rsid w:val="006D7D35"/>
    <w:rsid w:val="006D7DE0"/>
    <w:rsid w:val="006D7E2C"/>
    <w:rsid w:val="006D7F60"/>
    <w:rsid w:val="006D7F75"/>
    <w:rsid w:val="006D883F"/>
    <w:rsid w:val="006E0015"/>
    <w:rsid w:val="006E0055"/>
    <w:rsid w:val="006E0163"/>
    <w:rsid w:val="006E0164"/>
    <w:rsid w:val="006E016F"/>
    <w:rsid w:val="006E018D"/>
    <w:rsid w:val="006E02DA"/>
    <w:rsid w:val="006E0358"/>
    <w:rsid w:val="006E04AF"/>
    <w:rsid w:val="006E0651"/>
    <w:rsid w:val="006E0748"/>
    <w:rsid w:val="006E07B9"/>
    <w:rsid w:val="006E0843"/>
    <w:rsid w:val="006E088E"/>
    <w:rsid w:val="006E08CD"/>
    <w:rsid w:val="006E09F7"/>
    <w:rsid w:val="006E0A23"/>
    <w:rsid w:val="006E0BDC"/>
    <w:rsid w:val="006E0C63"/>
    <w:rsid w:val="006E0D10"/>
    <w:rsid w:val="006E0DA0"/>
    <w:rsid w:val="006E0E29"/>
    <w:rsid w:val="006E0F44"/>
    <w:rsid w:val="006E1002"/>
    <w:rsid w:val="006E101D"/>
    <w:rsid w:val="006E10D6"/>
    <w:rsid w:val="006E117F"/>
    <w:rsid w:val="006E11B6"/>
    <w:rsid w:val="006E11C2"/>
    <w:rsid w:val="006E11DB"/>
    <w:rsid w:val="006E139E"/>
    <w:rsid w:val="006E13D2"/>
    <w:rsid w:val="006E1421"/>
    <w:rsid w:val="006E1495"/>
    <w:rsid w:val="006E16E7"/>
    <w:rsid w:val="006E16E9"/>
    <w:rsid w:val="006E1772"/>
    <w:rsid w:val="006E1794"/>
    <w:rsid w:val="006E17B1"/>
    <w:rsid w:val="006E17E3"/>
    <w:rsid w:val="006E1802"/>
    <w:rsid w:val="006E1953"/>
    <w:rsid w:val="006E1A91"/>
    <w:rsid w:val="006E1ABD"/>
    <w:rsid w:val="006E1B14"/>
    <w:rsid w:val="006E1B21"/>
    <w:rsid w:val="006E1BC6"/>
    <w:rsid w:val="006E1BC8"/>
    <w:rsid w:val="006E1C37"/>
    <w:rsid w:val="006E1DF9"/>
    <w:rsid w:val="006E1E15"/>
    <w:rsid w:val="006E1FA2"/>
    <w:rsid w:val="006E2067"/>
    <w:rsid w:val="006E207D"/>
    <w:rsid w:val="006E218C"/>
    <w:rsid w:val="006E22E2"/>
    <w:rsid w:val="006E23CD"/>
    <w:rsid w:val="006E240D"/>
    <w:rsid w:val="006E24F8"/>
    <w:rsid w:val="006E256F"/>
    <w:rsid w:val="006E262E"/>
    <w:rsid w:val="006E2679"/>
    <w:rsid w:val="006E278D"/>
    <w:rsid w:val="006E2893"/>
    <w:rsid w:val="006E28CB"/>
    <w:rsid w:val="006E28EC"/>
    <w:rsid w:val="006E2A40"/>
    <w:rsid w:val="006E2C04"/>
    <w:rsid w:val="006E2F4A"/>
    <w:rsid w:val="006E2F4E"/>
    <w:rsid w:val="006E2FD2"/>
    <w:rsid w:val="006E3159"/>
    <w:rsid w:val="006E31B9"/>
    <w:rsid w:val="006E3213"/>
    <w:rsid w:val="006E34DB"/>
    <w:rsid w:val="006E3536"/>
    <w:rsid w:val="006E3597"/>
    <w:rsid w:val="006E3673"/>
    <w:rsid w:val="006E37FA"/>
    <w:rsid w:val="006E3884"/>
    <w:rsid w:val="006E3912"/>
    <w:rsid w:val="006E3A6F"/>
    <w:rsid w:val="006E3B7B"/>
    <w:rsid w:val="006E3BDA"/>
    <w:rsid w:val="006E3DAA"/>
    <w:rsid w:val="006E3F23"/>
    <w:rsid w:val="006E404B"/>
    <w:rsid w:val="006E41B4"/>
    <w:rsid w:val="006E4263"/>
    <w:rsid w:val="006E43B5"/>
    <w:rsid w:val="006E458A"/>
    <w:rsid w:val="006E4609"/>
    <w:rsid w:val="006E4632"/>
    <w:rsid w:val="006E468A"/>
    <w:rsid w:val="006E4767"/>
    <w:rsid w:val="006E487C"/>
    <w:rsid w:val="006E4AB1"/>
    <w:rsid w:val="006E4B83"/>
    <w:rsid w:val="006E4CF4"/>
    <w:rsid w:val="006E4DDC"/>
    <w:rsid w:val="006E4EB6"/>
    <w:rsid w:val="006E4ED6"/>
    <w:rsid w:val="006E4F55"/>
    <w:rsid w:val="006E5022"/>
    <w:rsid w:val="006E511B"/>
    <w:rsid w:val="006E514F"/>
    <w:rsid w:val="006E51D6"/>
    <w:rsid w:val="006E53DC"/>
    <w:rsid w:val="006E5532"/>
    <w:rsid w:val="006E572A"/>
    <w:rsid w:val="006E584D"/>
    <w:rsid w:val="006E5890"/>
    <w:rsid w:val="006E58C1"/>
    <w:rsid w:val="006E58F0"/>
    <w:rsid w:val="006E5A79"/>
    <w:rsid w:val="006E5D07"/>
    <w:rsid w:val="006E5DD1"/>
    <w:rsid w:val="006E5E26"/>
    <w:rsid w:val="006E5EFA"/>
    <w:rsid w:val="006E5FF3"/>
    <w:rsid w:val="006E603F"/>
    <w:rsid w:val="006E6063"/>
    <w:rsid w:val="006E6092"/>
    <w:rsid w:val="006E60DB"/>
    <w:rsid w:val="006E615D"/>
    <w:rsid w:val="006E62B1"/>
    <w:rsid w:val="006E62F5"/>
    <w:rsid w:val="006E64C7"/>
    <w:rsid w:val="006E650D"/>
    <w:rsid w:val="006E65DB"/>
    <w:rsid w:val="006E6641"/>
    <w:rsid w:val="006E66CA"/>
    <w:rsid w:val="006E6738"/>
    <w:rsid w:val="006E67CD"/>
    <w:rsid w:val="006E6A96"/>
    <w:rsid w:val="006E6B86"/>
    <w:rsid w:val="006E6C20"/>
    <w:rsid w:val="006E6D6F"/>
    <w:rsid w:val="006E6E72"/>
    <w:rsid w:val="006E6F2A"/>
    <w:rsid w:val="006E6F59"/>
    <w:rsid w:val="006E705E"/>
    <w:rsid w:val="006E70A7"/>
    <w:rsid w:val="006E71D5"/>
    <w:rsid w:val="006E7228"/>
    <w:rsid w:val="006E7304"/>
    <w:rsid w:val="006E73B4"/>
    <w:rsid w:val="006E73E3"/>
    <w:rsid w:val="006E7632"/>
    <w:rsid w:val="006E7661"/>
    <w:rsid w:val="006E7756"/>
    <w:rsid w:val="006E7780"/>
    <w:rsid w:val="006E779D"/>
    <w:rsid w:val="006E784D"/>
    <w:rsid w:val="006E7AC6"/>
    <w:rsid w:val="006E7BA7"/>
    <w:rsid w:val="006E7D2A"/>
    <w:rsid w:val="006E7E83"/>
    <w:rsid w:val="006E7FD3"/>
    <w:rsid w:val="006F008E"/>
    <w:rsid w:val="006F009A"/>
    <w:rsid w:val="006F0187"/>
    <w:rsid w:val="006F01C1"/>
    <w:rsid w:val="006F01D9"/>
    <w:rsid w:val="006F01DE"/>
    <w:rsid w:val="006F02ED"/>
    <w:rsid w:val="006F0532"/>
    <w:rsid w:val="006F0696"/>
    <w:rsid w:val="006F0725"/>
    <w:rsid w:val="006F072E"/>
    <w:rsid w:val="006F0819"/>
    <w:rsid w:val="006F0872"/>
    <w:rsid w:val="006F08C0"/>
    <w:rsid w:val="006F09FC"/>
    <w:rsid w:val="006F0A6A"/>
    <w:rsid w:val="006F0BDB"/>
    <w:rsid w:val="006F0C01"/>
    <w:rsid w:val="006F0C05"/>
    <w:rsid w:val="006F10B6"/>
    <w:rsid w:val="006F10D3"/>
    <w:rsid w:val="006F1187"/>
    <w:rsid w:val="006F1257"/>
    <w:rsid w:val="006F12AF"/>
    <w:rsid w:val="006F12B7"/>
    <w:rsid w:val="006F133A"/>
    <w:rsid w:val="006F13BB"/>
    <w:rsid w:val="006F14D0"/>
    <w:rsid w:val="006F1581"/>
    <w:rsid w:val="006F1614"/>
    <w:rsid w:val="006F17D1"/>
    <w:rsid w:val="006F181B"/>
    <w:rsid w:val="006F194D"/>
    <w:rsid w:val="006F1CF1"/>
    <w:rsid w:val="006F1E08"/>
    <w:rsid w:val="006F1E4F"/>
    <w:rsid w:val="006F1F19"/>
    <w:rsid w:val="006F1F9B"/>
    <w:rsid w:val="006F1FE8"/>
    <w:rsid w:val="006F204C"/>
    <w:rsid w:val="006F22D4"/>
    <w:rsid w:val="006F240C"/>
    <w:rsid w:val="006F24BC"/>
    <w:rsid w:val="006F2541"/>
    <w:rsid w:val="006F2689"/>
    <w:rsid w:val="006F279A"/>
    <w:rsid w:val="006F29AC"/>
    <w:rsid w:val="006F29DE"/>
    <w:rsid w:val="006F2A39"/>
    <w:rsid w:val="006F2AB2"/>
    <w:rsid w:val="006F2B66"/>
    <w:rsid w:val="006F2C7B"/>
    <w:rsid w:val="006F2D1F"/>
    <w:rsid w:val="006F2E04"/>
    <w:rsid w:val="006F2F20"/>
    <w:rsid w:val="006F3190"/>
    <w:rsid w:val="006F322B"/>
    <w:rsid w:val="006F333E"/>
    <w:rsid w:val="006F3566"/>
    <w:rsid w:val="006F359B"/>
    <w:rsid w:val="006F35D5"/>
    <w:rsid w:val="006F36A9"/>
    <w:rsid w:val="006F36E1"/>
    <w:rsid w:val="006F3713"/>
    <w:rsid w:val="006F3797"/>
    <w:rsid w:val="006F3C39"/>
    <w:rsid w:val="006F3CF8"/>
    <w:rsid w:val="006F3E17"/>
    <w:rsid w:val="006F3E52"/>
    <w:rsid w:val="006F3EDE"/>
    <w:rsid w:val="006F4333"/>
    <w:rsid w:val="006F4541"/>
    <w:rsid w:val="006F459D"/>
    <w:rsid w:val="006F46B2"/>
    <w:rsid w:val="006F46BE"/>
    <w:rsid w:val="006F46FB"/>
    <w:rsid w:val="006F48C3"/>
    <w:rsid w:val="006F4908"/>
    <w:rsid w:val="006F4A20"/>
    <w:rsid w:val="006F4B63"/>
    <w:rsid w:val="006F4C19"/>
    <w:rsid w:val="006F4D8C"/>
    <w:rsid w:val="006F4EA5"/>
    <w:rsid w:val="006F4FAF"/>
    <w:rsid w:val="006F5492"/>
    <w:rsid w:val="006F5496"/>
    <w:rsid w:val="006F54B6"/>
    <w:rsid w:val="006F551E"/>
    <w:rsid w:val="006F5599"/>
    <w:rsid w:val="006F567F"/>
    <w:rsid w:val="006F57D1"/>
    <w:rsid w:val="006F586F"/>
    <w:rsid w:val="006F58D0"/>
    <w:rsid w:val="006F5972"/>
    <w:rsid w:val="006F5BB1"/>
    <w:rsid w:val="006F5D80"/>
    <w:rsid w:val="006F5EE8"/>
    <w:rsid w:val="006F60E2"/>
    <w:rsid w:val="006F61A6"/>
    <w:rsid w:val="006F6230"/>
    <w:rsid w:val="006F623C"/>
    <w:rsid w:val="006F645D"/>
    <w:rsid w:val="006F6479"/>
    <w:rsid w:val="006F6655"/>
    <w:rsid w:val="006F678E"/>
    <w:rsid w:val="006F6912"/>
    <w:rsid w:val="006F6943"/>
    <w:rsid w:val="006F6AD4"/>
    <w:rsid w:val="006F6BA5"/>
    <w:rsid w:val="006F6D05"/>
    <w:rsid w:val="006F6D4E"/>
    <w:rsid w:val="006F6DA1"/>
    <w:rsid w:val="006F6EDE"/>
    <w:rsid w:val="006F7035"/>
    <w:rsid w:val="006F708E"/>
    <w:rsid w:val="006F714E"/>
    <w:rsid w:val="006F7271"/>
    <w:rsid w:val="006F73FA"/>
    <w:rsid w:val="006F7425"/>
    <w:rsid w:val="006F7555"/>
    <w:rsid w:val="006F770D"/>
    <w:rsid w:val="006F78CA"/>
    <w:rsid w:val="006F78EA"/>
    <w:rsid w:val="006F78F3"/>
    <w:rsid w:val="006F78F4"/>
    <w:rsid w:val="006F7A1F"/>
    <w:rsid w:val="006F7CF4"/>
    <w:rsid w:val="006F7D14"/>
    <w:rsid w:val="006F7D5E"/>
    <w:rsid w:val="006F7D91"/>
    <w:rsid w:val="006F7DCC"/>
    <w:rsid w:val="006F7DF4"/>
    <w:rsid w:val="006F7F58"/>
    <w:rsid w:val="006F7FF3"/>
    <w:rsid w:val="00700007"/>
    <w:rsid w:val="0070011B"/>
    <w:rsid w:val="0070016F"/>
    <w:rsid w:val="007001BD"/>
    <w:rsid w:val="00700391"/>
    <w:rsid w:val="00700497"/>
    <w:rsid w:val="007004A1"/>
    <w:rsid w:val="00700520"/>
    <w:rsid w:val="00700584"/>
    <w:rsid w:val="00700665"/>
    <w:rsid w:val="00700688"/>
    <w:rsid w:val="007007CE"/>
    <w:rsid w:val="007007F1"/>
    <w:rsid w:val="00700922"/>
    <w:rsid w:val="00700937"/>
    <w:rsid w:val="00700A3C"/>
    <w:rsid w:val="00700A7C"/>
    <w:rsid w:val="00700B78"/>
    <w:rsid w:val="00700BCF"/>
    <w:rsid w:val="00700BD2"/>
    <w:rsid w:val="00700BFB"/>
    <w:rsid w:val="00700C4B"/>
    <w:rsid w:val="00700CBD"/>
    <w:rsid w:val="00700D86"/>
    <w:rsid w:val="00700DC9"/>
    <w:rsid w:val="00700F8C"/>
    <w:rsid w:val="007010A1"/>
    <w:rsid w:val="007010B9"/>
    <w:rsid w:val="007011D5"/>
    <w:rsid w:val="0070121F"/>
    <w:rsid w:val="007012A0"/>
    <w:rsid w:val="007012B7"/>
    <w:rsid w:val="007014A1"/>
    <w:rsid w:val="0070150A"/>
    <w:rsid w:val="0070152B"/>
    <w:rsid w:val="00701567"/>
    <w:rsid w:val="007015BD"/>
    <w:rsid w:val="0070177B"/>
    <w:rsid w:val="007017AD"/>
    <w:rsid w:val="0070181A"/>
    <w:rsid w:val="00701830"/>
    <w:rsid w:val="00701879"/>
    <w:rsid w:val="00701884"/>
    <w:rsid w:val="00701902"/>
    <w:rsid w:val="00701922"/>
    <w:rsid w:val="00701B0E"/>
    <w:rsid w:val="00701C0A"/>
    <w:rsid w:val="00701C63"/>
    <w:rsid w:val="00701CD1"/>
    <w:rsid w:val="00701E47"/>
    <w:rsid w:val="00701E6F"/>
    <w:rsid w:val="00701EE2"/>
    <w:rsid w:val="00701F3A"/>
    <w:rsid w:val="00701F8C"/>
    <w:rsid w:val="0070209F"/>
    <w:rsid w:val="007021B6"/>
    <w:rsid w:val="0070243B"/>
    <w:rsid w:val="00702560"/>
    <w:rsid w:val="00702626"/>
    <w:rsid w:val="007028DE"/>
    <w:rsid w:val="00702ABB"/>
    <w:rsid w:val="00702AE5"/>
    <w:rsid w:val="00702AE9"/>
    <w:rsid w:val="00702CE5"/>
    <w:rsid w:val="00702D42"/>
    <w:rsid w:val="00702E0A"/>
    <w:rsid w:val="00702E98"/>
    <w:rsid w:val="00702EC7"/>
    <w:rsid w:val="00702F26"/>
    <w:rsid w:val="00703018"/>
    <w:rsid w:val="00703078"/>
    <w:rsid w:val="007032C1"/>
    <w:rsid w:val="00703448"/>
    <w:rsid w:val="00703648"/>
    <w:rsid w:val="0070378E"/>
    <w:rsid w:val="007038D4"/>
    <w:rsid w:val="007038EF"/>
    <w:rsid w:val="00703949"/>
    <w:rsid w:val="00703950"/>
    <w:rsid w:val="00703984"/>
    <w:rsid w:val="00703A1F"/>
    <w:rsid w:val="00703B1A"/>
    <w:rsid w:val="00703B21"/>
    <w:rsid w:val="00703B29"/>
    <w:rsid w:val="00703BA9"/>
    <w:rsid w:val="00703D61"/>
    <w:rsid w:val="00703DBC"/>
    <w:rsid w:val="00703DCE"/>
    <w:rsid w:val="00703F4D"/>
    <w:rsid w:val="00703FED"/>
    <w:rsid w:val="007040F4"/>
    <w:rsid w:val="007042F2"/>
    <w:rsid w:val="0070437B"/>
    <w:rsid w:val="007043FC"/>
    <w:rsid w:val="00704435"/>
    <w:rsid w:val="0070449F"/>
    <w:rsid w:val="0070454B"/>
    <w:rsid w:val="00704579"/>
    <w:rsid w:val="007045EC"/>
    <w:rsid w:val="00704672"/>
    <w:rsid w:val="007046D6"/>
    <w:rsid w:val="007048AC"/>
    <w:rsid w:val="007048C2"/>
    <w:rsid w:val="007048D1"/>
    <w:rsid w:val="00704B20"/>
    <w:rsid w:val="00704C0F"/>
    <w:rsid w:val="00704C72"/>
    <w:rsid w:val="00704CED"/>
    <w:rsid w:val="00704FF6"/>
    <w:rsid w:val="0070514C"/>
    <w:rsid w:val="007052B7"/>
    <w:rsid w:val="007052D2"/>
    <w:rsid w:val="0070530F"/>
    <w:rsid w:val="0070542F"/>
    <w:rsid w:val="00705678"/>
    <w:rsid w:val="0070567E"/>
    <w:rsid w:val="0070577E"/>
    <w:rsid w:val="00705800"/>
    <w:rsid w:val="007058D4"/>
    <w:rsid w:val="007058FC"/>
    <w:rsid w:val="00705B1B"/>
    <w:rsid w:val="00705C49"/>
    <w:rsid w:val="00705C77"/>
    <w:rsid w:val="00705D53"/>
    <w:rsid w:val="00705DF0"/>
    <w:rsid w:val="00705E04"/>
    <w:rsid w:val="00705E32"/>
    <w:rsid w:val="00705F88"/>
    <w:rsid w:val="00705F9B"/>
    <w:rsid w:val="00705FB5"/>
    <w:rsid w:val="00706043"/>
    <w:rsid w:val="007060ED"/>
    <w:rsid w:val="00706104"/>
    <w:rsid w:val="00706138"/>
    <w:rsid w:val="00706306"/>
    <w:rsid w:val="00706464"/>
    <w:rsid w:val="007064E4"/>
    <w:rsid w:val="0070671C"/>
    <w:rsid w:val="0070678D"/>
    <w:rsid w:val="0070680C"/>
    <w:rsid w:val="007068E9"/>
    <w:rsid w:val="007069EF"/>
    <w:rsid w:val="00706A71"/>
    <w:rsid w:val="00706AF9"/>
    <w:rsid w:val="00706C92"/>
    <w:rsid w:val="00706DB7"/>
    <w:rsid w:val="00706FF4"/>
    <w:rsid w:val="00707173"/>
    <w:rsid w:val="00707269"/>
    <w:rsid w:val="0070726C"/>
    <w:rsid w:val="0070748C"/>
    <w:rsid w:val="00707512"/>
    <w:rsid w:val="0070769F"/>
    <w:rsid w:val="0070772D"/>
    <w:rsid w:val="00707805"/>
    <w:rsid w:val="00707821"/>
    <w:rsid w:val="007079AC"/>
    <w:rsid w:val="00707A24"/>
    <w:rsid w:val="00707B54"/>
    <w:rsid w:val="00707D0E"/>
    <w:rsid w:val="00710071"/>
    <w:rsid w:val="00710074"/>
    <w:rsid w:val="0071011F"/>
    <w:rsid w:val="00710207"/>
    <w:rsid w:val="00710455"/>
    <w:rsid w:val="0071049F"/>
    <w:rsid w:val="00710550"/>
    <w:rsid w:val="007106F0"/>
    <w:rsid w:val="00710728"/>
    <w:rsid w:val="0071079C"/>
    <w:rsid w:val="0071080B"/>
    <w:rsid w:val="0071080C"/>
    <w:rsid w:val="0071082A"/>
    <w:rsid w:val="00710966"/>
    <w:rsid w:val="00710BC3"/>
    <w:rsid w:val="00710C56"/>
    <w:rsid w:val="00710C5F"/>
    <w:rsid w:val="00710CD4"/>
    <w:rsid w:val="00710CFC"/>
    <w:rsid w:val="00710D61"/>
    <w:rsid w:val="00710D79"/>
    <w:rsid w:val="00710E0A"/>
    <w:rsid w:val="00710E0B"/>
    <w:rsid w:val="00710F3C"/>
    <w:rsid w:val="00710FC2"/>
    <w:rsid w:val="00711090"/>
    <w:rsid w:val="007110B4"/>
    <w:rsid w:val="00711288"/>
    <w:rsid w:val="00711310"/>
    <w:rsid w:val="00711319"/>
    <w:rsid w:val="007114C2"/>
    <w:rsid w:val="007114CD"/>
    <w:rsid w:val="007114F9"/>
    <w:rsid w:val="00711649"/>
    <w:rsid w:val="00711658"/>
    <w:rsid w:val="00711691"/>
    <w:rsid w:val="007117FF"/>
    <w:rsid w:val="00711876"/>
    <w:rsid w:val="007118ED"/>
    <w:rsid w:val="007119F0"/>
    <w:rsid w:val="00711B73"/>
    <w:rsid w:val="00711BE0"/>
    <w:rsid w:val="00711C11"/>
    <w:rsid w:val="00711C68"/>
    <w:rsid w:val="00711D9A"/>
    <w:rsid w:val="00711E4B"/>
    <w:rsid w:val="00711F83"/>
    <w:rsid w:val="00712075"/>
    <w:rsid w:val="007120D9"/>
    <w:rsid w:val="0071217E"/>
    <w:rsid w:val="00712297"/>
    <w:rsid w:val="00712446"/>
    <w:rsid w:val="00712586"/>
    <w:rsid w:val="0071264B"/>
    <w:rsid w:val="007126D6"/>
    <w:rsid w:val="00712760"/>
    <w:rsid w:val="0071287E"/>
    <w:rsid w:val="007128CD"/>
    <w:rsid w:val="0071292A"/>
    <w:rsid w:val="00712985"/>
    <w:rsid w:val="00712A6C"/>
    <w:rsid w:val="00712EC6"/>
    <w:rsid w:val="00712F37"/>
    <w:rsid w:val="00712F64"/>
    <w:rsid w:val="00712FC9"/>
    <w:rsid w:val="00712FCB"/>
    <w:rsid w:val="00713309"/>
    <w:rsid w:val="0071340C"/>
    <w:rsid w:val="00713683"/>
    <w:rsid w:val="00713722"/>
    <w:rsid w:val="00713764"/>
    <w:rsid w:val="007137FC"/>
    <w:rsid w:val="0071385C"/>
    <w:rsid w:val="00713944"/>
    <w:rsid w:val="00713971"/>
    <w:rsid w:val="007139C2"/>
    <w:rsid w:val="00713A06"/>
    <w:rsid w:val="00713ADA"/>
    <w:rsid w:val="00713B16"/>
    <w:rsid w:val="00713C68"/>
    <w:rsid w:val="00713CD6"/>
    <w:rsid w:val="00713DE1"/>
    <w:rsid w:val="00714042"/>
    <w:rsid w:val="0071415B"/>
    <w:rsid w:val="0071419C"/>
    <w:rsid w:val="007143C8"/>
    <w:rsid w:val="00714488"/>
    <w:rsid w:val="00714581"/>
    <w:rsid w:val="007145F2"/>
    <w:rsid w:val="007145F8"/>
    <w:rsid w:val="00714670"/>
    <w:rsid w:val="007147DE"/>
    <w:rsid w:val="0071480D"/>
    <w:rsid w:val="00714866"/>
    <w:rsid w:val="007148B4"/>
    <w:rsid w:val="00714923"/>
    <w:rsid w:val="0071492C"/>
    <w:rsid w:val="00714998"/>
    <w:rsid w:val="007149EA"/>
    <w:rsid w:val="00714A2C"/>
    <w:rsid w:val="00714A89"/>
    <w:rsid w:val="00714B5B"/>
    <w:rsid w:val="00714BBA"/>
    <w:rsid w:val="00714BEF"/>
    <w:rsid w:val="00714C92"/>
    <w:rsid w:val="00714D51"/>
    <w:rsid w:val="0071502B"/>
    <w:rsid w:val="007150E7"/>
    <w:rsid w:val="00715129"/>
    <w:rsid w:val="007152C6"/>
    <w:rsid w:val="007152E3"/>
    <w:rsid w:val="0071532E"/>
    <w:rsid w:val="007153E1"/>
    <w:rsid w:val="00715545"/>
    <w:rsid w:val="00715580"/>
    <w:rsid w:val="0071574F"/>
    <w:rsid w:val="00715819"/>
    <w:rsid w:val="0071581A"/>
    <w:rsid w:val="007158B1"/>
    <w:rsid w:val="007158DF"/>
    <w:rsid w:val="007159CE"/>
    <w:rsid w:val="007159FF"/>
    <w:rsid w:val="00715A81"/>
    <w:rsid w:val="00715AF4"/>
    <w:rsid w:val="00715B3C"/>
    <w:rsid w:val="00715BF7"/>
    <w:rsid w:val="00715C3D"/>
    <w:rsid w:val="00715CC1"/>
    <w:rsid w:val="00715D04"/>
    <w:rsid w:val="00715E49"/>
    <w:rsid w:val="00715E6E"/>
    <w:rsid w:val="00715EB2"/>
    <w:rsid w:val="00715F0C"/>
    <w:rsid w:val="00715F68"/>
    <w:rsid w:val="00715FC3"/>
    <w:rsid w:val="00716132"/>
    <w:rsid w:val="007161DF"/>
    <w:rsid w:val="00716208"/>
    <w:rsid w:val="00716227"/>
    <w:rsid w:val="007162BD"/>
    <w:rsid w:val="0071634F"/>
    <w:rsid w:val="00716627"/>
    <w:rsid w:val="00716705"/>
    <w:rsid w:val="0071692B"/>
    <w:rsid w:val="00716977"/>
    <w:rsid w:val="00716A19"/>
    <w:rsid w:val="00716A2D"/>
    <w:rsid w:val="00717142"/>
    <w:rsid w:val="007171E1"/>
    <w:rsid w:val="007172B6"/>
    <w:rsid w:val="007172DA"/>
    <w:rsid w:val="007172EF"/>
    <w:rsid w:val="00717364"/>
    <w:rsid w:val="0071739A"/>
    <w:rsid w:val="007174EC"/>
    <w:rsid w:val="00717596"/>
    <w:rsid w:val="007175F7"/>
    <w:rsid w:val="00717658"/>
    <w:rsid w:val="00717882"/>
    <w:rsid w:val="007178B7"/>
    <w:rsid w:val="00717922"/>
    <w:rsid w:val="00717937"/>
    <w:rsid w:val="0071796A"/>
    <w:rsid w:val="007179AF"/>
    <w:rsid w:val="00717A22"/>
    <w:rsid w:val="00717BBD"/>
    <w:rsid w:val="00717C81"/>
    <w:rsid w:val="00717EF1"/>
    <w:rsid w:val="007200C6"/>
    <w:rsid w:val="00720202"/>
    <w:rsid w:val="00720245"/>
    <w:rsid w:val="00720369"/>
    <w:rsid w:val="00720383"/>
    <w:rsid w:val="007203B1"/>
    <w:rsid w:val="00720575"/>
    <w:rsid w:val="007205AB"/>
    <w:rsid w:val="007205F9"/>
    <w:rsid w:val="0072068F"/>
    <w:rsid w:val="00720723"/>
    <w:rsid w:val="00720869"/>
    <w:rsid w:val="007208B1"/>
    <w:rsid w:val="00720913"/>
    <w:rsid w:val="0072095C"/>
    <w:rsid w:val="00720A6C"/>
    <w:rsid w:val="00720B5C"/>
    <w:rsid w:val="00720B6E"/>
    <w:rsid w:val="00720BC1"/>
    <w:rsid w:val="00720BFB"/>
    <w:rsid w:val="00720CE1"/>
    <w:rsid w:val="00720CF9"/>
    <w:rsid w:val="00720D25"/>
    <w:rsid w:val="0072107D"/>
    <w:rsid w:val="00721323"/>
    <w:rsid w:val="007215DF"/>
    <w:rsid w:val="007215E9"/>
    <w:rsid w:val="007216D4"/>
    <w:rsid w:val="007216FF"/>
    <w:rsid w:val="0072181F"/>
    <w:rsid w:val="00721870"/>
    <w:rsid w:val="007218B3"/>
    <w:rsid w:val="00721A67"/>
    <w:rsid w:val="00721B2B"/>
    <w:rsid w:val="00721B45"/>
    <w:rsid w:val="00721D7F"/>
    <w:rsid w:val="00721EA2"/>
    <w:rsid w:val="00721FA6"/>
    <w:rsid w:val="00722057"/>
    <w:rsid w:val="0072206A"/>
    <w:rsid w:val="0072218C"/>
    <w:rsid w:val="007222C8"/>
    <w:rsid w:val="007222F2"/>
    <w:rsid w:val="0072238F"/>
    <w:rsid w:val="007224C3"/>
    <w:rsid w:val="007224F7"/>
    <w:rsid w:val="00722502"/>
    <w:rsid w:val="00722673"/>
    <w:rsid w:val="007226D9"/>
    <w:rsid w:val="007226DA"/>
    <w:rsid w:val="00722720"/>
    <w:rsid w:val="00722742"/>
    <w:rsid w:val="00722745"/>
    <w:rsid w:val="00722822"/>
    <w:rsid w:val="0072288E"/>
    <w:rsid w:val="007228A3"/>
    <w:rsid w:val="007229D6"/>
    <w:rsid w:val="00722AE5"/>
    <w:rsid w:val="00722B8F"/>
    <w:rsid w:val="00722BCE"/>
    <w:rsid w:val="00722CA9"/>
    <w:rsid w:val="00722D08"/>
    <w:rsid w:val="00722E00"/>
    <w:rsid w:val="00722E1F"/>
    <w:rsid w:val="00722E27"/>
    <w:rsid w:val="00722E98"/>
    <w:rsid w:val="0072308A"/>
    <w:rsid w:val="007231E6"/>
    <w:rsid w:val="007232F8"/>
    <w:rsid w:val="0072342F"/>
    <w:rsid w:val="0072346A"/>
    <w:rsid w:val="00723629"/>
    <w:rsid w:val="007236FE"/>
    <w:rsid w:val="00723767"/>
    <w:rsid w:val="007237AA"/>
    <w:rsid w:val="007237CD"/>
    <w:rsid w:val="00723802"/>
    <w:rsid w:val="0072384B"/>
    <w:rsid w:val="0072396B"/>
    <w:rsid w:val="00723A68"/>
    <w:rsid w:val="00723DD1"/>
    <w:rsid w:val="00723DFC"/>
    <w:rsid w:val="00723E98"/>
    <w:rsid w:val="0072403B"/>
    <w:rsid w:val="0072416C"/>
    <w:rsid w:val="007242C8"/>
    <w:rsid w:val="007242CA"/>
    <w:rsid w:val="007243C6"/>
    <w:rsid w:val="007243DF"/>
    <w:rsid w:val="007243F4"/>
    <w:rsid w:val="0072455F"/>
    <w:rsid w:val="0072466F"/>
    <w:rsid w:val="00724688"/>
    <w:rsid w:val="007246BF"/>
    <w:rsid w:val="0072471B"/>
    <w:rsid w:val="00724741"/>
    <w:rsid w:val="00724783"/>
    <w:rsid w:val="007248F3"/>
    <w:rsid w:val="00724AD5"/>
    <w:rsid w:val="00724B8D"/>
    <w:rsid w:val="00724C24"/>
    <w:rsid w:val="00724C79"/>
    <w:rsid w:val="00724CBE"/>
    <w:rsid w:val="00724DD5"/>
    <w:rsid w:val="00724F16"/>
    <w:rsid w:val="0072502F"/>
    <w:rsid w:val="00725146"/>
    <w:rsid w:val="00725415"/>
    <w:rsid w:val="00725426"/>
    <w:rsid w:val="00725483"/>
    <w:rsid w:val="007255E9"/>
    <w:rsid w:val="00725674"/>
    <w:rsid w:val="00725722"/>
    <w:rsid w:val="00725743"/>
    <w:rsid w:val="00725797"/>
    <w:rsid w:val="007257CE"/>
    <w:rsid w:val="0072583D"/>
    <w:rsid w:val="00725852"/>
    <w:rsid w:val="0072587B"/>
    <w:rsid w:val="00725975"/>
    <w:rsid w:val="00725BC4"/>
    <w:rsid w:val="00725BE2"/>
    <w:rsid w:val="00725F27"/>
    <w:rsid w:val="00725F51"/>
    <w:rsid w:val="0072600E"/>
    <w:rsid w:val="0072601D"/>
    <w:rsid w:val="007260DD"/>
    <w:rsid w:val="00726244"/>
    <w:rsid w:val="007262AF"/>
    <w:rsid w:val="007262F7"/>
    <w:rsid w:val="007263FA"/>
    <w:rsid w:val="0072651E"/>
    <w:rsid w:val="0072654E"/>
    <w:rsid w:val="007265B9"/>
    <w:rsid w:val="0072662C"/>
    <w:rsid w:val="0072669E"/>
    <w:rsid w:val="007266BB"/>
    <w:rsid w:val="007268EB"/>
    <w:rsid w:val="00726915"/>
    <w:rsid w:val="00726ADA"/>
    <w:rsid w:val="00726B63"/>
    <w:rsid w:val="00726B84"/>
    <w:rsid w:val="00726D0F"/>
    <w:rsid w:val="00726D48"/>
    <w:rsid w:val="00726E56"/>
    <w:rsid w:val="00726E7F"/>
    <w:rsid w:val="00726F81"/>
    <w:rsid w:val="00727088"/>
    <w:rsid w:val="007271BB"/>
    <w:rsid w:val="0072725E"/>
    <w:rsid w:val="00727271"/>
    <w:rsid w:val="0072751F"/>
    <w:rsid w:val="00727521"/>
    <w:rsid w:val="00727663"/>
    <w:rsid w:val="0072784E"/>
    <w:rsid w:val="00727951"/>
    <w:rsid w:val="00727A24"/>
    <w:rsid w:val="00727A53"/>
    <w:rsid w:val="00727AA3"/>
    <w:rsid w:val="00727AEA"/>
    <w:rsid w:val="00727B7C"/>
    <w:rsid w:val="00727CF3"/>
    <w:rsid w:val="00727FB9"/>
    <w:rsid w:val="00730003"/>
    <w:rsid w:val="0073008C"/>
    <w:rsid w:val="007300AF"/>
    <w:rsid w:val="007301D4"/>
    <w:rsid w:val="007304B8"/>
    <w:rsid w:val="0073067C"/>
    <w:rsid w:val="007306EE"/>
    <w:rsid w:val="00730725"/>
    <w:rsid w:val="00730951"/>
    <w:rsid w:val="00730A4E"/>
    <w:rsid w:val="00730B2C"/>
    <w:rsid w:val="00730D8C"/>
    <w:rsid w:val="00730E2C"/>
    <w:rsid w:val="00730E6A"/>
    <w:rsid w:val="00730ECE"/>
    <w:rsid w:val="00730F6C"/>
    <w:rsid w:val="00730F80"/>
    <w:rsid w:val="0073110F"/>
    <w:rsid w:val="0073113B"/>
    <w:rsid w:val="00731248"/>
    <w:rsid w:val="0073125E"/>
    <w:rsid w:val="007314A8"/>
    <w:rsid w:val="007315A2"/>
    <w:rsid w:val="00731773"/>
    <w:rsid w:val="0073186B"/>
    <w:rsid w:val="00731909"/>
    <w:rsid w:val="0073191F"/>
    <w:rsid w:val="00731952"/>
    <w:rsid w:val="00731A60"/>
    <w:rsid w:val="00731B49"/>
    <w:rsid w:val="00731D23"/>
    <w:rsid w:val="00731EBB"/>
    <w:rsid w:val="00731FF3"/>
    <w:rsid w:val="00732045"/>
    <w:rsid w:val="007320B7"/>
    <w:rsid w:val="007320E0"/>
    <w:rsid w:val="007321F0"/>
    <w:rsid w:val="0073222F"/>
    <w:rsid w:val="00732238"/>
    <w:rsid w:val="00732245"/>
    <w:rsid w:val="0073241D"/>
    <w:rsid w:val="0073254D"/>
    <w:rsid w:val="00732571"/>
    <w:rsid w:val="00732632"/>
    <w:rsid w:val="007326AD"/>
    <w:rsid w:val="007326F9"/>
    <w:rsid w:val="00732726"/>
    <w:rsid w:val="00732746"/>
    <w:rsid w:val="00732791"/>
    <w:rsid w:val="00732931"/>
    <w:rsid w:val="00732A70"/>
    <w:rsid w:val="00732AB7"/>
    <w:rsid w:val="00732BE7"/>
    <w:rsid w:val="00732C2C"/>
    <w:rsid w:val="00732DED"/>
    <w:rsid w:val="00732E0F"/>
    <w:rsid w:val="00732F25"/>
    <w:rsid w:val="0073306B"/>
    <w:rsid w:val="007330C9"/>
    <w:rsid w:val="007331C4"/>
    <w:rsid w:val="0073320B"/>
    <w:rsid w:val="00733238"/>
    <w:rsid w:val="007334E6"/>
    <w:rsid w:val="00733593"/>
    <w:rsid w:val="007337E0"/>
    <w:rsid w:val="007338BB"/>
    <w:rsid w:val="00733A47"/>
    <w:rsid w:val="00733A75"/>
    <w:rsid w:val="00733AB7"/>
    <w:rsid w:val="00733BA6"/>
    <w:rsid w:val="00733C5C"/>
    <w:rsid w:val="00733CCF"/>
    <w:rsid w:val="00733DAF"/>
    <w:rsid w:val="00733DB4"/>
    <w:rsid w:val="00733EAA"/>
    <w:rsid w:val="00733F11"/>
    <w:rsid w:val="00733F97"/>
    <w:rsid w:val="00734000"/>
    <w:rsid w:val="00734006"/>
    <w:rsid w:val="007340EF"/>
    <w:rsid w:val="00734104"/>
    <w:rsid w:val="0073414F"/>
    <w:rsid w:val="00734294"/>
    <w:rsid w:val="007343D6"/>
    <w:rsid w:val="0073443F"/>
    <w:rsid w:val="00734493"/>
    <w:rsid w:val="007344BC"/>
    <w:rsid w:val="00734549"/>
    <w:rsid w:val="0073457B"/>
    <w:rsid w:val="00734595"/>
    <w:rsid w:val="00734627"/>
    <w:rsid w:val="00734781"/>
    <w:rsid w:val="00734823"/>
    <w:rsid w:val="00734879"/>
    <w:rsid w:val="00734962"/>
    <w:rsid w:val="007349C9"/>
    <w:rsid w:val="00734A11"/>
    <w:rsid w:val="00734A24"/>
    <w:rsid w:val="00734AD0"/>
    <w:rsid w:val="00734C89"/>
    <w:rsid w:val="00734EF1"/>
    <w:rsid w:val="00734FDB"/>
    <w:rsid w:val="00734FDF"/>
    <w:rsid w:val="007350BB"/>
    <w:rsid w:val="00735150"/>
    <w:rsid w:val="007351F0"/>
    <w:rsid w:val="0073523B"/>
    <w:rsid w:val="00735304"/>
    <w:rsid w:val="00735335"/>
    <w:rsid w:val="00735520"/>
    <w:rsid w:val="0073557C"/>
    <w:rsid w:val="00735711"/>
    <w:rsid w:val="00735717"/>
    <w:rsid w:val="00735792"/>
    <w:rsid w:val="007357C5"/>
    <w:rsid w:val="00735893"/>
    <w:rsid w:val="0073596E"/>
    <w:rsid w:val="00735970"/>
    <w:rsid w:val="00735A70"/>
    <w:rsid w:val="00735B3D"/>
    <w:rsid w:val="00735C07"/>
    <w:rsid w:val="00735C72"/>
    <w:rsid w:val="00735D0A"/>
    <w:rsid w:val="00735D88"/>
    <w:rsid w:val="00735F57"/>
    <w:rsid w:val="00735F71"/>
    <w:rsid w:val="00736003"/>
    <w:rsid w:val="00736018"/>
    <w:rsid w:val="007360CD"/>
    <w:rsid w:val="007360EF"/>
    <w:rsid w:val="007360F5"/>
    <w:rsid w:val="0073623A"/>
    <w:rsid w:val="00736243"/>
    <w:rsid w:val="00736392"/>
    <w:rsid w:val="00736600"/>
    <w:rsid w:val="0073664C"/>
    <w:rsid w:val="00736733"/>
    <w:rsid w:val="0073685A"/>
    <w:rsid w:val="007368B8"/>
    <w:rsid w:val="00736A40"/>
    <w:rsid w:val="00736DAE"/>
    <w:rsid w:val="00736F67"/>
    <w:rsid w:val="00736F78"/>
    <w:rsid w:val="007370F0"/>
    <w:rsid w:val="007371C7"/>
    <w:rsid w:val="00737223"/>
    <w:rsid w:val="00737291"/>
    <w:rsid w:val="007373B3"/>
    <w:rsid w:val="00737464"/>
    <w:rsid w:val="00737480"/>
    <w:rsid w:val="00737493"/>
    <w:rsid w:val="007376F8"/>
    <w:rsid w:val="00737834"/>
    <w:rsid w:val="00737849"/>
    <w:rsid w:val="00737908"/>
    <w:rsid w:val="00737AE5"/>
    <w:rsid w:val="00737B15"/>
    <w:rsid w:val="00737B74"/>
    <w:rsid w:val="00737C3C"/>
    <w:rsid w:val="00737C41"/>
    <w:rsid w:val="00737C68"/>
    <w:rsid w:val="00737DDD"/>
    <w:rsid w:val="00737ECD"/>
    <w:rsid w:val="00737F3F"/>
    <w:rsid w:val="00737FFC"/>
    <w:rsid w:val="00740099"/>
    <w:rsid w:val="0074013A"/>
    <w:rsid w:val="0074021D"/>
    <w:rsid w:val="00740266"/>
    <w:rsid w:val="007402B3"/>
    <w:rsid w:val="0074035A"/>
    <w:rsid w:val="00740602"/>
    <w:rsid w:val="0074060E"/>
    <w:rsid w:val="0074064A"/>
    <w:rsid w:val="00740942"/>
    <w:rsid w:val="00740B52"/>
    <w:rsid w:val="00740BF8"/>
    <w:rsid w:val="00740C09"/>
    <w:rsid w:val="00740CC2"/>
    <w:rsid w:val="00740CD5"/>
    <w:rsid w:val="00740D4A"/>
    <w:rsid w:val="00740D5E"/>
    <w:rsid w:val="00740DB1"/>
    <w:rsid w:val="00740DF8"/>
    <w:rsid w:val="00740E03"/>
    <w:rsid w:val="00740E0E"/>
    <w:rsid w:val="00740E82"/>
    <w:rsid w:val="00740F2E"/>
    <w:rsid w:val="00741004"/>
    <w:rsid w:val="0074102E"/>
    <w:rsid w:val="0074111A"/>
    <w:rsid w:val="0074122A"/>
    <w:rsid w:val="00741252"/>
    <w:rsid w:val="007412C8"/>
    <w:rsid w:val="007413A0"/>
    <w:rsid w:val="007414BE"/>
    <w:rsid w:val="007414E3"/>
    <w:rsid w:val="00741613"/>
    <w:rsid w:val="0074161F"/>
    <w:rsid w:val="0074168B"/>
    <w:rsid w:val="00741832"/>
    <w:rsid w:val="00741AA0"/>
    <w:rsid w:val="00741ACE"/>
    <w:rsid w:val="00741E08"/>
    <w:rsid w:val="00741E0B"/>
    <w:rsid w:val="00741EC3"/>
    <w:rsid w:val="00741F26"/>
    <w:rsid w:val="00741F60"/>
    <w:rsid w:val="00742022"/>
    <w:rsid w:val="0074209A"/>
    <w:rsid w:val="00742133"/>
    <w:rsid w:val="007421E4"/>
    <w:rsid w:val="00742267"/>
    <w:rsid w:val="007422B6"/>
    <w:rsid w:val="00742310"/>
    <w:rsid w:val="00742378"/>
    <w:rsid w:val="00742529"/>
    <w:rsid w:val="0074255E"/>
    <w:rsid w:val="00742611"/>
    <w:rsid w:val="00742612"/>
    <w:rsid w:val="00742812"/>
    <w:rsid w:val="007428C5"/>
    <w:rsid w:val="0074294C"/>
    <w:rsid w:val="00742CAA"/>
    <w:rsid w:val="00742D4F"/>
    <w:rsid w:val="00742F3F"/>
    <w:rsid w:val="00743343"/>
    <w:rsid w:val="0074339F"/>
    <w:rsid w:val="007433DF"/>
    <w:rsid w:val="0074347E"/>
    <w:rsid w:val="007434CF"/>
    <w:rsid w:val="007434D0"/>
    <w:rsid w:val="007434E6"/>
    <w:rsid w:val="00743586"/>
    <w:rsid w:val="00743654"/>
    <w:rsid w:val="00743765"/>
    <w:rsid w:val="00743914"/>
    <w:rsid w:val="00743DF7"/>
    <w:rsid w:val="00743E40"/>
    <w:rsid w:val="00743F56"/>
    <w:rsid w:val="00743FB2"/>
    <w:rsid w:val="00743FF3"/>
    <w:rsid w:val="0074406F"/>
    <w:rsid w:val="0074415F"/>
    <w:rsid w:val="007441BD"/>
    <w:rsid w:val="007443A2"/>
    <w:rsid w:val="007443F9"/>
    <w:rsid w:val="0074459A"/>
    <w:rsid w:val="00744683"/>
    <w:rsid w:val="00744BC3"/>
    <w:rsid w:val="00744C62"/>
    <w:rsid w:val="00744E42"/>
    <w:rsid w:val="00744EDE"/>
    <w:rsid w:val="00744F40"/>
    <w:rsid w:val="0074512D"/>
    <w:rsid w:val="007451A5"/>
    <w:rsid w:val="007452C2"/>
    <w:rsid w:val="00745349"/>
    <w:rsid w:val="00745472"/>
    <w:rsid w:val="0074557D"/>
    <w:rsid w:val="00745704"/>
    <w:rsid w:val="00745764"/>
    <w:rsid w:val="007457E9"/>
    <w:rsid w:val="007458A0"/>
    <w:rsid w:val="00745A37"/>
    <w:rsid w:val="00745B89"/>
    <w:rsid w:val="00745CF2"/>
    <w:rsid w:val="00745D66"/>
    <w:rsid w:val="00745DAC"/>
    <w:rsid w:val="00745EAD"/>
    <w:rsid w:val="00745F16"/>
    <w:rsid w:val="00745FC6"/>
    <w:rsid w:val="00746036"/>
    <w:rsid w:val="0074604B"/>
    <w:rsid w:val="00746098"/>
    <w:rsid w:val="0074612B"/>
    <w:rsid w:val="0074613E"/>
    <w:rsid w:val="0074616B"/>
    <w:rsid w:val="00746233"/>
    <w:rsid w:val="00746258"/>
    <w:rsid w:val="00746270"/>
    <w:rsid w:val="00746337"/>
    <w:rsid w:val="0074634E"/>
    <w:rsid w:val="0074639E"/>
    <w:rsid w:val="007464A2"/>
    <w:rsid w:val="007465AB"/>
    <w:rsid w:val="007465F6"/>
    <w:rsid w:val="007466FA"/>
    <w:rsid w:val="007467C5"/>
    <w:rsid w:val="007468A6"/>
    <w:rsid w:val="007469D9"/>
    <w:rsid w:val="007469E3"/>
    <w:rsid w:val="00746B10"/>
    <w:rsid w:val="00746B74"/>
    <w:rsid w:val="00746BA0"/>
    <w:rsid w:val="00746C7B"/>
    <w:rsid w:val="00746CE0"/>
    <w:rsid w:val="00746E5A"/>
    <w:rsid w:val="00746EC2"/>
    <w:rsid w:val="007471A6"/>
    <w:rsid w:val="00747227"/>
    <w:rsid w:val="00747265"/>
    <w:rsid w:val="00747562"/>
    <w:rsid w:val="0074765F"/>
    <w:rsid w:val="00747748"/>
    <w:rsid w:val="00747787"/>
    <w:rsid w:val="007477DF"/>
    <w:rsid w:val="00747836"/>
    <w:rsid w:val="00747941"/>
    <w:rsid w:val="0074796C"/>
    <w:rsid w:val="00747ABA"/>
    <w:rsid w:val="00747AEA"/>
    <w:rsid w:val="00747CD7"/>
    <w:rsid w:val="00747DF1"/>
    <w:rsid w:val="00747E0A"/>
    <w:rsid w:val="00747E13"/>
    <w:rsid w:val="00747E9A"/>
    <w:rsid w:val="00747F6A"/>
    <w:rsid w:val="007500EA"/>
    <w:rsid w:val="007501BC"/>
    <w:rsid w:val="007503EE"/>
    <w:rsid w:val="00750465"/>
    <w:rsid w:val="007504D7"/>
    <w:rsid w:val="007505B5"/>
    <w:rsid w:val="00750662"/>
    <w:rsid w:val="00750873"/>
    <w:rsid w:val="00750890"/>
    <w:rsid w:val="007509D7"/>
    <w:rsid w:val="00750A28"/>
    <w:rsid w:val="00750A5A"/>
    <w:rsid w:val="00750BE1"/>
    <w:rsid w:val="00750C04"/>
    <w:rsid w:val="00750CE1"/>
    <w:rsid w:val="00750E24"/>
    <w:rsid w:val="00750E9A"/>
    <w:rsid w:val="00751063"/>
    <w:rsid w:val="0075106B"/>
    <w:rsid w:val="00751147"/>
    <w:rsid w:val="0075115E"/>
    <w:rsid w:val="00751344"/>
    <w:rsid w:val="007514E1"/>
    <w:rsid w:val="007515C6"/>
    <w:rsid w:val="00751695"/>
    <w:rsid w:val="007519AD"/>
    <w:rsid w:val="00751B00"/>
    <w:rsid w:val="00751B1E"/>
    <w:rsid w:val="00751B36"/>
    <w:rsid w:val="00751B7A"/>
    <w:rsid w:val="00751BCD"/>
    <w:rsid w:val="00751C28"/>
    <w:rsid w:val="00751C2C"/>
    <w:rsid w:val="00751CEA"/>
    <w:rsid w:val="00751E12"/>
    <w:rsid w:val="00751F4E"/>
    <w:rsid w:val="0075201D"/>
    <w:rsid w:val="0075210E"/>
    <w:rsid w:val="00752177"/>
    <w:rsid w:val="007521B0"/>
    <w:rsid w:val="00752262"/>
    <w:rsid w:val="00752395"/>
    <w:rsid w:val="0075247D"/>
    <w:rsid w:val="00752486"/>
    <w:rsid w:val="0075256C"/>
    <w:rsid w:val="007526E0"/>
    <w:rsid w:val="007526E2"/>
    <w:rsid w:val="00752828"/>
    <w:rsid w:val="00752A9F"/>
    <w:rsid w:val="00752B02"/>
    <w:rsid w:val="00752B4C"/>
    <w:rsid w:val="00752BA7"/>
    <w:rsid w:val="00752E11"/>
    <w:rsid w:val="00753091"/>
    <w:rsid w:val="00753170"/>
    <w:rsid w:val="00753189"/>
    <w:rsid w:val="00753220"/>
    <w:rsid w:val="00753260"/>
    <w:rsid w:val="00753480"/>
    <w:rsid w:val="007534ED"/>
    <w:rsid w:val="007535A7"/>
    <w:rsid w:val="00753745"/>
    <w:rsid w:val="007537FB"/>
    <w:rsid w:val="00753888"/>
    <w:rsid w:val="007539DA"/>
    <w:rsid w:val="00753A21"/>
    <w:rsid w:val="00753AD4"/>
    <w:rsid w:val="00753B0B"/>
    <w:rsid w:val="00753C44"/>
    <w:rsid w:val="00753D2E"/>
    <w:rsid w:val="00753D9D"/>
    <w:rsid w:val="00753DB6"/>
    <w:rsid w:val="00753E2D"/>
    <w:rsid w:val="00753E60"/>
    <w:rsid w:val="00753F86"/>
    <w:rsid w:val="00753FD7"/>
    <w:rsid w:val="0075405A"/>
    <w:rsid w:val="00754066"/>
    <w:rsid w:val="00754087"/>
    <w:rsid w:val="007540A6"/>
    <w:rsid w:val="007540F8"/>
    <w:rsid w:val="007541E1"/>
    <w:rsid w:val="0075426B"/>
    <w:rsid w:val="00754500"/>
    <w:rsid w:val="00754513"/>
    <w:rsid w:val="00754671"/>
    <w:rsid w:val="00754672"/>
    <w:rsid w:val="007547CA"/>
    <w:rsid w:val="00754881"/>
    <w:rsid w:val="00754915"/>
    <w:rsid w:val="00754A56"/>
    <w:rsid w:val="00754B59"/>
    <w:rsid w:val="00754C23"/>
    <w:rsid w:val="00754D32"/>
    <w:rsid w:val="00754D5F"/>
    <w:rsid w:val="00754D74"/>
    <w:rsid w:val="00754D98"/>
    <w:rsid w:val="00755012"/>
    <w:rsid w:val="0075502E"/>
    <w:rsid w:val="00755112"/>
    <w:rsid w:val="00755223"/>
    <w:rsid w:val="007552BA"/>
    <w:rsid w:val="00755306"/>
    <w:rsid w:val="00755417"/>
    <w:rsid w:val="0075541F"/>
    <w:rsid w:val="00755507"/>
    <w:rsid w:val="00755588"/>
    <w:rsid w:val="0075558E"/>
    <w:rsid w:val="007555FC"/>
    <w:rsid w:val="00755615"/>
    <w:rsid w:val="00755652"/>
    <w:rsid w:val="00755717"/>
    <w:rsid w:val="00755801"/>
    <w:rsid w:val="00755973"/>
    <w:rsid w:val="00755BCE"/>
    <w:rsid w:val="00755C40"/>
    <w:rsid w:val="00755E79"/>
    <w:rsid w:val="00755F10"/>
    <w:rsid w:val="0075609F"/>
    <w:rsid w:val="007560A9"/>
    <w:rsid w:val="007560B4"/>
    <w:rsid w:val="00756164"/>
    <w:rsid w:val="007561D6"/>
    <w:rsid w:val="00756220"/>
    <w:rsid w:val="00756268"/>
    <w:rsid w:val="00756304"/>
    <w:rsid w:val="00756368"/>
    <w:rsid w:val="007563CD"/>
    <w:rsid w:val="00756518"/>
    <w:rsid w:val="00756561"/>
    <w:rsid w:val="00756588"/>
    <w:rsid w:val="007566EC"/>
    <w:rsid w:val="00756785"/>
    <w:rsid w:val="00756A7A"/>
    <w:rsid w:val="00756BC2"/>
    <w:rsid w:val="00756C0D"/>
    <w:rsid w:val="00756CD8"/>
    <w:rsid w:val="00756F8E"/>
    <w:rsid w:val="007570EE"/>
    <w:rsid w:val="00757226"/>
    <w:rsid w:val="00757302"/>
    <w:rsid w:val="007573CB"/>
    <w:rsid w:val="007573DF"/>
    <w:rsid w:val="007574C2"/>
    <w:rsid w:val="0075755E"/>
    <w:rsid w:val="0075758C"/>
    <w:rsid w:val="007575D0"/>
    <w:rsid w:val="00757608"/>
    <w:rsid w:val="00757716"/>
    <w:rsid w:val="007577CE"/>
    <w:rsid w:val="00757877"/>
    <w:rsid w:val="007578E5"/>
    <w:rsid w:val="00757909"/>
    <w:rsid w:val="00757A00"/>
    <w:rsid w:val="00757ABD"/>
    <w:rsid w:val="00757B0C"/>
    <w:rsid w:val="00757B93"/>
    <w:rsid w:val="00757C2C"/>
    <w:rsid w:val="00757C4A"/>
    <w:rsid w:val="00757C85"/>
    <w:rsid w:val="00757C88"/>
    <w:rsid w:val="00757D0D"/>
    <w:rsid w:val="00757D2C"/>
    <w:rsid w:val="00757EA6"/>
    <w:rsid w:val="00757EB5"/>
    <w:rsid w:val="00760203"/>
    <w:rsid w:val="007602AB"/>
    <w:rsid w:val="007602B9"/>
    <w:rsid w:val="00760385"/>
    <w:rsid w:val="007604B1"/>
    <w:rsid w:val="007605B2"/>
    <w:rsid w:val="007605E7"/>
    <w:rsid w:val="0076085E"/>
    <w:rsid w:val="0076093C"/>
    <w:rsid w:val="00760943"/>
    <w:rsid w:val="00760947"/>
    <w:rsid w:val="007609D0"/>
    <w:rsid w:val="007609EC"/>
    <w:rsid w:val="00760A78"/>
    <w:rsid w:val="00760A87"/>
    <w:rsid w:val="00760B47"/>
    <w:rsid w:val="00760B4B"/>
    <w:rsid w:val="00760B99"/>
    <w:rsid w:val="00760B9C"/>
    <w:rsid w:val="00760BC7"/>
    <w:rsid w:val="00760C8D"/>
    <w:rsid w:val="00760CC3"/>
    <w:rsid w:val="00760DF9"/>
    <w:rsid w:val="00760FC1"/>
    <w:rsid w:val="00761061"/>
    <w:rsid w:val="007612F9"/>
    <w:rsid w:val="00761462"/>
    <w:rsid w:val="00761588"/>
    <w:rsid w:val="00761711"/>
    <w:rsid w:val="007617A7"/>
    <w:rsid w:val="00761845"/>
    <w:rsid w:val="0076186F"/>
    <w:rsid w:val="00761947"/>
    <w:rsid w:val="00761971"/>
    <w:rsid w:val="007619AB"/>
    <w:rsid w:val="007619BC"/>
    <w:rsid w:val="00761A7F"/>
    <w:rsid w:val="00761B1E"/>
    <w:rsid w:val="00761BE8"/>
    <w:rsid w:val="00761C4D"/>
    <w:rsid w:val="00761D3B"/>
    <w:rsid w:val="00761D87"/>
    <w:rsid w:val="00761DF3"/>
    <w:rsid w:val="00761E38"/>
    <w:rsid w:val="00761F04"/>
    <w:rsid w:val="00761FD3"/>
    <w:rsid w:val="00761FDF"/>
    <w:rsid w:val="00762050"/>
    <w:rsid w:val="007621D9"/>
    <w:rsid w:val="00762211"/>
    <w:rsid w:val="00762255"/>
    <w:rsid w:val="0076240A"/>
    <w:rsid w:val="0076267D"/>
    <w:rsid w:val="007626B8"/>
    <w:rsid w:val="00762984"/>
    <w:rsid w:val="00762BBC"/>
    <w:rsid w:val="00762C3A"/>
    <w:rsid w:val="00762CB9"/>
    <w:rsid w:val="00762D93"/>
    <w:rsid w:val="00762F1D"/>
    <w:rsid w:val="00762FF7"/>
    <w:rsid w:val="0076306A"/>
    <w:rsid w:val="0076310F"/>
    <w:rsid w:val="00763137"/>
    <w:rsid w:val="007631F3"/>
    <w:rsid w:val="007632DB"/>
    <w:rsid w:val="00763305"/>
    <w:rsid w:val="007633E5"/>
    <w:rsid w:val="00763447"/>
    <w:rsid w:val="00763534"/>
    <w:rsid w:val="007635C1"/>
    <w:rsid w:val="0076364D"/>
    <w:rsid w:val="00763A3F"/>
    <w:rsid w:val="00763B1B"/>
    <w:rsid w:val="00763BA6"/>
    <w:rsid w:val="00763F1B"/>
    <w:rsid w:val="00763F86"/>
    <w:rsid w:val="00763FF0"/>
    <w:rsid w:val="007640B8"/>
    <w:rsid w:val="007640E2"/>
    <w:rsid w:val="007640EA"/>
    <w:rsid w:val="00764139"/>
    <w:rsid w:val="00764193"/>
    <w:rsid w:val="00764438"/>
    <w:rsid w:val="00764508"/>
    <w:rsid w:val="007645C9"/>
    <w:rsid w:val="007645EA"/>
    <w:rsid w:val="007646A4"/>
    <w:rsid w:val="007646DE"/>
    <w:rsid w:val="007647CA"/>
    <w:rsid w:val="00764825"/>
    <w:rsid w:val="007648A7"/>
    <w:rsid w:val="007648D3"/>
    <w:rsid w:val="007648E1"/>
    <w:rsid w:val="0076494C"/>
    <w:rsid w:val="00764A3C"/>
    <w:rsid w:val="00764E83"/>
    <w:rsid w:val="00765145"/>
    <w:rsid w:val="00765240"/>
    <w:rsid w:val="0076542D"/>
    <w:rsid w:val="0076548A"/>
    <w:rsid w:val="00765573"/>
    <w:rsid w:val="00765588"/>
    <w:rsid w:val="007655BF"/>
    <w:rsid w:val="007655F2"/>
    <w:rsid w:val="00765688"/>
    <w:rsid w:val="00765874"/>
    <w:rsid w:val="00765879"/>
    <w:rsid w:val="007658A9"/>
    <w:rsid w:val="00765935"/>
    <w:rsid w:val="0076593A"/>
    <w:rsid w:val="00765A2F"/>
    <w:rsid w:val="00765A8C"/>
    <w:rsid w:val="00765D85"/>
    <w:rsid w:val="00765E5D"/>
    <w:rsid w:val="00765F53"/>
    <w:rsid w:val="0076618E"/>
    <w:rsid w:val="007661B2"/>
    <w:rsid w:val="007662EB"/>
    <w:rsid w:val="00766310"/>
    <w:rsid w:val="00766373"/>
    <w:rsid w:val="0076653D"/>
    <w:rsid w:val="00766551"/>
    <w:rsid w:val="007666BF"/>
    <w:rsid w:val="00766797"/>
    <w:rsid w:val="007667C3"/>
    <w:rsid w:val="007668A1"/>
    <w:rsid w:val="0076694B"/>
    <w:rsid w:val="00766A34"/>
    <w:rsid w:val="00766AFC"/>
    <w:rsid w:val="00766BA1"/>
    <w:rsid w:val="00766C72"/>
    <w:rsid w:val="00766CF0"/>
    <w:rsid w:val="00766D22"/>
    <w:rsid w:val="00766E70"/>
    <w:rsid w:val="00766E7B"/>
    <w:rsid w:val="00766E8C"/>
    <w:rsid w:val="00766F8C"/>
    <w:rsid w:val="00767141"/>
    <w:rsid w:val="007671A2"/>
    <w:rsid w:val="00767352"/>
    <w:rsid w:val="00767392"/>
    <w:rsid w:val="007673BE"/>
    <w:rsid w:val="0076765F"/>
    <w:rsid w:val="007676FD"/>
    <w:rsid w:val="007678F4"/>
    <w:rsid w:val="00767B7D"/>
    <w:rsid w:val="00767B87"/>
    <w:rsid w:val="00767CEB"/>
    <w:rsid w:val="00767DA1"/>
    <w:rsid w:val="00767FCC"/>
    <w:rsid w:val="00770009"/>
    <w:rsid w:val="00770016"/>
    <w:rsid w:val="0077004A"/>
    <w:rsid w:val="00770106"/>
    <w:rsid w:val="00770130"/>
    <w:rsid w:val="007702A6"/>
    <w:rsid w:val="007702B2"/>
    <w:rsid w:val="007702C9"/>
    <w:rsid w:val="0077030E"/>
    <w:rsid w:val="00770313"/>
    <w:rsid w:val="007703A7"/>
    <w:rsid w:val="007703AB"/>
    <w:rsid w:val="007703B5"/>
    <w:rsid w:val="00770626"/>
    <w:rsid w:val="007707A3"/>
    <w:rsid w:val="007707CF"/>
    <w:rsid w:val="00770814"/>
    <w:rsid w:val="0077083F"/>
    <w:rsid w:val="007708FB"/>
    <w:rsid w:val="00770ABA"/>
    <w:rsid w:val="00770E12"/>
    <w:rsid w:val="00770FB6"/>
    <w:rsid w:val="00770FC1"/>
    <w:rsid w:val="00771076"/>
    <w:rsid w:val="0077108C"/>
    <w:rsid w:val="007710AE"/>
    <w:rsid w:val="0077139D"/>
    <w:rsid w:val="007713E6"/>
    <w:rsid w:val="007715E7"/>
    <w:rsid w:val="0077165E"/>
    <w:rsid w:val="00771667"/>
    <w:rsid w:val="007716B5"/>
    <w:rsid w:val="007717C6"/>
    <w:rsid w:val="00771949"/>
    <w:rsid w:val="00771A26"/>
    <w:rsid w:val="00771B48"/>
    <w:rsid w:val="00771BD8"/>
    <w:rsid w:val="00771C84"/>
    <w:rsid w:val="00771C85"/>
    <w:rsid w:val="00771CD5"/>
    <w:rsid w:val="00771D10"/>
    <w:rsid w:val="00771D6F"/>
    <w:rsid w:val="00771EFA"/>
    <w:rsid w:val="00771F12"/>
    <w:rsid w:val="00772054"/>
    <w:rsid w:val="00772062"/>
    <w:rsid w:val="0077210D"/>
    <w:rsid w:val="00772160"/>
    <w:rsid w:val="007721F9"/>
    <w:rsid w:val="0077221B"/>
    <w:rsid w:val="00772469"/>
    <w:rsid w:val="007724F4"/>
    <w:rsid w:val="0077251E"/>
    <w:rsid w:val="00772617"/>
    <w:rsid w:val="007727A4"/>
    <w:rsid w:val="007727FE"/>
    <w:rsid w:val="00772843"/>
    <w:rsid w:val="007729C9"/>
    <w:rsid w:val="007729CF"/>
    <w:rsid w:val="00772A3B"/>
    <w:rsid w:val="00772A70"/>
    <w:rsid w:val="00772A7A"/>
    <w:rsid w:val="00772A84"/>
    <w:rsid w:val="00772BD9"/>
    <w:rsid w:val="00772BF1"/>
    <w:rsid w:val="00772EE7"/>
    <w:rsid w:val="00772F75"/>
    <w:rsid w:val="00772F8E"/>
    <w:rsid w:val="00772FDE"/>
    <w:rsid w:val="0077316E"/>
    <w:rsid w:val="00773178"/>
    <w:rsid w:val="00773203"/>
    <w:rsid w:val="00773212"/>
    <w:rsid w:val="00773389"/>
    <w:rsid w:val="007733F6"/>
    <w:rsid w:val="007734DF"/>
    <w:rsid w:val="0077361A"/>
    <w:rsid w:val="0077377A"/>
    <w:rsid w:val="00773879"/>
    <w:rsid w:val="007738BC"/>
    <w:rsid w:val="00773908"/>
    <w:rsid w:val="007739DD"/>
    <w:rsid w:val="00773A03"/>
    <w:rsid w:val="00773AAC"/>
    <w:rsid w:val="00773AAD"/>
    <w:rsid w:val="00773B77"/>
    <w:rsid w:val="00773B92"/>
    <w:rsid w:val="00773C56"/>
    <w:rsid w:val="00773D35"/>
    <w:rsid w:val="00773D3B"/>
    <w:rsid w:val="00773EC9"/>
    <w:rsid w:val="00773F4C"/>
    <w:rsid w:val="00773F50"/>
    <w:rsid w:val="00773F68"/>
    <w:rsid w:val="0077404B"/>
    <w:rsid w:val="00774067"/>
    <w:rsid w:val="00774118"/>
    <w:rsid w:val="00774168"/>
    <w:rsid w:val="0077424B"/>
    <w:rsid w:val="007743AF"/>
    <w:rsid w:val="007743B5"/>
    <w:rsid w:val="00774448"/>
    <w:rsid w:val="00774482"/>
    <w:rsid w:val="007744EA"/>
    <w:rsid w:val="00774663"/>
    <w:rsid w:val="007746BE"/>
    <w:rsid w:val="0077470A"/>
    <w:rsid w:val="0077472A"/>
    <w:rsid w:val="00774769"/>
    <w:rsid w:val="007748F6"/>
    <w:rsid w:val="0077491F"/>
    <w:rsid w:val="007749B1"/>
    <w:rsid w:val="007749C0"/>
    <w:rsid w:val="007749CD"/>
    <w:rsid w:val="007749D8"/>
    <w:rsid w:val="00774ABE"/>
    <w:rsid w:val="00774BF7"/>
    <w:rsid w:val="00774DEE"/>
    <w:rsid w:val="00774F15"/>
    <w:rsid w:val="007751EE"/>
    <w:rsid w:val="007751F3"/>
    <w:rsid w:val="0077530A"/>
    <w:rsid w:val="0077548C"/>
    <w:rsid w:val="00775A1A"/>
    <w:rsid w:val="00775AED"/>
    <w:rsid w:val="00775BDF"/>
    <w:rsid w:val="00775C04"/>
    <w:rsid w:val="00775C06"/>
    <w:rsid w:val="00775CE5"/>
    <w:rsid w:val="00775CEA"/>
    <w:rsid w:val="00775E6B"/>
    <w:rsid w:val="00775F7C"/>
    <w:rsid w:val="00775FE0"/>
    <w:rsid w:val="00776225"/>
    <w:rsid w:val="0077622E"/>
    <w:rsid w:val="0077637B"/>
    <w:rsid w:val="007763BB"/>
    <w:rsid w:val="007765DA"/>
    <w:rsid w:val="00776617"/>
    <w:rsid w:val="007766CF"/>
    <w:rsid w:val="007766D9"/>
    <w:rsid w:val="00776724"/>
    <w:rsid w:val="0077672C"/>
    <w:rsid w:val="00776734"/>
    <w:rsid w:val="00776898"/>
    <w:rsid w:val="007768CA"/>
    <w:rsid w:val="00776976"/>
    <w:rsid w:val="00776A7A"/>
    <w:rsid w:val="00776B8E"/>
    <w:rsid w:val="00776BA5"/>
    <w:rsid w:val="00776BA7"/>
    <w:rsid w:val="00776BBE"/>
    <w:rsid w:val="00776D83"/>
    <w:rsid w:val="00776DA6"/>
    <w:rsid w:val="00776EC2"/>
    <w:rsid w:val="007770BB"/>
    <w:rsid w:val="00777156"/>
    <w:rsid w:val="00777240"/>
    <w:rsid w:val="00777252"/>
    <w:rsid w:val="0077728C"/>
    <w:rsid w:val="00777299"/>
    <w:rsid w:val="00777376"/>
    <w:rsid w:val="007774F0"/>
    <w:rsid w:val="007775F1"/>
    <w:rsid w:val="00777748"/>
    <w:rsid w:val="007778C0"/>
    <w:rsid w:val="007779E5"/>
    <w:rsid w:val="00777A12"/>
    <w:rsid w:val="00777A3E"/>
    <w:rsid w:val="00777A62"/>
    <w:rsid w:val="00777BBC"/>
    <w:rsid w:val="00777C2E"/>
    <w:rsid w:val="00777D29"/>
    <w:rsid w:val="00777D5A"/>
    <w:rsid w:val="00777E26"/>
    <w:rsid w:val="00777F03"/>
    <w:rsid w:val="0078007B"/>
    <w:rsid w:val="007800B8"/>
    <w:rsid w:val="007800DE"/>
    <w:rsid w:val="007802F0"/>
    <w:rsid w:val="00780366"/>
    <w:rsid w:val="0078047F"/>
    <w:rsid w:val="007804A2"/>
    <w:rsid w:val="007807ED"/>
    <w:rsid w:val="00780822"/>
    <w:rsid w:val="0078087A"/>
    <w:rsid w:val="007809A0"/>
    <w:rsid w:val="007809FC"/>
    <w:rsid w:val="00780A79"/>
    <w:rsid w:val="00780A7E"/>
    <w:rsid w:val="00780B0C"/>
    <w:rsid w:val="00780B4D"/>
    <w:rsid w:val="00780BA9"/>
    <w:rsid w:val="00780BFF"/>
    <w:rsid w:val="00780D36"/>
    <w:rsid w:val="00780D45"/>
    <w:rsid w:val="00780D5B"/>
    <w:rsid w:val="00780E15"/>
    <w:rsid w:val="00780ED5"/>
    <w:rsid w:val="00780FF2"/>
    <w:rsid w:val="0078106C"/>
    <w:rsid w:val="007810AD"/>
    <w:rsid w:val="00781151"/>
    <w:rsid w:val="00781286"/>
    <w:rsid w:val="007812CB"/>
    <w:rsid w:val="007813B2"/>
    <w:rsid w:val="00781403"/>
    <w:rsid w:val="00781510"/>
    <w:rsid w:val="0078151B"/>
    <w:rsid w:val="0078156D"/>
    <w:rsid w:val="00781583"/>
    <w:rsid w:val="007815A2"/>
    <w:rsid w:val="007817F2"/>
    <w:rsid w:val="0078186C"/>
    <w:rsid w:val="007819CA"/>
    <w:rsid w:val="00781A69"/>
    <w:rsid w:val="00781AAB"/>
    <w:rsid w:val="00781B39"/>
    <w:rsid w:val="00781E72"/>
    <w:rsid w:val="00781EA2"/>
    <w:rsid w:val="00781ED2"/>
    <w:rsid w:val="0078201C"/>
    <w:rsid w:val="00782059"/>
    <w:rsid w:val="007820C3"/>
    <w:rsid w:val="0078212E"/>
    <w:rsid w:val="0078229A"/>
    <w:rsid w:val="00782362"/>
    <w:rsid w:val="00782442"/>
    <w:rsid w:val="00782498"/>
    <w:rsid w:val="0078253E"/>
    <w:rsid w:val="0078255C"/>
    <w:rsid w:val="0078255E"/>
    <w:rsid w:val="007825E1"/>
    <w:rsid w:val="007825F9"/>
    <w:rsid w:val="0078292C"/>
    <w:rsid w:val="00782C17"/>
    <w:rsid w:val="00782C59"/>
    <w:rsid w:val="00782E45"/>
    <w:rsid w:val="007831DA"/>
    <w:rsid w:val="00783215"/>
    <w:rsid w:val="0078327D"/>
    <w:rsid w:val="00783386"/>
    <w:rsid w:val="007833AE"/>
    <w:rsid w:val="0078341D"/>
    <w:rsid w:val="00783461"/>
    <w:rsid w:val="0078346F"/>
    <w:rsid w:val="0078354F"/>
    <w:rsid w:val="007836B1"/>
    <w:rsid w:val="00783738"/>
    <w:rsid w:val="007837A3"/>
    <w:rsid w:val="0078381D"/>
    <w:rsid w:val="00783860"/>
    <w:rsid w:val="0078393F"/>
    <w:rsid w:val="007839BF"/>
    <w:rsid w:val="007839C3"/>
    <w:rsid w:val="00783AD6"/>
    <w:rsid w:val="00783C8B"/>
    <w:rsid w:val="00783D99"/>
    <w:rsid w:val="00783FCF"/>
    <w:rsid w:val="0078402A"/>
    <w:rsid w:val="007840BE"/>
    <w:rsid w:val="007840E5"/>
    <w:rsid w:val="00784109"/>
    <w:rsid w:val="007841D4"/>
    <w:rsid w:val="00784295"/>
    <w:rsid w:val="007842BA"/>
    <w:rsid w:val="007844B0"/>
    <w:rsid w:val="00784556"/>
    <w:rsid w:val="007845A8"/>
    <w:rsid w:val="0078466C"/>
    <w:rsid w:val="0078474E"/>
    <w:rsid w:val="00784827"/>
    <w:rsid w:val="007849BE"/>
    <w:rsid w:val="00784B42"/>
    <w:rsid w:val="00784C23"/>
    <w:rsid w:val="00784D35"/>
    <w:rsid w:val="00784D86"/>
    <w:rsid w:val="00784D94"/>
    <w:rsid w:val="00784EC2"/>
    <w:rsid w:val="00784F18"/>
    <w:rsid w:val="0078503E"/>
    <w:rsid w:val="007850EC"/>
    <w:rsid w:val="0078511A"/>
    <w:rsid w:val="00785169"/>
    <w:rsid w:val="00785176"/>
    <w:rsid w:val="00785217"/>
    <w:rsid w:val="00785280"/>
    <w:rsid w:val="00785375"/>
    <w:rsid w:val="00785472"/>
    <w:rsid w:val="007854BA"/>
    <w:rsid w:val="00785535"/>
    <w:rsid w:val="0078553C"/>
    <w:rsid w:val="007855A2"/>
    <w:rsid w:val="00785625"/>
    <w:rsid w:val="007856FA"/>
    <w:rsid w:val="0078574E"/>
    <w:rsid w:val="00785783"/>
    <w:rsid w:val="007857E3"/>
    <w:rsid w:val="007858DA"/>
    <w:rsid w:val="00785AE6"/>
    <w:rsid w:val="00785B1D"/>
    <w:rsid w:val="00785B2D"/>
    <w:rsid w:val="00785B9B"/>
    <w:rsid w:val="00785BA2"/>
    <w:rsid w:val="00785C72"/>
    <w:rsid w:val="00785D34"/>
    <w:rsid w:val="00785D74"/>
    <w:rsid w:val="00785DA7"/>
    <w:rsid w:val="00785E96"/>
    <w:rsid w:val="00785F22"/>
    <w:rsid w:val="00786035"/>
    <w:rsid w:val="00786076"/>
    <w:rsid w:val="0078612B"/>
    <w:rsid w:val="0078618D"/>
    <w:rsid w:val="007861AA"/>
    <w:rsid w:val="00786210"/>
    <w:rsid w:val="007862F9"/>
    <w:rsid w:val="007863F4"/>
    <w:rsid w:val="0078649D"/>
    <w:rsid w:val="007864DF"/>
    <w:rsid w:val="00786666"/>
    <w:rsid w:val="007869E3"/>
    <w:rsid w:val="00786A11"/>
    <w:rsid w:val="00786AF5"/>
    <w:rsid w:val="00786B50"/>
    <w:rsid w:val="00786CC2"/>
    <w:rsid w:val="00786E9A"/>
    <w:rsid w:val="0078703A"/>
    <w:rsid w:val="00787260"/>
    <w:rsid w:val="0078728F"/>
    <w:rsid w:val="007872A1"/>
    <w:rsid w:val="007872A5"/>
    <w:rsid w:val="00787392"/>
    <w:rsid w:val="00787395"/>
    <w:rsid w:val="007874DF"/>
    <w:rsid w:val="007874F4"/>
    <w:rsid w:val="007875C0"/>
    <w:rsid w:val="00787692"/>
    <w:rsid w:val="007876B0"/>
    <w:rsid w:val="007876CA"/>
    <w:rsid w:val="007877E8"/>
    <w:rsid w:val="007878BE"/>
    <w:rsid w:val="007878D1"/>
    <w:rsid w:val="00787957"/>
    <w:rsid w:val="007879BF"/>
    <w:rsid w:val="00787A2B"/>
    <w:rsid w:val="00787B2D"/>
    <w:rsid w:val="00787B68"/>
    <w:rsid w:val="00787B9F"/>
    <w:rsid w:val="00787CDB"/>
    <w:rsid w:val="00787D5F"/>
    <w:rsid w:val="00787DD7"/>
    <w:rsid w:val="00787F17"/>
    <w:rsid w:val="00787F90"/>
    <w:rsid w:val="00787FA3"/>
    <w:rsid w:val="00787FDC"/>
    <w:rsid w:val="00790055"/>
    <w:rsid w:val="007901A5"/>
    <w:rsid w:val="007901D8"/>
    <w:rsid w:val="007901EB"/>
    <w:rsid w:val="00790391"/>
    <w:rsid w:val="00790476"/>
    <w:rsid w:val="00790745"/>
    <w:rsid w:val="007907F8"/>
    <w:rsid w:val="007908B5"/>
    <w:rsid w:val="007908D5"/>
    <w:rsid w:val="00790A73"/>
    <w:rsid w:val="00790AB5"/>
    <w:rsid w:val="00790AE1"/>
    <w:rsid w:val="00790C5D"/>
    <w:rsid w:val="00790CCE"/>
    <w:rsid w:val="00790DCD"/>
    <w:rsid w:val="00790EFD"/>
    <w:rsid w:val="007914C0"/>
    <w:rsid w:val="00791503"/>
    <w:rsid w:val="0079154C"/>
    <w:rsid w:val="00791585"/>
    <w:rsid w:val="007917E2"/>
    <w:rsid w:val="00791824"/>
    <w:rsid w:val="00791B4D"/>
    <w:rsid w:val="00791BB2"/>
    <w:rsid w:val="00791BC3"/>
    <w:rsid w:val="00791E99"/>
    <w:rsid w:val="00791F03"/>
    <w:rsid w:val="00791F83"/>
    <w:rsid w:val="00791FDA"/>
    <w:rsid w:val="007920A2"/>
    <w:rsid w:val="00792153"/>
    <w:rsid w:val="00792190"/>
    <w:rsid w:val="00792366"/>
    <w:rsid w:val="007924C7"/>
    <w:rsid w:val="007925A1"/>
    <w:rsid w:val="007925E7"/>
    <w:rsid w:val="00792617"/>
    <w:rsid w:val="0079262B"/>
    <w:rsid w:val="00792721"/>
    <w:rsid w:val="007927B1"/>
    <w:rsid w:val="007928E3"/>
    <w:rsid w:val="0079290E"/>
    <w:rsid w:val="007929AA"/>
    <w:rsid w:val="00792B3E"/>
    <w:rsid w:val="00792B54"/>
    <w:rsid w:val="00792D0C"/>
    <w:rsid w:val="00792D19"/>
    <w:rsid w:val="00792D32"/>
    <w:rsid w:val="00792F31"/>
    <w:rsid w:val="00792F48"/>
    <w:rsid w:val="00792F53"/>
    <w:rsid w:val="00792FA6"/>
    <w:rsid w:val="00792FE0"/>
    <w:rsid w:val="00793008"/>
    <w:rsid w:val="00793128"/>
    <w:rsid w:val="0079323D"/>
    <w:rsid w:val="0079324A"/>
    <w:rsid w:val="0079324B"/>
    <w:rsid w:val="007932D1"/>
    <w:rsid w:val="007933EF"/>
    <w:rsid w:val="007934D4"/>
    <w:rsid w:val="00793576"/>
    <w:rsid w:val="007935D3"/>
    <w:rsid w:val="00793644"/>
    <w:rsid w:val="007937EC"/>
    <w:rsid w:val="0079380B"/>
    <w:rsid w:val="00793876"/>
    <w:rsid w:val="0079390A"/>
    <w:rsid w:val="0079397A"/>
    <w:rsid w:val="007939AC"/>
    <w:rsid w:val="00793ABE"/>
    <w:rsid w:val="00793B39"/>
    <w:rsid w:val="00793CB3"/>
    <w:rsid w:val="00793DFE"/>
    <w:rsid w:val="00793EC7"/>
    <w:rsid w:val="00793ED2"/>
    <w:rsid w:val="00793FD2"/>
    <w:rsid w:val="007941BA"/>
    <w:rsid w:val="00794337"/>
    <w:rsid w:val="0079438E"/>
    <w:rsid w:val="007943FC"/>
    <w:rsid w:val="0079446D"/>
    <w:rsid w:val="0079488B"/>
    <w:rsid w:val="00794895"/>
    <w:rsid w:val="00794AA8"/>
    <w:rsid w:val="00794D82"/>
    <w:rsid w:val="00794DAC"/>
    <w:rsid w:val="00794E0E"/>
    <w:rsid w:val="00794F0A"/>
    <w:rsid w:val="00794F3A"/>
    <w:rsid w:val="00794FBD"/>
    <w:rsid w:val="007950E5"/>
    <w:rsid w:val="00795362"/>
    <w:rsid w:val="0079544F"/>
    <w:rsid w:val="00795454"/>
    <w:rsid w:val="00795770"/>
    <w:rsid w:val="0079587E"/>
    <w:rsid w:val="007958F2"/>
    <w:rsid w:val="00795903"/>
    <w:rsid w:val="00795972"/>
    <w:rsid w:val="00795A13"/>
    <w:rsid w:val="00795AD2"/>
    <w:rsid w:val="00795B6C"/>
    <w:rsid w:val="00795C7D"/>
    <w:rsid w:val="00795C89"/>
    <w:rsid w:val="00795D7A"/>
    <w:rsid w:val="00795E9F"/>
    <w:rsid w:val="00795EB9"/>
    <w:rsid w:val="00795F80"/>
    <w:rsid w:val="00795F84"/>
    <w:rsid w:val="00796274"/>
    <w:rsid w:val="007962C7"/>
    <w:rsid w:val="007962E9"/>
    <w:rsid w:val="00796330"/>
    <w:rsid w:val="0079660A"/>
    <w:rsid w:val="0079664A"/>
    <w:rsid w:val="007966A7"/>
    <w:rsid w:val="00796809"/>
    <w:rsid w:val="00796844"/>
    <w:rsid w:val="00796875"/>
    <w:rsid w:val="007968EC"/>
    <w:rsid w:val="007968F7"/>
    <w:rsid w:val="007969FD"/>
    <w:rsid w:val="00796B37"/>
    <w:rsid w:val="00796C22"/>
    <w:rsid w:val="00796E11"/>
    <w:rsid w:val="00796EF3"/>
    <w:rsid w:val="00796F5D"/>
    <w:rsid w:val="00796F85"/>
    <w:rsid w:val="00796FED"/>
    <w:rsid w:val="007970C0"/>
    <w:rsid w:val="007971CF"/>
    <w:rsid w:val="00797236"/>
    <w:rsid w:val="00797269"/>
    <w:rsid w:val="0079727B"/>
    <w:rsid w:val="007975F0"/>
    <w:rsid w:val="0079770E"/>
    <w:rsid w:val="00797850"/>
    <w:rsid w:val="007978B9"/>
    <w:rsid w:val="00797926"/>
    <w:rsid w:val="007979CC"/>
    <w:rsid w:val="00797A77"/>
    <w:rsid w:val="00797B57"/>
    <w:rsid w:val="00797C15"/>
    <w:rsid w:val="00797C74"/>
    <w:rsid w:val="00797CBA"/>
    <w:rsid w:val="00797D09"/>
    <w:rsid w:val="00797DE6"/>
    <w:rsid w:val="00797E52"/>
    <w:rsid w:val="007A007F"/>
    <w:rsid w:val="007A00AB"/>
    <w:rsid w:val="007A01BA"/>
    <w:rsid w:val="007A020F"/>
    <w:rsid w:val="007A031C"/>
    <w:rsid w:val="007A0342"/>
    <w:rsid w:val="007A0363"/>
    <w:rsid w:val="007A0505"/>
    <w:rsid w:val="007A06A0"/>
    <w:rsid w:val="007A074C"/>
    <w:rsid w:val="007A075C"/>
    <w:rsid w:val="007A0770"/>
    <w:rsid w:val="007A082C"/>
    <w:rsid w:val="007A086D"/>
    <w:rsid w:val="007A0872"/>
    <w:rsid w:val="007A088D"/>
    <w:rsid w:val="007A08E5"/>
    <w:rsid w:val="007A0939"/>
    <w:rsid w:val="007A09DB"/>
    <w:rsid w:val="007A0ACA"/>
    <w:rsid w:val="007A0ADF"/>
    <w:rsid w:val="007A0B61"/>
    <w:rsid w:val="007A0C01"/>
    <w:rsid w:val="007A0E1B"/>
    <w:rsid w:val="007A0E49"/>
    <w:rsid w:val="007A0EF5"/>
    <w:rsid w:val="007A0F78"/>
    <w:rsid w:val="007A0F95"/>
    <w:rsid w:val="007A1089"/>
    <w:rsid w:val="007A117E"/>
    <w:rsid w:val="007A1324"/>
    <w:rsid w:val="007A1395"/>
    <w:rsid w:val="007A13A4"/>
    <w:rsid w:val="007A1578"/>
    <w:rsid w:val="007A15D8"/>
    <w:rsid w:val="007A1600"/>
    <w:rsid w:val="007A17D8"/>
    <w:rsid w:val="007A182A"/>
    <w:rsid w:val="007A1908"/>
    <w:rsid w:val="007A1913"/>
    <w:rsid w:val="007A1931"/>
    <w:rsid w:val="007A1AF6"/>
    <w:rsid w:val="007A1CD2"/>
    <w:rsid w:val="007A1E39"/>
    <w:rsid w:val="007A2151"/>
    <w:rsid w:val="007A22E6"/>
    <w:rsid w:val="007A237A"/>
    <w:rsid w:val="007A2432"/>
    <w:rsid w:val="007A2614"/>
    <w:rsid w:val="007A2617"/>
    <w:rsid w:val="007A280B"/>
    <w:rsid w:val="007A2845"/>
    <w:rsid w:val="007A284B"/>
    <w:rsid w:val="007A28D8"/>
    <w:rsid w:val="007A296A"/>
    <w:rsid w:val="007A2B46"/>
    <w:rsid w:val="007A2B6D"/>
    <w:rsid w:val="007A2BCA"/>
    <w:rsid w:val="007A2BF9"/>
    <w:rsid w:val="007A2CE9"/>
    <w:rsid w:val="007A2E1F"/>
    <w:rsid w:val="007A2EAE"/>
    <w:rsid w:val="007A2F7E"/>
    <w:rsid w:val="007A2FEA"/>
    <w:rsid w:val="007A323A"/>
    <w:rsid w:val="007A34F1"/>
    <w:rsid w:val="007A3507"/>
    <w:rsid w:val="007A35AC"/>
    <w:rsid w:val="007A3709"/>
    <w:rsid w:val="007A3883"/>
    <w:rsid w:val="007A3932"/>
    <w:rsid w:val="007A39E8"/>
    <w:rsid w:val="007A3B37"/>
    <w:rsid w:val="007A3BD6"/>
    <w:rsid w:val="007A3D25"/>
    <w:rsid w:val="007A3DA9"/>
    <w:rsid w:val="007A3EC9"/>
    <w:rsid w:val="007A3EF8"/>
    <w:rsid w:val="007A3F3D"/>
    <w:rsid w:val="007A3F9F"/>
    <w:rsid w:val="007A40C2"/>
    <w:rsid w:val="007A411B"/>
    <w:rsid w:val="007A41AF"/>
    <w:rsid w:val="007A426D"/>
    <w:rsid w:val="007A441C"/>
    <w:rsid w:val="007A4434"/>
    <w:rsid w:val="007A448D"/>
    <w:rsid w:val="007A46A5"/>
    <w:rsid w:val="007A4817"/>
    <w:rsid w:val="007A4A3C"/>
    <w:rsid w:val="007A4B40"/>
    <w:rsid w:val="007A4BB5"/>
    <w:rsid w:val="007A4C3F"/>
    <w:rsid w:val="007A4D18"/>
    <w:rsid w:val="007A4D70"/>
    <w:rsid w:val="007A4E82"/>
    <w:rsid w:val="007A4F01"/>
    <w:rsid w:val="007A4FAC"/>
    <w:rsid w:val="007A5332"/>
    <w:rsid w:val="007A5349"/>
    <w:rsid w:val="007A544B"/>
    <w:rsid w:val="007A549E"/>
    <w:rsid w:val="007A54ED"/>
    <w:rsid w:val="007A553C"/>
    <w:rsid w:val="007A55A9"/>
    <w:rsid w:val="007A562B"/>
    <w:rsid w:val="007A589A"/>
    <w:rsid w:val="007A58E1"/>
    <w:rsid w:val="007A5A7F"/>
    <w:rsid w:val="007A5AAA"/>
    <w:rsid w:val="007A5C92"/>
    <w:rsid w:val="007A5DAC"/>
    <w:rsid w:val="007A5DD1"/>
    <w:rsid w:val="007A5E42"/>
    <w:rsid w:val="007A5F59"/>
    <w:rsid w:val="007A5FCC"/>
    <w:rsid w:val="007A61E6"/>
    <w:rsid w:val="007A61F1"/>
    <w:rsid w:val="007A6363"/>
    <w:rsid w:val="007A655F"/>
    <w:rsid w:val="007A6572"/>
    <w:rsid w:val="007A66A0"/>
    <w:rsid w:val="007A677E"/>
    <w:rsid w:val="007A67AD"/>
    <w:rsid w:val="007A691D"/>
    <w:rsid w:val="007A6961"/>
    <w:rsid w:val="007A6979"/>
    <w:rsid w:val="007A6996"/>
    <w:rsid w:val="007A69A0"/>
    <w:rsid w:val="007A69FA"/>
    <w:rsid w:val="007A6A14"/>
    <w:rsid w:val="007A6A76"/>
    <w:rsid w:val="007A6A96"/>
    <w:rsid w:val="007A6D2B"/>
    <w:rsid w:val="007A6DB9"/>
    <w:rsid w:val="007A6E9D"/>
    <w:rsid w:val="007A6F23"/>
    <w:rsid w:val="007A6F67"/>
    <w:rsid w:val="007A703E"/>
    <w:rsid w:val="007A7070"/>
    <w:rsid w:val="007A7144"/>
    <w:rsid w:val="007A72E9"/>
    <w:rsid w:val="007A7323"/>
    <w:rsid w:val="007A73E1"/>
    <w:rsid w:val="007A7503"/>
    <w:rsid w:val="007A7642"/>
    <w:rsid w:val="007A76BC"/>
    <w:rsid w:val="007A76C6"/>
    <w:rsid w:val="007A7807"/>
    <w:rsid w:val="007A7931"/>
    <w:rsid w:val="007A7938"/>
    <w:rsid w:val="007A7B07"/>
    <w:rsid w:val="007A7C1C"/>
    <w:rsid w:val="007A7C2B"/>
    <w:rsid w:val="007A7C92"/>
    <w:rsid w:val="007A7D75"/>
    <w:rsid w:val="007A7E7B"/>
    <w:rsid w:val="007A7F47"/>
    <w:rsid w:val="007A7FE9"/>
    <w:rsid w:val="007B0071"/>
    <w:rsid w:val="007B0150"/>
    <w:rsid w:val="007B0190"/>
    <w:rsid w:val="007B01C1"/>
    <w:rsid w:val="007B035D"/>
    <w:rsid w:val="007B05FE"/>
    <w:rsid w:val="007B06CD"/>
    <w:rsid w:val="007B0761"/>
    <w:rsid w:val="007B07C7"/>
    <w:rsid w:val="007B0857"/>
    <w:rsid w:val="007B09F1"/>
    <w:rsid w:val="007B0C7F"/>
    <w:rsid w:val="007B0D08"/>
    <w:rsid w:val="007B0DAF"/>
    <w:rsid w:val="007B0E98"/>
    <w:rsid w:val="007B0F95"/>
    <w:rsid w:val="007B1034"/>
    <w:rsid w:val="007B119E"/>
    <w:rsid w:val="007B11D8"/>
    <w:rsid w:val="007B130E"/>
    <w:rsid w:val="007B133F"/>
    <w:rsid w:val="007B138B"/>
    <w:rsid w:val="007B13A7"/>
    <w:rsid w:val="007B15C4"/>
    <w:rsid w:val="007B1699"/>
    <w:rsid w:val="007B1701"/>
    <w:rsid w:val="007B1753"/>
    <w:rsid w:val="007B180F"/>
    <w:rsid w:val="007B18F4"/>
    <w:rsid w:val="007B1904"/>
    <w:rsid w:val="007B1BCB"/>
    <w:rsid w:val="007B1CD1"/>
    <w:rsid w:val="007B1CDE"/>
    <w:rsid w:val="007B1E33"/>
    <w:rsid w:val="007B1ECA"/>
    <w:rsid w:val="007B1EED"/>
    <w:rsid w:val="007B1EF4"/>
    <w:rsid w:val="007B1F21"/>
    <w:rsid w:val="007B202F"/>
    <w:rsid w:val="007B2071"/>
    <w:rsid w:val="007B2100"/>
    <w:rsid w:val="007B215D"/>
    <w:rsid w:val="007B21D6"/>
    <w:rsid w:val="007B227B"/>
    <w:rsid w:val="007B22A4"/>
    <w:rsid w:val="007B23D9"/>
    <w:rsid w:val="007B2535"/>
    <w:rsid w:val="007B25CE"/>
    <w:rsid w:val="007B2764"/>
    <w:rsid w:val="007B28F9"/>
    <w:rsid w:val="007B2A16"/>
    <w:rsid w:val="007B2A66"/>
    <w:rsid w:val="007B2A9B"/>
    <w:rsid w:val="007B2BA7"/>
    <w:rsid w:val="007B2CBF"/>
    <w:rsid w:val="007B2E2D"/>
    <w:rsid w:val="007B2F14"/>
    <w:rsid w:val="007B31C5"/>
    <w:rsid w:val="007B3253"/>
    <w:rsid w:val="007B3358"/>
    <w:rsid w:val="007B3435"/>
    <w:rsid w:val="007B3526"/>
    <w:rsid w:val="007B35A0"/>
    <w:rsid w:val="007B3657"/>
    <w:rsid w:val="007B3859"/>
    <w:rsid w:val="007B3A5E"/>
    <w:rsid w:val="007B3B0E"/>
    <w:rsid w:val="007B3B2D"/>
    <w:rsid w:val="007B3B75"/>
    <w:rsid w:val="007B3BB1"/>
    <w:rsid w:val="007B3CB0"/>
    <w:rsid w:val="007B3EE9"/>
    <w:rsid w:val="007B3FAA"/>
    <w:rsid w:val="007B439F"/>
    <w:rsid w:val="007B4519"/>
    <w:rsid w:val="007B4657"/>
    <w:rsid w:val="007B4829"/>
    <w:rsid w:val="007B48C3"/>
    <w:rsid w:val="007B4900"/>
    <w:rsid w:val="007B494B"/>
    <w:rsid w:val="007B4964"/>
    <w:rsid w:val="007B4A13"/>
    <w:rsid w:val="007B4B51"/>
    <w:rsid w:val="007B4B92"/>
    <w:rsid w:val="007B4D76"/>
    <w:rsid w:val="007B4D77"/>
    <w:rsid w:val="007B4DDD"/>
    <w:rsid w:val="007B4E95"/>
    <w:rsid w:val="007B4F46"/>
    <w:rsid w:val="007B4F95"/>
    <w:rsid w:val="007B521E"/>
    <w:rsid w:val="007B5309"/>
    <w:rsid w:val="007B538D"/>
    <w:rsid w:val="007B53FF"/>
    <w:rsid w:val="007B543D"/>
    <w:rsid w:val="007B5449"/>
    <w:rsid w:val="007B547C"/>
    <w:rsid w:val="007B54CE"/>
    <w:rsid w:val="007B5561"/>
    <w:rsid w:val="007B5635"/>
    <w:rsid w:val="007B5651"/>
    <w:rsid w:val="007B56E6"/>
    <w:rsid w:val="007B5707"/>
    <w:rsid w:val="007B5796"/>
    <w:rsid w:val="007B5C23"/>
    <w:rsid w:val="007B5E49"/>
    <w:rsid w:val="007B5E78"/>
    <w:rsid w:val="007B62F3"/>
    <w:rsid w:val="007B62F5"/>
    <w:rsid w:val="007B6361"/>
    <w:rsid w:val="007B64C2"/>
    <w:rsid w:val="007B6581"/>
    <w:rsid w:val="007B685B"/>
    <w:rsid w:val="007B689A"/>
    <w:rsid w:val="007B68C0"/>
    <w:rsid w:val="007B6B68"/>
    <w:rsid w:val="007B6BA3"/>
    <w:rsid w:val="007B6C08"/>
    <w:rsid w:val="007B6D38"/>
    <w:rsid w:val="007B6D90"/>
    <w:rsid w:val="007B6DB2"/>
    <w:rsid w:val="007B6DBC"/>
    <w:rsid w:val="007B6F95"/>
    <w:rsid w:val="007B720E"/>
    <w:rsid w:val="007B7551"/>
    <w:rsid w:val="007B75F3"/>
    <w:rsid w:val="007B7602"/>
    <w:rsid w:val="007B7685"/>
    <w:rsid w:val="007B76E1"/>
    <w:rsid w:val="007B7745"/>
    <w:rsid w:val="007B77CE"/>
    <w:rsid w:val="007B77E0"/>
    <w:rsid w:val="007B78E6"/>
    <w:rsid w:val="007B78F5"/>
    <w:rsid w:val="007B7943"/>
    <w:rsid w:val="007B79E8"/>
    <w:rsid w:val="007B7A26"/>
    <w:rsid w:val="007B7BCE"/>
    <w:rsid w:val="007B7C01"/>
    <w:rsid w:val="007B7C11"/>
    <w:rsid w:val="007B7D2C"/>
    <w:rsid w:val="007B7DB0"/>
    <w:rsid w:val="007B7FA0"/>
    <w:rsid w:val="007C005D"/>
    <w:rsid w:val="007C018E"/>
    <w:rsid w:val="007C02A1"/>
    <w:rsid w:val="007C02CD"/>
    <w:rsid w:val="007C02EC"/>
    <w:rsid w:val="007C044C"/>
    <w:rsid w:val="007C050D"/>
    <w:rsid w:val="007C05DE"/>
    <w:rsid w:val="007C0634"/>
    <w:rsid w:val="007C0708"/>
    <w:rsid w:val="007C07D7"/>
    <w:rsid w:val="007C08B7"/>
    <w:rsid w:val="007C09C1"/>
    <w:rsid w:val="007C0A44"/>
    <w:rsid w:val="007C0BCF"/>
    <w:rsid w:val="007C0C07"/>
    <w:rsid w:val="007C0C49"/>
    <w:rsid w:val="007C0D2B"/>
    <w:rsid w:val="007C125E"/>
    <w:rsid w:val="007C1284"/>
    <w:rsid w:val="007C1329"/>
    <w:rsid w:val="007C135A"/>
    <w:rsid w:val="007C1487"/>
    <w:rsid w:val="007C151F"/>
    <w:rsid w:val="007C15A9"/>
    <w:rsid w:val="007C1622"/>
    <w:rsid w:val="007C16E8"/>
    <w:rsid w:val="007C1764"/>
    <w:rsid w:val="007C1870"/>
    <w:rsid w:val="007C187B"/>
    <w:rsid w:val="007C194A"/>
    <w:rsid w:val="007C1965"/>
    <w:rsid w:val="007C1979"/>
    <w:rsid w:val="007C19B4"/>
    <w:rsid w:val="007C1B8D"/>
    <w:rsid w:val="007C1D28"/>
    <w:rsid w:val="007C1DE1"/>
    <w:rsid w:val="007C1F06"/>
    <w:rsid w:val="007C1F43"/>
    <w:rsid w:val="007C2195"/>
    <w:rsid w:val="007C2210"/>
    <w:rsid w:val="007C2304"/>
    <w:rsid w:val="007C234E"/>
    <w:rsid w:val="007C246B"/>
    <w:rsid w:val="007C25EF"/>
    <w:rsid w:val="007C2815"/>
    <w:rsid w:val="007C291B"/>
    <w:rsid w:val="007C2A6E"/>
    <w:rsid w:val="007C2A8E"/>
    <w:rsid w:val="007C2AF9"/>
    <w:rsid w:val="007C2B76"/>
    <w:rsid w:val="007C2BBE"/>
    <w:rsid w:val="007C2BEC"/>
    <w:rsid w:val="007C2C16"/>
    <w:rsid w:val="007C2CA1"/>
    <w:rsid w:val="007C2CCD"/>
    <w:rsid w:val="007C2DEB"/>
    <w:rsid w:val="007C2E06"/>
    <w:rsid w:val="007C2E9B"/>
    <w:rsid w:val="007C3108"/>
    <w:rsid w:val="007C3184"/>
    <w:rsid w:val="007C31E3"/>
    <w:rsid w:val="007C3227"/>
    <w:rsid w:val="007C35F1"/>
    <w:rsid w:val="007C374A"/>
    <w:rsid w:val="007C3776"/>
    <w:rsid w:val="007C37EA"/>
    <w:rsid w:val="007C3833"/>
    <w:rsid w:val="007C389F"/>
    <w:rsid w:val="007C3AAD"/>
    <w:rsid w:val="007C3B53"/>
    <w:rsid w:val="007C3C81"/>
    <w:rsid w:val="007C3CDF"/>
    <w:rsid w:val="007C3DD0"/>
    <w:rsid w:val="007C3F19"/>
    <w:rsid w:val="007C42B2"/>
    <w:rsid w:val="007C42D7"/>
    <w:rsid w:val="007C43DB"/>
    <w:rsid w:val="007C44AC"/>
    <w:rsid w:val="007C44D8"/>
    <w:rsid w:val="007C44F9"/>
    <w:rsid w:val="007C44FF"/>
    <w:rsid w:val="007C463B"/>
    <w:rsid w:val="007C4732"/>
    <w:rsid w:val="007C483A"/>
    <w:rsid w:val="007C4A87"/>
    <w:rsid w:val="007C4BCF"/>
    <w:rsid w:val="007C4C2D"/>
    <w:rsid w:val="007C4CD0"/>
    <w:rsid w:val="007C4D3C"/>
    <w:rsid w:val="007C4D44"/>
    <w:rsid w:val="007C4D85"/>
    <w:rsid w:val="007C4DBF"/>
    <w:rsid w:val="007C4E3C"/>
    <w:rsid w:val="007C4E7B"/>
    <w:rsid w:val="007C4F5A"/>
    <w:rsid w:val="007C50B4"/>
    <w:rsid w:val="007C5180"/>
    <w:rsid w:val="007C5384"/>
    <w:rsid w:val="007C5423"/>
    <w:rsid w:val="007C544A"/>
    <w:rsid w:val="007C54FF"/>
    <w:rsid w:val="007C5517"/>
    <w:rsid w:val="007C5641"/>
    <w:rsid w:val="007C576A"/>
    <w:rsid w:val="007C5776"/>
    <w:rsid w:val="007C584A"/>
    <w:rsid w:val="007C58A7"/>
    <w:rsid w:val="007C5C3A"/>
    <w:rsid w:val="007C5E18"/>
    <w:rsid w:val="007C5EAE"/>
    <w:rsid w:val="007C5F90"/>
    <w:rsid w:val="007C5F93"/>
    <w:rsid w:val="007C5FD1"/>
    <w:rsid w:val="007C6043"/>
    <w:rsid w:val="007C6085"/>
    <w:rsid w:val="007C60D8"/>
    <w:rsid w:val="007C6589"/>
    <w:rsid w:val="007C65AA"/>
    <w:rsid w:val="007C65AE"/>
    <w:rsid w:val="007C69A4"/>
    <w:rsid w:val="007C69AE"/>
    <w:rsid w:val="007C6A00"/>
    <w:rsid w:val="007C6D21"/>
    <w:rsid w:val="007C6D66"/>
    <w:rsid w:val="007C6DC9"/>
    <w:rsid w:val="007C6E66"/>
    <w:rsid w:val="007C6FDE"/>
    <w:rsid w:val="007C70BD"/>
    <w:rsid w:val="007C7154"/>
    <w:rsid w:val="007C715B"/>
    <w:rsid w:val="007C71F1"/>
    <w:rsid w:val="007C72B0"/>
    <w:rsid w:val="007C7381"/>
    <w:rsid w:val="007C750F"/>
    <w:rsid w:val="007C752F"/>
    <w:rsid w:val="007C7553"/>
    <w:rsid w:val="007C7634"/>
    <w:rsid w:val="007C7673"/>
    <w:rsid w:val="007C7709"/>
    <w:rsid w:val="007C779E"/>
    <w:rsid w:val="007C7CA5"/>
    <w:rsid w:val="007C7E33"/>
    <w:rsid w:val="007C7E91"/>
    <w:rsid w:val="007C7EAB"/>
    <w:rsid w:val="007C7ECC"/>
    <w:rsid w:val="007C7EF9"/>
    <w:rsid w:val="007C7FAB"/>
    <w:rsid w:val="007C7FBD"/>
    <w:rsid w:val="007D00AA"/>
    <w:rsid w:val="007D0199"/>
    <w:rsid w:val="007D021A"/>
    <w:rsid w:val="007D0381"/>
    <w:rsid w:val="007D03D9"/>
    <w:rsid w:val="007D0435"/>
    <w:rsid w:val="007D048B"/>
    <w:rsid w:val="007D05B8"/>
    <w:rsid w:val="007D072C"/>
    <w:rsid w:val="007D0784"/>
    <w:rsid w:val="007D093E"/>
    <w:rsid w:val="007D0A44"/>
    <w:rsid w:val="007D0A7A"/>
    <w:rsid w:val="007D0A91"/>
    <w:rsid w:val="007D0AFB"/>
    <w:rsid w:val="007D0DAD"/>
    <w:rsid w:val="007D0DC8"/>
    <w:rsid w:val="007D0E5F"/>
    <w:rsid w:val="007D0EE6"/>
    <w:rsid w:val="007D0F69"/>
    <w:rsid w:val="007D103D"/>
    <w:rsid w:val="007D1079"/>
    <w:rsid w:val="007D1162"/>
    <w:rsid w:val="007D1166"/>
    <w:rsid w:val="007D1407"/>
    <w:rsid w:val="007D1476"/>
    <w:rsid w:val="007D149A"/>
    <w:rsid w:val="007D160B"/>
    <w:rsid w:val="007D1735"/>
    <w:rsid w:val="007D178B"/>
    <w:rsid w:val="007D186C"/>
    <w:rsid w:val="007D186D"/>
    <w:rsid w:val="007D191D"/>
    <w:rsid w:val="007D192B"/>
    <w:rsid w:val="007D19C9"/>
    <w:rsid w:val="007D1A13"/>
    <w:rsid w:val="007D1A81"/>
    <w:rsid w:val="007D1A8C"/>
    <w:rsid w:val="007D1C04"/>
    <w:rsid w:val="007D1CCE"/>
    <w:rsid w:val="007D1CED"/>
    <w:rsid w:val="007D1CF7"/>
    <w:rsid w:val="007D1E6C"/>
    <w:rsid w:val="007D21FF"/>
    <w:rsid w:val="007D2275"/>
    <w:rsid w:val="007D22E5"/>
    <w:rsid w:val="007D2364"/>
    <w:rsid w:val="007D23B7"/>
    <w:rsid w:val="007D2457"/>
    <w:rsid w:val="007D2484"/>
    <w:rsid w:val="007D24D6"/>
    <w:rsid w:val="007D25D2"/>
    <w:rsid w:val="007D25D9"/>
    <w:rsid w:val="007D273F"/>
    <w:rsid w:val="007D28F0"/>
    <w:rsid w:val="007D290A"/>
    <w:rsid w:val="007D29A3"/>
    <w:rsid w:val="007D2C56"/>
    <w:rsid w:val="007D2DC8"/>
    <w:rsid w:val="007D2FE9"/>
    <w:rsid w:val="007D3020"/>
    <w:rsid w:val="007D3049"/>
    <w:rsid w:val="007D304A"/>
    <w:rsid w:val="007D3106"/>
    <w:rsid w:val="007D3295"/>
    <w:rsid w:val="007D3379"/>
    <w:rsid w:val="007D33B7"/>
    <w:rsid w:val="007D3404"/>
    <w:rsid w:val="007D342A"/>
    <w:rsid w:val="007D347D"/>
    <w:rsid w:val="007D34F2"/>
    <w:rsid w:val="007D352A"/>
    <w:rsid w:val="007D35E2"/>
    <w:rsid w:val="007D3620"/>
    <w:rsid w:val="007D38C3"/>
    <w:rsid w:val="007D3A07"/>
    <w:rsid w:val="007D3AC2"/>
    <w:rsid w:val="007D3D9C"/>
    <w:rsid w:val="007D3DB9"/>
    <w:rsid w:val="007D3DFE"/>
    <w:rsid w:val="007D3F08"/>
    <w:rsid w:val="007D406E"/>
    <w:rsid w:val="007D40E1"/>
    <w:rsid w:val="007D4134"/>
    <w:rsid w:val="007D41E0"/>
    <w:rsid w:val="007D420B"/>
    <w:rsid w:val="007D42C3"/>
    <w:rsid w:val="007D4471"/>
    <w:rsid w:val="007D44CC"/>
    <w:rsid w:val="007D4596"/>
    <w:rsid w:val="007D45CD"/>
    <w:rsid w:val="007D45E1"/>
    <w:rsid w:val="007D4609"/>
    <w:rsid w:val="007D4655"/>
    <w:rsid w:val="007D46A2"/>
    <w:rsid w:val="007D481E"/>
    <w:rsid w:val="007D4853"/>
    <w:rsid w:val="007D4920"/>
    <w:rsid w:val="007D499E"/>
    <w:rsid w:val="007D4B25"/>
    <w:rsid w:val="007D4CB8"/>
    <w:rsid w:val="007D4D1C"/>
    <w:rsid w:val="007D4D38"/>
    <w:rsid w:val="007D4FB6"/>
    <w:rsid w:val="007D50AD"/>
    <w:rsid w:val="007D52D5"/>
    <w:rsid w:val="007D537A"/>
    <w:rsid w:val="007D5513"/>
    <w:rsid w:val="007D55EB"/>
    <w:rsid w:val="007D55FB"/>
    <w:rsid w:val="007D5613"/>
    <w:rsid w:val="007D5639"/>
    <w:rsid w:val="007D56E6"/>
    <w:rsid w:val="007D576E"/>
    <w:rsid w:val="007D57C8"/>
    <w:rsid w:val="007D57CA"/>
    <w:rsid w:val="007D5807"/>
    <w:rsid w:val="007D5827"/>
    <w:rsid w:val="007D58F6"/>
    <w:rsid w:val="007D59AF"/>
    <w:rsid w:val="007D5BE4"/>
    <w:rsid w:val="007D5BEE"/>
    <w:rsid w:val="007D5C93"/>
    <w:rsid w:val="007D5CC6"/>
    <w:rsid w:val="007D5DD1"/>
    <w:rsid w:val="007D5DF1"/>
    <w:rsid w:val="007D5DFB"/>
    <w:rsid w:val="007D5F74"/>
    <w:rsid w:val="007D5FB3"/>
    <w:rsid w:val="007D60B7"/>
    <w:rsid w:val="007D61B6"/>
    <w:rsid w:val="007D61FF"/>
    <w:rsid w:val="007D644C"/>
    <w:rsid w:val="007D6583"/>
    <w:rsid w:val="007D65A2"/>
    <w:rsid w:val="007D65EE"/>
    <w:rsid w:val="007D6605"/>
    <w:rsid w:val="007D6690"/>
    <w:rsid w:val="007D66D2"/>
    <w:rsid w:val="007D67CC"/>
    <w:rsid w:val="007D68A3"/>
    <w:rsid w:val="007D69B5"/>
    <w:rsid w:val="007D6A30"/>
    <w:rsid w:val="007D6A72"/>
    <w:rsid w:val="007D6AD6"/>
    <w:rsid w:val="007D6B62"/>
    <w:rsid w:val="007D6B7F"/>
    <w:rsid w:val="007D6C73"/>
    <w:rsid w:val="007D6C83"/>
    <w:rsid w:val="007D6CF7"/>
    <w:rsid w:val="007D6D08"/>
    <w:rsid w:val="007D6FCA"/>
    <w:rsid w:val="007D6FD0"/>
    <w:rsid w:val="007D7237"/>
    <w:rsid w:val="007D7349"/>
    <w:rsid w:val="007D73B9"/>
    <w:rsid w:val="007D74C5"/>
    <w:rsid w:val="007D76EA"/>
    <w:rsid w:val="007D770D"/>
    <w:rsid w:val="007D77CC"/>
    <w:rsid w:val="007D78F2"/>
    <w:rsid w:val="007D7997"/>
    <w:rsid w:val="007D7A94"/>
    <w:rsid w:val="007D7CBC"/>
    <w:rsid w:val="007D7CC7"/>
    <w:rsid w:val="007D7D8D"/>
    <w:rsid w:val="007D7F69"/>
    <w:rsid w:val="007D7FD6"/>
    <w:rsid w:val="007E004D"/>
    <w:rsid w:val="007E0175"/>
    <w:rsid w:val="007E02C3"/>
    <w:rsid w:val="007E030E"/>
    <w:rsid w:val="007E0376"/>
    <w:rsid w:val="007E0580"/>
    <w:rsid w:val="007E059D"/>
    <w:rsid w:val="007E06B7"/>
    <w:rsid w:val="007E070A"/>
    <w:rsid w:val="007E08B2"/>
    <w:rsid w:val="007E08DE"/>
    <w:rsid w:val="007E0949"/>
    <w:rsid w:val="007E0A94"/>
    <w:rsid w:val="007E0BE4"/>
    <w:rsid w:val="007E0DA5"/>
    <w:rsid w:val="007E0E7B"/>
    <w:rsid w:val="007E0E82"/>
    <w:rsid w:val="007E0F6F"/>
    <w:rsid w:val="007E0FDF"/>
    <w:rsid w:val="007E111D"/>
    <w:rsid w:val="007E12F4"/>
    <w:rsid w:val="007E1336"/>
    <w:rsid w:val="007E13F5"/>
    <w:rsid w:val="007E14AA"/>
    <w:rsid w:val="007E173C"/>
    <w:rsid w:val="007E17AF"/>
    <w:rsid w:val="007E17CB"/>
    <w:rsid w:val="007E1869"/>
    <w:rsid w:val="007E18C2"/>
    <w:rsid w:val="007E1969"/>
    <w:rsid w:val="007E1997"/>
    <w:rsid w:val="007E1998"/>
    <w:rsid w:val="007E19FD"/>
    <w:rsid w:val="007E1B0F"/>
    <w:rsid w:val="007E1B24"/>
    <w:rsid w:val="007E1C07"/>
    <w:rsid w:val="007E1DBD"/>
    <w:rsid w:val="007E2007"/>
    <w:rsid w:val="007E202A"/>
    <w:rsid w:val="007E204F"/>
    <w:rsid w:val="007E207F"/>
    <w:rsid w:val="007E23AB"/>
    <w:rsid w:val="007E2492"/>
    <w:rsid w:val="007E24B8"/>
    <w:rsid w:val="007E25CD"/>
    <w:rsid w:val="007E26BC"/>
    <w:rsid w:val="007E271D"/>
    <w:rsid w:val="007E27D8"/>
    <w:rsid w:val="007E28AD"/>
    <w:rsid w:val="007E2A5B"/>
    <w:rsid w:val="007E2B01"/>
    <w:rsid w:val="007E2B6A"/>
    <w:rsid w:val="007E2BB9"/>
    <w:rsid w:val="007E2CF0"/>
    <w:rsid w:val="007E2D11"/>
    <w:rsid w:val="007E2F4C"/>
    <w:rsid w:val="007E2FA1"/>
    <w:rsid w:val="007E2FD6"/>
    <w:rsid w:val="007E30CC"/>
    <w:rsid w:val="007E3238"/>
    <w:rsid w:val="007E3250"/>
    <w:rsid w:val="007E3283"/>
    <w:rsid w:val="007E3300"/>
    <w:rsid w:val="007E33DB"/>
    <w:rsid w:val="007E3405"/>
    <w:rsid w:val="007E347E"/>
    <w:rsid w:val="007E3490"/>
    <w:rsid w:val="007E34BA"/>
    <w:rsid w:val="007E368D"/>
    <w:rsid w:val="007E3767"/>
    <w:rsid w:val="007E37D5"/>
    <w:rsid w:val="007E3804"/>
    <w:rsid w:val="007E41B7"/>
    <w:rsid w:val="007E4237"/>
    <w:rsid w:val="007E4275"/>
    <w:rsid w:val="007E428F"/>
    <w:rsid w:val="007E4396"/>
    <w:rsid w:val="007E44F4"/>
    <w:rsid w:val="007E470D"/>
    <w:rsid w:val="007E4740"/>
    <w:rsid w:val="007E478E"/>
    <w:rsid w:val="007E48AE"/>
    <w:rsid w:val="007E4A1D"/>
    <w:rsid w:val="007E4A77"/>
    <w:rsid w:val="007E4A8D"/>
    <w:rsid w:val="007E4D4D"/>
    <w:rsid w:val="007E4D86"/>
    <w:rsid w:val="007E50A3"/>
    <w:rsid w:val="007E50A9"/>
    <w:rsid w:val="007E51D1"/>
    <w:rsid w:val="007E5263"/>
    <w:rsid w:val="007E5340"/>
    <w:rsid w:val="007E5434"/>
    <w:rsid w:val="007E5442"/>
    <w:rsid w:val="007E54E0"/>
    <w:rsid w:val="007E54F6"/>
    <w:rsid w:val="007E5772"/>
    <w:rsid w:val="007E577C"/>
    <w:rsid w:val="007E5796"/>
    <w:rsid w:val="007E5837"/>
    <w:rsid w:val="007E593A"/>
    <w:rsid w:val="007E5B5E"/>
    <w:rsid w:val="007E5BF4"/>
    <w:rsid w:val="007E5C3A"/>
    <w:rsid w:val="007E5CB7"/>
    <w:rsid w:val="007E5CFD"/>
    <w:rsid w:val="007E5D73"/>
    <w:rsid w:val="007E5E63"/>
    <w:rsid w:val="007E5F04"/>
    <w:rsid w:val="007E5F9C"/>
    <w:rsid w:val="007E5FEF"/>
    <w:rsid w:val="007E61D4"/>
    <w:rsid w:val="007E6322"/>
    <w:rsid w:val="007E6374"/>
    <w:rsid w:val="007E63BB"/>
    <w:rsid w:val="007E66D5"/>
    <w:rsid w:val="007E6734"/>
    <w:rsid w:val="007E6761"/>
    <w:rsid w:val="007E67C1"/>
    <w:rsid w:val="007E6875"/>
    <w:rsid w:val="007E693C"/>
    <w:rsid w:val="007E69C1"/>
    <w:rsid w:val="007E6A62"/>
    <w:rsid w:val="007E6AB4"/>
    <w:rsid w:val="007E6AD3"/>
    <w:rsid w:val="007E6B22"/>
    <w:rsid w:val="007E6B7A"/>
    <w:rsid w:val="007E6C3E"/>
    <w:rsid w:val="007E6E07"/>
    <w:rsid w:val="007E6E47"/>
    <w:rsid w:val="007E6ED8"/>
    <w:rsid w:val="007E6FD2"/>
    <w:rsid w:val="007E7080"/>
    <w:rsid w:val="007E716C"/>
    <w:rsid w:val="007E7293"/>
    <w:rsid w:val="007E72B2"/>
    <w:rsid w:val="007E7348"/>
    <w:rsid w:val="007E7399"/>
    <w:rsid w:val="007E73FA"/>
    <w:rsid w:val="007E7469"/>
    <w:rsid w:val="007E74A8"/>
    <w:rsid w:val="007E74F6"/>
    <w:rsid w:val="007E751B"/>
    <w:rsid w:val="007E75A1"/>
    <w:rsid w:val="007E76B3"/>
    <w:rsid w:val="007E790B"/>
    <w:rsid w:val="007E79DC"/>
    <w:rsid w:val="007E7A59"/>
    <w:rsid w:val="007E7B0D"/>
    <w:rsid w:val="007E7CD6"/>
    <w:rsid w:val="007E7D8A"/>
    <w:rsid w:val="007E7E17"/>
    <w:rsid w:val="007E7E56"/>
    <w:rsid w:val="007E7F04"/>
    <w:rsid w:val="007E7F1A"/>
    <w:rsid w:val="007E7F63"/>
    <w:rsid w:val="007E7FBA"/>
    <w:rsid w:val="007F0011"/>
    <w:rsid w:val="007F0198"/>
    <w:rsid w:val="007F01F3"/>
    <w:rsid w:val="007F0265"/>
    <w:rsid w:val="007F02EF"/>
    <w:rsid w:val="007F0389"/>
    <w:rsid w:val="007F0540"/>
    <w:rsid w:val="007F0717"/>
    <w:rsid w:val="007F08FF"/>
    <w:rsid w:val="007F0942"/>
    <w:rsid w:val="007F0A9A"/>
    <w:rsid w:val="007F0AA1"/>
    <w:rsid w:val="007F0AE8"/>
    <w:rsid w:val="007F0B4E"/>
    <w:rsid w:val="007F0C44"/>
    <w:rsid w:val="007F0CC7"/>
    <w:rsid w:val="007F0D13"/>
    <w:rsid w:val="007F0D26"/>
    <w:rsid w:val="007F0F04"/>
    <w:rsid w:val="007F10E2"/>
    <w:rsid w:val="007F11CF"/>
    <w:rsid w:val="007F1412"/>
    <w:rsid w:val="007F172E"/>
    <w:rsid w:val="007F17B6"/>
    <w:rsid w:val="007F17E6"/>
    <w:rsid w:val="007F1C95"/>
    <w:rsid w:val="007F1D88"/>
    <w:rsid w:val="007F1EC4"/>
    <w:rsid w:val="007F1F03"/>
    <w:rsid w:val="007F215A"/>
    <w:rsid w:val="007F231B"/>
    <w:rsid w:val="007F2446"/>
    <w:rsid w:val="007F245A"/>
    <w:rsid w:val="007F246D"/>
    <w:rsid w:val="007F24C9"/>
    <w:rsid w:val="007F254C"/>
    <w:rsid w:val="007F26AF"/>
    <w:rsid w:val="007F2892"/>
    <w:rsid w:val="007F28FD"/>
    <w:rsid w:val="007F29B7"/>
    <w:rsid w:val="007F2A55"/>
    <w:rsid w:val="007F2B27"/>
    <w:rsid w:val="007F2BFC"/>
    <w:rsid w:val="007F2D2D"/>
    <w:rsid w:val="007F2FBA"/>
    <w:rsid w:val="007F2FD5"/>
    <w:rsid w:val="007F2FE5"/>
    <w:rsid w:val="007F30F8"/>
    <w:rsid w:val="007F3131"/>
    <w:rsid w:val="007F325F"/>
    <w:rsid w:val="007F32B1"/>
    <w:rsid w:val="007F330A"/>
    <w:rsid w:val="007F3337"/>
    <w:rsid w:val="007F33A2"/>
    <w:rsid w:val="007F3492"/>
    <w:rsid w:val="007F34C7"/>
    <w:rsid w:val="007F34F2"/>
    <w:rsid w:val="007F34FD"/>
    <w:rsid w:val="007F3517"/>
    <w:rsid w:val="007F3886"/>
    <w:rsid w:val="007F3912"/>
    <w:rsid w:val="007F3AA6"/>
    <w:rsid w:val="007F3AD6"/>
    <w:rsid w:val="007F3BBE"/>
    <w:rsid w:val="007F3CDF"/>
    <w:rsid w:val="007F3D48"/>
    <w:rsid w:val="007F3E2C"/>
    <w:rsid w:val="007F3FA2"/>
    <w:rsid w:val="007F3FB0"/>
    <w:rsid w:val="007F3FD5"/>
    <w:rsid w:val="007F4030"/>
    <w:rsid w:val="007F41CF"/>
    <w:rsid w:val="007F41DF"/>
    <w:rsid w:val="007F4265"/>
    <w:rsid w:val="007F426A"/>
    <w:rsid w:val="007F44FF"/>
    <w:rsid w:val="007F4554"/>
    <w:rsid w:val="007F45C7"/>
    <w:rsid w:val="007F4729"/>
    <w:rsid w:val="007F4750"/>
    <w:rsid w:val="007F47CA"/>
    <w:rsid w:val="007F489E"/>
    <w:rsid w:val="007F4999"/>
    <w:rsid w:val="007F4B6B"/>
    <w:rsid w:val="007F4EF3"/>
    <w:rsid w:val="007F4F12"/>
    <w:rsid w:val="007F4F9B"/>
    <w:rsid w:val="007F516E"/>
    <w:rsid w:val="007F5185"/>
    <w:rsid w:val="007F51EE"/>
    <w:rsid w:val="007F5293"/>
    <w:rsid w:val="007F52BF"/>
    <w:rsid w:val="007F53E8"/>
    <w:rsid w:val="007F541F"/>
    <w:rsid w:val="007F54CE"/>
    <w:rsid w:val="007F56DF"/>
    <w:rsid w:val="007F57EB"/>
    <w:rsid w:val="007F596C"/>
    <w:rsid w:val="007F5AC1"/>
    <w:rsid w:val="007F5ACE"/>
    <w:rsid w:val="007F5C70"/>
    <w:rsid w:val="007F5E8A"/>
    <w:rsid w:val="007F5F1D"/>
    <w:rsid w:val="007F5F85"/>
    <w:rsid w:val="007F61AE"/>
    <w:rsid w:val="007F6221"/>
    <w:rsid w:val="007F6289"/>
    <w:rsid w:val="007F62EB"/>
    <w:rsid w:val="007F6367"/>
    <w:rsid w:val="007F637D"/>
    <w:rsid w:val="007F63AE"/>
    <w:rsid w:val="007F63CF"/>
    <w:rsid w:val="007F640E"/>
    <w:rsid w:val="007F655E"/>
    <w:rsid w:val="007F69FE"/>
    <w:rsid w:val="007F6A18"/>
    <w:rsid w:val="007F6C03"/>
    <w:rsid w:val="007F6C33"/>
    <w:rsid w:val="007F6CB9"/>
    <w:rsid w:val="007F6D18"/>
    <w:rsid w:val="007F6DB0"/>
    <w:rsid w:val="007F6DF4"/>
    <w:rsid w:val="007F6E34"/>
    <w:rsid w:val="007F6E43"/>
    <w:rsid w:val="007F6E81"/>
    <w:rsid w:val="007F6F73"/>
    <w:rsid w:val="007F6F8F"/>
    <w:rsid w:val="007F721F"/>
    <w:rsid w:val="007F7302"/>
    <w:rsid w:val="007F7315"/>
    <w:rsid w:val="007F7546"/>
    <w:rsid w:val="007F759E"/>
    <w:rsid w:val="007F75F3"/>
    <w:rsid w:val="007F78EF"/>
    <w:rsid w:val="007F798E"/>
    <w:rsid w:val="007F79AD"/>
    <w:rsid w:val="007F7B1C"/>
    <w:rsid w:val="007F7B9C"/>
    <w:rsid w:val="007F7CCA"/>
    <w:rsid w:val="007F7D7F"/>
    <w:rsid w:val="007F7D8E"/>
    <w:rsid w:val="007F7E16"/>
    <w:rsid w:val="007F7E1E"/>
    <w:rsid w:val="007F7E42"/>
    <w:rsid w:val="007F7ECC"/>
    <w:rsid w:val="007F7EE5"/>
    <w:rsid w:val="00800040"/>
    <w:rsid w:val="0080015A"/>
    <w:rsid w:val="008001AD"/>
    <w:rsid w:val="008003B4"/>
    <w:rsid w:val="008003FF"/>
    <w:rsid w:val="00800811"/>
    <w:rsid w:val="008008C2"/>
    <w:rsid w:val="008009A2"/>
    <w:rsid w:val="00800A87"/>
    <w:rsid w:val="00800AA9"/>
    <w:rsid w:val="00800B60"/>
    <w:rsid w:val="00800BB7"/>
    <w:rsid w:val="00800C08"/>
    <w:rsid w:val="00800DEC"/>
    <w:rsid w:val="00800F19"/>
    <w:rsid w:val="00800F81"/>
    <w:rsid w:val="0080101E"/>
    <w:rsid w:val="00801292"/>
    <w:rsid w:val="00801389"/>
    <w:rsid w:val="0080184A"/>
    <w:rsid w:val="0080185A"/>
    <w:rsid w:val="0080187F"/>
    <w:rsid w:val="008018B3"/>
    <w:rsid w:val="00801B20"/>
    <w:rsid w:val="00801B62"/>
    <w:rsid w:val="00801BA0"/>
    <w:rsid w:val="00801BCE"/>
    <w:rsid w:val="00801C55"/>
    <w:rsid w:val="00801CA8"/>
    <w:rsid w:val="00801F95"/>
    <w:rsid w:val="00801FC5"/>
    <w:rsid w:val="00801FD3"/>
    <w:rsid w:val="00802039"/>
    <w:rsid w:val="00802124"/>
    <w:rsid w:val="008023CA"/>
    <w:rsid w:val="00802407"/>
    <w:rsid w:val="008024FE"/>
    <w:rsid w:val="00802508"/>
    <w:rsid w:val="0080254C"/>
    <w:rsid w:val="0080257D"/>
    <w:rsid w:val="008025BE"/>
    <w:rsid w:val="00802618"/>
    <w:rsid w:val="0080263E"/>
    <w:rsid w:val="008026D4"/>
    <w:rsid w:val="00802795"/>
    <w:rsid w:val="00802830"/>
    <w:rsid w:val="008028C7"/>
    <w:rsid w:val="008029FA"/>
    <w:rsid w:val="00802DE7"/>
    <w:rsid w:val="00802E8C"/>
    <w:rsid w:val="00802EB3"/>
    <w:rsid w:val="00802EB6"/>
    <w:rsid w:val="00802F51"/>
    <w:rsid w:val="00802FF6"/>
    <w:rsid w:val="0080303D"/>
    <w:rsid w:val="00803109"/>
    <w:rsid w:val="0080315C"/>
    <w:rsid w:val="0080319E"/>
    <w:rsid w:val="0080335D"/>
    <w:rsid w:val="00803392"/>
    <w:rsid w:val="0080358A"/>
    <w:rsid w:val="008036A0"/>
    <w:rsid w:val="008036AD"/>
    <w:rsid w:val="008036D4"/>
    <w:rsid w:val="00803701"/>
    <w:rsid w:val="008037C3"/>
    <w:rsid w:val="00803855"/>
    <w:rsid w:val="008038F6"/>
    <w:rsid w:val="00803A68"/>
    <w:rsid w:val="00803AB2"/>
    <w:rsid w:val="00803ED4"/>
    <w:rsid w:val="00803F3A"/>
    <w:rsid w:val="00803F5F"/>
    <w:rsid w:val="00804134"/>
    <w:rsid w:val="008041C5"/>
    <w:rsid w:val="00804341"/>
    <w:rsid w:val="00804343"/>
    <w:rsid w:val="0080443E"/>
    <w:rsid w:val="008044A7"/>
    <w:rsid w:val="0080458B"/>
    <w:rsid w:val="008045B8"/>
    <w:rsid w:val="008045B9"/>
    <w:rsid w:val="0080460D"/>
    <w:rsid w:val="00804639"/>
    <w:rsid w:val="008046C6"/>
    <w:rsid w:val="00804730"/>
    <w:rsid w:val="0080476F"/>
    <w:rsid w:val="00804774"/>
    <w:rsid w:val="00804796"/>
    <w:rsid w:val="00804915"/>
    <w:rsid w:val="008049CA"/>
    <w:rsid w:val="00804A9E"/>
    <w:rsid w:val="00804AAD"/>
    <w:rsid w:val="00804B3A"/>
    <w:rsid w:val="00804C37"/>
    <w:rsid w:val="00804C4B"/>
    <w:rsid w:val="00804E16"/>
    <w:rsid w:val="00804F1E"/>
    <w:rsid w:val="00804F82"/>
    <w:rsid w:val="00804FBF"/>
    <w:rsid w:val="0080502C"/>
    <w:rsid w:val="0080505D"/>
    <w:rsid w:val="008050D4"/>
    <w:rsid w:val="0080518D"/>
    <w:rsid w:val="008055A7"/>
    <w:rsid w:val="00805622"/>
    <w:rsid w:val="00805661"/>
    <w:rsid w:val="008057A9"/>
    <w:rsid w:val="008057EB"/>
    <w:rsid w:val="008058F8"/>
    <w:rsid w:val="008059A7"/>
    <w:rsid w:val="008059F8"/>
    <w:rsid w:val="00805E45"/>
    <w:rsid w:val="00805E52"/>
    <w:rsid w:val="00805F1A"/>
    <w:rsid w:val="00806067"/>
    <w:rsid w:val="0080629E"/>
    <w:rsid w:val="008062CB"/>
    <w:rsid w:val="0080634C"/>
    <w:rsid w:val="0080637C"/>
    <w:rsid w:val="00806451"/>
    <w:rsid w:val="0080647A"/>
    <w:rsid w:val="00806549"/>
    <w:rsid w:val="00806647"/>
    <w:rsid w:val="0080673C"/>
    <w:rsid w:val="00806A0B"/>
    <w:rsid w:val="00806AB8"/>
    <w:rsid w:val="00806C81"/>
    <w:rsid w:val="00806CFA"/>
    <w:rsid w:val="00806D69"/>
    <w:rsid w:val="00806DFE"/>
    <w:rsid w:val="00806E11"/>
    <w:rsid w:val="00806EB5"/>
    <w:rsid w:val="0080710F"/>
    <w:rsid w:val="0080723C"/>
    <w:rsid w:val="00807269"/>
    <w:rsid w:val="00807277"/>
    <w:rsid w:val="00807288"/>
    <w:rsid w:val="00807308"/>
    <w:rsid w:val="00807365"/>
    <w:rsid w:val="0080745D"/>
    <w:rsid w:val="00807484"/>
    <w:rsid w:val="00807493"/>
    <w:rsid w:val="008074A5"/>
    <w:rsid w:val="0080753D"/>
    <w:rsid w:val="008076A8"/>
    <w:rsid w:val="0080779B"/>
    <w:rsid w:val="008078D4"/>
    <w:rsid w:val="00807A94"/>
    <w:rsid w:val="00807BE2"/>
    <w:rsid w:val="00807D6E"/>
    <w:rsid w:val="00807DFE"/>
    <w:rsid w:val="00807EF8"/>
    <w:rsid w:val="00807F6A"/>
    <w:rsid w:val="00810020"/>
    <w:rsid w:val="008100FA"/>
    <w:rsid w:val="00810334"/>
    <w:rsid w:val="00810395"/>
    <w:rsid w:val="008103B2"/>
    <w:rsid w:val="00810402"/>
    <w:rsid w:val="008106FE"/>
    <w:rsid w:val="00810792"/>
    <w:rsid w:val="0081087B"/>
    <w:rsid w:val="00810919"/>
    <w:rsid w:val="00810B44"/>
    <w:rsid w:val="00810B92"/>
    <w:rsid w:val="00810DEB"/>
    <w:rsid w:val="00810ED1"/>
    <w:rsid w:val="00810F69"/>
    <w:rsid w:val="008110E3"/>
    <w:rsid w:val="00811135"/>
    <w:rsid w:val="00811222"/>
    <w:rsid w:val="00811309"/>
    <w:rsid w:val="00811363"/>
    <w:rsid w:val="008113A1"/>
    <w:rsid w:val="008113E9"/>
    <w:rsid w:val="00811444"/>
    <w:rsid w:val="00811479"/>
    <w:rsid w:val="008114B2"/>
    <w:rsid w:val="008114EC"/>
    <w:rsid w:val="0081158B"/>
    <w:rsid w:val="00811596"/>
    <w:rsid w:val="008115A9"/>
    <w:rsid w:val="00811768"/>
    <w:rsid w:val="008118DD"/>
    <w:rsid w:val="00811A06"/>
    <w:rsid w:val="00811AFB"/>
    <w:rsid w:val="00811C62"/>
    <w:rsid w:val="00811D2B"/>
    <w:rsid w:val="00811E64"/>
    <w:rsid w:val="00811F11"/>
    <w:rsid w:val="00811FEE"/>
    <w:rsid w:val="008121D8"/>
    <w:rsid w:val="0081229D"/>
    <w:rsid w:val="00812321"/>
    <w:rsid w:val="0081239E"/>
    <w:rsid w:val="008123AC"/>
    <w:rsid w:val="008126C2"/>
    <w:rsid w:val="00812833"/>
    <w:rsid w:val="00812859"/>
    <w:rsid w:val="0081290F"/>
    <w:rsid w:val="00812AFF"/>
    <w:rsid w:val="00812C16"/>
    <w:rsid w:val="00812CB3"/>
    <w:rsid w:val="00812D5B"/>
    <w:rsid w:val="00812DB9"/>
    <w:rsid w:val="00812EAD"/>
    <w:rsid w:val="00812EDF"/>
    <w:rsid w:val="00812F53"/>
    <w:rsid w:val="00812F64"/>
    <w:rsid w:val="00812FF6"/>
    <w:rsid w:val="0081310E"/>
    <w:rsid w:val="00813124"/>
    <w:rsid w:val="008131AA"/>
    <w:rsid w:val="0081325F"/>
    <w:rsid w:val="00813300"/>
    <w:rsid w:val="008135CF"/>
    <w:rsid w:val="0081376A"/>
    <w:rsid w:val="0081382D"/>
    <w:rsid w:val="00813897"/>
    <w:rsid w:val="00813912"/>
    <w:rsid w:val="00813B62"/>
    <w:rsid w:val="00813BFE"/>
    <w:rsid w:val="00813C1F"/>
    <w:rsid w:val="00813C6F"/>
    <w:rsid w:val="00813DCB"/>
    <w:rsid w:val="00813E6D"/>
    <w:rsid w:val="00813EA9"/>
    <w:rsid w:val="00813EE2"/>
    <w:rsid w:val="00813FE4"/>
    <w:rsid w:val="0081409E"/>
    <w:rsid w:val="0081417C"/>
    <w:rsid w:val="00814366"/>
    <w:rsid w:val="0081452E"/>
    <w:rsid w:val="008145E2"/>
    <w:rsid w:val="008146CE"/>
    <w:rsid w:val="008147F3"/>
    <w:rsid w:val="00814815"/>
    <w:rsid w:val="00814845"/>
    <w:rsid w:val="008148E8"/>
    <w:rsid w:val="0081498F"/>
    <w:rsid w:val="008149AA"/>
    <w:rsid w:val="00814A99"/>
    <w:rsid w:val="00814C4A"/>
    <w:rsid w:val="00814C78"/>
    <w:rsid w:val="00814D56"/>
    <w:rsid w:val="00814D85"/>
    <w:rsid w:val="0081511F"/>
    <w:rsid w:val="00815177"/>
    <w:rsid w:val="00815197"/>
    <w:rsid w:val="008151FE"/>
    <w:rsid w:val="0081520A"/>
    <w:rsid w:val="0081524A"/>
    <w:rsid w:val="0081525B"/>
    <w:rsid w:val="008152C2"/>
    <w:rsid w:val="0081533C"/>
    <w:rsid w:val="008153C3"/>
    <w:rsid w:val="008154D8"/>
    <w:rsid w:val="00815528"/>
    <w:rsid w:val="008155ED"/>
    <w:rsid w:val="00815647"/>
    <w:rsid w:val="00815679"/>
    <w:rsid w:val="008156E5"/>
    <w:rsid w:val="0081586B"/>
    <w:rsid w:val="00815A19"/>
    <w:rsid w:val="00815B99"/>
    <w:rsid w:val="00815BFB"/>
    <w:rsid w:val="00815C24"/>
    <w:rsid w:val="00815C38"/>
    <w:rsid w:val="00816314"/>
    <w:rsid w:val="008163B6"/>
    <w:rsid w:val="00816408"/>
    <w:rsid w:val="008164F7"/>
    <w:rsid w:val="00816716"/>
    <w:rsid w:val="008167AA"/>
    <w:rsid w:val="008168C9"/>
    <w:rsid w:val="008169CD"/>
    <w:rsid w:val="00816B6C"/>
    <w:rsid w:val="00816C5A"/>
    <w:rsid w:val="00816CFF"/>
    <w:rsid w:val="00816D55"/>
    <w:rsid w:val="00816D87"/>
    <w:rsid w:val="00816D8E"/>
    <w:rsid w:val="00816E36"/>
    <w:rsid w:val="00816E8B"/>
    <w:rsid w:val="008171F2"/>
    <w:rsid w:val="00817201"/>
    <w:rsid w:val="0081727C"/>
    <w:rsid w:val="008172ED"/>
    <w:rsid w:val="0081730B"/>
    <w:rsid w:val="00817350"/>
    <w:rsid w:val="00817438"/>
    <w:rsid w:val="008177E7"/>
    <w:rsid w:val="00817804"/>
    <w:rsid w:val="00817825"/>
    <w:rsid w:val="00817833"/>
    <w:rsid w:val="0081783B"/>
    <w:rsid w:val="0081796A"/>
    <w:rsid w:val="0081797B"/>
    <w:rsid w:val="00817AEF"/>
    <w:rsid w:val="00817B74"/>
    <w:rsid w:val="00817BA5"/>
    <w:rsid w:val="00817CFF"/>
    <w:rsid w:val="00817D8E"/>
    <w:rsid w:val="00817DD8"/>
    <w:rsid w:val="00817DF1"/>
    <w:rsid w:val="00817EB6"/>
    <w:rsid w:val="00817ED0"/>
    <w:rsid w:val="00817FAF"/>
    <w:rsid w:val="00820156"/>
    <w:rsid w:val="00820215"/>
    <w:rsid w:val="00820299"/>
    <w:rsid w:val="008204E1"/>
    <w:rsid w:val="008205D2"/>
    <w:rsid w:val="008205EE"/>
    <w:rsid w:val="008205F7"/>
    <w:rsid w:val="00820692"/>
    <w:rsid w:val="008206BB"/>
    <w:rsid w:val="0082073E"/>
    <w:rsid w:val="00820801"/>
    <w:rsid w:val="008208DD"/>
    <w:rsid w:val="00820A4E"/>
    <w:rsid w:val="00820BC0"/>
    <w:rsid w:val="00820C7B"/>
    <w:rsid w:val="00820D7E"/>
    <w:rsid w:val="008210B0"/>
    <w:rsid w:val="0082110C"/>
    <w:rsid w:val="0082111F"/>
    <w:rsid w:val="0082114A"/>
    <w:rsid w:val="00821939"/>
    <w:rsid w:val="008219FE"/>
    <w:rsid w:val="00821A60"/>
    <w:rsid w:val="00821B89"/>
    <w:rsid w:val="00821D6A"/>
    <w:rsid w:val="00821EDE"/>
    <w:rsid w:val="0082207E"/>
    <w:rsid w:val="008220AE"/>
    <w:rsid w:val="0082210E"/>
    <w:rsid w:val="0082220B"/>
    <w:rsid w:val="008222B6"/>
    <w:rsid w:val="0082238B"/>
    <w:rsid w:val="0082245F"/>
    <w:rsid w:val="00822480"/>
    <w:rsid w:val="0082258A"/>
    <w:rsid w:val="008225E9"/>
    <w:rsid w:val="00822676"/>
    <w:rsid w:val="0082270C"/>
    <w:rsid w:val="00822A22"/>
    <w:rsid w:val="00822A46"/>
    <w:rsid w:val="00822BA3"/>
    <w:rsid w:val="00822BE1"/>
    <w:rsid w:val="00822BE7"/>
    <w:rsid w:val="00822CB1"/>
    <w:rsid w:val="00822CCF"/>
    <w:rsid w:val="00822CF8"/>
    <w:rsid w:val="00822DE0"/>
    <w:rsid w:val="00822E31"/>
    <w:rsid w:val="00822E93"/>
    <w:rsid w:val="00822EB7"/>
    <w:rsid w:val="00822F83"/>
    <w:rsid w:val="0082305E"/>
    <w:rsid w:val="00823070"/>
    <w:rsid w:val="008230F6"/>
    <w:rsid w:val="008232BD"/>
    <w:rsid w:val="00823420"/>
    <w:rsid w:val="00823464"/>
    <w:rsid w:val="00823510"/>
    <w:rsid w:val="008235D4"/>
    <w:rsid w:val="00823787"/>
    <w:rsid w:val="008237B8"/>
    <w:rsid w:val="008237BE"/>
    <w:rsid w:val="0082380C"/>
    <w:rsid w:val="00823975"/>
    <w:rsid w:val="008239E7"/>
    <w:rsid w:val="008239ED"/>
    <w:rsid w:val="00823A0B"/>
    <w:rsid w:val="00823A86"/>
    <w:rsid w:val="00823B1F"/>
    <w:rsid w:val="00823BBE"/>
    <w:rsid w:val="00823C97"/>
    <w:rsid w:val="00823D08"/>
    <w:rsid w:val="00823D2F"/>
    <w:rsid w:val="00823D60"/>
    <w:rsid w:val="00823D69"/>
    <w:rsid w:val="00823D77"/>
    <w:rsid w:val="00823D7B"/>
    <w:rsid w:val="00823DAC"/>
    <w:rsid w:val="00823DBA"/>
    <w:rsid w:val="00823DE4"/>
    <w:rsid w:val="00823E77"/>
    <w:rsid w:val="00823E88"/>
    <w:rsid w:val="00823F0B"/>
    <w:rsid w:val="00824001"/>
    <w:rsid w:val="00824079"/>
    <w:rsid w:val="00824173"/>
    <w:rsid w:val="00824300"/>
    <w:rsid w:val="008243A6"/>
    <w:rsid w:val="00824400"/>
    <w:rsid w:val="00824509"/>
    <w:rsid w:val="008245BA"/>
    <w:rsid w:val="008245C9"/>
    <w:rsid w:val="00824728"/>
    <w:rsid w:val="0082479A"/>
    <w:rsid w:val="00824805"/>
    <w:rsid w:val="00824919"/>
    <w:rsid w:val="00824985"/>
    <w:rsid w:val="00824A2E"/>
    <w:rsid w:val="00824AF9"/>
    <w:rsid w:val="00824CE8"/>
    <w:rsid w:val="00824D76"/>
    <w:rsid w:val="00824E0E"/>
    <w:rsid w:val="00824EAE"/>
    <w:rsid w:val="00824EE1"/>
    <w:rsid w:val="00824F38"/>
    <w:rsid w:val="00825002"/>
    <w:rsid w:val="0082506C"/>
    <w:rsid w:val="00825128"/>
    <w:rsid w:val="0082513C"/>
    <w:rsid w:val="00825149"/>
    <w:rsid w:val="008251B6"/>
    <w:rsid w:val="008252A1"/>
    <w:rsid w:val="00825491"/>
    <w:rsid w:val="00825561"/>
    <w:rsid w:val="0082564C"/>
    <w:rsid w:val="008256E7"/>
    <w:rsid w:val="0082576D"/>
    <w:rsid w:val="0082591B"/>
    <w:rsid w:val="00825C46"/>
    <w:rsid w:val="00825CF8"/>
    <w:rsid w:val="00825E89"/>
    <w:rsid w:val="00825E9D"/>
    <w:rsid w:val="00825F2E"/>
    <w:rsid w:val="00825F4D"/>
    <w:rsid w:val="00826197"/>
    <w:rsid w:val="0082633F"/>
    <w:rsid w:val="00826376"/>
    <w:rsid w:val="008263EF"/>
    <w:rsid w:val="00826442"/>
    <w:rsid w:val="00826498"/>
    <w:rsid w:val="0082649F"/>
    <w:rsid w:val="00826552"/>
    <w:rsid w:val="008266EA"/>
    <w:rsid w:val="008268BF"/>
    <w:rsid w:val="00826999"/>
    <w:rsid w:val="008269A8"/>
    <w:rsid w:val="00826AD4"/>
    <w:rsid w:val="00826B18"/>
    <w:rsid w:val="00826C9D"/>
    <w:rsid w:val="00826CCA"/>
    <w:rsid w:val="00826D2E"/>
    <w:rsid w:val="00826F59"/>
    <w:rsid w:val="00826F95"/>
    <w:rsid w:val="0082701F"/>
    <w:rsid w:val="0082709C"/>
    <w:rsid w:val="008270B3"/>
    <w:rsid w:val="0082716E"/>
    <w:rsid w:val="00827218"/>
    <w:rsid w:val="0082723C"/>
    <w:rsid w:val="00827372"/>
    <w:rsid w:val="0082740A"/>
    <w:rsid w:val="00827461"/>
    <w:rsid w:val="0082756B"/>
    <w:rsid w:val="00827610"/>
    <w:rsid w:val="0082768B"/>
    <w:rsid w:val="008276DB"/>
    <w:rsid w:val="008276FB"/>
    <w:rsid w:val="00827766"/>
    <w:rsid w:val="008278FD"/>
    <w:rsid w:val="00827909"/>
    <w:rsid w:val="00827AD8"/>
    <w:rsid w:val="00827ADC"/>
    <w:rsid w:val="00827B3A"/>
    <w:rsid w:val="00827B51"/>
    <w:rsid w:val="00827BC1"/>
    <w:rsid w:val="00827E75"/>
    <w:rsid w:val="00827FB6"/>
    <w:rsid w:val="00827FFE"/>
    <w:rsid w:val="00830069"/>
    <w:rsid w:val="00830172"/>
    <w:rsid w:val="00830240"/>
    <w:rsid w:val="008304FA"/>
    <w:rsid w:val="0083057B"/>
    <w:rsid w:val="008305DB"/>
    <w:rsid w:val="008305DD"/>
    <w:rsid w:val="008305E4"/>
    <w:rsid w:val="008306DF"/>
    <w:rsid w:val="00830AA7"/>
    <w:rsid w:val="00830B8F"/>
    <w:rsid w:val="00830BAE"/>
    <w:rsid w:val="00830C22"/>
    <w:rsid w:val="00830C58"/>
    <w:rsid w:val="00830E36"/>
    <w:rsid w:val="00830E37"/>
    <w:rsid w:val="00830EDA"/>
    <w:rsid w:val="00830EFD"/>
    <w:rsid w:val="00830F1B"/>
    <w:rsid w:val="00830FD3"/>
    <w:rsid w:val="0083104B"/>
    <w:rsid w:val="00831084"/>
    <w:rsid w:val="008310F3"/>
    <w:rsid w:val="00831131"/>
    <w:rsid w:val="00831156"/>
    <w:rsid w:val="008312D6"/>
    <w:rsid w:val="00831315"/>
    <w:rsid w:val="008313DE"/>
    <w:rsid w:val="00831607"/>
    <w:rsid w:val="0083161C"/>
    <w:rsid w:val="008316DD"/>
    <w:rsid w:val="008316FD"/>
    <w:rsid w:val="00831716"/>
    <w:rsid w:val="00831861"/>
    <w:rsid w:val="008318BC"/>
    <w:rsid w:val="008318F6"/>
    <w:rsid w:val="00831AE6"/>
    <w:rsid w:val="00831B96"/>
    <w:rsid w:val="00831BF4"/>
    <w:rsid w:val="00831CD9"/>
    <w:rsid w:val="00831CE3"/>
    <w:rsid w:val="00831D53"/>
    <w:rsid w:val="00831D7F"/>
    <w:rsid w:val="00831DD9"/>
    <w:rsid w:val="00831DF9"/>
    <w:rsid w:val="00831E16"/>
    <w:rsid w:val="00831E38"/>
    <w:rsid w:val="00831E44"/>
    <w:rsid w:val="00831E83"/>
    <w:rsid w:val="00831F44"/>
    <w:rsid w:val="00831FA5"/>
    <w:rsid w:val="00831FFB"/>
    <w:rsid w:val="00832000"/>
    <w:rsid w:val="0083211F"/>
    <w:rsid w:val="00832129"/>
    <w:rsid w:val="0083249C"/>
    <w:rsid w:val="0083264F"/>
    <w:rsid w:val="00832991"/>
    <w:rsid w:val="008329D7"/>
    <w:rsid w:val="00832ACF"/>
    <w:rsid w:val="00832AD4"/>
    <w:rsid w:val="00832B14"/>
    <w:rsid w:val="00832C7E"/>
    <w:rsid w:val="00832D3F"/>
    <w:rsid w:val="00832D5B"/>
    <w:rsid w:val="00832FEB"/>
    <w:rsid w:val="008332C9"/>
    <w:rsid w:val="008333B0"/>
    <w:rsid w:val="0083351E"/>
    <w:rsid w:val="008337A8"/>
    <w:rsid w:val="008337BA"/>
    <w:rsid w:val="00833A44"/>
    <w:rsid w:val="00833A96"/>
    <w:rsid w:val="00833AAF"/>
    <w:rsid w:val="00833AB1"/>
    <w:rsid w:val="00833B06"/>
    <w:rsid w:val="00833BEE"/>
    <w:rsid w:val="00833BF5"/>
    <w:rsid w:val="00833C8F"/>
    <w:rsid w:val="00833CE2"/>
    <w:rsid w:val="00833F93"/>
    <w:rsid w:val="00834012"/>
    <w:rsid w:val="0083407E"/>
    <w:rsid w:val="008341A2"/>
    <w:rsid w:val="00834404"/>
    <w:rsid w:val="00834827"/>
    <w:rsid w:val="00834938"/>
    <w:rsid w:val="0083498F"/>
    <w:rsid w:val="00834ACA"/>
    <w:rsid w:val="00834B7E"/>
    <w:rsid w:val="00834CFD"/>
    <w:rsid w:val="00834D3D"/>
    <w:rsid w:val="00834D43"/>
    <w:rsid w:val="00834DA9"/>
    <w:rsid w:val="00834DC0"/>
    <w:rsid w:val="00834FB3"/>
    <w:rsid w:val="00834FBC"/>
    <w:rsid w:val="0083507D"/>
    <w:rsid w:val="008350C7"/>
    <w:rsid w:val="00835299"/>
    <w:rsid w:val="00835377"/>
    <w:rsid w:val="008353F3"/>
    <w:rsid w:val="00835404"/>
    <w:rsid w:val="0083547D"/>
    <w:rsid w:val="008354ED"/>
    <w:rsid w:val="0083551A"/>
    <w:rsid w:val="00835541"/>
    <w:rsid w:val="008356A7"/>
    <w:rsid w:val="00835729"/>
    <w:rsid w:val="00835A81"/>
    <w:rsid w:val="00835B18"/>
    <w:rsid w:val="00835BD9"/>
    <w:rsid w:val="00835BF2"/>
    <w:rsid w:val="00835C45"/>
    <w:rsid w:val="00835D0B"/>
    <w:rsid w:val="00835DE2"/>
    <w:rsid w:val="00835E1A"/>
    <w:rsid w:val="00835EEA"/>
    <w:rsid w:val="00836003"/>
    <w:rsid w:val="008360B1"/>
    <w:rsid w:val="008360D5"/>
    <w:rsid w:val="00836128"/>
    <w:rsid w:val="0083620E"/>
    <w:rsid w:val="00836213"/>
    <w:rsid w:val="0083628F"/>
    <w:rsid w:val="008362F1"/>
    <w:rsid w:val="00836314"/>
    <w:rsid w:val="00836350"/>
    <w:rsid w:val="00836561"/>
    <w:rsid w:val="0083659F"/>
    <w:rsid w:val="00836659"/>
    <w:rsid w:val="00836885"/>
    <w:rsid w:val="00836A1A"/>
    <w:rsid w:val="00836B8D"/>
    <w:rsid w:val="00836BD4"/>
    <w:rsid w:val="00836C7B"/>
    <w:rsid w:val="00836D2B"/>
    <w:rsid w:val="00836D38"/>
    <w:rsid w:val="00836DAD"/>
    <w:rsid w:val="00836E4D"/>
    <w:rsid w:val="00836E66"/>
    <w:rsid w:val="00836F1E"/>
    <w:rsid w:val="00836F99"/>
    <w:rsid w:val="0083706A"/>
    <w:rsid w:val="0083717E"/>
    <w:rsid w:val="00837188"/>
    <w:rsid w:val="00837202"/>
    <w:rsid w:val="00837505"/>
    <w:rsid w:val="008375CF"/>
    <w:rsid w:val="0083774F"/>
    <w:rsid w:val="00837984"/>
    <w:rsid w:val="00837B8D"/>
    <w:rsid w:val="00837DB5"/>
    <w:rsid w:val="00837DEC"/>
    <w:rsid w:val="00837DFF"/>
    <w:rsid w:val="00837F6F"/>
    <w:rsid w:val="00840021"/>
    <w:rsid w:val="0084008D"/>
    <w:rsid w:val="008402F9"/>
    <w:rsid w:val="00840395"/>
    <w:rsid w:val="00840476"/>
    <w:rsid w:val="00840508"/>
    <w:rsid w:val="008406C5"/>
    <w:rsid w:val="008407B5"/>
    <w:rsid w:val="0084096A"/>
    <w:rsid w:val="0084098D"/>
    <w:rsid w:val="008409D4"/>
    <w:rsid w:val="00840A22"/>
    <w:rsid w:val="00840AA1"/>
    <w:rsid w:val="00840AAC"/>
    <w:rsid w:val="00840AF7"/>
    <w:rsid w:val="00840C0B"/>
    <w:rsid w:val="00840C71"/>
    <w:rsid w:val="00840E54"/>
    <w:rsid w:val="00840F48"/>
    <w:rsid w:val="008410D6"/>
    <w:rsid w:val="00841188"/>
    <w:rsid w:val="00841263"/>
    <w:rsid w:val="00841300"/>
    <w:rsid w:val="00841455"/>
    <w:rsid w:val="00841614"/>
    <w:rsid w:val="0084174D"/>
    <w:rsid w:val="008417B8"/>
    <w:rsid w:val="008417C6"/>
    <w:rsid w:val="0084186F"/>
    <w:rsid w:val="008418D4"/>
    <w:rsid w:val="00841989"/>
    <w:rsid w:val="008419B1"/>
    <w:rsid w:val="00841A7C"/>
    <w:rsid w:val="00841AA0"/>
    <w:rsid w:val="00841B2B"/>
    <w:rsid w:val="00841C86"/>
    <w:rsid w:val="00841DC2"/>
    <w:rsid w:val="0084207B"/>
    <w:rsid w:val="00842217"/>
    <w:rsid w:val="00842246"/>
    <w:rsid w:val="008423AD"/>
    <w:rsid w:val="008423B0"/>
    <w:rsid w:val="008423F9"/>
    <w:rsid w:val="0084258F"/>
    <w:rsid w:val="008425AE"/>
    <w:rsid w:val="00842649"/>
    <w:rsid w:val="0084265A"/>
    <w:rsid w:val="00842932"/>
    <w:rsid w:val="0084293B"/>
    <w:rsid w:val="00842A81"/>
    <w:rsid w:val="00842B4E"/>
    <w:rsid w:val="00842BC5"/>
    <w:rsid w:val="00842BD8"/>
    <w:rsid w:val="00842D19"/>
    <w:rsid w:val="00842DC3"/>
    <w:rsid w:val="00842E0D"/>
    <w:rsid w:val="008430D1"/>
    <w:rsid w:val="00843193"/>
    <w:rsid w:val="00843253"/>
    <w:rsid w:val="00843355"/>
    <w:rsid w:val="00843386"/>
    <w:rsid w:val="00843433"/>
    <w:rsid w:val="008434AA"/>
    <w:rsid w:val="008434B1"/>
    <w:rsid w:val="0084356A"/>
    <w:rsid w:val="008435CF"/>
    <w:rsid w:val="0084365E"/>
    <w:rsid w:val="0084380E"/>
    <w:rsid w:val="0084389A"/>
    <w:rsid w:val="0084396C"/>
    <w:rsid w:val="00843A89"/>
    <w:rsid w:val="00843BC2"/>
    <w:rsid w:val="00843BD3"/>
    <w:rsid w:val="00843C7F"/>
    <w:rsid w:val="00843C85"/>
    <w:rsid w:val="00843D63"/>
    <w:rsid w:val="00843D66"/>
    <w:rsid w:val="00843FAB"/>
    <w:rsid w:val="00844135"/>
    <w:rsid w:val="00844440"/>
    <w:rsid w:val="008444BE"/>
    <w:rsid w:val="00844507"/>
    <w:rsid w:val="008446C8"/>
    <w:rsid w:val="0084472F"/>
    <w:rsid w:val="00844785"/>
    <w:rsid w:val="0084487F"/>
    <w:rsid w:val="008448F8"/>
    <w:rsid w:val="00844AC7"/>
    <w:rsid w:val="00844B47"/>
    <w:rsid w:val="00844C8D"/>
    <w:rsid w:val="00844D06"/>
    <w:rsid w:val="00844D54"/>
    <w:rsid w:val="00844E46"/>
    <w:rsid w:val="00844F42"/>
    <w:rsid w:val="00845076"/>
    <w:rsid w:val="0084520B"/>
    <w:rsid w:val="008453D5"/>
    <w:rsid w:val="008453FF"/>
    <w:rsid w:val="00845471"/>
    <w:rsid w:val="008456E6"/>
    <w:rsid w:val="0084577F"/>
    <w:rsid w:val="00845797"/>
    <w:rsid w:val="008457C4"/>
    <w:rsid w:val="00845815"/>
    <w:rsid w:val="0084586A"/>
    <w:rsid w:val="0084588B"/>
    <w:rsid w:val="00845A91"/>
    <w:rsid w:val="00845AB5"/>
    <w:rsid w:val="00845C39"/>
    <w:rsid w:val="00845D13"/>
    <w:rsid w:val="00845E33"/>
    <w:rsid w:val="00845E74"/>
    <w:rsid w:val="00845E9B"/>
    <w:rsid w:val="00845F03"/>
    <w:rsid w:val="00845F71"/>
    <w:rsid w:val="0084601D"/>
    <w:rsid w:val="00846096"/>
    <w:rsid w:val="008460C4"/>
    <w:rsid w:val="00846212"/>
    <w:rsid w:val="0084628F"/>
    <w:rsid w:val="0084632C"/>
    <w:rsid w:val="008463F5"/>
    <w:rsid w:val="008464EF"/>
    <w:rsid w:val="00846569"/>
    <w:rsid w:val="00846683"/>
    <w:rsid w:val="00846844"/>
    <w:rsid w:val="008468F3"/>
    <w:rsid w:val="00846A36"/>
    <w:rsid w:val="00846A3A"/>
    <w:rsid w:val="00846AD6"/>
    <w:rsid w:val="00846B79"/>
    <w:rsid w:val="00846DBF"/>
    <w:rsid w:val="00846F09"/>
    <w:rsid w:val="00846F62"/>
    <w:rsid w:val="00847063"/>
    <w:rsid w:val="0084709B"/>
    <w:rsid w:val="008470C0"/>
    <w:rsid w:val="008470D3"/>
    <w:rsid w:val="0084717A"/>
    <w:rsid w:val="0084719D"/>
    <w:rsid w:val="0084728D"/>
    <w:rsid w:val="008472CB"/>
    <w:rsid w:val="00847349"/>
    <w:rsid w:val="00847404"/>
    <w:rsid w:val="00847687"/>
    <w:rsid w:val="008478AF"/>
    <w:rsid w:val="00847934"/>
    <w:rsid w:val="00847970"/>
    <w:rsid w:val="00847B30"/>
    <w:rsid w:val="00847E2D"/>
    <w:rsid w:val="00847ED7"/>
    <w:rsid w:val="00847F7E"/>
    <w:rsid w:val="00847F88"/>
    <w:rsid w:val="00850020"/>
    <w:rsid w:val="00850170"/>
    <w:rsid w:val="008501EF"/>
    <w:rsid w:val="00850279"/>
    <w:rsid w:val="008503E3"/>
    <w:rsid w:val="0085044D"/>
    <w:rsid w:val="00850469"/>
    <w:rsid w:val="00850649"/>
    <w:rsid w:val="008506AA"/>
    <w:rsid w:val="008506CC"/>
    <w:rsid w:val="00850776"/>
    <w:rsid w:val="0085087F"/>
    <w:rsid w:val="008509B4"/>
    <w:rsid w:val="008509BE"/>
    <w:rsid w:val="00850D5C"/>
    <w:rsid w:val="00850DEF"/>
    <w:rsid w:val="00850E46"/>
    <w:rsid w:val="00850ED6"/>
    <w:rsid w:val="00850F1F"/>
    <w:rsid w:val="00850F42"/>
    <w:rsid w:val="00850F8E"/>
    <w:rsid w:val="00850FA7"/>
    <w:rsid w:val="0085116B"/>
    <w:rsid w:val="008511B2"/>
    <w:rsid w:val="008511DA"/>
    <w:rsid w:val="008511FD"/>
    <w:rsid w:val="00851217"/>
    <w:rsid w:val="008512C5"/>
    <w:rsid w:val="00851310"/>
    <w:rsid w:val="0085133E"/>
    <w:rsid w:val="00851403"/>
    <w:rsid w:val="0085157A"/>
    <w:rsid w:val="008515AC"/>
    <w:rsid w:val="00851765"/>
    <w:rsid w:val="0085176B"/>
    <w:rsid w:val="008517C4"/>
    <w:rsid w:val="008517EB"/>
    <w:rsid w:val="00851A8F"/>
    <w:rsid w:val="00851AA4"/>
    <w:rsid w:val="00851AFD"/>
    <w:rsid w:val="00851BCF"/>
    <w:rsid w:val="00851C6A"/>
    <w:rsid w:val="00851CCF"/>
    <w:rsid w:val="00851F20"/>
    <w:rsid w:val="008520AF"/>
    <w:rsid w:val="008520F5"/>
    <w:rsid w:val="00852231"/>
    <w:rsid w:val="0085224A"/>
    <w:rsid w:val="008522A9"/>
    <w:rsid w:val="008522E1"/>
    <w:rsid w:val="0085232E"/>
    <w:rsid w:val="00852398"/>
    <w:rsid w:val="00852432"/>
    <w:rsid w:val="00852448"/>
    <w:rsid w:val="00852452"/>
    <w:rsid w:val="00852505"/>
    <w:rsid w:val="00852536"/>
    <w:rsid w:val="00852570"/>
    <w:rsid w:val="008525F7"/>
    <w:rsid w:val="0085278F"/>
    <w:rsid w:val="008528E4"/>
    <w:rsid w:val="0085296A"/>
    <w:rsid w:val="00852A8E"/>
    <w:rsid w:val="00852B02"/>
    <w:rsid w:val="00852B83"/>
    <w:rsid w:val="00852B95"/>
    <w:rsid w:val="00853129"/>
    <w:rsid w:val="00853241"/>
    <w:rsid w:val="008533E5"/>
    <w:rsid w:val="008533FB"/>
    <w:rsid w:val="008534DC"/>
    <w:rsid w:val="00853573"/>
    <w:rsid w:val="008536F7"/>
    <w:rsid w:val="0085377A"/>
    <w:rsid w:val="00853800"/>
    <w:rsid w:val="008539AC"/>
    <w:rsid w:val="00853A97"/>
    <w:rsid w:val="00853BCC"/>
    <w:rsid w:val="00853C0F"/>
    <w:rsid w:val="00853C64"/>
    <w:rsid w:val="00853C9D"/>
    <w:rsid w:val="00853CBC"/>
    <w:rsid w:val="00853CCD"/>
    <w:rsid w:val="00853D22"/>
    <w:rsid w:val="00853D84"/>
    <w:rsid w:val="00853E71"/>
    <w:rsid w:val="00853F68"/>
    <w:rsid w:val="008540D8"/>
    <w:rsid w:val="008540F8"/>
    <w:rsid w:val="00854143"/>
    <w:rsid w:val="00854145"/>
    <w:rsid w:val="00854186"/>
    <w:rsid w:val="0085439B"/>
    <w:rsid w:val="008543B7"/>
    <w:rsid w:val="00854527"/>
    <w:rsid w:val="008546DF"/>
    <w:rsid w:val="008546FB"/>
    <w:rsid w:val="0085470B"/>
    <w:rsid w:val="0085476B"/>
    <w:rsid w:val="00854772"/>
    <w:rsid w:val="00854883"/>
    <w:rsid w:val="0085491F"/>
    <w:rsid w:val="00854933"/>
    <w:rsid w:val="00854939"/>
    <w:rsid w:val="008549C1"/>
    <w:rsid w:val="00854AE3"/>
    <w:rsid w:val="00854B40"/>
    <w:rsid w:val="00854B5A"/>
    <w:rsid w:val="00854B87"/>
    <w:rsid w:val="00854C7B"/>
    <w:rsid w:val="00854E0E"/>
    <w:rsid w:val="00854E52"/>
    <w:rsid w:val="00854E77"/>
    <w:rsid w:val="00854E8A"/>
    <w:rsid w:val="00854F6F"/>
    <w:rsid w:val="008551BD"/>
    <w:rsid w:val="00855266"/>
    <w:rsid w:val="00855421"/>
    <w:rsid w:val="00855425"/>
    <w:rsid w:val="0085557C"/>
    <w:rsid w:val="00855687"/>
    <w:rsid w:val="00855809"/>
    <w:rsid w:val="008558F4"/>
    <w:rsid w:val="00855912"/>
    <w:rsid w:val="008559CF"/>
    <w:rsid w:val="00855AAF"/>
    <w:rsid w:val="00855CD9"/>
    <w:rsid w:val="00855D2E"/>
    <w:rsid w:val="00855D61"/>
    <w:rsid w:val="00855FDF"/>
    <w:rsid w:val="008561BE"/>
    <w:rsid w:val="00856232"/>
    <w:rsid w:val="00856513"/>
    <w:rsid w:val="0085655B"/>
    <w:rsid w:val="0085656D"/>
    <w:rsid w:val="00856692"/>
    <w:rsid w:val="008567A9"/>
    <w:rsid w:val="008567EE"/>
    <w:rsid w:val="008568EC"/>
    <w:rsid w:val="00856976"/>
    <w:rsid w:val="00856A47"/>
    <w:rsid w:val="00856A5B"/>
    <w:rsid w:val="00856A6B"/>
    <w:rsid w:val="00856A92"/>
    <w:rsid w:val="00856CB7"/>
    <w:rsid w:val="00856DA5"/>
    <w:rsid w:val="008571AD"/>
    <w:rsid w:val="008572F6"/>
    <w:rsid w:val="00857346"/>
    <w:rsid w:val="00857356"/>
    <w:rsid w:val="00857469"/>
    <w:rsid w:val="0085755B"/>
    <w:rsid w:val="00857590"/>
    <w:rsid w:val="00857595"/>
    <w:rsid w:val="0085772B"/>
    <w:rsid w:val="008577CB"/>
    <w:rsid w:val="008579F6"/>
    <w:rsid w:val="00857A82"/>
    <w:rsid w:val="00857B40"/>
    <w:rsid w:val="00857BB8"/>
    <w:rsid w:val="00857BC0"/>
    <w:rsid w:val="00857CDF"/>
    <w:rsid w:val="00857DFE"/>
    <w:rsid w:val="00857E55"/>
    <w:rsid w:val="00857FCE"/>
    <w:rsid w:val="00860504"/>
    <w:rsid w:val="0086061F"/>
    <w:rsid w:val="00860A7E"/>
    <w:rsid w:val="00860B8A"/>
    <w:rsid w:val="00860CBD"/>
    <w:rsid w:val="00860CDE"/>
    <w:rsid w:val="00860E02"/>
    <w:rsid w:val="00860F2C"/>
    <w:rsid w:val="00860F9F"/>
    <w:rsid w:val="00860FB9"/>
    <w:rsid w:val="00861061"/>
    <w:rsid w:val="008610B2"/>
    <w:rsid w:val="00861125"/>
    <w:rsid w:val="00861150"/>
    <w:rsid w:val="00861294"/>
    <w:rsid w:val="008613ED"/>
    <w:rsid w:val="00861771"/>
    <w:rsid w:val="008617BB"/>
    <w:rsid w:val="008617D5"/>
    <w:rsid w:val="0086183C"/>
    <w:rsid w:val="008619BC"/>
    <w:rsid w:val="008619D7"/>
    <w:rsid w:val="00861A51"/>
    <w:rsid w:val="00861A55"/>
    <w:rsid w:val="00861AE3"/>
    <w:rsid w:val="00861BA1"/>
    <w:rsid w:val="00861BAB"/>
    <w:rsid w:val="00861C1B"/>
    <w:rsid w:val="00861C57"/>
    <w:rsid w:val="00861C91"/>
    <w:rsid w:val="00861DA4"/>
    <w:rsid w:val="00861DFB"/>
    <w:rsid w:val="00861E32"/>
    <w:rsid w:val="00861F68"/>
    <w:rsid w:val="00862124"/>
    <w:rsid w:val="008621E7"/>
    <w:rsid w:val="0086221B"/>
    <w:rsid w:val="0086221D"/>
    <w:rsid w:val="0086225C"/>
    <w:rsid w:val="00862289"/>
    <w:rsid w:val="0086231C"/>
    <w:rsid w:val="0086231F"/>
    <w:rsid w:val="00862395"/>
    <w:rsid w:val="008623F3"/>
    <w:rsid w:val="00862553"/>
    <w:rsid w:val="00862634"/>
    <w:rsid w:val="00862642"/>
    <w:rsid w:val="00862671"/>
    <w:rsid w:val="008626EB"/>
    <w:rsid w:val="00862748"/>
    <w:rsid w:val="00862770"/>
    <w:rsid w:val="008627FE"/>
    <w:rsid w:val="00862875"/>
    <w:rsid w:val="008628E6"/>
    <w:rsid w:val="008629AD"/>
    <w:rsid w:val="00862A2E"/>
    <w:rsid w:val="00862B98"/>
    <w:rsid w:val="00862CC7"/>
    <w:rsid w:val="00862DFF"/>
    <w:rsid w:val="00862FB4"/>
    <w:rsid w:val="00863062"/>
    <w:rsid w:val="0086306C"/>
    <w:rsid w:val="008630AD"/>
    <w:rsid w:val="008630C5"/>
    <w:rsid w:val="0086341A"/>
    <w:rsid w:val="00863536"/>
    <w:rsid w:val="00863577"/>
    <w:rsid w:val="00863697"/>
    <w:rsid w:val="0086369C"/>
    <w:rsid w:val="00863797"/>
    <w:rsid w:val="0086387E"/>
    <w:rsid w:val="0086390C"/>
    <w:rsid w:val="008639FE"/>
    <w:rsid w:val="00863A5B"/>
    <w:rsid w:val="00863A91"/>
    <w:rsid w:val="00863A96"/>
    <w:rsid w:val="00863B2E"/>
    <w:rsid w:val="00863C50"/>
    <w:rsid w:val="00863CCE"/>
    <w:rsid w:val="00863CDE"/>
    <w:rsid w:val="00863CF1"/>
    <w:rsid w:val="00863D2C"/>
    <w:rsid w:val="00863E30"/>
    <w:rsid w:val="00863EF3"/>
    <w:rsid w:val="00863F3F"/>
    <w:rsid w:val="00863F94"/>
    <w:rsid w:val="00863FD0"/>
    <w:rsid w:val="00864063"/>
    <w:rsid w:val="008640BC"/>
    <w:rsid w:val="0086424C"/>
    <w:rsid w:val="008643A4"/>
    <w:rsid w:val="00864758"/>
    <w:rsid w:val="008647B9"/>
    <w:rsid w:val="00864867"/>
    <w:rsid w:val="008649D9"/>
    <w:rsid w:val="00864ABF"/>
    <w:rsid w:val="00864C1F"/>
    <w:rsid w:val="00864CC3"/>
    <w:rsid w:val="00864DB1"/>
    <w:rsid w:val="00864DDC"/>
    <w:rsid w:val="00864E2A"/>
    <w:rsid w:val="00864F2D"/>
    <w:rsid w:val="00865031"/>
    <w:rsid w:val="00865068"/>
    <w:rsid w:val="0086509B"/>
    <w:rsid w:val="00865246"/>
    <w:rsid w:val="0086532C"/>
    <w:rsid w:val="008653D9"/>
    <w:rsid w:val="008654D2"/>
    <w:rsid w:val="008654D5"/>
    <w:rsid w:val="0086565A"/>
    <w:rsid w:val="008658C9"/>
    <w:rsid w:val="008659DA"/>
    <w:rsid w:val="008659DE"/>
    <w:rsid w:val="008659FA"/>
    <w:rsid w:val="00865A1D"/>
    <w:rsid w:val="00865A5A"/>
    <w:rsid w:val="00865BE0"/>
    <w:rsid w:val="00865E1C"/>
    <w:rsid w:val="00865EA2"/>
    <w:rsid w:val="00865F97"/>
    <w:rsid w:val="008660B4"/>
    <w:rsid w:val="0086612D"/>
    <w:rsid w:val="00866199"/>
    <w:rsid w:val="008661A7"/>
    <w:rsid w:val="008662F6"/>
    <w:rsid w:val="0086641A"/>
    <w:rsid w:val="008666DE"/>
    <w:rsid w:val="00866795"/>
    <w:rsid w:val="008667CC"/>
    <w:rsid w:val="00866826"/>
    <w:rsid w:val="00866A29"/>
    <w:rsid w:val="00866C94"/>
    <w:rsid w:val="00866CD5"/>
    <w:rsid w:val="00866D4F"/>
    <w:rsid w:val="00866E2A"/>
    <w:rsid w:val="00866E36"/>
    <w:rsid w:val="00866E57"/>
    <w:rsid w:val="00867035"/>
    <w:rsid w:val="00867366"/>
    <w:rsid w:val="00867470"/>
    <w:rsid w:val="0086760F"/>
    <w:rsid w:val="008676B1"/>
    <w:rsid w:val="008676D0"/>
    <w:rsid w:val="008677B1"/>
    <w:rsid w:val="00867810"/>
    <w:rsid w:val="00867879"/>
    <w:rsid w:val="00867940"/>
    <w:rsid w:val="0086798F"/>
    <w:rsid w:val="00867A97"/>
    <w:rsid w:val="00867ADD"/>
    <w:rsid w:val="00867B62"/>
    <w:rsid w:val="00867B92"/>
    <w:rsid w:val="00867BD7"/>
    <w:rsid w:val="00867D4D"/>
    <w:rsid w:val="00867D69"/>
    <w:rsid w:val="00867E7D"/>
    <w:rsid w:val="00867EA2"/>
    <w:rsid w:val="00867F53"/>
    <w:rsid w:val="00867FBD"/>
    <w:rsid w:val="00870033"/>
    <w:rsid w:val="008700E4"/>
    <w:rsid w:val="00870204"/>
    <w:rsid w:val="00870248"/>
    <w:rsid w:val="0087032B"/>
    <w:rsid w:val="008703F7"/>
    <w:rsid w:val="008704B1"/>
    <w:rsid w:val="00870559"/>
    <w:rsid w:val="00870595"/>
    <w:rsid w:val="00870610"/>
    <w:rsid w:val="00870706"/>
    <w:rsid w:val="00870713"/>
    <w:rsid w:val="008709D6"/>
    <w:rsid w:val="00870AEB"/>
    <w:rsid w:val="00870BD8"/>
    <w:rsid w:val="00870C5A"/>
    <w:rsid w:val="00870D95"/>
    <w:rsid w:val="00870F44"/>
    <w:rsid w:val="00870F83"/>
    <w:rsid w:val="00871016"/>
    <w:rsid w:val="00871022"/>
    <w:rsid w:val="00871028"/>
    <w:rsid w:val="0087103B"/>
    <w:rsid w:val="008711B9"/>
    <w:rsid w:val="0087124C"/>
    <w:rsid w:val="00871718"/>
    <w:rsid w:val="0087171E"/>
    <w:rsid w:val="00871899"/>
    <w:rsid w:val="008718CE"/>
    <w:rsid w:val="008718D9"/>
    <w:rsid w:val="00871ABD"/>
    <w:rsid w:val="00871AF5"/>
    <w:rsid w:val="00871B42"/>
    <w:rsid w:val="00871D55"/>
    <w:rsid w:val="00871E70"/>
    <w:rsid w:val="00871F0C"/>
    <w:rsid w:val="00871F20"/>
    <w:rsid w:val="008720F2"/>
    <w:rsid w:val="0087215F"/>
    <w:rsid w:val="00872189"/>
    <w:rsid w:val="008721A8"/>
    <w:rsid w:val="0087225D"/>
    <w:rsid w:val="0087231B"/>
    <w:rsid w:val="008723B8"/>
    <w:rsid w:val="00872412"/>
    <w:rsid w:val="00872490"/>
    <w:rsid w:val="0087249E"/>
    <w:rsid w:val="00872534"/>
    <w:rsid w:val="008725AF"/>
    <w:rsid w:val="00872734"/>
    <w:rsid w:val="008727D0"/>
    <w:rsid w:val="00872A4C"/>
    <w:rsid w:val="00872A97"/>
    <w:rsid w:val="00872D20"/>
    <w:rsid w:val="00872D7F"/>
    <w:rsid w:val="00873060"/>
    <w:rsid w:val="00873090"/>
    <w:rsid w:val="008731EC"/>
    <w:rsid w:val="00873281"/>
    <w:rsid w:val="0087338A"/>
    <w:rsid w:val="008733AD"/>
    <w:rsid w:val="0087340A"/>
    <w:rsid w:val="00873486"/>
    <w:rsid w:val="008734B3"/>
    <w:rsid w:val="0087360B"/>
    <w:rsid w:val="00873645"/>
    <w:rsid w:val="008736A3"/>
    <w:rsid w:val="008736AB"/>
    <w:rsid w:val="008736F9"/>
    <w:rsid w:val="00873986"/>
    <w:rsid w:val="00873AA7"/>
    <w:rsid w:val="00873C79"/>
    <w:rsid w:val="00873CFB"/>
    <w:rsid w:val="00873E72"/>
    <w:rsid w:val="00873E98"/>
    <w:rsid w:val="0087408B"/>
    <w:rsid w:val="00874124"/>
    <w:rsid w:val="00874318"/>
    <w:rsid w:val="00874361"/>
    <w:rsid w:val="008746AA"/>
    <w:rsid w:val="008746C6"/>
    <w:rsid w:val="00874727"/>
    <w:rsid w:val="0087477F"/>
    <w:rsid w:val="00874794"/>
    <w:rsid w:val="0087493E"/>
    <w:rsid w:val="00874965"/>
    <w:rsid w:val="00874981"/>
    <w:rsid w:val="00874AB7"/>
    <w:rsid w:val="00874AC5"/>
    <w:rsid w:val="00874F6F"/>
    <w:rsid w:val="00874FDC"/>
    <w:rsid w:val="00874FF5"/>
    <w:rsid w:val="00875110"/>
    <w:rsid w:val="0087551A"/>
    <w:rsid w:val="008755D9"/>
    <w:rsid w:val="0087578D"/>
    <w:rsid w:val="008757A1"/>
    <w:rsid w:val="00875817"/>
    <w:rsid w:val="0087584C"/>
    <w:rsid w:val="00875968"/>
    <w:rsid w:val="00875A08"/>
    <w:rsid w:val="00875A6B"/>
    <w:rsid w:val="00875A9E"/>
    <w:rsid w:val="00875B5D"/>
    <w:rsid w:val="00875C45"/>
    <w:rsid w:val="00875C50"/>
    <w:rsid w:val="00875F1A"/>
    <w:rsid w:val="00875F54"/>
    <w:rsid w:val="008763DA"/>
    <w:rsid w:val="0087641B"/>
    <w:rsid w:val="00876422"/>
    <w:rsid w:val="008764F1"/>
    <w:rsid w:val="0087665C"/>
    <w:rsid w:val="0087668A"/>
    <w:rsid w:val="008766C2"/>
    <w:rsid w:val="0087683D"/>
    <w:rsid w:val="008769FB"/>
    <w:rsid w:val="00876A0F"/>
    <w:rsid w:val="00876CA3"/>
    <w:rsid w:val="00876E10"/>
    <w:rsid w:val="00876F89"/>
    <w:rsid w:val="00876FF1"/>
    <w:rsid w:val="00877085"/>
    <w:rsid w:val="0087726B"/>
    <w:rsid w:val="008773D1"/>
    <w:rsid w:val="0087748F"/>
    <w:rsid w:val="008774C5"/>
    <w:rsid w:val="00877741"/>
    <w:rsid w:val="0087779C"/>
    <w:rsid w:val="00877AA2"/>
    <w:rsid w:val="00877BF3"/>
    <w:rsid w:val="00877D13"/>
    <w:rsid w:val="00877F5E"/>
    <w:rsid w:val="00880071"/>
    <w:rsid w:val="00880239"/>
    <w:rsid w:val="00880382"/>
    <w:rsid w:val="008803DC"/>
    <w:rsid w:val="0088040E"/>
    <w:rsid w:val="008804AC"/>
    <w:rsid w:val="008804CC"/>
    <w:rsid w:val="00880649"/>
    <w:rsid w:val="008807A1"/>
    <w:rsid w:val="00880882"/>
    <w:rsid w:val="008809CE"/>
    <w:rsid w:val="00880A19"/>
    <w:rsid w:val="00880AA1"/>
    <w:rsid w:val="00880BBA"/>
    <w:rsid w:val="00880C6F"/>
    <w:rsid w:val="00880C90"/>
    <w:rsid w:val="00880CA6"/>
    <w:rsid w:val="00881055"/>
    <w:rsid w:val="008810D0"/>
    <w:rsid w:val="0088111E"/>
    <w:rsid w:val="00881865"/>
    <w:rsid w:val="008818BB"/>
    <w:rsid w:val="00881A23"/>
    <w:rsid w:val="00881A94"/>
    <w:rsid w:val="00881DC6"/>
    <w:rsid w:val="00881E10"/>
    <w:rsid w:val="00881E59"/>
    <w:rsid w:val="00881E75"/>
    <w:rsid w:val="00881F6A"/>
    <w:rsid w:val="008820BA"/>
    <w:rsid w:val="00882151"/>
    <w:rsid w:val="0088223A"/>
    <w:rsid w:val="0088223B"/>
    <w:rsid w:val="00882343"/>
    <w:rsid w:val="008823AD"/>
    <w:rsid w:val="0088246E"/>
    <w:rsid w:val="00882480"/>
    <w:rsid w:val="008824A5"/>
    <w:rsid w:val="0088253F"/>
    <w:rsid w:val="00882570"/>
    <w:rsid w:val="008825D9"/>
    <w:rsid w:val="008826A9"/>
    <w:rsid w:val="00882AA2"/>
    <w:rsid w:val="00882B00"/>
    <w:rsid w:val="00882B2A"/>
    <w:rsid w:val="00882B6F"/>
    <w:rsid w:val="00882CC7"/>
    <w:rsid w:val="00882D62"/>
    <w:rsid w:val="00882E54"/>
    <w:rsid w:val="00882F79"/>
    <w:rsid w:val="00883063"/>
    <w:rsid w:val="008830D0"/>
    <w:rsid w:val="00883183"/>
    <w:rsid w:val="0088319C"/>
    <w:rsid w:val="008831DF"/>
    <w:rsid w:val="00883333"/>
    <w:rsid w:val="00883365"/>
    <w:rsid w:val="008834CD"/>
    <w:rsid w:val="008834E0"/>
    <w:rsid w:val="00883680"/>
    <w:rsid w:val="0088375D"/>
    <w:rsid w:val="0088399A"/>
    <w:rsid w:val="00883A2C"/>
    <w:rsid w:val="00883A69"/>
    <w:rsid w:val="00883CC1"/>
    <w:rsid w:val="00883CD3"/>
    <w:rsid w:val="00883D5C"/>
    <w:rsid w:val="00883D6B"/>
    <w:rsid w:val="00883DA1"/>
    <w:rsid w:val="00883DF9"/>
    <w:rsid w:val="00883E56"/>
    <w:rsid w:val="00883E99"/>
    <w:rsid w:val="00884059"/>
    <w:rsid w:val="0088406A"/>
    <w:rsid w:val="008840C1"/>
    <w:rsid w:val="0088418C"/>
    <w:rsid w:val="008841D8"/>
    <w:rsid w:val="00884384"/>
    <w:rsid w:val="00884421"/>
    <w:rsid w:val="0088443F"/>
    <w:rsid w:val="00884DC4"/>
    <w:rsid w:val="00884E8B"/>
    <w:rsid w:val="00884F6B"/>
    <w:rsid w:val="00884F82"/>
    <w:rsid w:val="00884FEB"/>
    <w:rsid w:val="00885085"/>
    <w:rsid w:val="008850F7"/>
    <w:rsid w:val="00885183"/>
    <w:rsid w:val="0088524C"/>
    <w:rsid w:val="0088526D"/>
    <w:rsid w:val="0088538A"/>
    <w:rsid w:val="00885472"/>
    <w:rsid w:val="008855F4"/>
    <w:rsid w:val="0088562B"/>
    <w:rsid w:val="008856C9"/>
    <w:rsid w:val="00885853"/>
    <w:rsid w:val="0088587B"/>
    <w:rsid w:val="00885904"/>
    <w:rsid w:val="00885B9A"/>
    <w:rsid w:val="00885C1E"/>
    <w:rsid w:val="00885D68"/>
    <w:rsid w:val="00885E34"/>
    <w:rsid w:val="00885FF2"/>
    <w:rsid w:val="0088606C"/>
    <w:rsid w:val="0088608D"/>
    <w:rsid w:val="008860B7"/>
    <w:rsid w:val="00886153"/>
    <w:rsid w:val="0088615A"/>
    <w:rsid w:val="008861DC"/>
    <w:rsid w:val="008862B2"/>
    <w:rsid w:val="008863E6"/>
    <w:rsid w:val="008864A9"/>
    <w:rsid w:val="008864EE"/>
    <w:rsid w:val="00886583"/>
    <w:rsid w:val="0088671F"/>
    <w:rsid w:val="00886AD1"/>
    <w:rsid w:val="00886B0B"/>
    <w:rsid w:val="00886D24"/>
    <w:rsid w:val="00886DD6"/>
    <w:rsid w:val="00886E00"/>
    <w:rsid w:val="00886F8C"/>
    <w:rsid w:val="0088717E"/>
    <w:rsid w:val="00887226"/>
    <w:rsid w:val="008872A1"/>
    <w:rsid w:val="00887306"/>
    <w:rsid w:val="008873A4"/>
    <w:rsid w:val="00887678"/>
    <w:rsid w:val="008876A6"/>
    <w:rsid w:val="008876B4"/>
    <w:rsid w:val="00887943"/>
    <w:rsid w:val="00887B0D"/>
    <w:rsid w:val="00887C3B"/>
    <w:rsid w:val="00887CDC"/>
    <w:rsid w:val="00887E62"/>
    <w:rsid w:val="00890038"/>
    <w:rsid w:val="0089009E"/>
    <w:rsid w:val="0089011F"/>
    <w:rsid w:val="00890188"/>
    <w:rsid w:val="0089026A"/>
    <w:rsid w:val="008902FD"/>
    <w:rsid w:val="0089032C"/>
    <w:rsid w:val="00890495"/>
    <w:rsid w:val="008904DF"/>
    <w:rsid w:val="00890548"/>
    <w:rsid w:val="00890777"/>
    <w:rsid w:val="008909A2"/>
    <w:rsid w:val="008909AB"/>
    <w:rsid w:val="008909FA"/>
    <w:rsid w:val="00890A48"/>
    <w:rsid w:val="00890C57"/>
    <w:rsid w:val="00890E8A"/>
    <w:rsid w:val="00890F57"/>
    <w:rsid w:val="00890FFA"/>
    <w:rsid w:val="00891013"/>
    <w:rsid w:val="00891041"/>
    <w:rsid w:val="00891057"/>
    <w:rsid w:val="008910F1"/>
    <w:rsid w:val="00891113"/>
    <w:rsid w:val="00891144"/>
    <w:rsid w:val="0089114E"/>
    <w:rsid w:val="008911D7"/>
    <w:rsid w:val="00891294"/>
    <w:rsid w:val="0089133A"/>
    <w:rsid w:val="008915A8"/>
    <w:rsid w:val="00891635"/>
    <w:rsid w:val="00891668"/>
    <w:rsid w:val="0089178F"/>
    <w:rsid w:val="008919FB"/>
    <w:rsid w:val="00891AED"/>
    <w:rsid w:val="00891BAD"/>
    <w:rsid w:val="00891C57"/>
    <w:rsid w:val="00891D15"/>
    <w:rsid w:val="00891D96"/>
    <w:rsid w:val="0089210E"/>
    <w:rsid w:val="0089213C"/>
    <w:rsid w:val="0089216F"/>
    <w:rsid w:val="008921A8"/>
    <w:rsid w:val="00892204"/>
    <w:rsid w:val="00892226"/>
    <w:rsid w:val="00892393"/>
    <w:rsid w:val="008923A1"/>
    <w:rsid w:val="008923DD"/>
    <w:rsid w:val="00892426"/>
    <w:rsid w:val="0089250E"/>
    <w:rsid w:val="00892660"/>
    <w:rsid w:val="00892824"/>
    <w:rsid w:val="008929A3"/>
    <w:rsid w:val="008929FC"/>
    <w:rsid w:val="00892A71"/>
    <w:rsid w:val="00892A9B"/>
    <w:rsid w:val="00892B36"/>
    <w:rsid w:val="00892DDE"/>
    <w:rsid w:val="00892E01"/>
    <w:rsid w:val="00892ECF"/>
    <w:rsid w:val="00892F0A"/>
    <w:rsid w:val="00892FE4"/>
    <w:rsid w:val="00893035"/>
    <w:rsid w:val="0089305D"/>
    <w:rsid w:val="00893091"/>
    <w:rsid w:val="008930F1"/>
    <w:rsid w:val="00893197"/>
    <w:rsid w:val="00893300"/>
    <w:rsid w:val="008934DE"/>
    <w:rsid w:val="00893588"/>
    <w:rsid w:val="008938F5"/>
    <w:rsid w:val="0089397B"/>
    <w:rsid w:val="00893A22"/>
    <w:rsid w:val="00893A8C"/>
    <w:rsid w:val="00893B0E"/>
    <w:rsid w:val="00893C32"/>
    <w:rsid w:val="00893C33"/>
    <w:rsid w:val="00893D36"/>
    <w:rsid w:val="00893DC1"/>
    <w:rsid w:val="00893DC4"/>
    <w:rsid w:val="00893E76"/>
    <w:rsid w:val="00893ECA"/>
    <w:rsid w:val="00893F3B"/>
    <w:rsid w:val="00894058"/>
    <w:rsid w:val="0089408A"/>
    <w:rsid w:val="008940DC"/>
    <w:rsid w:val="008941F3"/>
    <w:rsid w:val="0089423F"/>
    <w:rsid w:val="00894263"/>
    <w:rsid w:val="0089439C"/>
    <w:rsid w:val="0089445E"/>
    <w:rsid w:val="008947B7"/>
    <w:rsid w:val="00894830"/>
    <w:rsid w:val="00894876"/>
    <w:rsid w:val="0089499D"/>
    <w:rsid w:val="00894A5A"/>
    <w:rsid w:val="00894A80"/>
    <w:rsid w:val="00894AAE"/>
    <w:rsid w:val="00894B64"/>
    <w:rsid w:val="00894B9A"/>
    <w:rsid w:val="00894DAE"/>
    <w:rsid w:val="00894F9C"/>
    <w:rsid w:val="008950E3"/>
    <w:rsid w:val="0089511D"/>
    <w:rsid w:val="00895148"/>
    <w:rsid w:val="00895264"/>
    <w:rsid w:val="00895303"/>
    <w:rsid w:val="00895320"/>
    <w:rsid w:val="00895489"/>
    <w:rsid w:val="00895503"/>
    <w:rsid w:val="00895527"/>
    <w:rsid w:val="00895728"/>
    <w:rsid w:val="00895799"/>
    <w:rsid w:val="00895877"/>
    <w:rsid w:val="008959A1"/>
    <w:rsid w:val="008959B8"/>
    <w:rsid w:val="00895A58"/>
    <w:rsid w:val="00895A6A"/>
    <w:rsid w:val="00895AF2"/>
    <w:rsid w:val="00895B30"/>
    <w:rsid w:val="00895B44"/>
    <w:rsid w:val="00895B5C"/>
    <w:rsid w:val="00895B67"/>
    <w:rsid w:val="00895C39"/>
    <w:rsid w:val="00895C45"/>
    <w:rsid w:val="00895F5E"/>
    <w:rsid w:val="0089607F"/>
    <w:rsid w:val="0089612E"/>
    <w:rsid w:val="008961BF"/>
    <w:rsid w:val="008964DC"/>
    <w:rsid w:val="00896531"/>
    <w:rsid w:val="0089683B"/>
    <w:rsid w:val="008968EC"/>
    <w:rsid w:val="0089696D"/>
    <w:rsid w:val="00896A0A"/>
    <w:rsid w:val="00896A83"/>
    <w:rsid w:val="00896BDA"/>
    <w:rsid w:val="00896CB1"/>
    <w:rsid w:val="00896D1C"/>
    <w:rsid w:val="00896D82"/>
    <w:rsid w:val="00896E5C"/>
    <w:rsid w:val="00896F47"/>
    <w:rsid w:val="00896FCA"/>
    <w:rsid w:val="00896FDB"/>
    <w:rsid w:val="008971D4"/>
    <w:rsid w:val="008972E7"/>
    <w:rsid w:val="008972EC"/>
    <w:rsid w:val="008972EE"/>
    <w:rsid w:val="008977EF"/>
    <w:rsid w:val="0089784B"/>
    <w:rsid w:val="008978B0"/>
    <w:rsid w:val="00897948"/>
    <w:rsid w:val="0089794F"/>
    <w:rsid w:val="00897954"/>
    <w:rsid w:val="008979E0"/>
    <w:rsid w:val="008979E5"/>
    <w:rsid w:val="00897AE9"/>
    <w:rsid w:val="00897BCB"/>
    <w:rsid w:val="00897CCE"/>
    <w:rsid w:val="00897D42"/>
    <w:rsid w:val="00897DFB"/>
    <w:rsid w:val="00897E46"/>
    <w:rsid w:val="00897FC3"/>
    <w:rsid w:val="00897FEA"/>
    <w:rsid w:val="008A007A"/>
    <w:rsid w:val="008A00D6"/>
    <w:rsid w:val="008A01A6"/>
    <w:rsid w:val="008A01F2"/>
    <w:rsid w:val="008A054D"/>
    <w:rsid w:val="008A058F"/>
    <w:rsid w:val="008A0652"/>
    <w:rsid w:val="008A078E"/>
    <w:rsid w:val="008A07C1"/>
    <w:rsid w:val="008A07EC"/>
    <w:rsid w:val="008A0940"/>
    <w:rsid w:val="008A0A02"/>
    <w:rsid w:val="008A0B0F"/>
    <w:rsid w:val="008A0B35"/>
    <w:rsid w:val="008A0C18"/>
    <w:rsid w:val="008A0C41"/>
    <w:rsid w:val="008A0DA7"/>
    <w:rsid w:val="008A105B"/>
    <w:rsid w:val="008A106A"/>
    <w:rsid w:val="008A116E"/>
    <w:rsid w:val="008A11D4"/>
    <w:rsid w:val="008A1231"/>
    <w:rsid w:val="008A1327"/>
    <w:rsid w:val="008A132A"/>
    <w:rsid w:val="008A1357"/>
    <w:rsid w:val="008A1376"/>
    <w:rsid w:val="008A13F3"/>
    <w:rsid w:val="008A143F"/>
    <w:rsid w:val="008A16E1"/>
    <w:rsid w:val="008A17F1"/>
    <w:rsid w:val="008A1821"/>
    <w:rsid w:val="008A1868"/>
    <w:rsid w:val="008A1879"/>
    <w:rsid w:val="008A1889"/>
    <w:rsid w:val="008A189D"/>
    <w:rsid w:val="008A18BA"/>
    <w:rsid w:val="008A1918"/>
    <w:rsid w:val="008A1A7A"/>
    <w:rsid w:val="008A1B0B"/>
    <w:rsid w:val="008A1B15"/>
    <w:rsid w:val="008A1B72"/>
    <w:rsid w:val="008A1E72"/>
    <w:rsid w:val="008A1F35"/>
    <w:rsid w:val="008A203A"/>
    <w:rsid w:val="008A2187"/>
    <w:rsid w:val="008A21EE"/>
    <w:rsid w:val="008A21F5"/>
    <w:rsid w:val="008A2203"/>
    <w:rsid w:val="008A2214"/>
    <w:rsid w:val="008A236C"/>
    <w:rsid w:val="008A23DD"/>
    <w:rsid w:val="008A2421"/>
    <w:rsid w:val="008A24F9"/>
    <w:rsid w:val="008A2546"/>
    <w:rsid w:val="008A257A"/>
    <w:rsid w:val="008A259E"/>
    <w:rsid w:val="008A2627"/>
    <w:rsid w:val="008A286D"/>
    <w:rsid w:val="008A2A99"/>
    <w:rsid w:val="008A2AAF"/>
    <w:rsid w:val="008A2C57"/>
    <w:rsid w:val="008A2C65"/>
    <w:rsid w:val="008A2D92"/>
    <w:rsid w:val="008A2E34"/>
    <w:rsid w:val="008A2E71"/>
    <w:rsid w:val="008A2FE0"/>
    <w:rsid w:val="008A2FF4"/>
    <w:rsid w:val="008A323E"/>
    <w:rsid w:val="008A3587"/>
    <w:rsid w:val="008A35F1"/>
    <w:rsid w:val="008A3787"/>
    <w:rsid w:val="008A37E8"/>
    <w:rsid w:val="008A37F7"/>
    <w:rsid w:val="008A3866"/>
    <w:rsid w:val="008A38A6"/>
    <w:rsid w:val="008A392F"/>
    <w:rsid w:val="008A395A"/>
    <w:rsid w:val="008A396E"/>
    <w:rsid w:val="008A39D1"/>
    <w:rsid w:val="008A3ABF"/>
    <w:rsid w:val="008A3B2E"/>
    <w:rsid w:val="008A3B5D"/>
    <w:rsid w:val="008A3D51"/>
    <w:rsid w:val="008A3E80"/>
    <w:rsid w:val="008A3F33"/>
    <w:rsid w:val="008A4077"/>
    <w:rsid w:val="008A40C4"/>
    <w:rsid w:val="008A40F5"/>
    <w:rsid w:val="008A4160"/>
    <w:rsid w:val="008A41A1"/>
    <w:rsid w:val="008A4270"/>
    <w:rsid w:val="008A42DA"/>
    <w:rsid w:val="008A437B"/>
    <w:rsid w:val="008A440D"/>
    <w:rsid w:val="008A4437"/>
    <w:rsid w:val="008A45CE"/>
    <w:rsid w:val="008A45F7"/>
    <w:rsid w:val="008A4699"/>
    <w:rsid w:val="008A46AA"/>
    <w:rsid w:val="008A477D"/>
    <w:rsid w:val="008A47CB"/>
    <w:rsid w:val="008A491B"/>
    <w:rsid w:val="008A4945"/>
    <w:rsid w:val="008A4A14"/>
    <w:rsid w:val="008A4B71"/>
    <w:rsid w:val="008A4C20"/>
    <w:rsid w:val="008A4C63"/>
    <w:rsid w:val="008A4EE3"/>
    <w:rsid w:val="008A4F47"/>
    <w:rsid w:val="008A4F50"/>
    <w:rsid w:val="008A4F65"/>
    <w:rsid w:val="008A502F"/>
    <w:rsid w:val="008A50B4"/>
    <w:rsid w:val="008A511D"/>
    <w:rsid w:val="008A5120"/>
    <w:rsid w:val="008A51BA"/>
    <w:rsid w:val="008A51FC"/>
    <w:rsid w:val="008A521E"/>
    <w:rsid w:val="008A5247"/>
    <w:rsid w:val="008A52A1"/>
    <w:rsid w:val="008A5352"/>
    <w:rsid w:val="008A5373"/>
    <w:rsid w:val="008A5435"/>
    <w:rsid w:val="008A5762"/>
    <w:rsid w:val="008A5890"/>
    <w:rsid w:val="008A589A"/>
    <w:rsid w:val="008A596D"/>
    <w:rsid w:val="008A5A1C"/>
    <w:rsid w:val="008A5A62"/>
    <w:rsid w:val="008A5A65"/>
    <w:rsid w:val="008A5AD3"/>
    <w:rsid w:val="008A5B95"/>
    <w:rsid w:val="008A5E39"/>
    <w:rsid w:val="008A5EEE"/>
    <w:rsid w:val="008A5F9F"/>
    <w:rsid w:val="008A6161"/>
    <w:rsid w:val="008A617A"/>
    <w:rsid w:val="008A62DF"/>
    <w:rsid w:val="008A6486"/>
    <w:rsid w:val="008A64D7"/>
    <w:rsid w:val="008A6770"/>
    <w:rsid w:val="008A67BA"/>
    <w:rsid w:val="008A68F5"/>
    <w:rsid w:val="008A6904"/>
    <w:rsid w:val="008A6929"/>
    <w:rsid w:val="008A696F"/>
    <w:rsid w:val="008A6A35"/>
    <w:rsid w:val="008A6B06"/>
    <w:rsid w:val="008A6B1A"/>
    <w:rsid w:val="008A6B80"/>
    <w:rsid w:val="008A6B8B"/>
    <w:rsid w:val="008A6D96"/>
    <w:rsid w:val="008A6DD2"/>
    <w:rsid w:val="008A6EBB"/>
    <w:rsid w:val="008A6EF9"/>
    <w:rsid w:val="008A6F87"/>
    <w:rsid w:val="008A7010"/>
    <w:rsid w:val="008A70F8"/>
    <w:rsid w:val="008A7198"/>
    <w:rsid w:val="008A7311"/>
    <w:rsid w:val="008A731E"/>
    <w:rsid w:val="008A7328"/>
    <w:rsid w:val="008A738A"/>
    <w:rsid w:val="008A7595"/>
    <w:rsid w:val="008A77A5"/>
    <w:rsid w:val="008A7896"/>
    <w:rsid w:val="008A78DD"/>
    <w:rsid w:val="008A78F6"/>
    <w:rsid w:val="008A7C6C"/>
    <w:rsid w:val="008A7CBD"/>
    <w:rsid w:val="008A7D94"/>
    <w:rsid w:val="008A7F40"/>
    <w:rsid w:val="008B0142"/>
    <w:rsid w:val="008B020A"/>
    <w:rsid w:val="008B03E2"/>
    <w:rsid w:val="008B0434"/>
    <w:rsid w:val="008B0440"/>
    <w:rsid w:val="008B04C3"/>
    <w:rsid w:val="008B05C3"/>
    <w:rsid w:val="008B0630"/>
    <w:rsid w:val="008B0753"/>
    <w:rsid w:val="008B07AC"/>
    <w:rsid w:val="008B07EE"/>
    <w:rsid w:val="008B080E"/>
    <w:rsid w:val="008B0888"/>
    <w:rsid w:val="008B08C9"/>
    <w:rsid w:val="008B093B"/>
    <w:rsid w:val="008B0ABF"/>
    <w:rsid w:val="008B0B65"/>
    <w:rsid w:val="008B0B73"/>
    <w:rsid w:val="008B0B99"/>
    <w:rsid w:val="008B0BB1"/>
    <w:rsid w:val="008B0C23"/>
    <w:rsid w:val="008B0CC3"/>
    <w:rsid w:val="008B0EC2"/>
    <w:rsid w:val="008B0F92"/>
    <w:rsid w:val="008B110D"/>
    <w:rsid w:val="008B1131"/>
    <w:rsid w:val="008B1282"/>
    <w:rsid w:val="008B1296"/>
    <w:rsid w:val="008B1301"/>
    <w:rsid w:val="008B14A5"/>
    <w:rsid w:val="008B1A84"/>
    <w:rsid w:val="008B1ABE"/>
    <w:rsid w:val="008B1B42"/>
    <w:rsid w:val="008B1CD2"/>
    <w:rsid w:val="008B1D18"/>
    <w:rsid w:val="008B1DE9"/>
    <w:rsid w:val="008B1E6E"/>
    <w:rsid w:val="008B1EB7"/>
    <w:rsid w:val="008B1F17"/>
    <w:rsid w:val="008B1F4D"/>
    <w:rsid w:val="008B201A"/>
    <w:rsid w:val="008B2049"/>
    <w:rsid w:val="008B21D9"/>
    <w:rsid w:val="008B222D"/>
    <w:rsid w:val="008B239F"/>
    <w:rsid w:val="008B2405"/>
    <w:rsid w:val="008B2648"/>
    <w:rsid w:val="008B2851"/>
    <w:rsid w:val="008B2A01"/>
    <w:rsid w:val="008B2A70"/>
    <w:rsid w:val="008B2AB3"/>
    <w:rsid w:val="008B2AF3"/>
    <w:rsid w:val="008B2B90"/>
    <w:rsid w:val="008B2C3A"/>
    <w:rsid w:val="008B2D99"/>
    <w:rsid w:val="008B2ECA"/>
    <w:rsid w:val="008B3055"/>
    <w:rsid w:val="008B30DD"/>
    <w:rsid w:val="008B31AE"/>
    <w:rsid w:val="008B31BA"/>
    <w:rsid w:val="008B31DC"/>
    <w:rsid w:val="008B3419"/>
    <w:rsid w:val="008B343C"/>
    <w:rsid w:val="008B364D"/>
    <w:rsid w:val="008B36A6"/>
    <w:rsid w:val="008B36DA"/>
    <w:rsid w:val="008B38CA"/>
    <w:rsid w:val="008B3AAB"/>
    <w:rsid w:val="008B3AB0"/>
    <w:rsid w:val="008B3B35"/>
    <w:rsid w:val="008B3B78"/>
    <w:rsid w:val="008B3B8F"/>
    <w:rsid w:val="008B3D6C"/>
    <w:rsid w:val="008B3FC3"/>
    <w:rsid w:val="008B4102"/>
    <w:rsid w:val="008B4214"/>
    <w:rsid w:val="008B42FF"/>
    <w:rsid w:val="008B43AE"/>
    <w:rsid w:val="008B43E1"/>
    <w:rsid w:val="008B44C3"/>
    <w:rsid w:val="008B451D"/>
    <w:rsid w:val="008B45A4"/>
    <w:rsid w:val="008B467B"/>
    <w:rsid w:val="008B467F"/>
    <w:rsid w:val="008B469C"/>
    <w:rsid w:val="008B46A1"/>
    <w:rsid w:val="008B4965"/>
    <w:rsid w:val="008B4B1B"/>
    <w:rsid w:val="008B4B3A"/>
    <w:rsid w:val="008B4B43"/>
    <w:rsid w:val="008B4BF8"/>
    <w:rsid w:val="008B4CE5"/>
    <w:rsid w:val="008B4CFC"/>
    <w:rsid w:val="008B4F95"/>
    <w:rsid w:val="008B501B"/>
    <w:rsid w:val="008B502D"/>
    <w:rsid w:val="008B508E"/>
    <w:rsid w:val="008B50B1"/>
    <w:rsid w:val="008B5149"/>
    <w:rsid w:val="008B5281"/>
    <w:rsid w:val="008B52EE"/>
    <w:rsid w:val="008B53AC"/>
    <w:rsid w:val="008B54A7"/>
    <w:rsid w:val="008B54A8"/>
    <w:rsid w:val="008B5513"/>
    <w:rsid w:val="008B5649"/>
    <w:rsid w:val="008B5681"/>
    <w:rsid w:val="008B56AA"/>
    <w:rsid w:val="008B5B73"/>
    <w:rsid w:val="008B5D20"/>
    <w:rsid w:val="008B5D91"/>
    <w:rsid w:val="008B5DB2"/>
    <w:rsid w:val="008B5E73"/>
    <w:rsid w:val="008B5F12"/>
    <w:rsid w:val="008B5F27"/>
    <w:rsid w:val="008B6031"/>
    <w:rsid w:val="008B6097"/>
    <w:rsid w:val="008B6358"/>
    <w:rsid w:val="008B63B0"/>
    <w:rsid w:val="008B657E"/>
    <w:rsid w:val="008B666E"/>
    <w:rsid w:val="008B674A"/>
    <w:rsid w:val="008B67BA"/>
    <w:rsid w:val="008B6878"/>
    <w:rsid w:val="008B6922"/>
    <w:rsid w:val="008B697F"/>
    <w:rsid w:val="008B6A99"/>
    <w:rsid w:val="008B6AB9"/>
    <w:rsid w:val="008B6B85"/>
    <w:rsid w:val="008B6F02"/>
    <w:rsid w:val="008B6F2B"/>
    <w:rsid w:val="008B6FB6"/>
    <w:rsid w:val="008B7024"/>
    <w:rsid w:val="008B7075"/>
    <w:rsid w:val="008B70B5"/>
    <w:rsid w:val="008B7136"/>
    <w:rsid w:val="008B7193"/>
    <w:rsid w:val="008B71A7"/>
    <w:rsid w:val="008B71CC"/>
    <w:rsid w:val="008B7256"/>
    <w:rsid w:val="008B725F"/>
    <w:rsid w:val="008B7317"/>
    <w:rsid w:val="008B765E"/>
    <w:rsid w:val="008B7717"/>
    <w:rsid w:val="008B773E"/>
    <w:rsid w:val="008B7773"/>
    <w:rsid w:val="008B778F"/>
    <w:rsid w:val="008B7884"/>
    <w:rsid w:val="008B7A50"/>
    <w:rsid w:val="008B7AA7"/>
    <w:rsid w:val="008B7AC0"/>
    <w:rsid w:val="008B7BC4"/>
    <w:rsid w:val="008B7C82"/>
    <w:rsid w:val="008B7CE6"/>
    <w:rsid w:val="008B7D80"/>
    <w:rsid w:val="008B7E96"/>
    <w:rsid w:val="008B7F1D"/>
    <w:rsid w:val="008B7F2B"/>
    <w:rsid w:val="008B7F6E"/>
    <w:rsid w:val="008C00AB"/>
    <w:rsid w:val="008C012C"/>
    <w:rsid w:val="008C0343"/>
    <w:rsid w:val="008C037C"/>
    <w:rsid w:val="008C04BF"/>
    <w:rsid w:val="008C0527"/>
    <w:rsid w:val="008C06AA"/>
    <w:rsid w:val="008C070D"/>
    <w:rsid w:val="008C092E"/>
    <w:rsid w:val="008C0B10"/>
    <w:rsid w:val="008C0C03"/>
    <w:rsid w:val="008C0DD1"/>
    <w:rsid w:val="008C0F29"/>
    <w:rsid w:val="008C1079"/>
    <w:rsid w:val="008C1123"/>
    <w:rsid w:val="008C11BC"/>
    <w:rsid w:val="008C1312"/>
    <w:rsid w:val="008C142E"/>
    <w:rsid w:val="008C15DE"/>
    <w:rsid w:val="008C1749"/>
    <w:rsid w:val="008C189B"/>
    <w:rsid w:val="008C1960"/>
    <w:rsid w:val="008C1A06"/>
    <w:rsid w:val="008C1A38"/>
    <w:rsid w:val="008C1ADE"/>
    <w:rsid w:val="008C1B06"/>
    <w:rsid w:val="008C1B57"/>
    <w:rsid w:val="008C1CEC"/>
    <w:rsid w:val="008C1D34"/>
    <w:rsid w:val="008C1DF1"/>
    <w:rsid w:val="008C1EB2"/>
    <w:rsid w:val="008C1ED3"/>
    <w:rsid w:val="008C1F51"/>
    <w:rsid w:val="008C20D6"/>
    <w:rsid w:val="008C2245"/>
    <w:rsid w:val="008C22B6"/>
    <w:rsid w:val="008C2336"/>
    <w:rsid w:val="008C233B"/>
    <w:rsid w:val="008C2459"/>
    <w:rsid w:val="008C2591"/>
    <w:rsid w:val="008C2675"/>
    <w:rsid w:val="008C28D0"/>
    <w:rsid w:val="008C299C"/>
    <w:rsid w:val="008C2BA5"/>
    <w:rsid w:val="008C2C37"/>
    <w:rsid w:val="008C2D9E"/>
    <w:rsid w:val="008C2E30"/>
    <w:rsid w:val="008C2FDA"/>
    <w:rsid w:val="008C2FE3"/>
    <w:rsid w:val="008C2FF8"/>
    <w:rsid w:val="008C3185"/>
    <w:rsid w:val="008C32C9"/>
    <w:rsid w:val="008C32E9"/>
    <w:rsid w:val="008C34DE"/>
    <w:rsid w:val="008C36F8"/>
    <w:rsid w:val="008C375E"/>
    <w:rsid w:val="008C3938"/>
    <w:rsid w:val="008C39C6"/>
    <w:rsid w:val="008C3AA3"/>
    <w:rsid w:val="008C3AF1"/>
    <w:rsid w:val="008C3B05"/>
    <w:rsid w:val="008C3B68"/>
    <w:rsid w:val="008C3D10"/>
    <w:rsid w:val="008C3E1F"/>
    <w:rsid w:val="008C3E76"/>
    <w:rsid w:val="008C3EE4"/>
    <w:rsid w:val="008C3F66"/>
    <w:rsid w:val="008C422D"/>
    <w:rsid w:val="008C4310"/>
    <w:rsid w:val="008C439A"/>
    <w:rsid w:val="008C43C9"/>
    <w:rsid w:val="008C448E"/>
    <w:rsid w:val="008C4619"/>
    <w:rsid w:val="008C4834"/>
    <w:rsid w:val="008C48DF"/>
    <w:rsid w:val="008C496B"/>
    <w:rsid w:val="008C4A93"/>
    <w:rsid w:val="008C4AB7"/>
    <w:rsid w:val="008C4C8B"/>
    <w:rsid w:val="008C4CFC"/>
    <w:rsid w:val="008C4D7F"/>
    <w:rsid w:val="008C4E06"/>
    <w:rsid w:val="008C4FD8"/>
    <w:rsid w:val="008C5036"/>
    <w:rsid w:val="008C503A"/>
    <w:rsid w:val="008C505C"/>
    <w:rsid w:val="008C5206"/>
    <w:rsid w:val="008C5220"/>
    <w:rsid w:val="008C52AD"/>
    <w:rsid w:val="008C5452"/>
    <w:rsid w:val="008C545F"/>
    <w:rsid w:val="008C54CD"/>
    <w:rsid w:val="008C54FA"/>
    <w:rsid w:val="008C57A6"/>
    <w:rsid w:val="008C590E"/>
    <w:rsid w:val="008C59BD"/>
    <w:rsid w:val="008C5A07"/>
    <w:rsid w:val="008C5A70"/>
    <w:rsid w:val="008C5AAD"/>
    <w:rsid w:val="008C5B18"/>
    <w:rsid w:val="008C5B72"/>
    <w:rsid w:val="008C5C0C"/>
    <w:rsid w:val="008C5CDF"/>
    <w:rsid w:val="008C5CFC"/>
    <w:rsid w:val="008C5D28"/>
    <w:rsid w:val="008C5D69"/>
    <w:rsid w:val="008C5DB4"/>
    <w:rsid w:val="008C5E50"/>
    <w:rsid w:val="008C5E69"/>
    <w:rsid w:val="008C5EC1"/>
    <w:rsid w:val="008C5F29"/>
    <w:rsid w:val="008C5F6C"/>
    <w:rsid w:val="008C5F82"/>
    <w:rsid w:val="008C5FCF"/>
    <w:rsid w:val="008C605F"/>
    <w:rsid w:val="008C611F"/>
    <w:rsid w:val="008C615C"/>
    <w:rsid w:val="008C6293"/>
    <w:rsid w:val="008C62FB"/>
    <w:rsid w:val="008C6551"/>
    <w:rsid w:val="008C662E"/>
    <w:rsid w:val="008C6635"/>
    <w:rsid w:val="008C6637"/>
    <w:rsid w:val="008C6729"/>
    <w:rsid w:val="008C6733"/>
    <w:rsid w:val="008C6749"/>
    <w:rsid w:val="008C68B0"/>
    <w:rsid w:val="008C68D4"/>
    <w:rsid w:val="008C6A3C"/>
    <w:rsid w:val="008C6AEE"/>
    <w:rsid w:val="008C6CAC"/>
    <w:rsid w:val="008C6CE5"/>
    <w:rsid w:val="008C6EC7"/>
    <w:rsid w:val="008C70A5"/>
    <w:rsid w:val="008C7404"/>
    <w:rsid w:val="008C7407"/>
    <w:rsid w:val="008C7681"/>
    <w:rsid w:val="008C781C"/>
    <w:rsid w:val="008C7AD1"/>
    <w:rsid w:val="008C7E17"/>
    <w:rsid w:val="008C7E7B"/>
    <w:rsid w:val="008C7F77"/>
    <w:rsid w:val="008D00EA"/>
    <w:rsid w:val="008D015E"/>
    <w:rsid w:val="008D0264"/>
    <w:rsid w:val="008D0331"/>
    <w:rsid w:val="008D04BA"/>
    <w:rsid w:val="008D0566"/>
    <w:rsid w:val="008D05CB"/>
    <w:rsid w:val="008D066B"/>
    <w:rsid w:val="008D0794"/>
    <w:rsid w:val="008D07E7"/>
    <w:rsid w:val="008D0969"/>
    <w:rsid w:val="008D0A52"/>
    <w:rsid w:val="008D0C10"/>
    <w:rsid w:val="008D0D7F"/>
    <w:rsid w:val="008D0E44"/>
    <w:rsid w:val="008D0E78"/>
    <w:rsid w:val="008D0EAA"/>
    <w:rsid w:val="008D0EDD"/>
    <w:rsid w:val="008D0F52"/>
    <w:rsid w:val="008D1232"/>
    <w:rsid w:val="008D1319"/>
    <w:rsid w:val="008D13DB"/>
    <w:rsid w:val="008D1483"/>
    <w:rsid w:val="008D1500"/>
    <w:rsid w:val="008D1682"/>
    <w:rsid w:val="008D16F4"/>
    <w:rsid w:val="008D196D"/>
    <w:rsid w:val="008D196E"/>
    <w:rsid w:val="008D19A7"/>
    <w:rsid w:val="008D19E6"/>
    <w:rsid w:val="008D1A1F"/>
    <w:rsid w:val="008D1A8A"/>
    <w:rsid w:val="008D1ABD"/>
    <w:rsid w:val="008D1AE7"/>
    <w:rsid w:val="008D1B61"/>
    <w:rsid w:val="008D1BE0"/>
    <w:rsid w:val="008D1CBA"/>
    <w:rsid w:val="008D1CCB"/>
    <w:rsid w:val="008D1CE7"/>
    <w:rsid w:val="008D1DAE"/>
    <w:rsid w:val="008D1DF3"/>
    <w:rsid w:val="008D1E96"/>
    <w:rsid w:val="008D1F47"/>
    <w:rsid w:val="008D1F8A"/>
    <w:rsid w:val="008D1FBA"/>
    <w:rsid w:val="008D215C"/>
    <w:rsid w:val="008D220A"/>
    <w:rsid w:val="008D23A2"/>
    <w:rsid w:val="008D2428"/>
    <w:rsid w:val="008D24B6"/>
    <w:rsid w:val="008D2636"/>
    <w:rsid w:val="008D26A7"/>
    <w:rsid w:val="008D27EE"/>
    <w:rsid w:val="008D28CA"/>
    <w:rsid w:val="008D2940"/>
    <w:rsid w:val="008D2A06"/>
    <w:rsid w:val="008D2B2D"/>
    <w:rsid w:val="008D2B6D"/>
    <w:rsid w:val="008D2BCA"/>
    <w:rsid w:val="008D2CD6"/>
    <w:rsid w:val="008D2E25"/>
    <w:rsid w:val="008D2EFC"/>
    <w:rsid w:val="008D2F4A"/>
    <w:rsid w:val="008D2F9B"/>
    <w:rsid w:val="008D3108"/>
    <w:rsid w:val="008D31E3"/>
    <w:rsid w:val="008D3238"/>
    <w:rsid w:val="008D324B"/>
    <w:rsid w:val="008D350F"/>
    <w:rsid w:val="008D366D"/>
    <w:rsid w:val="008D36E7"/>
    <w:rsid w:val="008D3756"/>
    <w:rsid w:val="008D3A61"/>
    <w:rsid w:val="008D3A90"/>
    <w:rsid w:val="008D3ACE"/>
    <w:rsid w:val="008D3B21"/>
    <w:rsid w:val="008D3B69"/>
    <w:rsid w:val="008D3C55"/>
    <w:rsid w:val="008D3C72"/>
    <w:rsid w:val="008D3D6D"/>
    <w:rsid w:val="008D3FEB"/>
    <w:rsid w:val="008D4017"/>
    <w:rsid w:val="008D4067"/>
    <w:rsid w:val="008D4087"/>
    <w:rsid w:val="008D4100"/>
    <w:rsid w:val="008D41FC"/>
    <w:rsid w:val="008D420D"/>
    <w:rsid w:val="008D4342"/>
    <w:rsid w:val="008D434B"/>
    <w:rsid w:val="008D463A"/>
    <w:rsid w:val="008D469D"/>
    <w:rsid w:val="008D4719"/>
    <w:rsid w:val="008D477B"/>
    <w:rsid w:val="008D487E"/>
    <w:rsid w:val="008D4991"/>
    <w:rsid w:val="008D4A5E"/>
    <w:rsid w:val="008D4C26"/>
    <w:rsid w:val="008D4CE1"/>
    <w:rsid w:val="008D4CF7"/>
    <w:rsid w:val="008D4DB1"/>
    <w:rsid w:val="008D4E1E"/>
    <w:rsid w:val="008D4E5F"/>
    <w:rsid w:val="008D4E8B"/>
    <w:rsid w:val="008D4FF8"/>
    <w:rsid w:val="008D517A"/>
    <w:rsid w:val="008D53AF"/>
    <w:rsid w:val="008D5464"/>
    <w:rsid w:val="008D5690"/>
    <w:rsid w:val="008D583E"/>
    <w:rsid w:val="008D58C0"/>
    <w:rsid w:val="008D58DA"/>
    <w:rsid w:val="008D5960"/>
    <w:rsid w:val="008D59AE"/>
    <w:rsid w:val="008D5C7B"/>
    <w:rsid w:val="008D5D7E"/>
    <w:rsid w:val="008D5E18"/>
    <w:rsid w:val="008D5E96"/>
    <w:rsid w:val="008D5F17"/>
    <w:rsid w:val="008D606B"/>
    <w:rsid w:val="008D6186"/>
    <w:rsid w:val="008D61DA"/>
    <w:rsid w:val="008D6386"/>
    <w:rsid w:val="008D6431"/>
    <w:rsid w:val="008D6485"/>
    <w:rsid w:val="008D64F9"/>
    <w:rsid w:val="008D6715"/>
    <w:rsid w:val="008D67DC"/>
    <w:rsid w:val="008D6857"/>
    <w:rsid w:val="008D688E"/>
    <w:rsid w:val="008D6936"/>
    <w:rsid w:val="008D6985"/>
    <w:rsid w:val="008D69C0"/>
    <w:rsid w:val="008D6A23"/>
    <w:rsid w:val="008D6A32"/>
    <w:rsid w:val="008D6AB3"/>
    <w:rsid w:val="008D6B01"/>
    <w:rsid w:val="008D6B7E"/>
    <w:rsid w:val="008D6CEA"/>
    <w:rsid w:val="008D6E2C"/>
    <w:rsid w:val="008D744F"/>
    <w:rsid w:val="008D74F4"/>
    <w:rsid w:val="008D7638"/>
    <w:rsid w:val="008D7658"/>
    <w:rsid w:val="008D77D6"/>
    <w:rsid w:val="008D7937"/>
    <w:rsid w:val="008D7980"/>
    <w:rsid w:val="008D799B"/>
    <w:rsid w:val="008D79C9"/>
    <w:rsid w:val="008D7B4E"/>
    <w:rsid w:val="008D7C06"/>
    <w:rsid w:val="008D7C50"/>
    <w:rsid w:val="008D7D53"/>
    <w:rsid w:val="008D7D95"/>
    <w:rsid w:val="008D7E3C"/>
    <w:rsid w:val="008D7EF1"/>
    <w:rsid w:val="008E0033"/>
    <w:rsid w:val="008E0164"/>
    <w:rsid w:val="008E0355"/>
    <w:rsid w:val="008E04C1"/>
    <w:rsid w:val="008E050F"/>
    <w:rsid w:val="008E051C"/>
    <w:rsid w:val="008E05DD"/>
    <w:rsid w:val="008E06FE"/>
    <w:rsid w:val="008E0709"/>
    <w:rsid w:val="008E0948"/>
    <w:rsid w:val="008E09D2"/>
    <w:rsid w:val="008E0AC7"/>
    <w:rsid w:val="008E0BA8"/>
    <w:rsid w:val="008E0BE6"/>
    <w:rsid w:val="008E0C52"/>
    <w:rsid w:val="008E1038"/>
    <w:rsid w:val="008E11CE"/>
    <w:rsid w:val="008E11E9"/>
    <w:rsid w:val="008E12FA"/>
    <w:rsid w:val="008E1301"/>
    <w:rsid w:val="008E1343"/>
    <w:rsid w:val="008E14A4"/>
    <w:rsid w:val="008E1516"/>
    <w:rsid w:val="008E1613"/>
    <w:rsid w:val="008E1734"/>
    <w:rsid w:val="008E174A"/>
    <w:rsid w:val="008E1754"/>
    <w:rsid w:val="008E18E7"/>
    <w:rsid w:val="008E1A16"/>
    <w:rsid w:val="008E1CAE"/>
    <w:rsid w:val="008E1D56"/>
    <w:rsid w:val="008E1DF6"/>
    <w:rsid w:val="008E1DF7"/>
    <w:rsid w:val="008E2171"/>
    <w:rsid w:val="008E269C"/>
    <w:rsid w:val="008E26C8"/>
    <w:rsid w:val="008E27A1"/>
    <w:rsid w:val="008E2886"/>
    <w:rsid w:val="008E2906"/>
    <w:rsid w:val="008E299C"/>
    <w:rsid w:val="008E2ABC"/>
    <w:rsid w:val="008E2AC7"/>
    <w:rsid w:val="008E2BA9"/>
    <w:rsid w:val="008E2C45"/>
    <w:rsid w:val="008E2C6E"/>
    <w:rsid w:val="008E2CC0"/>
    <w:rsid w:val="008E2CCD"/>
    <w:rsid w:val="008E2CF9"/>
    <w:rsid w:val="008E2D3F"/>
    <w:rsid w:val="008E2DA8"/>
    <w:rsid w:val="008E2DAD"/>
    <w:rsid w:val="008E2F0A"/>
    <w:rsid w:val="008E3015"/>
    <w:rsid w:val="008E320D"/>
    <w:rsid w:val="008E32C1"/>
    <w:rsid w:val="008E340F"/>
    <w:rsid w:val="008E34F0"/>
    <w:rsid w:val="008E3542"/>
    <w:rsid w:val="008E3700"/>
    <w:rsid w:val="008E370E"/>
    <w:rsid w:val="008E3741"/>
    <w:rsid w:val="008E38FF"/>
    <w:rsid w:val="008E3AC7"/>
    <w:rsid w:val="008E3C37"/>
    <w:rsid w:val="008E3C9F"/>
    <w:rsid w:val="008E3D28"/>
    <w:rsid w:val="008E3D65"/>
    <w:rsid w:val="008E3EA8"/>
    <w:rsid w:val="008E3FAF"/>
    <w:rsid w:val="008E400D"/>
    <w:rsid w:val="008E401F"/>
    <w:rsid w:val="008E41D1"/>
    <w:rsid w:val="008E4232"/>
    <w:rsid w:val="008E4443"/>
    <w:rsid w:val="008E44C9"/>
    <w:rsid w:val="008E45C6"/>
    <w:rsid w:val="008E4659"/>
    <w:rsid w:val="008E47F1"/>
    <w:rsid w:val="008E480B"/>
    <w:rsid w:val="008E4854"/>
    <w:rsid w:val="008E49F4"/>
    <w:rsid w:val="008E4A51"/>
    <w:rsid w:val="008E4ACD"/>
    <w:rsid w:val="008E4B22"/>
    <w:rsid w:val="008E4BB7"/>
    <w:rsid w:val="008E4BCC"/>
    <w:rsid w:val="008E4C7B"/>
    <w:rsid w:val="008E4C98"/>
    <w:rsid w:val="008E4F15"/>
    <w:rsid w:val="008E4F1F"/>
    <w:rsid w:val="008E50DF"/>
    <w:rsid w:val="008E532D"/>
    <w:rsid w:val="008E53F6"/>
    <w:rsid w:val="008E5662"/>
    <w:rsid w:val="008E5819"/>
    <w:rsid w:val="008E58F2"/>
    <w:rsid w:val="008E5B2B"/>
    <w:rsid w:val="008E5CDE"/>
    <w:rsid w:val="008E5EF5"/>
    <w:rsid w:val="008E6082"/>
    <w:rsid w:val="008E6244"/>
    <w:rsid w:val="008E6274"/>
    <w:rsid w:val="008E6334"/>
    <w:rsid w:val="008E6377"/>
    <w:rsid w:val="008E641B"/>
    <w:rsid w:val="008E651F"/>
    <w:rsid w:val="008E65E1"/>
    <w:rsid w:val="008E66A5"/>
    <w:rsid w:val="008E66B4"/>
    <w:rsid w:val="008E66E4"/>
    <w:rsid w:val="008E6830"/>
    <w:rsid w:val="008E6835"/>
    <w:rsid w:val="008E68D7"/>
    <w:rsid w:val="008E6942"/>
    <w:rsid w:val="008E6AAC"/>
    <w:rsid w:val="008E6AC3"/>
    <w:rsid w:val="008E6BDB"/>
    <w:rsid w:val="008E6BE7"/>
    <w:rsid w:val="008E6DD8"/>
    <w:rsid w:val="008E6E1E"/>
    <w:rsid w:val="008E6E4E"/>
    <w:rsid w:val="008E760A"/>
    <w:rsid w:val="008E76A9"/>
    <w:rsid w:val="008E7703"/>
    <w:rsid w:val="008E7C0D"/>
    <w:rsid w:val="008E7C4E"/>
    <w:rsid w:val="008E7C50"/>
    <w:rsid w:val="008E7D9C"/>
    <w:rsid w:val="008E7DC9"/>
    <w:rsid w:val="008E7EB5"/>
    <w:rsid w:val="008E7EFB"/>
    <w:rsid w:val="008F0307"/>
    <w:rsid w:val="008F032E"/>
    <w:rsid w:val="008F035A"/>
    <w:rsid w:val="008F03D6"/>
    <w:rsid w:val="008F0400"/>
    <w:rsid w:val="008F0564"/>
    <w:rsid w:val="008F05F3"/>
    <w:rsid w:val="008F05FC"/>
    <w:rsid w:val="008F0668"/>
    <w:rsid w:val="008F06A0"/>
    <w:rsid w:val="008F071C"/>
    <w:rsid w:val="008F07AD"/>
    <w:rsid w:val="008F07F1"/>
    <w:rsid w:val="008F0881"/>
    <w:rsid w:val="008F08AA"/>
    <w:rsid w:val="008F08C4"/>
    <w:rsid w:val="008F0944"/>
    <w:rsid w:val="008F09B7"/>
    <w:rsid w:val="008F09E2"/>
    <w:rsid w:val="008F0AC7"/>
    <w:rsid w:val="008F0B7C"/>
    <w:rsid w:val="008F0C12"/>
    <w:rsid w:val="008F0EAE"/>
    <w:rsid w:val="008F0EB3"/>
    <w:rsid w:val="008F0EBB"/>
    <w:rsid w:val="008F1075"/>
    <w:rsid w:val="008F1101"/>
    <w:rsid w:val="008F12D7"/>
    <w:rsid w:val="008F14C8"/>
    <w:rsid w:val="008F1665"/>
    <w:rsid w:val="008F1670"/>
    <w:rsid w:val="008F19FB"/>
    <w:rsid w:val="008F1A53"/>
    <w:rsid w:val="008F1A5E"/>
    <w:rsid w:val="008F1BFF"/>
    <w:rsid w:val="008F1D54"/>
    <w:rsid w:val="008F1DC5"/>
    <w:rsid w:val="008F1E46"/>
    <w:rsid w:val="008F1EAA"/>
    <w:rsid w:val="008F1F02"/>
    <w:rsid w:val="008F1FB6"/>
    <w:rsid w:val="008F20DA"/>
    <w:rsid w:val="008F222B"/>
    <w:rsid w:val="008F22AA"/>
    <w:rsid w:val="008F23D0"/>
    <w:rsid w:val="008F260E"/>
    <w:rsid w:val="008F2620"/>
    <w:rsid w:val="008F2743"/>
    <w:rsid w:val="008F2812"/>
    <w:rsid w:val="008F285D"/>
    <w:rsid w:val="008F2881"/>
    <w:rsid w:val="008F2AAC"/>
    <w:rsid w:val="008F2B36"/>
    <w:rsid w:val="008F2B65"/>
    <w:rsid w:val="008F2D6A"/>
    <w:rsid w:val="008F2F34"/>
    <w:rsid w:val="008F2F74"/>
    <w:rsid w:val="008F3003"/>
    <w:rsid w:val="008F3071"/>
    <w:rsid w:val="008F31E9"/>
    <w:rsid w:val="008F3230"/>
    <w:rsid w:val="008F323E"/>
    <w:rsid w:val="008F326A"/>
    <w:rsid w:val="008F32EA"/>
    <w:rsid w:val="008F3449"/>
    <w:rsid w:val="008F34D0"/>
    <w:rsid w:val="008F3622"/>
    <w:rsid w:val="008F36E3"/>
    <w:rsid w:val="008F377C"/>
    <w:rsid w:val="008F37AB"/>
    <w:rsid w:val="008F37DB"/>
    <w:rsid w:val="008F3980"/>
    <w:rsid w:val="008F39DA"/>
    <w:rsid w:val="008F3AB9"/>
    <w:rsid w:val="008F3AC2"/>
    <w:rsid w:val="008F3C09"/>
    <w:rsid w:val="008F3E36"/>
    <w:rsid w:val="008F40E6"/>
    <w:rsid w:val="008F42C2"/>
    <w:rsid w:val="008F42C9"/>
    <w:rsid w:val="008F42E4"/>
    <w:rsid w:val="008F445B"/>
    <w:rsid w:val="008F4513"/>
    <w:rsid w:val="008F454B"/>
    <w:rsid w:val="008F47A1"/>
    <w:rsid w:val="008F47C1"/>
    <w:rsid w:val="008F47F5"/>
    <w:rsid w:val="008F488E"/>
    <w:rsid w:val="008F497B"/>
    <w:rsid w:val="008F49A9"/>
    <w:rsid w:val="008F49FC"/>
    <w:rsid w:val="008F5006"/>
    <w:rsid w:val="008F507C"/>
    <w:rsid w:val="008F51AA"/>
    <w:rsid w:val="008F52AE"/>
    <w:rsid w:val="008F5337"/>
    <w:rsid w:val="008F534B"/>
    <w:rsid w:val="008F5630"/>
    <w:rsid w:val="008F5881"/>
    <w:rsid w:val="008F5935"/>
    <w:rsid w:val="008F5AAF"/>
    <w:rsid w:val="008F5B33"/>
    <w:rsid w:val="008F5B67"/>
    <w:rsid w:val="008F5BB2"/>
    <w:rsid w:val="008F5C09"/>
    <w:rsid w:val="008F5C88"/>
    <w:rsid w:val="008F5EBB"/>
    <w:rsid w:val="008F5EE4"/>
    <w:rsid w:val="008F5F2E"/>
    <w:rsid w:val="008F5F54"/>
    <w:rsid w:val="008F6009"/>
    <w:rsid w:val="008F6018"/>
    <w:rsid w:val="008F60CE"/>
    <w:rsid w:val="008F60E0"/>
    <w:rsid w:val="008F6140"/>
    <w:rsid w:val="008F6148"/>
    <w:rsid w:val="008F634B"/>
    <w:rsid w:val="008F63FB"/>
    <w:rsid w:val="008F64BE"/>
    <w:rsid w:val="008F6629"/>
    <w:rsid w:val="008F666B"/>
    <w:rsid w:val="008F6752"/>
    <w:rsid w:val="008F686D"/>
    <w:rsid w:val="008F6928"/>
    <w:rsid w:val="008F6967"/>
    <w:rsid w:val="008F6973"/>
    <w:rsid w:val="008F6986"/>
    <w:rsid w:val="008F6ADC"/>
    <w:rsid w:val="008F6B22"/>
    <w:rsid w:val="008F6BB3"/>
    <w:rsid w:val="008F6EBB"/>
    <w:rsid w:val="008F6EEE"/>
    <w:rsid w:val="008F6EF8"/>
    <w:rsid w:val="008F7032"/>
    <w:rsid w:val="008F707E"/>
    <w:rsid w:val="008F717A"/>
    <w:rsid w:val="008F729D"/>
    <w:rsid w:val="008F74F6"/>
    <w:rsid w:val="008F755B"/>
    <w:rsid w:val="008F75C4"/>
    <w:rsid w:val="008F76B2"/>
    <w:rsid w:val="008F76FE"/>
    <w:rsid w:val="008F7706"/>
    <w:rsid w:val="008F78CD"/>
    <w:rsid w:val="008F78F1"/>
    <w:rsid w:val="008F790F"/>
    <w:rsid w:val="008F7955"/>
    <w:rsid w:val="008F79F9"/>
    <w:rsid w:val="008F7A4A"/>
    <w:rsid w:val="008F7BB7"/>
    <w:rsid w:val="008F7D98"/>
    <w:rsid w:val="008F7D9C"/>
    <w:rsid w:val="008F7E33"/>
    <w:rsid w:val="008F7FC0"/>
    <w:rsid w:val="00900068"/>
    <w:rsid w:val="00900146"/>
    <w:rsid w:val="009001A3"/>
    <w:rsid w:val="0090043A"/>
    <w:rsid w:val="00900509"/>
    <w:rsid w:val="00900579"/>
    <w:rsid w:val="009005C6"/>
    <w:rsid w:val="00900705"/>
    <w:rsid w:val="009007A8"/>
    <w:rsid w:val="009007E2"/>
    <w:rsid w:val="009008D8"/>
    <w:rsid w:val="00900929"/>
    <w:rsid w:val="00900AB9"/>
    <w:rsid w:val="00900B1A"/>
    <w:rsid w:val="00900D62"/>
    <w:rsid w:val="00900DD4"/>
    <w:rsid w:val="00900E22"/>
    <w:rsid w:val="00900E8E"/>
    <w:rsid w:val="00900FBC"/>
    <w:rsid w:val="00901007"/>
    <w:rsid w:val="00901068"/>
    <w:rsid w:val="009010AC"/>
    <w:rsid w:val="009010BB"/>
    <w:rsid w:val="0090110E"/>
    <w:rsid w:val="0090112E"/>
    <w:rsid w:val="009011B3"/>
    <w:rsid w:val="009011BB"/>
    <w:rsid w:val="0090137A"/>
    <w:rsid w:val="0090158E"/>
    <w:rsid w:val="009015DD"/>
    <w:rsid w:val="00901771"/>
    <w:rsid w:val="009017D8"/>
    <w:rsid w:val="009019FB"/>
    <w:rsid w:val="00901C41"/>
    <w:rsid w:val="00901CF3"/>
    <w:rsid w:val="00901D27"/>
    <w:rsid w:val="00901D3B"/>
    <w:rsid w:val="00901DB3"/>
    <w:rsid w:val="00901DDB"/>
    <w:rsid w:val="00901E2D"/>
    <w:rsid w:val="00901F10"/>
    <w:rsid w:val="00901F73"/>
    <w:rsid w:val="00901FAD"/>
    <w:rsid w:val="009020C7"/>
    <w:rsid w:val="009020D4"/>
    <w:rsid w:val="00902130"/>
    <w:rsid w:val="00902142"/>
    <w:rsid w:val="00902147"/>
    <w:rsid w:val="00902183"/>
    <w:rsid w:val="009022BA"/>
    <w:rsid w:val="0090230B"/>
    <w:rsid w:val="00902486"/>
    <w:rsid w:val="009026AC"/>
    <w:rsid w:val="00902750"/>
    <w:rsid w:val="009027D1"/>
    <w:rsid w:val="009028CD"/>
    <w:rsid w:val="0090294E"/>
    <w:rsid w:val="00902972"/>
    <w:rsid w:val="009029E1"/>
    <w:rsid w:val="00902B69"/>
    <w:rsid w:val="00902C1B"/>
    <w:rsid w:val="00902E83"/>
    <w:rsid w:val="00902EB2"/>
    <w:rsid w:val="00902EE3"/>
    <w:rsid w:val="00902F64"/>
    <w:rsid w:val="00902FEB"/>
    <w:rsid w:val="00903119"/>
    <w:rsid w:val="0090321D"/>
    <w:rsid w:val="009032ED"/>
    <w:rsid w:val="0090344A"/>
    <w:rsid w:val="009036EF"/>
    <w:rsid w:val="009037E1"/>
    <w:rsid w:val="009038B1"/>
    <w:rsid w:val="009038CC"/>
    <w:rsid w:val="00903913"/>
    <w:rsid w:val="009039E1"/>
    <w:rsid w:val="00903A3B"/>
    <w:rsid w:val="00903A7C"/>
    <w:rsid w:val="00903AA8"/>
    <w:rsid w:val="00903ADC"/>
    <w:rsid w:val="00903B52"/>
    <w:rsid w:val="00903C0B"/>
    <w:rsid w:val="00903C6A"/>
    <w:rsid w:val="00903C83"/>
    <w:rsid w:val="00903C95"/>
    <w:rsid w:val="00903D28"/>
    <w:rsid w:val="00903DA6"/>
    <w:rsid w:val="00903FC2"/>
    <w:rsid w:val="00904015"/>
    <w:rsid w:val="00904051"/>
    <w:rsid w:val="0090420D"/>
    <w:rsid w:val="0090421A"/>
    <w:rsid w:val="009042D3"/>
    <w:rsid w:val="0090453C"/>
    <w:rsid w:val="009046C4"/>
    <w:rsid w:val="00904855"/>
    <w:rsid w:val="0090490E"/>
    <w:rsid w:val="0090492F"/>
    <w:rsid w:val="009049DB"/>
    <w:rsid w:val="00904B90"/>
    <w:rsid w:val="00904B9A"/>
    <w:rsid w:val="00904C70"/>
    <w:rsid w:val="00904D44"/>
    <w:rsid w:val="00904D9D"/>
    <w:rsid w:val="00904DE1"/>
    <w:rsid w:val="00904E99"/>
    <w:rsid w:val="00905082"/>
    <w:rsid w:val="00905282"/>
    <w:rsid w:val="0090529D"/>
    <w:rsid w:val="0090532F"/>
    <w:rsid w:val="009053BB"/>
    <w:rsid w:val="009054B2"/>
    <w:rsid w:val="009055B0"/>
    <w:rsid w:val="009055B6"/>
    <w:rsid w:val="00905895"/>
    <w:rsid w:val="009058C6"/>
    <w:rsid w:val="0090590E"/>
    <w:rsid w:val="00905995"/>
    <w:rsid w:val="009059BA"/>
    <w:rsid w:val="00905AD7"/>
    <w:rsid w:val="00905DD9"/>
    <w:rsid w:val="00905E59"/>
    <w:rsid w:val="00905E74"/>
    <w:rsid w:val="0090601E"/>
    <w:rsid w:val="00906034"/>
    <w:rsid w:val="009060D7"/>
    <w:rsid w:val="009061E1"/>
    <w:rsid w:val="0090622D"/>
    <w:rsid w:val="0090631A"/>
    <w:rsid w:val="00906328"/>
    <w:rsid w:val="0090642A"/>
    <w:rsid w:val="00906459"/>
    <w:rsid w:val="0090664B"/>
    <w:rsid w:val="0090664F"/>
    <w:rsid w:val="00906925"/>
    <w:rsid w:val="00906958"/>
    <w:rsid w:val="00906A0A"/>
    <w:rsid w:val="00906BE0"/>
    <w:rsid w:val="00906C06"/>
    <w:rsid w:val="00906E51"/>
    <w:rsid w:val="00906ED2"/>
    <w:rsid w:val="00906F6E"/>
    <w:rsid w:val="00906FD8"/>
    <w:rsid w:val="00906FED"/>
    <w:rsid w:val="009070D8"/>
    <w:rsid w:val="00907124"/>
    <w:rsid w:val="009071CE"/>
    <w:rsid w:val="00907210"/>
    <w:rsid w:val="009073E2"/>
    <w:rsid w:val="00907465"/>
    <w:rsid w:val="009074F9"/>
    <w:rsid w:val="0090752A"/>
    <w:rsid w:val="009077B8"/>
    <w:rsid w:val="00907909"/>
    <w:rsid w:val="0090795C"/>
    <w:rsid w:val="00907ADB"/>
    <w:rsid w:val="00907BBF"/>
    <w:rsid w:val="00907EF1"/>
    <w:rsid w:val="00907F26"/>
    <w:rsid w:val="00907F4F"/>
    <w:rsid w:val="009101A6"/>
    <w:rsid w:val="009101B9"/>
    <w:rsid w:val="00910269"/>
    <w:rsid w:val="00910313"/>
    <w:rsid w:val="00910551"/>
    <w:rsid w:val="009105E4"/>
    <w:rsid w:val="009108E3"/>
    <w:rsid w:val="0091098F"/>
    <w:rsid w:val="00910A22"/>
    <w:rsid w:val="00910B48"/>
    <w:rsid w:val="00910DD6"/>
    <w:rsid w:val="00910F9D"/>
    <w:rsid w:val="00911120"/>
    <w:rsid w:val="00911136"/>
    <w:rsid w:val="0091124C"/>
    <w:rsid w:val="00911316"/>
    <w:rsid w:val="00911333"/>
    <w:rsid w:val="0091148E"/>
    <w:rsid w:val="00911500"/>
    <w:rsid w:val="00911610"/>
    <w:rsid w:val="0091171E"/>
    <w:rsid w:val="00911734"/>
    <w:rsid w:val="00911870"/>
    <w:rsid w:val="009118C7"/>
    <w:rsid w:val="009119A7"/>
    <w:rsid w:val="00911AC9"/>
    <w:rsid w:val="00911BD2"/>
    <w:rsid w:val="00911CD9"/>
    <w:rsid w:val="00911DAB"/>
    <w:rsid w:val="00911DB9"/>
    <w:rsid w:val="00911E02"/>
    <w:rsid w:val="00912066"/>
    <w:rsid w:val="00912251"/>
    <w:rsid w:val="009122BA"/>
    <w:rsid w:val="0091235A"/>
    <w:rsid w:val="0091253F"/>
    <w:rsid w:val="009126C7"/>
    <w:rsid w:val="0091286F"/>
    <w:rsid w:val="009128D7"/>
    <w:rsid w:val="00912956"/>
    <w:rsid w:val="0091298C"/>
    <w:rsid w:val="00912BFC"/>
    <w:rsid w:val="00912D11"/>
    <w:rsid w:val="00912E51"/>
    <w:rsid w:val="00912E67"/>
    <w:rsid w:val="00912EC6"/>
    <w:rsid w:val="00913080"/>
    <w:rsid w:val="00913289"/>
    <w:rsid w:val="00913313"/>
    <w:rsid w:val="00913339"/>
    <w:rsid w:val="00913365"/>
    <w:rsid w:val="00913511"/>
    <w:rsid w:val="0091355A"/>
    <w:rsid w:val="009135F0"/>
    <w:rsid w:val="00913633"/>
    <w:rsid w:val="00913662"/>
    <w:rsid w:val="009136BE"/>
    <w:rsid w:val="00913782"/>
    <w:rsid w:val="00913794"/>
    <w:rsid w:val="0091392E"/>
    <w:rsid w:val="00913A3B"/>
    <w:rsid w:val="00913AF1"/>
    <w:rsid w:val="00913B32"/>
    <w:rsid w:val="00913C75"/>
    <w:rsid w:val="00913C7E"/>
    <w:rsid w:val="00913CFF"/>
    <w:rsid w:val="00913D06"/>
    <w:rsid w:val="00913D8A"/>
    <w:rsid w:val="00913EC3"/>
    <w:rsid w:val="00913F23"/>
    <w:rsid w:val="00913F3A"/>
    <w:rsid w:val="0091402C"/>
    <w:rsid w:val="009141E9"/>
    <w:rsid w:val="0091462A"/>
    <w:rsid w:val="0091472D"/>
    <w:rsid w:val="00914750"/>
    <w:rsid w:val="00914853"/>
    <w:rsid w:val="009148B6"/>
    <w:rsid w:val="009148DE"/>
    <w:rsid w:val="0091495C"/>
    <w:rsid w:val="00914971"/>
    <w:rsid w:val="00914A3D"/>
    <w:rsid w:val="00914BA7"/>
    <w:rsid w:val="00914C09"/>
    <w:rsid w:val="00914CC6"/>
    <w:rsid w:val="00914D2F"/>
    <w:rsid w:val="00914D35"/>
    <w:rsid w:val="00914EF3"/>
    <w:rsid w:val="00914F3A"/>
    <w:rsid w:val="00914F68"/>
    <w:rsid w:val="0091520B"/>
    <w:rsid w:val="00915236"/>
    <w:rsid w:val="0091523C"/>
    <w:rsid w:val="00915401"/>
    <w:rsid w:val="0091550C"/>
    <w:rsid w:val="0091568D"/>
    <w:rsid w:val="0091573F"/>
    <w:rsid w:val="00915755"/>
    <w:rsid w:val="009157F2"/>
    <w:rsid w:val="00915887"/>
    <w:rsid w:val="009158EB"/>
    <w:rsid w:val="00915B10"/>
    <w:rsid w:val="00915B6C"/>
    <w:rsid w:val="00915DB2"/>
    <w:rsid w:val="00915E31"/>
    <w:rsid w:val="00915F33"/>
    <w:rsid w:val="00915FCD"/>
    <w:rsid w:val="00915FD3"/>
    <w:rsid w:val="00915FF6"/>
    <w:rsid w:val="0091621A"/>
    <w:rsid w:val="00916292"/>
    <w:rsid w:val="0091629A"/>
    <w:rsid w:val="0091630C"/>
    <w:rsid w:val="00916394"/>
    <w:rsid w:val="0091642E"/>
    <w:rsid w:val="0091645E"/>
    <w:rsid w:val="0091653F"/>
    <w:rsid w:val="00916599"/>
    <w:rsid w:val="00916620"/>
    <w:rsid w:val="0091662E"/>
    <w:rsid w:val="009166B4"/>
    <w:rsid w:val="009166BD"/>
    <w:rsid w:val="009166DB"/>
    <w:rsid w:val="0091679D"/>
    <w:rsid w:val="0091691E"/>
    <w:rsid w:val="009169D1"/>
    <w:rsid w:val="00916D9B"/>
    <w:rsid w:val="00916DEA"/>
    <w:rsid w:val="00916E54"/>
    <w:rsid w:val="00916EC1"/>
    <w:rsid w:val="009171BC"/>
    <w:rsid w:val="009172F0"/>
    <w:rsid w:val="009173AD"/>
    <w:rsid w:val="00917454"/>
    <w:rsid w:val="00917630"/>
    <w:rsid w:val="009176DD"/>
    <w:rsid w:val="00917718"/>
    <w:rsid w:val="0091788F"/>
    <w:rsid w:val="009178B0"/>
    <w:rsid w:val="009179BC"/>
    <w:rsid w:val="009179FB"/>
    <w:rsid w:val="00917A75"/>
    <w:rsid w:val="00917B44"/>
    <w:rsid w:val="00917B6E"/>
    <w:rsid w:val="00917C67"/>
    <w:rsid w:val="00917C9A"/>
    <w:rsid w:val="00917CE0"/>
    <w:rsid w:val="00917D9E"/>
    <w:rsid w:val="00917E26"/>
    <w:rsid w:val="00917E67"/>
    <w:rsid w:val="00917E7A"/>
    <w:rsid w:val="00917EB9"/>
    <w:rsid w:val="00917EEC"/>
    <w:rsid w:val="00920007"/>
    <w:rsid w:val="00920135"/>
    <w:rsid w:val="009201E3"/>
    <w:rsid w:val="0092024C"/>
    <w:rsid w:val="009202C7"/>
    <w:rsid w:val="00920429"/>
    <w:rsid w:val="009207E2"/>
    <w:rsid w:val="009207F0"/>
    <w:rsid w:val="0092098F"/>
    <w:rsid w:val="00920B3F"/>
    <w:rsid w:val="00920BB9"/>
    <w:rsid w:val="00920BF7"/>
    <w:rsid w:val="00920BFC"/>
    <w:rsid w:val="00920C2A"/>
    <w:rsid w:val="00920CC9"/>
    <w:rsid w:val="00920DC4"/>
    <w:rsid w:val="00920DDB"/>
    <w:rsid w:val="00920E51"/>
    <w:rsid w:val="00920E8F"/>
    <w:rsid w:val="00920EC5"/>
    <w:rsid w:val="00920F0D"/>
    <w:rsid w:val="00920FB9"/>
    <w:rsid w:val="00920FC0"/>
    <w:rsid w:val="00920FC1"/>
    <w:rsid w:val="00920FE3"/>
    <w:rsid w:val="00921086"/>
    <w:rsid w:val="00921142"/>
    <w:rsid w:val="00921245"/>
    <w:rsid w:val="0092129E"/>
    <w:rsid w:val="009215C6"/>
    <w:rsid w:val="009216F9"/>
    <w:rsid w:val="00921717"/>
    <w:rsid w:val="009217BF"/>
    <w:rsid w:val="009217FD"/>
    <w:rsid w:val="0092190E"/>
    <w:rsid w:val="00921987"/>
    <w:rsid w:val="00921A0E"/>
    <w:rsid w:val="00921ACE"/>
    <w:rsid w:val="00921C06"/>
    <w:rsid w:val="00921D18"/>
    <w:rsid w:val="00921E2C"/>
    <w:rsid w:val="00921ECA"/>
    <w:rsid w:val="0092212E"/>
    <w:rsid w:val="0092214A"/>
    <w:rsid w:val="00922167"/>
    <w:rsid w:val="009221F3"/>
    <w:rsid w:val="00922218"/>
    <w:rsid w:val="009222CF"/>
    <w:rsid w:val="009224EB"/>
    <w:rsid w:val="00922544"/>
    <w:rsid w:val="0092254D"/>
    <w:rsid w:val="0092266A"/>
    <w:rsid w:val="00922673"/>
    <w:rsid w:val="0092271B"/>
    <w:rsid w:val="009227FB"/>
    <w:rsid w:val="00922A3A"/>
    <w:rsid w:val="00922A53"/>
    <w:rsid w:val="00922B89"/>
    <w:rsid w:val="00922D74"/>
    <w:rsid w:val="00922DE4"/>
    <w:rsid w:val="00922E31"/>
    <w:rsid w:val="00922FC6"/>
    <w:rsid w:val="00922FE4"/>
    <w:rsid w:val="00922FF4"/>
    <w:rsid w:val="00923071"/>
    <w:rsid w:val="009230D1"/>
    <w:rsid w:val="0092310F"/>
    <w:rsid w:val="009232C4"/>
    <w:rsid w:val="0092341C"/>
    <w:rsid w:val="00923421"/>
    <w:rsid w:val="00923567"/>
    <w:rsid w:val="0092365E"/>
    <w:rsid w:val="00923691"/>
    <w:rsid w:val="00923702"/>
    <w:rsid w:val="009238D7"/>
    <w:rsid w:val="00923970"/>
    <w:rsid w:val="009239E5"/>
    <w:rsid w:val="00923BDA"/>
    <w:rsid w:val="00923C12"/>
    <w:rsid w:val="00923C6C"/>
    <w:rsid w:val="00923D51"/>
    <w:rsid w:val="00923DF0"/>
    <w:rsid w:val="00923E5F"/>
    <w:rsid w:val="00923E8E"/>
    <w:rsid w:val="00924010"/>
    <w:rsid w:val="00924060"/>
    <w:rsid w:val="00924358"/>
    <w:rsid w:val="0092447C"/>
    <w:rsid w:val="00924574"/>
    <w:rsid w:val="009245D4"/>
    <w:rsid w:val="009245DB"/>
    <w:rsid w:val="009245DF"/>
    <w:rsid w:val="0092460F"/>
    <w:rsid w:val="0092473B"/>
    <w:rsid w:val="009247A2"/>
    <w:rsid w:val="00924821"/>
    <w:rsid w:val="009248A5"/>
    <w:rsid w:val="009248C7"/>
    <w:rsid w:val="009248CD"/>
    <w:rsid w:val="009248EF"/>
    <w:rsid w:val="00924915"/>
    <w:rsid w:val="00924919"/>
    <w:rsid w:val="00924A2E"/>
    <w:rsid w:val="00924A61"/>
    <w:rsid w:val="00924BBB"/>
    <w:rsid w:val="00924C2B"/>
    <w:rsid w:val="00924C6E"/>
    <w:rsid w:val="00924E15"/>
    <w:rsid w:val="00924F56"/>
    <w:rsid w:val="00924FC2"/>
    <w:rsid w:val="00925164"/>
    <w:rsid w:val="009251A7"/>
    <w:rsid w:val="00925245"/>
    <w:rsid w:val="009252E8"/>
    <w:rsid w:val="009252F6"/>
    <w:rsid w:val="00925307"/>
    <w:rsid w:val="009253CF"/>
    <w:rsid w:val="009254C4"/>
    <w:rsid w:val="00925525"/>
    <w:rsid w:val="009255E7"/>
    <w:rsid w:val="00925660"/>
    <w:rsid w:val="009256FC"/>
    <w:rsid w:val="00925751"/>
    <w:rsid w:val="00925848"/>
    <w:rsid w:val="00925A93"/>
    <w:rsid w:val="00925AA5"/>
    <w:rsid w:val="00925B08"/>
    <w:rsid w:val="00925B2A"/>
    <w:rsid w:val="00925C0B"/>
    <w:rsid w:val="00925C94"/>
    <w:rsid w:val="00925E27"/>
    <w:rsid w:val="00925E56"/>
    <w:rsid w:val="00925EA4"/>
    <w:rsid w:val="00925EB2"/>
    <w:rsid w:val="009260E3"/>
    <w:rsid w:val="00926132"/>
    <w:rsid w:val="0092634F"/>
    <w:rsid w:val="009263F3"/>
    <w:rsid w:val="009265EF"/>
    <w:rsid w:val="0092678F"/>
    <w:rsid w:val="009267AD"/>
    <w:rsid w:val="009268BB"/>
    <w:rsid w:val="0092699F"/>
    <w:rsid w:val="009269A0"/>
    <w:rsid w:val="00926A03"/>
    <w:rsid w:val="00926A52"/>
    <w:rsid w:val="00926A78"/>
    <w:rsid w:val="00926B27"/>
    <w:rsid w:val="00926C5A"/>
    <w:rsid w:val="00926E1B"/>
    <w:rsid w:val="00926FD2"/>
    <w:rsid w:val="00927147"/>
    <w:rsid w:val="009271AA"/>
    <w:rsid w:val="009271AF"/>
    <w:rsid w:val="00927227"/>
    <w:rsid w:val="0092726F"/>
    <w:rsid w:val="0092737E"/>
    <w:rsid w:val="0092739A"/>
    <w:rsid w:val="0092756F"/>
    <w:rsid w:val="00927649"/>
    <w:rsid w:val="0092764A"/>
    <w:rsid w:val="0092768E"/>
    <w:rsid w:val="009276A2"/>
    <w:rsid w:val="00927767"/>
    <w:rsid w:val="009277EA"/>
    <w:rsid w:val="00927909"/>
    <w:rsid w:val="0092797F"/>
    <w:rsid w:val="00927A67"/>
    <w:rsid w:val="00927B6B"/>
    <w:rsid w:val="00927C96"/>
    <w:rsid w:val="00927D36"/>
    <w:rsid w:val="00927D53"/>
    <w:rsid w:val="00927D90"/>
    <w:rsid w:val="00927F2A"/>
    <w:rsid w:val="00927F32"/>
    <w:rsid w:val="00927FE3"/>
    <w:rsid w:val="00930009"/>
    <w:rsid w:val="009300B4"/>
    <w:rsid w:val="00930186"/>
    <w:rsid w:val="00930198"/>
    <w:rsid w:val="009301A2"/>
    <w:rsid w:val="00930214"/>
    <w:rsid w:val="00930224"/>
    <w:rsid w:val="009305AB"/>
    <w:rsid w:val="00930616"/>
    <w:rsid w:val="00930709"/>
    <w:rsid w:val="00930745"/>
    <w:rsid w:val="0093076A"/>
    <w:rsid w:val="00930859"/>
    <w:rsid w:val="009309DA"/>
    <w:rsid w:val="00930BD6"/>
    <w:rsid w:val="00930BDF"/>
    <w:rsid w:val="00930CCE"/>
    <w:rsid w:val="00930D33"/>
    <w:rsid w:val="00930D50"/>
    <w:rsid w:val="00930EF0"/>
    <w:rsid w:val="00931348"/>
    <w:rsid w:val="009313A2"/>
    <w:rsid w:val="009313C0"/>
    <w:rsid w:val="0093144D"/>
    <w:rsid w:val="00931571"/>
    <w:rsid w:val="0093168C"/>
    <w:rsid w:val="00931744"/>
    <w:rsid w:val="009318E7"/>
    <w:rsid w:val="00931ADA"/>
    <w:rsid w:val="00931B1C"/>
    <w:rsid w:val="00931BCE"/>
    <w:rsid w:val="00931BDE"/>
    <w:rsid w:val="00931CEB"/>
    <w:rsid w:val="00931E01"/>
    <w:rsid w:val="00931E36"/>
    <w:rsid w:val="00931ECC"/>
    <w:rsid w:val="00931ED5"/>
    <w:rsid w:val="0093200B"/>
    <w:rsid w:val="009320B2"/>
    <w:rsid w:val="009320CC"/>
    <w:rsid w:val="009321A3"/>
    <w:rsid w:val="0093223B"/>
    <w:rsid w:val="00932261"/>
    <w:rsid w:val="009322C6"/>
    <w:rsid w:val="009322EE"/>
    <w:rsid w:val="009322F9"/>
    <w:rsid w:val="00932338"/>
    <w:rsid w:val="0093236F"/>
    <w:rsid w:val="009324AB"/>
    <w:rsid w:val="009324E3"/>
    <w:rsid w:val="009324F7"/>
    <w:rsid w:val="0093250B"/>
    <w:rsid w:val="00932735"/>
    <w:rsid w:val="009327EA"/>
    <w:rsid w:val="00932804"/>
    <w:rsid w:val="00932A84"/>
    <w:rsid w:val="00932ADE"/>
    <w:rsid w:val="00932B31"/>
    <w:rsid w:val="00932BC6"/>
    <w:rsid w:val="00932BDD"/>
    <w:rsid w:val="00932D0C"/>
    <w:rsid w:val="00932D6C"/>
    <w:rsid w:val="00932DAE"/>
    <w:rsid w:val="00932DBE"/>
    <w:rsid w:val="00932F6A"/>
    <w:rsid w:val="00932F9E"/>
    <w:rsid w:val="00932FE9"/>
    <w:rsid w:val="00933070"/>
    <w:rsid w:val="00933112"/>
    <w:rsid w:val="0093311C"/>
    <w:rsid w:val="00933209"/>
    <w:rsid w:val="00933274"/>
    <w:rsid w:val="009332CB"/>
    <w:rsid w:val="00933324"/>
    <w:rsid w:val="00933569"/>
    <w:rsid w:val="009335A5"/>
    <w:rsid w:val="009335CC"/>
    <w:rsid w:val="0093363D"/>
    <w:rsid w:val="009336AB"/>
    <w:rsid w:val="009336DF"/>
    <w:rsid w:val="00933865"/>
    <w:rsid w:val="0093391D"/>
    <w:rsid w:val="00933C77"/>
    <w:rsid w:val="00933CB3"/>
    <w:rsid w:val="00933D2F"/>
    <w:rsid w:val="00933D88"/>
    <w:rsid w:val="00933E1F"/>
    <w:rsid w:val="00933EEA"/>
    <w:rsid w:val="00933F4E"/>
    <w:rsid w:val="00934066"/>
    <w:rsid w:val="0093408E"/>
    <w:rsid w:val="00934123"/>
    <w:rsid w:val="0093422E"/>
    <w:rsid w:val="009342A2"/>
    <w:rsid w:val="009344F7"/>
    <w:rsid w:val="0093452A"/>
    <w:rsid w:val="0093472A"/>
    <w:rsid w:val="009348DD"/>
    <w:rsid w:val="00934AA1"/>
    <w:rsid w:val="00934BEE"/>
    <w:rsid w:val="00934D07"/>
    <w:rsid w:val="00934E60"/>
    <w:rsid w:val="00934F30"/>
    <w:rsid w:val="00934F43"/>
    <w:rsid w:val="009350EB"/>
    <w:rsid w:val="00935284"/>
    <w:rsid w:val="009353B1"/>
    <w:rsid w:val="0093541D"/>
    <w:rsid w:val="0093542C"/>
    <w:rsid w:val="009354FE"/>
    <w:rsid w:val="0093557D"/>
    <w:rsid w:val="0093558B"/>
    <w:rsid w:val="009355C5"/>
    <w:rsid w:val="009355EF"/>
    <w:rsid w:val="00935A5D"/>
    <w:rsid w:val="00935A6C"/>
    <w:rsid w:val="00935A7E"/>
    <w:rsid w:val="00935BED"/>
    <w:rsid w:val="00935C29"/>
    <w:rsid w:val="00935D64"/>
    <w:rsid w:val="00935F6E"/>
    <w:rsid w:val="00936068"/>
    <w:rsid w:val="00936079"/>
    <w:rsid w:val="009361BD"/>
    <w:rsid w:val="009362B8"/>
    <w:rsid w:val="00936435"/>
    <w:rsid w:val="0093647E"/>
    <w:rsid w:val="0093651E"/>
    <w:rsid w:val="00936619"/>
    <w:rsid w:val="009367B1"/>
    <w:rsid w:val="00936858"/>
    <w:rsid w:val="0093694B"/>
    <w:rsid w:val="00936A1E"/>
    <w:rsid w:val="00936A3A"/>
    <w:rsid w:val="00936B88"/>
    <w:rsid w:val="00936BB4"/>
    <w:rsid w:val="00936C57"/>
    <w:rsid w:val="00936D10"/>
    <w:rsid w:val="00936D50"/>
    <w:rsid w:val="00936DA4"/>
    <w:rsid w:val="00936DFB"/>
    <w:rsid w:val="00936E65"/>
    <w:rsid w:val="00936FA3"/>
    <w:rsid w:val="00937083"/>
    <w:rsid w:val="00937097"/>
    <w:rsid w:val="009370EE"/>
    <w:rsid w:val="00937126"/>
    <w:rsid w:val="00937160"/>
    <w:rsid w:val="00937283"/>
    <w:rsid w:val="0093732C"/>
    <w:rsid w:val="0093733A"/>
    <w:rsid w:val="009374C5"/>
    <w:rsid w:val="009375C6"/>
    <w:rsid w:val="009376F6"/>
    <w:rsid w:val="00937760"/>
    <w:rsid w:val="009377D4"/>
    <w:rsid w:val="009378E0"/>
    <w:rsid w:val="00937A0D"/>
    <w:rsid w:val="00937CA8"/>
    <w:rsid w:val="00937E62"/>
    <w:rsid w:val="00937EFF"/>
    <w:rsid w:val="00937F8F"/>
    <w:rsid w:val="00940080"/>
    <w:rsid w:val="009400B1"/>
    <w:rsid w:val="009400F7"/>
    <w:rsid w:val="00940199"/>
    <w:rsid w:val="0094026C"/>
    <w:rsid w:val="00940283"/>
    <w:rsid w:val="00940396"/>
    <w:rsid w:val="009403E5"/>
    <w:rsid w:val="00940461"/>
    <w:rsid w:val="009404A3"/>
    <w:rsid w:val="0094066F"/>
    <w:rsid w:val="0094076C"/>
    <w:rsid w:val="009407C0"/>
    <w:rsid w:val="0094084B"/>
    <w:rsid w:val="0094091D"/>
    <w:rsid w:val="009409B4"/>
    <w:rsid w:val="00940DA2"/>
    <w:rsid w:val="00940E69"/>
    <w:rsid w:val="00940E6E"/>
    <w:rsid w:val="00940EE0"/>
    <w:rsid w:val="00940F01"/>
    <w:rsid w:val="00940FC6"/>
    <w:rsid w:val="009410CA"/>
    <w:rsid w:val="00941467"/>
    <w:rsid w:val="0094152D"/>
    <w:rsid w:val="00941568"/>
    <w:rsid w:val="009415EB"/>
    <w:rsid w:val="009415ED"/>
    <w:rsid w:val="009418E5"/>
    <w:rsid w:val="00941B80"/>
    <w:rsid w:val="00941C28"/>
    <w:rsid w:val="00941C4B"/>
    <w:rsid w:val="00941C83"/>
    <w:rsid w:val="00941E4F"/>
    <w:rsid w:val="00941FCB"/>
    <w:rsid w:val="00942042"/>
    <w:rsid w:val="00942070"/>
    <w:rsid w:val="009421AA"/>
    <w:rsid w:val="00942202"/>
    <w:rsid w:val="00942256"/>
    <w:rsid w:val="0094225A"/>
    <w:rsid w:val="00942378"/>
    <w:rsid w:val="009423C3"/>
    <w:rsid w:val="009424F7"/>
    <w:rsid w:val="0094255F"/>
    <w:rsid w:val="0094256D"/>
    <w:rsid w:val="00942786"/>
    <w:rsid w:val="009429E9"/>
    <w:rsid w:val="00942B1A"/>
    <w:rsid w:val="00942C08"/>
    <w:rsid w:val="00942C71"/>
    <w:rsid w:val="00942CC3"/>
    <w:rsid w:val="00942E0A"/>
    <w:rsid w:val="00942EB2"/>
    <w:rsid w:val="009430A4"/>
    <w:rsid w:val="009431F1"/>
    <w:rsid w:val="00943219"/>
    <w:rsid w:val="009432D8"/>
    <w:rsid w:val="009432F6"/>
    <w:rsid w:val="0094335B"/>
    <w:rsid w:val="00943468"/>
    <w:rsid w:val="00943600"/>
    <w:rsid w:val="0094360B"/>
    <w:rsid w:val="009436A7"/>
    <w:rsid w:val="009436BA"/>
    <w:rsid w:val="00943709"/>
    <w:rsid w:val="00943844"/>
    <w:rsid w:val="009438EF"/>
    <w:rsid w:val="009439C8"/>
    <w:rsid w:val="00943C88"/>
    <w:rsid w:val="00943D66"/>
    <w:rsid w:val="00943DF2"/>
    <w:rsid w:val="00943F70"/>
    <w:rsid w:val="00943F82"/>
    <w:rsid w:val="00944029"/>
    <w:rsid w:val="009441CA"/>
    <w:rsid w:val="00944293"/>
    <w:rsid w:val="00944403"/>
    <w:rsid w:val="00944505"/>
    <w:rsid w:val="00944755"/>
    <w:rsid w:val="009447E2"/>
    <w:rsid w:val="0094496E"/>
    <w:rsid w:val="00944ACF"/>
    <w:rsid w:val="00944B0B"/>
    <w:rsid w:val="00944B1C"/>
    <w:rsid w:val="00944B80"/>
    <w:rsid w:val="00944B96"/>
    <w:rsid w:val="00944D33"/>
    <w:rsid w:val="00944E48"/>
    <w:rsid w:val="00944F70"/>
    <w:rsid w:val="0094506A"/>
    <w:rsid w:val="00945253"/>
    <w:rsid w:val="009453C2"/>
    <w:rsid w:val="0094554C"/>
    <w:rsid w:val="00945631"/>
    <w:rsid w:val="00945745"/>
    <w:rsid w:val="009457FB"/>
    <w:rsid w:val="00945875"/>
    <w:rsid w:val="00945AA0"/>
    <w:rsid w:val="00945AA3"/>
    <w:rsid w:val="00945D38"/>
    <w:rsid w:val="00945DF1"/>
    <w:rsid w:val="00945E3A"/>
    <w:rsid w:val="00945F35"/>
    <w:rsid w:val="0094601A"/>
    <w:rsid w:val="009460A0"/>
    <w:rsid w:val="00946179"/>
    <w:rsid w:val="009463E5"/>
    <w:rsid w:val="009464A8"/>
    <w:rsid w:val="009464A9"/>
    <w:rsid w:val="00946573"/>
    <w:rsid w:val="00946776"/>
    <w:rsid w:val="00946AE5"/>
    <w:rsid w:val="00946B90"/>
    <w:rsid w:val="00946C38"/>
    <w:rsid w:val="00946E88"/>
    <w:rsid w:val="00946FA5"/>
    <w:rsid w:val="0094710B"/>
    <w:rsid w:val="00947301"/>
    <w:rsid w:val="00947393"/>
    <w:rsid w:val="0094741E"/>
    <w:rsid w:val="00947538"/>
    <w:rsid w:val="009475FF"/>
    <w:rsid w:val="0094764A"/>
    <w:rsid w:val="00947664"/>
    <w:rsid w:val="0094774C"/>
    <w:rsid w:val="0094788A"/>
    <w:rsid w:val="0094799E"/>
    <w:rsid w:val="009479D0"/>
    <w:rsid w:val="00947A54"/>
    <w:rsid w:val="00947ACD"/>
    <w:rsid w:val="00947B0E"/>
    <w:rsid w:val="00947B31"/>
    <w:rsid w:val="00947C69"/>
    <w:rsid w:val="00947E94"/>
    <w:rsid w:val="00947EEC"/>
    <w:rsid w:val="0095008F"/>
    <w:rsid w:val="009500A5"/>
    <w:rsid w:val="009500DA"/>
    <w:rsid w:val="009501B2"/>
    <w:rsid w:val="00950215"/>
    <w:rsid w:val="009502B1"/>
    <w:rsid w:val="00950323"/>
    <w:rsid w:val="00950389"/>
    <w:rsid w:val="0095039A"/>
    <w:rsid w:val="009505CD"/>
    <w:rsid w:val="009507B1"/>
    <w:rsid w:val="009507E3"/>
    <w:rsid w:val="00950916"/>
    <w:rsid w:val="0095094A"/>
    <w:rsid w:val="00950956"/>
    <w:rsid w:val="009509C9"/>
    <w:rsid w:val="00950D47"/>
    <w:rsid w:val="00950DF8"/>
    <w:rsid w:val="00950FB5"/>
    <w:rsid w:val="0095104E"/>
    <w:rsid w:val="00951106"/>
    <w:rsid w:val="009514A1"/>
    <w:rsid w:val="00951731"/>
    <w:rsid w:val="0095173B"/>
    <w:rsid w:val="00951780"/>
    <w:rsid w:val="009517CC"/>
    <w:rsid w:val="00951981"/>
    <w:rsid w:val="00951CFD"/>
    <w:rsid w:val="00951E05"/>
    <w:rsid w:val="00951E2C"/>
    <w:rsid w:val="00951EA1"/>
    <w:rsid w:val="00951F19"/>
    <w:rsid w:val="00951F36"/>
    <w:rsid w:val="0095202C"/>
    <w:rsid w:val="00952170"/>
    <w:rsid w:val="00952198"/>
    <w:rsid w:val="0095229C"/>
    <w:rsid w:val="00952374"/>
    <w:rsid w:val="009523C7"/>
    <w:rsid w:val="009523F5"/>
    <w:rsid w:val="009525E8"/>
    <w:rsid w:val="009528FA"/>
    <w:rsid w:val="0095296C"/>
    <w:rsid w:val="00952983"/>
    <w:rsid w:val="00952ABF"/>
    <w:rsid w:val="00952B90"/>
    <w:rsid w:val="00952BC6"/>
    <w:rsid w:val="00952D6C"/>
    <w:rsid w:val="00953174"/>
    <w:rsid w:val="009531BD"/>
    <w:rsid w:val="00953450"/>
    <w:rsid w:val="0095346A"/>
    <w:rsid w:val="009535E5"/>
    <w:rsid w:val="00953611"/>
    <w:rsid w:val="009536AC"/>
    <w:rsid w:val="009536F9"/>
    <w:rsid w:val="009538C2"/>
    <w:rsid w:val="00953A7A"/>
    <w:rsid w:val="00953B38"/>
    <w:rsid w:val="00953CC3"/>
    <w:rsid w:val="00953D90"/>
    <w:rsid w:val="00954118"/>
    <w:rsid w:val="009541EA"/>
    <w:rsid w:val="0095421E"/>
    <w:rsid w:val="00954303"/>
    <w:rsid w:val="00954375"/>
    <w:rsid w:val="009544A7"/>
    <w:rsid w:val="009545A0"/>
    <w:rsid w:val="009545A3"/>
    <w:rsid w:val="00954602"/>
    <w:rsid w:val="00954653"/>
    <w:rsid w:val="009546F8"/>
    <w:rsid w:val="00954711"/>
    <w:rsid w:val="00954719"/>
    <w:rsid w:val="0095482D"/>
    <w:rsid w:val="0095485E"/>
    <w:rsid w:val="0095488C"/>
    <w:rsid w:val="0095494E"/>
    <w:rsid w:val="00954B49"/>
    <w:rsid w:val="00954E03"/>
    <w:rsid w:val="00954EB4"/>
    <w:rsid w:val="00954EF6"/>
    <w:rsid w:val="0095501C"/>
    <w:rsid w:val="009550BD"/>
    <w:rsid w:val="009550CA"/>
    <w:rsid w:val="00955160"/>
    <w:rsid w:val="0095520D"/>
    <w:rsid w:val="0095528B"/>
    <w:rsid w:val="00955302"/>
    <w:rsid w:val="00955A4B"/>
    <w:rsid w:val="00955CAE"/>
    <w:rsid w:val="00955CBF"/>
    <w:rsid w:val="00955E8C"/>
    <w:rsid w:val="00955EA2"/>
    <w:rsid w:val="00956063"/>
    <w:rsid w:val="0095615F"/>
    <w:rsid w:val="00956460"/>
    <w:rsid w:val="00956472"/>
    <w:rsid w:val="0095653D"/>
    <w:rsid w:val="00956672"/>
    <w:rsid w:val="00956778"/>
    <w:rsid w:val="00956798"/>
    <w:rsid w:val="009567AA"/>
    <w:rsid w:val="009567BB"/>
    <w:rsid w:val="00956886"/>
    <w:rsid w:val="00956938"/>
    <w:rsid w:val="00956989"/>
    <w:rsid w:val="00956AD6"/>
    <w:rsid w:val="00956B8A"/>
    <w:rsid w:val="00956CA0"/>
    <w:rsid w:val="00956DB7"/>
    <w:rsid w:val="00956E62"/>
    <w:rsid w:val="00956E90"/>
    <w:rsid w:val="00956ED1"/>
    <w:rsid w:val="00957077"/>
    <w:rsid w:val="009570E5"/>
    <w:rsid w:val="00957211"/>
    <w:rsid w:val="009572C8"/>
    <w:rsid w:val="0095759A"/>
    <w:rsid w:val="009575FC"/>
    <w:rsid w:val="00957688"/>
    <w:rsid w:val="009576EA"/>
    <w:rsid w:val="00957715"/>
    <w:rsid w:val="00957783"/>
    <w:rsid w:val="00957865"/>
    <w:rsid w:val="00957887"/>
    <w:rsid w:val="00957979"/>
    <w:rsid w:val="0095799F"/>
    <w:rsid w:val="00957C34"/>
    <w:rsid w:val="00957C81"/>
    <w:rsid w:val="00957D0B"/>
    <w:rsid w:val="00957D17"/>
    <w:rsid w:val="00957D33"/>
    <w:rsid w:val="00957DF2"/>
    <w:rsid w:val="00957E9D"/>
    <w:rsid w:val="00957F6B"/>
    <w:rsid w:val="00957FD3"/>
    <w:rsid w:val="0096005B"/>
    <w:rsid w:val="009601E1"/>
    <w:rsid w:val="009603FB"/>
    <w:rsid w:val="00960466"/>
    <w:rsid w:val="00960525"/>
    <w:rsid w:val="009605A8"/>
    <w:rsid w:val="009605FF"/>
    <w:rsid w:val="00960620"/>
    <w:rsid w:val="009606D4"/>
    <w:rsid w:val="009607FF"/>
    <w:rsid w:val="00960837"/>
    <w:rsid w:val="00960948"/>
    <w:rsid w:val="00960951"/>
    <w:rsid w:val="00960A51"/>
    <w:rsid w:val="00960BA4"/>
    <w:rsid w:val="00960BA7"/>
    <w:rsid w:val="00960D70"/>
    <w:rsid w:val="00960D75"/>
    <w:rsid w:val="00960E6E"/>
    <w:rsid w:val="00960ECA"/>
    <w:rsid w:val="00960FE2"/>
    <w:rsid w:val="00960FFC"/>
    <w:rsid w:val="0096107F"/>
    <w:rsid w:val="009612A7"/>
    <w:rsid w:val="00961338"/>
    <w:rsid w:val="0096136D"/>
    <w:rsid w:val="00961436"/>
    <w:rsid w:val="00961485"/>
    <w:rsid w:val="009614B1"/>
    <w:rsid w:val="009614CE"/>
    <w:rsid w:val="009615AF"/>
    <w:rsid w:val="009615D4"/>
    <w:rsid w:val="009615DA"/>
    <w:rsid w:val="0096160D"/>
    <w:rsid w:val="0096163D"/>
    <w:rsid w:val="009616C7"/>
    <w:rsid w:val="00961869"/>
    <w:rsid w:val="00961A38"/>
    <w:rsid w:val="00961A53"/>
    <w:rsid w:val="00961A72"/>
    <w:rsid w:val="00961BBA"/>
    <w:rsid w:val="00961D2A"/>
    <w:rsid w:val="00961F37"/>
    <w:rsid w:val="00961F83"/>
    <w:rsid w:val="00961F9D"/>
    <w:rsid w:val="00961FE6"/>
    <w:rsid w:val="00962104"/>
    <w:rsid w:val="00962122"/>
    <w:rsid w:val="009621AA"/>
    <w:rsid w:val="00962223"/>
    <w:rsid w:val="009626D4"/>
    <w:rsid w:val="00962759"/>
    <w:rsid w:val="009628D2"/>
    <w:rsid w:val="00962981"/>
    <w:rsid w:val="00962C58"/>
    <w:rsid w:val="00962D3C"/>
    <w:rsid w:val="00962D4A"/>
    <w:rsid w:val="00962E04"/>
    <w:rsid w:val="00962EC4"/>
    <w:rsid w:val="00962F85"/>
    <w:rsid w:val="00962FED"/>
    <w:rsid w:val="0096311B"/>
    <w:rsid w:val="00963166"/>
    <w:rsid w:val="009632B0"/>
    <w:rsid w:val="00963383"/>
    <w:rsid w:val="00963416"/>
    <w:rsid w:val="0096347D"/>
    <w:rsid w:val="00963512"/>
    <w:rsid w:val="00963519"/>
    <w:rsid w:val="00963564"/>
    <w:rsid w:val="00963687"/>
    <w:rsid w:val="0096386E"/>
    <w:rsid w:val="009638D3"/>
    <w:rsid w:val="00963915"/>
    <w:rsid w:val="0096394D"/>
    <w:rsid w:val="00963953"/>
    <w:rsid w:val="00963998"/>
    <w:rsid w:val="00963A86"/>
    <w:rsid w:val="00963ACD"/>
    <w:rsid w:val="00963BBF"/>
    <w:rsid w:val="00963E4E"/>
    <w:rsid w:val="00963FB3"/>
    <w:rsid w:val="00963FFD"/>
    <w:rsid w:val="009640C0"/>
    <w:rsid w:val="00964361"/>
    <w:rsid w:val="0096455E"/>
    <w:rsid w:val="00964590"/>
    <w:rsid w:val="00964622"/>
    <w:rsid w:val="009646DD"/>
    <w:rsid w:val="00964742"/>
    <w:rsid w:val="00964788"/>
    <w:rsid w:val="0096487E"/>
    <w:rsid w:val="00964905"/>
    <w:rsid w:val="009649DE"/>
    <w:rsid w:val="00964A51"/>
    <w:rsid w:val="00964ADA"/>
    <w:rsid w:val="00964D94"/>
    <w:rsid w:val="00964E2E"/>
    <w:rsid w:val="00964E38"/>
    <w:rsid w:val="00964EFD"/>
    <w:rsid w:val="00964F5F"/>
    <w:rsid w:val="00965064"/>
    <w:rsid w:val="009650BB"/>
    <w:rsid w:val="0096517D"/>
    <w:rsid w:val="00965244"/>
    <w:rsid w:val="0096524D"/>
    <w:rsid w:val="009653C2"/>
    <w:rsid w:val="00965421"/>
    <w:rsid w:val="0096548C"/>
    <w:rsid w:val="00965496"/>
    <w:rsid w:val="0096572B"/>
    <w:rsid w:val="0096573D"/>
    <w:rsid w:val="009657C4"/>
    <w:rsid w:val="009657D4"/>
    <w:rsid w:val="0096583F"/>
    <w:rsid w:val="00965932"/>
    <w:rsid w:val="00965D94"/>
    <w:rsid w:val="00965E23"/>
    <w:rsid w:val="00965E2A"/>
    <w:rsid w:val="00965E4A"/>
    <w:rsid w:val="00965E9D"/>
    <w:rsid w:val="00965ECA"/>
    <w:rsid w:val="00966123"/>
    <w:rsid w:val="00966837"/>
    <w:rsid w:val="00966890"/>
    <w:rsid w:val="009668A3"/>
    <w:rsid w:val="00966A3E"/>
    <w:rsid w:val="00966A4C"/>
    <w:rsid w:val="00966AD9"/>
    <w:rsid w:val="00966AE4"/>
    <w:rsid w:val="00966AE5"/>
    <w:rsid w:val="00966B97"/>
    <w:rsid w:val="00966C69"/>
    <w:rsid w:val="00966D13"/>
    <w:rsid w:val="00966E30"/>
    <w:rsid w:val="00966F6A"/>
    <w:rsid w:val="00966F9D"/>
    <w:rsid w:val="009670CD"/>
    <w:rsid w:val="00967176"/>
    <w:rsid w:val="00967193"/>
    <w:rsid w:val="009671B1"/>
    <w:rsid w:val="0096723A"/>
    <w:rsid w:val="00967296"/>
    <w:rsid w:val="009672E7"/>
    <w:rsid w:val="00967341"/>
    <w:rsid w:val="0096751F"/>
    <w:rsid w:val="009676BC"/>
    <w:rsid w:val="00967736"/>
    <w:rsid w:val="00967897"/>
    <w:rsid w:val="009678E4"/>
    <w:rsid w:val="0096796F"/>
    <w:rsid w:val="00967A14"/>
    <w:rsid w:val="00967AEE"/>
    <w:rsid w:val="00967BDB"/>
    <w:rsid w:val="00967BF7"/>
    <w:rsid w:val="00967CDF"/>
    <w:rsid w:val="00967E65"/>
    <w:rsid w:val="00967F47"/>
    <w:rsid w:val="0097001F"/>
    <w:rsid w:val="00970022"/>
    <w:rsid w:val="00970102"/>
    <w:rsid w:val="0097019A"/>
    <w:rsid w:val="009701D6"/>
    <w:rsid w:val="009701DA"/>
    <w:rsid w:val="009702C7"/>
    <w:rsid w:val="00970308"/>
    <w:rsid w:val="009703EF"/>
    <w:rsid w:val="00970472"/>
    <w:rsid w:val="009707E0"/>
    <w:rsid w:val="009707FC"/>
    <w:rsid w:val="00970A35"/>
    <w:rsid w:val="00970ABB"/>
    <w:rsid w:val="00970AF8"/>
    <w:rsid w:val="00970B90"/>
    <w:rsid w:val="00970B9B"/>
    <w:rsid w:val="00970BA6"/>
    <w:rsid w:val="00970BA7"/>
    <w:rsid w:val="00970C79"/>
    <w:rsid w:val="00970DEA"/>
    <w:rsid w:val="00970E31"/>
    <w:rsid w:val="00971097"/>
    <w:rsid w:val="009712C1"/>
    <w:rsid w:val="00971382"/>
    <w:rsid w:val="009713DA"/>
    <w:rsid w:val="00971440"/>
    <w:rsid w:val="0097147B"/>
    <w:rsid w:val="009714CD"/>
    <w:rsid w:val="0097164C"/>
    <w:rsid w:val="009716E2"/>
    <w:rsid w:val="0097173E"/>
    <w:rsid w:val="00971744"/>
    <w:rsid w:val="00971880"/>
    <w:rsid w:val="0097191C"/>
    <w:rsid w:val="00971980"/>
    <w:rsid w:val="00971AE2"/>
    <w:rsid w:val="00971B0D"/>
    <w:rsid w:val="00971B3B"/>
    <w:rsid w:val="00971B6E"/>
    <w:rsid w:val="00971CC5"/>
    <w:rsid w:val="00971D56"/>
    <w:rsid w:val="00971E85"/>
    <w:rsid w:val="00971FB6"/>
    <w:rsid w:val="0097202D"/>
    <w:rsid w:val="009720CE"/>
    <w:rsid w:val="00972130"/>
    <w:rsid w:val="0097217E"/>
    <w:rsid w:val="00972349"/>
    <w:rsid w:val="00972449"/>
    <w:rsid w:val="00972484"/>
    <w:rsid w:val="0097256F"/>
    <w:rsid w:val="00972583"/>
    <w:rsid w:val="009725AB"/>
    <w:rsid w:val="009725B6"/>
    <w:rsid w:val="00972708"/>
    <w:rsid w:val="009728BA"/>
    <w:rsid w:val="00972987"/>
    <w:rsid w:val="009729D1"/>
    <w:rsid w:val="00972A42"/>
    <w:rsid w:val="00972A9B"/>
    <w:rsid w:val="00972B41"/>
    <w:rsid w:val="00972C88"/>
    <w:rsid w:val="00972CB8"/>
    <w:rsid w:val="00972D20"/>
    <w:rsid w:val="00972E64"/>
    <w:rsid w:val="00972EC5"/>
    <w:rsid w:val="00972F1B"/>
    <w:rsid w:val="00972F5B"/>
    <w:rsid w:val="009730AD"/>
    <w:rsid w:val="009730CB"/>
    <w:rsid w:val="00973213"/>
    <w:rsid w:val="0097322C"/>
    <w:rsid w:val="00973304"/>
    <w:rsid w:val="0097331C"/>
    <w:rsid w:val="00973486"/>
    <w:rsid w:val="0097351D"/>
    <w:rsid w:val="0097363A"/>
    <w:rsid w:val="009737A5"/>
    <w:rsid w:val="009737A7"/>
    <w:rsid w:val="0097395C"/>
    <w:rsid w:val="00973961"/>
    <w:rsid w:val="00973B1C"/>
    <w:rsid w:val="00973ED4"/>
    <w:rsid w:val="00973F50"/>
    <w:rsid w:val="00974050"/>
    <w:rsid w:val="00974096"/>
    <w:rsid w:val="00974299"/>
    <w:rsid w:val="009743D6"/>
    <w:rsid w:val="0097440C"/>
    <w:rsid w:val="009744C8"/>
    <w:rsid w:val="0097466C"/>
    <w:rsid w:val="00974677"/>
    <w:rsid w:val="00974698"/>
    <w:rsid w:val="009746BD"/>
    <w:rsid w:val="009747D0"/>
    <w:rsid w:val="00974880"/>
    <w:rsid w:val="009748F7"/>
    <w:rsid w:val="00974A46"/>
    <w:rsid w:val="00974A89"/>
    <w:rsid w:val="00974AF6"/>
    <w:rsid w:val="00974C0F"/>
    <w:rsid w:val="00974C40"/>
    <w:rsid w:val="00974CB2"/>
    <w:rsid w:val="00974D0A"/>
    <w:rsid w:val="00974E08"/>
    <w:rsid w:val="00974FFE"/>
    <w:rsid w:val="0097507F"/>
    <w:rsid w:val="00975091"/>
    <w:rsid w:val="00975137"/>
    <w:rsid w:val="0097516B"/>
    <w:rsid w:val="00975185"/>
    <w:rsid w:val="009751C0"/>
    <w:rsid w:val="00975227"/>
    <w:rsid w:val="0097524F"/>
    <w:rsid w:val="00975273"/>
    <w:rsid w:val="009752BA"/>
    <w:rsid w:val="009753A0"/>
    <w:rsid w:val="00975451"/>
    <w:rsid w:val="0097548A"/>
    <w:rsid w:val="00975562"/>
    <w:rsid w:val="0097581D"/>
    <w:rsid w:val="0097595E"/>
    <w:rsid w:val="00975965"/>
    <w:rsid w:val="0097599A"/>
    <w:rsid w:val="009759CA"/>
    <w:rsid w:val="009759CD"/>
    <w:rsid w:val="00975A2D"/>
    <w:rsid w:val="00975AA3"/>
    <w:rsid w:val="00975CEE"/>
    <w:rsid w:val="00975CFB"/>
    <w:rsid w:val="00975D01"/>
    <w:rsid w:val="00975D94"/>
    <w:rsid w:val="00975E09"/>
    <w:rsid w:val="0097605F"/>
    <w:rsid w:val="0097622A"/>
    <w:rsid w:val="0097634E"/>
    <w:rsid w:val="00976399"/>
    <w:rsid w:val="00976478"/>
    <w:rsid w:val="00976588"/>
    <w:rsid w:val="009766CB"/>
    <w:rsid w:val="00976B19"/>
    <w:rsid w:val="00976B81"/>
    <w:rsid w:val="00976C1D"/>
    <w:rsid w:val="00976CB6"/>
    <w:rsid w:val="00976CE6"/>
    <w:rsid w:val="00976CE7"/>
    <w:rsid w:val="00976D12"/>
    <w:rsid w:val="00976D9D"/>
    <w:rsid w:val="00976DA0"/>
    <w:rsid w:val="00976EA8"/>
    <w:rsid w:val="00977029"/>
    <w:rsid w:val="009770A3"/>
    <w:rsid w:val="0097712B"/>
    <w:rsid w:val="0097713A"/>
    <w:rsid w:val="009772FA"/>
    <w:rsid w:val="00977320"/>
    <w:rsid w:val="0097737A"/>
    <w:rsid w:val="00977564"/>
    <w:rsid w:val="00977569"/>
    <w:rsid w:val="009775E8"/>
    <w:rsid w:val="00977603"/>
    <w:rsid w:val="00977604"/>
    <w:rsid w:val="00977622"/>
    <w:rsid w:val="0097783F"/>
    <w:rsid w:val="00977849"/>
    <w:rsid w:val="00977930"/>
    <w:rsid w:val="00977B8E"/>
    <w:rsid w:val="00977BA7"/>
    <w:rsid w:val="00977DD9"/>
    <w:rsid w:val="00977E37"/>
    <w:rsid w:val="00977FF2"/>
    <w:rsid w:val="0098006E"/>
    <w:rsid w:val="00980331"/>
    <w:rsid w:val="0098045E"/>
    <w:rsid w:val="0098059A"/>
    <w:rsid w:val="0098069A"/>
    <w:rsid w:val="00980715"/>
    <w:rsid w:val="009807A5"/>
    <w:rsid w:val="009807B7"/>
    <w:rsid w:val="00980818"/>
    <w:rsid w:val="00980973"/>
    <w:rsid w:val="00980A99"/>
    <w:rsid w:val="00980F4A"/>
    <w:rsid w:val="00980F6E"/>
    <w:rsid w:val="00981086"/>
    <w:rsid w:val="0098122A"/>
    <w:rsid w:val="0098125D"/>
    <w:rsid w:val="00981325"/>
    <w:rsid w:val="009813E3"/>
    <w:rsid w:val="0098140F"/>
    <w:rsid w:val="00981472"/>
    <w:rsid w:val="0098168C"/>
    <w:rsid w:val="009817CB"/>
    <w:rsid w:val="009817EA"/>
    <w:rsid w:val="009818D3"/>
    <w:rsid w:val="00981B7D"/>
    <w:rsid w:val="00981BA1"/>
    <w:rsid w:val="00981C4A"/>
    <w:rsid w:val="00981C5A"/>
    <w:rsid w:val="00981CB6"/>
    <w:rsid w:val="00981CFE"/>
    <w:rsid w:val="00981D9B"/>
    <w:rsid w:val="00981F9D"/>
    <w:rsid w:val="00981FBF"/>
    <w:rsid w:val="00982089"/>
    <w:rsid w:val="009820B2"/>
    <w:rsid w:val="009822DB"/>
    <w:rsid w:val="0098240F"/>
    <w:rsid w:val="0098242C"/>
    <w:rsid w:val="009824C3"/>
    <w:rsid w:val="00982593"/>
    <w:rsid w:val="009826DB"/>
    <w:rsid w:val="009828C9"/>
    <w:rsid w:val="00982A9F"/>
    <w:rsid w:val="00982B26"/>
    <w:rsid w:val="00982C38"/>
    <w:rsid w:val="00982D09"/>
    <w:rsid w:val="00982FB6"/>
    <w:rsid w:val="009830B9"/>
    <w:rsid w:val="009830BA"/>
    <w:rsid w:val="00983175"/>
    <w:rsid w:val="00983285"/>
    <w:rsid w:val="0098328E"/>
    <w:rsid w:val="0098335D"/>
    <w:rsid w:val="00983641"/>
    <w:rsid w:val="00983700"/>
    <w:rsid w:val="00983744"/>
    <w:rsid w:val="00983777"/>
    <w:rsid w:val="0098393C"/>
    <w:rsid w:val="00983973"/>
    <w:rsid w:val="00983BA4"/>
    <w:rsid w:val="00983C40"/>
    <w:rsid w:val="00983D3F"/>
    <w:rsid w:val="00983D90"/>
    <w:rsid w:val="00983E67"/>
    <w:rsid w:val="00983E82"/>
    <w:rsid w:val="0098409E"/>
    <w:rsid w:val="009842B5"/>
    <w:rsid w:val="009843A9"/>
    <w:rsid w:val="00984470"/>
    <w:rsid w:val="009844D3"/>
    <w:rsid w:val="0098453E"/>
    <w:rsid w:val="00984A6C"/>
    <w:rsid w:val="00984B4A"/>
    <w:rsid w:val="00984D22"/>
    <w:rsid w:val="00984E92"/>
    <w:rsid w:val="00984EB1"/>
    <w:rsid w:val="00984F76"/>
    <w:rsid w:val="0098505D"/>
    <w:rsid w:val="0098514F"/>
    <w:rsid w:val="009851A4"/>
    <w:rsid w:val="00985216"/>
    <w:rsid w:val="00985228"/>
    <w:rsid w:val="0098530A"/>
    <w:rsid w:val="00985511"/>
    <w:rsid w:val="00985514"/>
    <w:rsid w:val="00985535"/>
    <w:rsid w:val="00985576"/>
    <w:rsid w:val="009856A4"/>
    <w:rsid w:val="00985749"/>
    <w:rsid w:val="00985920"/>
    <w:rsid w:val="00985D3D"/>
    <w:rsid w:val="00985D5E"/>
    <w:rsid w:val="00985D93"/>
    <w:rsid w:val="00985DAD"/>
    <w:rsid w:val="00985F43"/>
    <w:rsid w:val="009860AB"/>
    <w:rsid w:val="0098621F"/>
    <w:rsid w:val="00986323"/>
    <w:rsid w:val="0098646D"/>
    <w:rsid w:val="009864C6"/>
    <w:rsid w:val="00986516"/>
    <w:rsid w:val="0098651F"/>
    <w:rsid w:val="0098657B"/>
    <w:rsid w:val="009865BB"/>
    <w:rsid w:val="0098686D"/>
    <w:rsid w:val="00986926"/>
    <w:rsid w:val="00986956"/>
    <w:rsid w:val="00986978"/>
    <w:rsid w:val="00986AF0"/>
    <w:rsid w:val="00986F7E"/>
    <w:rsid w:val="0098700F"/>
    <w:rsid w:val="0098703C"/>
    <w:rsid w:val="00987044"/>
    <w:rsid w:val="00987073"/>
    <w:rsid w:val="0098708C"/>
    <w:rsid w:val="00987354"/>
    <w:rsid w:val="009873EE"/>
    <w:rsid w:val="009875AB"/>
    <w:rsid w:val="009875AF"/>
    <w:rsid w:val="009876D7"/>
    <w:rsid w:val="00987709"/>
    <w:rsid w:val="0098786D"/>
    <w:rsid w:val="00987888"/>
    <w:rsid w:val="00987927"/>
    <w:rsid w:val="009879C5"/>
    <w:rsid w:val="00987A4B"/>
    <w:rsid w:val="00987CA0"/>
    <w:rsid w:val="00987D62"/>
    <w:rsid w:val="00987DB8"/>
    <w:rsid w:val="00987DF8"/>
    <w:rsid w:val="00987E8F"/>
    <w:rsid w:val="0099011A"/>
    <w:rsid w:val="00990140"/>
    <w:rsid w:val="009902CB"/>
    <w:rsid w:val="009906F2"/>
    <w:rsid w:val="0099080B"/>
    <w:rsid w:val="0099080D"/>
    <w:rsid w:val="00990831"/>
    <w:rsid w:val="0099087C"/>
    <w:rsid w:val="00990892"/>
    <w:rsid w:val="0099094D"/>
    <w:rsid w:val="0099096F"/>
    <w:rsid w:val="00990A55"/>
    <w:rsid w:val="00990AFE"/>
    <w:rsid w:val="00990B8E"/>
    <w:rsid w:val="00990CBC"/>
    <w:rsid w:val="00990DAB"/>
    <w:rsid w:val="00990ECF"/>
    <w:rsid w:val="00990F3D"/>
    <w:rsid w:val="00990FF9"/>
    <w:rsid w:val="00991134"/>
    <w:rsid w:val="00991297"/>
    <w:rsid w:val="009913D9"/>
    <w:rsid w:val="009915E4"/>
    <w:rsid w:val="00991752"/>
    <w:rsid w:val="0099189B"/>
    <w:rsid w:val="009918D2"/>
    <w:rsid w:val="009918DF"/>
    <w:rsid w:val="00991986"/>
    <w:rsid w:val="00991F13"/>
    <w:rsid w:val="00991FF9"/>
    <w:rsid w:val="009920CC"/>
    <w:rsid w:val="00992257"/>
    <w:rsid w:val="009922EE"/>
    <w:rsid w:val="00992361"/>
    <w:rsid w:val="0099253C"/>
    <w:rsid w:val="0099265A"/>
    <w:rsid w:val="00992979"/>
    <w:rsid w:val="00992A7B"/>
    <w:rsid w:val="00992BC8"/>
    <w:rsid w:val="00992BCF"/>
    <w:rsid w:val="00992C4C"/>
    <w:rsid w:val="00992CDD"/>
    <w:rsid w:val="00992D04"/>
    <w:rsid w:val="00992E1D"/>
    <w:rsid w:val="00992E6B"/>
    <w:rsid w:val="0099300A"/>
    <w:rsid w:val="0099315E"/>
    <w:rsid w:val="00993188"/>
    <w:rsid w:val="009933AE"/>
    <w:rsid w:val="00993423"/>
    <w:rsid w:val="00993449"/>
    <w:rsid w:val="0099346C"/>
    <w:rsid w:val="009934FE"/>
    <w:rsid w:val="0099362D"/>
    <w:rsid w:val="00993653"/>
    <w:rsid w:val="0099379B"/>
    <w:rsid w:val="00993A04"/>
    <w:rsid w:val="00993A25"/>
    <w:rsid w:val="00993AA6"/>
    <w:rsid w:val="00993B85"/>
    <w:rsid w:val="00993BE0"/>
    <w:rsid w:val="00993C0A"/>
    <w:rsid w:val="00993D72"/>
    <w:rsid w:val="00993E49"/>
    <w:rsid w:val="00993E56"/>
    <w:rsid w:val="00993E94"/>
    <w:rsid w:val="00993F3A"/>
    <w:rsid w:val="0099417B"/>
    <w:rsid w:val="00994254"/>
    <w:rsid w:val="009942BB"/>
    <w:rsid w:val="00994354"/>
    <w:rsid w:val="00994630"/>
    <w:rsid w:val="009947BB"/>
    <w:rsid w:val="00994800"/>
    <w:rsid w:val="00994847"/>
    <w:rsid w:val="0099499A"/>
    <w:rsid w:val="00994A63"/>
    <w:rsid w:val="00994B30"/>
    <w:rsid w:val="00994B35"/>
    <w:rsid w:val="00994C85"/>
    <w:rsid w:val="00994D52"/>
    <w:rsid w:val="00994E2A"/>
    <w:rsid w:val="00994EE1"/>
    <w:rsid w:val="00994F60"/>
    <w:rsid w:val="00994F77"/>
    <w:rsid w:val="00994FD8"/>
    <w:rsid w:val="00995114"/>
    <w:rsid w:val="00995146"/>
    <w:rsid w:val="00995197"/>
    <w:rsid w:val="009951EA"/>
    <w:rsid w:val="009959BB"/>
    <w:rsid w:val="00995B7B"/>
    <w:rsid w:val="00995DB0"/>
    <w:rsid w:val="00995FA8"/>
    <w:rsid w:val="009960BD"/>
    <w:rsid w:val="009960EF"/>
    <w:rsid w:val="009961C7"/>
    <w:rsid w:val="00996221"/>
    <w:rsid w:val="00996294"/>
    <w:rsid w:val="0099653B"/>
    <w:rsid w:val="009966BD"/>
    <w:rsid w:val="00996701"/>
    <w:rsid w:val="00996A15"/>
    <w:rsid w:val="00996A1E"/>
    <w:rsid w:val="00996AFB"/>
    <w:rsid w:val="00996BC7"/>
    <w:rsid w:val="00996C07"/>
    <w:rsid w:val="00996D0C"/>
    <w:rsid w:val="00996E0B"/>
    <w:rsid w:val="00996E5F"/>
    <w:rsid w:val="00996E8D"/>
    <w:rsid w:val="00996E90"/>
    <w:rsid w:val="00996E9E"/>
    <w:rsid w:val="00996EB8"/>
    <w:rsid w:val="00996FB3"/>
    <w:rsid w:val="00997246"/>
    <w:rsid w:val="0099727C"/>
    <w:rsid w:val="009972AE"/>
    <w:rsid w:val="00997358"/>
    <w:rsid w:val="0099735F"/>
    <w:rsid w:val="009973DC"/>
    <w:rsid w:val="009974F0"/>
    <w:rsid w:val="00997533"/>
    <w:rsid w:val="0099760F"/>
    <w:rsid w:val="009976EC"/>
    <w:rsid w:val="0099778A"/>
    <w:rsid w:val="00997942"/>
    <w:rsid w:val="00997A41"/>
    <w:rsid w:val="00997A8D"/>
    <w:rsid w:val="00997BA0"/>
    <w:rsid w:val="00997BA6"/>
    <w:rsid w:val="00997CAD"/>
    <w:rsid w:val="00997DDA"/>
    <w:rsid w:val="00997E3B"/>
    <w:rsid w:val="00997E73"/>
    <w:rsid w:val="009A00C3"/>
    <w:rsid w:val="009A01D7"/>
    <w:rsid w:val="009A02F3"/>
    <w:rsid w:val="009A031F"/>
    <w:rsid w:val="009A0338"/>
    <w:rsid w:val="009A0359"/>
    <w:rsid w:val="009A03FF"/>
    <w:rsid w:val="009A0575"/>
    <w:rsid w:val="009A05A2"/>
    <w:rsid w:val="009A07D7"/>
    <w:rsid w:val="009A08C7"/>
    <w:rsid w:val="009A0952"/>
    <w:rsid w:val="009A0A96"/>
    <w:rsid w:val="009A0C36"/>
    <w:rsid w:val="009A0D5F"/>
    <w:rsid w:val="009A0E0D"/>
    <w:rsid w:val="009A0E2C"/>
    <w:rsid w:val="009A0E2D"/>
    <w:rsid w:val="009A0FE2"/>
    <w:rsid w:val="009A1071"/>
    <w:rsid w:val="009A10A8"/>
    <w:rsid w:val="009A1182"/>
    <w:rsid w:val="009A13B5"/>
    <w:rsid w:val="009A16A7"/>
    <w:rsid w:val="009A16BA"/>
    <w:rsid w:val="009A1816"/>
    <w:rsid w:val="009A18B7"/>
    <w:rsid w:val="009A1912"/>
    <w:rsid w:val="009A195A"/>
    <w:rsid w:val="009A1A30"/>
    <w:rsid w:val="009A1A35"/>
    <w:rsid w:val="009A1A40"/>
    <w:rsid w:val="009A1A52"/>
    <w:rsid w:val="009A1A73"/>
    <w:rsid w:val="009A1AF4"/>
    <w:rsid w:val="009A1B3C"/>
    <w:rsid w:val="009A1B77"/>
    <w:rsid w:val="009A1B9B"/>
    <w:rsid w:val="009A1BB8"/>
    <w:rsid w:val="009A1C0D"/>
    <w:rsid w:val="009A1C54"/>
    <w:rsid w:val="009A1C76"/>
    <w:rsid w:val="009A1DDB"/>
    <w:rsid w:val="009A1EA6"/>
    <w:rsid w:val="009A1F38"/>
    <w:rsid w:val="009A200C"/>
    <w:rsid w:val="009A2272"/>
    <w:rsid w:val="009A22C7"/>
    <w:rsid w:val="009A231D"/>
    <w:rsid w:val="009A231E"/>
    <w:rsid w:val="009A24A8"/>
    <w:rsid w:val="009A2519"/>
    <w:rsid w:val="009A26A7"/>
    <w:rsid w:val="009A2732"/>
    <w:rsid w:val="009A2781"/>
    <w:rsid w:val="009A28C0"/>
    <w:rsid w:val="009A2A3D"/>
    <w:rsid w:val="009A2D35"/>
    <w:rsid w:val="009A2E53"/>
    <w:rsid w:val="009A2E5C"/>
    <w:rsid w:val="009A2EA4"/>
    <w:rsid w:val="009A2F11"/>
    <w:rsid w:val="009A2F17"/>
    <w:rsid w:val="009A2F84"/>
    <w:rsid w:val="009A2FAE"/>
    <w:rsid w:val="009A2FFB"/>
    <w:rsid w:val="009A3013"/>
    <w:rsid w:val="009A3022"/>
    <w:rsid w:val="009A3160"/>
    <w:rsid w:val="009A3170"/>
    <w:rsid w:val="009A335D"/>
    <w:rsid w:val="009A3494"/>
    <w:rsid w:val="009A35BF"/>
    <w:rsid w:val="009A364E"/>
    <w:rsid w:val="009A366A"/>
    <w:rsid w:val="009A3690"/>
    <w:rsid w:val="009A36CA"/>
    <w:rsid w:val="009A38B4"/>
    <w:rsid w:val="009A395B"/>
    <w:rsid w:val="009A3992"/>
    <w:rsid w:val="009A3A40"/>
    <w:rsid w:val="009A3A8D"/>
    <w:rsid w:val="009A3B24"/>
    <w:rsid w:val="009A3CCB"/>
    <w:rsid w:val="009A3E4D"/>
    <w:rsid w:val="009A3E65"/>
    <w:rsid w:val="009A3E6F"/>
    <w:rsid w:val="009A3EED"/>
    <w:rsid w:val="009A4038"/>
    <w:rsid w:val="009A41BE"/>
    <w:rsid w:val="009A44C4"/>
    <w:rsid w:val="009A44D6"/>
    <w:rsid w:val="009A45E2"/>
    <w:rsid w:val="009A460D"/>
    <w:rsid w:val="009A4649"/>
    <w:rsid w:val="009A488A"/>
    <w:rsid w:val="009A4898"/>
    <w:rsid w:val="009A4947"/>
    <w:rsid w:val="009A49B7"/>
    <w:rsid w:val="009A4A2E"/>
    <w:rsid w:val="009A4C65"/>
    <w:rsid w:val="009A4C6C"/>
    <w:rsid w:val="009A4C8C"/>
    <w:rsid w:val="009A4E87"/>
    <w:rsid w:val="009A4E9E"/>
    <w:rsid w:val="009A4F36"/>
    <w:rsid w:val="009A4F37"/>
    <w:rsid w:val="009A4F82"/>
    <w:rsid w:val="009A4FA8"/>
    <w:rsid w:val="009A5178"/>
    <w:rsid w:val="009A51E0"/>
    <w:rsid w:val="009A525C"/>
    <w:rsid w:val="009A5265"/>
    <w:rsid w:val="009A532D"/>
    <w:rsid w:val="009A53B3"/>
    <w:rsid w:val="009A54D2"/>
    <w:rsid w:val="009A554E"/>
    <w:rsid w:val="009A5552"/>
    <w:rsid w:val="009A5666"/>
    <w:rsid w:val="009A569C"/>
    <w:rsid w:val="009A57FE"/>
    <w:rsid w:val="009A58EE"/>
    <w:rsid w:val="009A5BB4"/>
    <w:rsid w:val="009A5C78"/>
    <w:rsid w:val="009A5CAA"/>
    <w:rsid w:val="009A5CD7"/>
    <w:rsid w:val="009A5E5C"/>
    <w:rsid w:val="009A5F07"/>
    <w:rsid w:val="009A5F55"/>
    <w:rsid w:val="009A5F8D"/>
    <w:rsid w:val="009A60C0"/>
    <w:rsid w:val="009A60EE"/>
    <w:rsid w:val="009A620B"/>
    <w:rsid w:val="009A6292"/>
    <w:rsid w:val="009A62D5"/>
    <w:rsid w:val="009A647C"/>
    <w:rsid w:val="009A6531"/>
    <w:rsid w:val="009A662E"/>
    <w:rsid w:val="009A663E"/>
    <w:rsid w:val="009A666A"/>
    <w:rsid w:val="009A66B7"/>
    <w:rsid w:val="009A69F4"/>
    <w:rsid w:val="009A6B6E"/>
    <w:rsid w:val="009A6D85"/>
    <w:rsid w:val="009A6DA1"/>
    <w:rsid w:val="009A6DE9"/>
    <w:rsid w:val="009A6E0C"/>
    <w:rsid w:val="009A6FD8"/>
    <w:rsid w:val="009A6FDB"/>
    <w:rsid w:val="009A7064"/>
    <w:rsid w:val="009A70A2"/>
    <w:rsid w:val="009A70BE"/>
    <w:rsid w:val="009A71E1"/>
    <w:rsid w:val="009A72B8"/>
    <w:rsid w:val="009A72C4"/>
    <w:rsid w:val="009A7305"/>
    <w:rsid w:val="009A74D0"/>
    <w:rsid w:val="009A75CA"/>
    <w:rsid w:val="009A7681"/>
    <w:rsid w:val="009A769E"/>
    <w:rsid w:val="009A772B"/>
    <w:rsid w:val="009A778A"/>
    <w:rsid w:val="009A77BC"/>
    <w:rsid w:val="009A77E1"/>
    <w:rsid w:val="009A78AF"/>
    <w:rsid w:val="009A79B2"/>
    <w:rsid w:val="009A7BBB"/>
    <w:rsid w:val="009A7D42"/>
    <w:rsid w:val="009A7D94"/>
    <w:rsid w:val="009A7DAD"/>
    <w:rsid w:val="009A7DCA"/>
    <w:rsid w:val="009A7DCD"/>
    <w:rsid w:val="009A7DDA"/>
    <w:rsid w:val="009A7F64"/>
    <w:rsid w:val="009A7F8D"/>
    <w:rsid w:val="009B0417"/>
    <w:rsid w:val="009B04DE"/>
    <w:rsid w:val="009B0612"/>
    <w:rsid w:val="009B0975"/>
    <w:rsid w:val="009B0989"/>
    <w:rsid w:val="009B09D7"/>
    <w:rsid w:val="009B0AFA"/>
    <w:rsid w:val="009B0BAB"/>
    <w:rsid w:val="009B0F65"/>
    <w:rsid w:val="009B1018"/>
    <w:rsid w:val="009B110B"/>
    <w:rsid w:val="009B1129"/>
    <w:rsid w:val="009B11E0"/>
    <w:rsid w:val="009B1239"/>
    <w:rsid w:val="009B12E8"/>
    <w:rsid w:val="009B132C"/>
    <w:rsid w:val="009B13BC"/>
    <w:rsid w:val="009B16CF"/>
    <w:rsid w:val="009B17CE"/>
    <w:rsid w:val="009B1869"/>
    <w:rsid w:val="009B18E4"/>
    <w:rsid w:val="009B19BB"/>
    <w:rsid w:val="009B1B85"/>
    <w:rsid w:val="009B1D77"/>
    <w:rsid w:val="009B1DE8"/>
    <w:rsid w:val="009B1EEC"/>
    <w:rsid w:val="009B20AE"/>
    <w:rsid w:val="009B230E"/>
    <w:rsid w:val="009B238F"/>
    <w:rsid w:val="009B239E"/>
    <w:rsid w:val="009B248A"/>
    <w:rsid w:val="009B2570"/>
    <w:rsid w:val="009B26D8"/>
    <w:rsid w:val="009B2763"/>
    <w:rsid w:val="009B27B4"/>
    <w:rsid w:val="009B2811"/>
    <w:rsid w:val="009B28E6"/>
    <w:rsid w:val="009B2901"/>
    <w:rsid w:val="009B2919"/>
    <w:rsid w:val="009B2A83"/>
    <w:rsid w:val="009B2AEA"/>
    <w:rsid w:val="009B2D87"/>
    <w:rsid w:val="009B2D88"/>
    <w:rsid w:val="009B2DB1"/>
    <w:rsid w:val="009B2DCB"/>
    <w:rsid w:val="009B2DDF"/>
    <w:rsid w:val="009B30A8"/>
    <w:rsid w:val="009B3123"/>
    <w:rsid w:val="009B32C8"/>
    <w:rsid w:val="009B3424"/>
    <w:rsid w:val="009B3739"/>
    <w:rsid w:val="009B3922"/>
    <w:rsid w:val="009B3A42"/>
    <w:rsid w:val="009B3A46"/>
    <w:rsid w:val="009B3A60"/>
    <w:rsid w:val="009B3C2D"/>
    <w:rsid w:val="009B3C89"/>
    <w:rsid w:val="009B3CA4"/>
    <w:rsid w:val="009B3DFF"/>
    <w:rsid w:val="009B3E7C"/>
    <w:rsid w:val="009B3F0A"/>
    <w:rsid w:val="009B3F8F"/>
    <w:rsid w:val="009B400A"/>
    <w:rsid w:val="009B40FE"/>
    <w:rsid w:val="009B420A"/>
    <w:rsid w:val="009B4398"/>
    <w:rsid w:val="009B43BA"/>
    <w:rsid w:val="009B445F"/>
    <w:rsid w:val="009B44CA"/>
    <w:rsid w:val="009B4597"/>
    <w:rsid w:val="009B461F"/>
    <w:rsid w:val="009B46B4"/>
    <w:rsid w:val="009B4904"/>
    <w:rsid w:val="009B4983"/>
    <w:rsid w:val="009B49F4"/>
    <w:rsid w:val="009B4A9B"/>
    <w:rsid w:val="009B4BCC"/>
    <w:rsid w:val="009B4BD4"/>
    <w:rsid w:val="009B4C04"/>
    <w:rsid w:val="009B4C33"/>
    <w:rsid w:val="009B4C52"/>
    <w:rsid w:val="009B4D16"/>
    <w:rsid w:val="009B4D39"/>
    <w:rsid w:val="009B4F21"/>
    <w:rsid w:val="009B5025"/>
    <w:rsid w:val="009B5054"/>
    <w:rsid w:val="009B5101"/>
    <w:rsid w:val="009B5310"/>
    <w:rsid w:val="009B53A0"/>
    <w:rsid w:val="009B53C5"/>
    <w:rsid w:val="009B5484"/>
    <w:rsid w:val="009B54B5"/>
    <w:rsid w:val="009B551F"/>
    <w:rsid w:val="009B5597"/>
    <w:rsid w:val="009B56B1"/>
    <w:rsid w:val="009B58DC"/>
    <w:rsid w:val="009B5A3D"/>
    <w:rsid w:val="009B5C58"/>
    <w:rsid w:val="009B5F89"/>
    <w:rsid w:val="009B5FB5"/>
    <w:rsid w:val="009B5FDC"/>
    <w:rsid w:val="009B616A"/>
    <w:rsid w:val="009B61C7"/>
    <w:rsid w:val="009B63A3"/>
    <w:rsid w:val="009B6439"/>
    <w:rsid w:val="009B6458"/>
    <w:rsid w:val="009B648B"/>
    <w:rsid w:val="009B65E0"/>
    <w:rsid w:val="009B6688"/>
    <w:rsid w:val="009B66CF"/>
    <w:rsid w:val="009B674F"/>
    <w:rsid w:val="009B67CC"/>
    <w:rsid w:val="009B67E3"/>
    <w:rsid w:val="009B68CB"/>
    <w:rsid w:val="009B6926"/>
    <w:rsid w:val="009B6937"/>
    <w:rsid w:val="009B6999"/>
    <w:rsid w:val="009B6A08"/>
    <w:rsid w:val="009B6A95"/>
    <w:rsid w:val="009B6B5F"/>
    <w:rsid w:val="009B6B68"/>
    <w:rsid w:val="009B6BF1"/>
    <w:rsid w:val="009B6EC2"/>
    <w:rsid w:val="009B6FD2"/>
    <w:rsid w:val="009B7185"/>
    <w:rsid w:val="009B738A"/>
    <w:rsid w:val="009B74F8"/>
    <w:rsid w:val="009B7624"/>
    <w:rsid w:val="009B7726"/>
    <w:rsid w:val="009B779D"/>
    <w:rsid w:val="009B783D"/>
    <w:rsid w:val="009B7A63"/>
    <w:rsid w:val="009B7B50"/>
    <w:rsid w:val="009B7DFD"/>
    <w:rsid w:val="009B7FE0"/>
    <w:rsid w:val="009C00B5"/>
    <w:rsid w:val="009C0123"/>
    <w:rsid w:val="009C0448"/>
    <w:rsid w:val="009C04AF"/>
    <w:rsid w:val="009C05F8"/>
    <w:rsid w:val="009C05FA"/>
    <w:rsid w:val="009C060C"/>
    <w:rsid w:val="009C068E"/>
    <w:rsid w:val="009C08A8"/>
    <w:rsid w:val="009C08E5"/>
    <w:rsid w:val="009C0A69"/>
    <w:rsid w:val="009C0A93"/>
    <w:rsid w:val="009C0AC0"/>
    <w:rsid w:val="009C0AEB"/>
    <w:rsid w:val="009C0B07"/>
    <w:rsid w:val="009C0B83"/>
    <w:rsid w:val="009C0DB0"/>
    <w:rsid w:val="009C0DE9"/>
    <w:rsid w:val="009C0E93"/>
    <w:rsid w:val="009C0EF9"/>
    <w:rsid w:val="009C0F22"/>
    <w:rsid w:val="009C0F4E"/>
    <w:rsid w:val="009C0F63"/>
    <w:rsid w:val="009C0F64"/>
    <w:rsid w:val="009C1054"/>
    <w:rsid w:val="009C10D7"/>
    <w:rsid w:val="009C1120"/>
    <w:rsid w:val="009C116D"/>
    <w:rsid w:val="009C11BC"/>
    <w:rsid w:val="009C121C"/>
    <w:rsid w:val="009C12AB"/>
    <w:rsid w:val="009C134B"/>
    <w:rsid w:val="009C13AE"/>
    <w:rsid w:val="009C13B9"/>
    <w:rsid w:val="009C13D7"/>
    <w:rsid w:val="009C144A"/>
    <w:rsid w:val="009C155D"/>
    <w:rsid w:val="009C171A"/>
    <w:rsid w:val="009C1748"/>
    <w:rsid w:val="009C1755"/>
    <w:rsid w:val="009C1760"/>
    <w:rsid w:val="009C17D9"/>
    <w:rsid w:val="009C18B0"/>
    <w:rsid w:val="009C193B"/>
    <w:rsid w:val="009C1AB6"/>
    <w:rsid w:val="009C1D1B"/>
    <w:rsid w:val="009C1DEA"/>
    <w:rsid w:val="009C1ED7"/>
    <w:rsid w:val="009C2085"/>
    <w:rsid w:val="009C20CD"/>
    <w:rsid w:val="009C229D"/>
    <w:rsid w:val="009C22B3"/>
    <w:rsid w:val="009C2360"/>
    <w:rsid w:val="009C2433"/>
    <w:rsid w:val="009C2940"/>
    <w:rsid w:val="009C2E02"/>
    <w:rsid w:val="009C2E86"/>
    <w:rsid w:val="009C2FAD"/>
    <w:rsid w:val="009C330D"/>
    <w:rsid w:val="009C3409"/>
    <w:rsid w:val="009C347C"/>
    <w:rsid w:val="009C3589"/>
    <w:rsid w:val="009C35C4"/>
    <w:rsid w:val="009C3749"/>
    <w:rsid w:val="009C388C"/>
    <w:rsid w:val="009C395D"/>
    <w:rsid w:val="009C3993"/>
    <w:rsid w:val="009C3A00"/>
    <w:rsid w:val="009C3BD8"/>
    <w:rsid w:val="009C3EA7"/>
    <w:rsid w:val="009C3FB6"/>
    <w:rsid w:val="009C402A"/>
    <w:rsid w:val="009C40C5"/>
    <w:rsid w:val="009C418A"/>
    <w:rsid w:val="009C42C4"/>
    <w:rsid w:val="009C4439"/>
    <w:rsid w:val="009C446B"/>
    <w:rsid w:val="009C45DB"/>
    <w:rsid w:val="009C4684"/>
    <w:rsid w:val="009C4724"/>
    <w:rsid w:val="009C4819"/>
    <w:rsid w:val="009C487D"/>
    <w:rsid w:val="009C48ED"/>
    <w:rsid w:val="009C48EE"/>
    <w:rsid w:val="009C4921"/>
    <w:rsid w:val="009C49AC"/>
    <w:rsid w:val="009C4C41"/>
    <w:rsid w:val="009C4D41"/>
    <w:rsid w:val="009C4D5E"/>
    <w:rsid w:val="009C4DDE"/>
    <w:rsid w:val="009C4DE0"/>
    <w:rsid w:val="009C4EC8"/>
    <w:rsid w:val="009C513C"/>
    <w:rsid w:val="009C516A"/>
    <w:rsid w:val="009C5218"/>
    <w:rsid w:val="009C5324"/>
    <w:rsid w:val="009C543A"/>
    <w:rsid w:val="009C549C"/>
    <w:rsid w:val="009C54BE"/>
    <w:rsid w:val="009C54C2"/>
    <w:rsid w:val="009C552F"/>
    <w:rsid w:val="009C5555"/>
    <w:rsid w:val="009C5B69"/>
    <w:rsid w:val="009C5B87"/>
    <w:rsid w:val="009C5BDF"/>
    <w:rsid w:val="009C5C0C"/>
    <w:rsid w:val="009C5C58"/>
    <w:rsid w:val="009C5E28"/>
    <w:rsid w:val="009C5E6D"/>
    <w:rsid w:val="009C607E"/>
    <w:rsid w:val="009C60B2"/>
    <w:rsid w:val="009C61B8"/>
    <w:rsid w:val="009C6250"/>
    <w:rsid w:val="009C6254"/>
    <w:rsid w:val="009C6611"/>
    <w:rsid w:val="009C6641"/>
    <w:rsid w:val="009C6793"/>
    <w:rsid w:val="009C67CF"/>
    <w:rsid w:val="009C68B9"/>
    <w:rsid w:val="009C6A04"/>
    <w:rsid w:val="009C6A38"/>
    <w:rsid w:val="009C6CDD"/>
    <w:rsid w:val="009C6D7E"/>
    <w:rsid w:val="009C6DB6"/>
    <w:rsid w:val="009C6DC4"/>
    <w:rsid w:val="009C6DCF"/>
    <w:rsid w:val="009C6DFD"/>
    <w:rsid w:val="009C6E13"/>
    <w:rsid w:val="009C6F39"/>
    <w:rsid w:val="009C70EE"/>
    <w:rsid w:val="009C70F3"/>
    <w:rsid w:val="009C7145"/>
    <w:rsid w:val="009C723E"/>
    <w:rsid w:val="009C7264"/>
    <w:rsid w:val="009C72A0"/>
    <w:rsid w:val="009C7490"/>
    <w:rsid w:val="009C74B5"/>
    <w:rsid w:val="009C74FD"/>
    <w:rsid w:val="009C7516"/>
    <w:rsid w:val="009C75FF"/>
    <w:rsid w:val="009C7699"/>
    <w:rsid w:val="009C7723"/>
    <w:rsid w:val="009C77B0"/>
    <w:rsid w:val="009C7943"/>
    <w:rsid w:val="009C798D"/>
    <w:rsid w:val="009C79DA"/>
    <w:rsid w:val="009C7A1B"/>
    <w:rsid w:val="009C7B20"/>
    <w:rsid w:val="009C7B87"/>
    <w:rsid w:val="009C7BC4"/>
    <w:rsid w:val="009C7C38"/>
    <w:rsid w:val="009C7DFF"/>
    <w:rsid w:val="009C7EF2"/>
    <w:rsid w:val="009D0327"/>
    <w:rsid w:val="009D03AE"/>
    <w:rsid w:val="009D07E8"/>
    <w:rsid w:val="009D0820"/>
    <w:rsid w:val="009D08A3"/>
    <w:rsid w:val="009D08F2"/>
    <w:rsid w:val="009D0D51"/>
    <w:rsid w:val="009D0F2A"/>
    <w:rsid w:val="009D1011"/>
    <w:rsid w:val="009D1175"/>
    <w:rsid w:val="009D11B2"/>
    <w:rsid w:val="009D11EB"/>
    <w:rsid w:val="009D1295"/>
    <w:rsid w:val="009D12D1"/>
    <w:rsid w:val="009D13AA"/>
    <w:rsid w:val="009D1539"/>
    <w:rsid w:val="009D166D"/>
    <w:rsid w:val="009D1764"/>
    <w:rsid w:val="009D186D"/>
    <w:rsid w:val="009D191C"/>
    <w:rsid w:val="009D1A29"/>
    <w:rsid w:val="009D1AE7"/>
    <w:rsid w:val="009D1B3E"/>
    <w:rsid w:val="009D1BC4"/>
    <w:rsid w:val="009D1C1D"/>
    <w:rsid w:val="009D1C8A"/>
    <w:rsid w:val="009D1D67"/>
    <w:rsid w:val="009D1DEA"/>
    <w:rsid w:val="009D1E1B"/>
    <w:rsid w:val="009D1F25"/>
    <w:rsid w:val="009D1F39"/>
    <w:rsid w:val="009D1FC4"/>
    <w:rsid w:val="009D203E"/>
    <w:rsid w:val="009D20F9"/>
    <w:rsid w:val="009D2114"/>
    <w:rsid w:val="009D2222"/>
    <w:rsid w:val="009D2297"/>
    <w:rsid w:val="009D22CD"/>
    <w:rsid w:val="009D24DC"/>
    <w:rsid w:val="009D24F5"/>
    <w:rsid w:val="009D26C5"/>
    <w:rsid w:val="009D26E1"/>
    <w:rsid w:val="009D27B2"/>
    <w:rsid w:val="009D2875"/>
    <w:rsid w:val="009D29BE"/>
    <w:rsid w:val="009D2A3C"/>
    <w:rsid w:val="009D2A45"/>
    <w:rsid w:val="009D2AF6"/>
    <w:rsid w:val="009D2B99"/>
    <w:rsid w:val="009D2C88"/>
    <w:rsid w:val="009D2D9B"/>
    <w:rsid w:val="009D2F01"/>
    <w:rsid w:val="009D3042"/>
    <w:rsid w:val="009D31D5"/>
    <w:rsid w:val="009D33C9"/>
    <w:rsid w:val="009D3592"/>
    <w:rsid w:val="009D368D"/>
    <w:rsid w:val="009D38EF"/>
    <w:rsid w:val="009D39F3"/>
    <w:rsid w:val="009D3AB3"/>
    <w:rsid w:val="009D3D00"/>
    <w:rsid w:val="009D3D2D"/>
    <w:rsid w:val="009D3D37"/>
    <w:rsid w:val="009D3D82"/>
    <w:rsid w:val="009D3E69"/>
    <w:rsid w:val="009D3FE0"/>
    <w:rsid w:val="009D4217"/>
    <w:rsid w:val="009D4234"/>
    <w:rsid w:val="009D42EA"/>
    <w:rsid w:val="009D44BD"/>
    <w:rsid w:val="009D45AE"/>
    <w:rsid w:val="009D46AD"/>
    <w:rsid w:val="009D46AF"/>
    <w:rsid w:val="009D4751"/>
    <w:rsid w:val="009D48C0"/>
    <w:rsid w:val="009D49AD"/>
    <w:rsid w:val="009D49BB"/>
    <w:rsid w:val="009D4D61"/>
    <w:rsid w:val="009D5008"/>
    <w:rsid w:val="009D51AE"/>
    <w:rsid w:val="009D524B"/>
    <w:rsid w:val="009D5280"/>
    <w:rsid w:val="009D5296"/>
    <w:rsid w:val="009D52A9"/>
    <w:rsid w:val="009D52F5"/>
    <w:rsid w:val="009D5427"/>
    <w:rsid w:val="009D5489"/>
    <w:rsid w:val="009D5773"/>
    <w:rsid w:val="009D581A"/>
    <w:rsid w:val="009D593F"/>
    <w:rsid w:val="009D594F"/>
    <w:rsid w:val="009D5977"/>
    <w:rsid w:val="009D5B35"/>
    <w:rsid w:val="009D5B76"/>
    <w:rsid w:val="009D5C46"/>
    <w:rsid w:val="009D5C75"/>
    <w:rsid w:val="009D5D1E"/>
    <w:rsid w:val="009D5D53"/>
    <w:rsid w:val="009D5DF3"/>
    <w:rsid w:val="009D5DF6"/>
    <w:rsid w:val="009D5F46"/>
    <w:rsid w:val="009D6044"/>
    <w:rsid w:val="009D605A"/>
    <w:rsid w:val="009D606E"/>
    <w:rsid w:val="009D611E"/>
    <w:rsid w:val="009D6297"/>
    <w:rsid w:val="009D6404"/>
    <w:rsid w:val="009D66D1"/>
    <w:rsid w:val="009D6717"/>
    <w:rsid w:val="009D67B9"/>
    <w:rsid w:val="009D684B"/>
    <w:rsid w:val="009D68F1"/>
    <w:rsid w:val="009D6938"/>
    <w:rsid w:val="009D69D2"/>
    <w:rsid w:val="009D69E7"/>
    <w:rsid w:val="009D6B0A"/>
    <w:rsid w:val="009D6B54"/>
    <w:rsid w:val="009D6E06"/>
    <w:rsid w:val="009D6F65"/>
    <w:rsid w:val="009D7025"/>
    <w:rsid w:val="009D7049"/>
    <w:rsid w:val="009D70A4"/>
    <w:rsid w:val="009D7368"/>
    <w:rsid w:val="009D736C"/>
    <w:rsid w:val="009D7479"/>
    <w:rsid w:val="009D751B"/>
    <w:rsid w:val="009D768D"/>
    <w:rsid w:val="009D784C"/>
    <w:rsid w:val="009D7881"/>
    <w:rsid w:val="009D79B8"/>
    <w:rsid w:val="009D7AE2"/>
    <w:rsid w:val="009D7B32"/>
    <w:rsid w:val="009D7B6F"/>
    <w:rsid w:val="009D7C5C"/>
    <w:rsid w:val="009D7D42"/>
    <w:rsid w:val="009D7E9E"/>
    <w:rsid w:val="009D7FA8"/>
    <w:rsid w:val="009E006E"/>
    <w:rsid w:val="009E00A5"/>
    <w:rsid w:val="009E00B3"/>
    <w:rsid w:val="009E01AE"/>
    <w:rsid w:val="009E02DF"/>
    <w:rsid w:val="009E03A2"/>
    <w:rsid w:val="009E054F"/>
    <w:rsid w:val="009E07C1"/>
    <w:rsid w:val="009E08C3"/>
    <w:rsid w:val="009E09E3"/>
    <w:rsid w:val="009E0A08"/>
    <w:rsid w:val="009E0AAB"/>
    <w:rsid w:val="009E0CEE"/>
    <w:rsid w:val="009E0DBD"/>
    <w:rsid w:val="009E0DDC"/>
    <w:rsid w:val="009E0E01"/>
    <w:rsid w:val="009E0E29"/>
    <w:rsid w:val="009E1034"/>
    <w:rsid w:val="009E113C"/>
    <w:rsid w:val="009E11F8"/>
    <w:rsid w:val="009E12FC"/>
    <w:rsid w:val="009E1312"/>
    <w:rsid w:val="009E13F1"/>
    <w:rsid w:val="009E1487"/>
    <w:rsid w:val="009E1642"/>
    <w:rsid w:val="009E16E1"/>
    <w:rsid w:val="009E174A"/>
    <w:rsid w:val="009E179E"/>
    <w:rsid w:val="009E17CF"/>
    <w:rsid w:val="009E1820"/>
    <w:rsid w:val="009E19BF"/>
    <w:rsid w:val="009E1A75"/>
    <w:rsid w:val="009E1B8A"/>
    <w:rsid w:val="009E1C7F"/>
    <w:rsid w:val="009E1C8C"/>
    <w:rsid w:val="009E1DC7"/>
    <w:rsid w:val="009E1E72"/>
    <w:rsid w:val="009E1F0E"/>
    <w:rsid w:val="009E1FA0"/>
    <w:rsid w:val="009E21CA"/>
    <w:rsid w:val="009E21E4"/>
    <w:rsid w:val="009E2281"/>
    <w:rsid w:val="009E2284"/>
    <w:rsid w:val="009E239C"/>
    <w:rsid w:val="009E240D"/>
    <w:rsid w:val="009E24BA"/>
    <w:rsid w:val="009E2500"/>
    <w:rsid w:val="009E2551"/>
    <w:rsid w:val="009E2661"/>
    <w:rsid w:val="009E267A"/>
    <w:rsid w:val="009E273E"/>
    <w:rsid w:val="009E27BD"/>
    <w:rsid w:val="009E2845"/>
    <w:rsid w:val="009E2989"/>
    <w:rsid w:val="009E2B3B"/>
    <w:rsid w:val="009E2B50"/>
    <w:rsid w:val="009E2D9E"/>
    <w:rsid w:val="009E2DF5"/>
    <w:rsid w:val="009E2EFE"/>
    <w:rsid w:val="009E2F88"/>
    <w:rsid w:val="009E3004"/>
    <w:rsid w:val="009E31FA"/>
    <w:rsid w:val="009E3252"/>
    <w:rsid w:val="009E3314"/>
    <w:rsid w:val="009E33D7"/>
    <w:rsid w:val="009E33F9"/>
    <w:rsid w:val="009E3519"/>
    <w:rsid w:val="009E358F"/>
    <w:rsid w:val="009E36EB"/>
    <w:rsid w:val="009E38CC"/>
    <w:rsid w:val="009E392B"/>
    <w:rsid w:val="009E3A35"/>
    <w:rsid w:val="009E3A3B"/>
    <w:rsid w:val="009E3B68"/>
    <w:rsid w:val="009E3C86"/>
    <w:rsid w:val="009E3CA8"/>
    <w:rsid w:val="009E3F0B"/>
    <w:rsid w:val="009E3FF6"/>
    <w:rsid w:val="009E40CB"/>
    <w:rsid w:val="009E411A"/>
    <w:rsid w:val="009E42A1"/>
    <w:rsid w:val="009E43A0"/>
    <w:rsid w:val="009E44FA"/>
    <w:rsid w:val="009E4575"/>
    <w:rsid w:val="009E4698"/>
    <w:rsid w:val="009E47F7"/>
    <w:rsid w:val="009E483D"/>
    <w:rsid w:val="009E48A0"/>
    <w:rsid w:val="009E48B0"/>
    <w:rsid w:val="009E4A10"/>
    <w:rsid w:val="009E4A46"/>
    <w:rsid w:val="009E4AD7"/>
    <w:rsid w:val="009E4B42"/>
    <w:rsid w:val="009E4B82"/>
    <w:rsid w:val="009E4BA8"/>
    <w:rsid w:val="009E4C2E"/>
    <w:rsid w:val="009E4C85"/>
    <w:rsid w:val="009E4CB7"/>
    <w:rsid w:val="009E4D87"/>
    <w:rsid w:val="009E4E52"/>
    <w:rsid w:val="009E513F"/>
    <w:rsid w:val="009E515C"/>
    <w:rsid w:val="009E524E"/>
    <w:rsid w:val="009E531B"/>
    <w:rsid w:val="009E548D"/>
    <w:rsid w:val="009E5582"/>
    <w:rsid w:val="009E5689"/>
    <w:rsid w:val="009E581B"/>
    <w:rsid w:val="009E5A8C"/>
    <w:rsid w:val="009E5B40"/>
    <w:rsid w:val="009E5B45"/>
    <w:rsid w:val="009E5EBF"/>
    <w:rsid w:val="009E5FB5"/>
    <w:rsid w:val="009E6002"/>
    <w:rsid w:val="009E60C5"/>
    <w:rsid w:val="009E60FE"/>
    <w:rsid w:val="009E6110"/>
    <w:rsid w:val="009E611A"/>
    <w:rsid w:val="009E6164"/>
    <w:rsid w:val="009E640F"/>
    <w:rsid w:val="009E6428"/>
    <w:rsid w:val="009E6485"/>
    <w:rsid w:val="009E65E3"/>
    <w:rsid w:val="009E6675"/>
    <w:rsid w:val="009E6679"/>
    <w:rsid w:val="009E66E6"/>
    <w:rsid w:val="009E67BD"/>
    <w:rsid w:val="009E67DC"/>
    <w:rsid w:val="009E67DF"/>
    <w:rsid w:val="009E6814"/>
    <w:rsid w:val="009E695D"/>
    <w:rsid w:val="009E69D6"/>
    <w:rsid w:val="009E6A2D"/>
    <w:rsid w:val="009E6A88"/>
    <w:rsid w:val="009E6B12"/>
    <w:rsid w:val="009E6BD7"/>
    <w:rsid w:val="009E6C17"/>
    <w:rsid w:val="009E6CF9"/>
    <w:rsid w:val="009E6DA9"/>
    <w:rsid w:val="009E6E7A"/>
    <w:rsid w:val="009E6EF5"/>
    <w:rsid w:val="009E6F64"/>
    <w:rsid w:val="009E6FD3"/>
    <w:rsid w:val="009E701B"/>
    <w:rsid w:val="009E718A"/>
    <w:rsid w:val="009E7265"/>
    <w:rsid w:val="009E727B"/>
    <w:rsid w:val="009E72F1"/>
    <w:rsid w:val="009E7469"/>
    <w:rsid w:val="009E7539"/>
    <w:rsid w:val="009E761F"/>
    <w:rsid w:val="009E765B"/>
    <w:rsid w:val="009E76A4"/>
    <w:rsid w:val="009E7731"/>
    <w:rsid w:val="009E7750"/>
    <w:rsid w:val="009E7816"/>
    <w:rsid w:val="009E7828"/>
    <w:rsid w:val="009E793A"/>
    <w:rsid w:val="009E7A72"/>
    <w:rsid w:val="009E7AEB"/>
    <w:rsid w:val="009E7B6C"/>
    <w:rsid w:val="009E7C0B"/>
    <w:rsid w:val="009E7C2D"/>
    <w:rsid w:val="009E7C33"/>
    <w:rsid w:val="009E7E3C"/>
    <w:rsid w:val="009E7EE8"/>
    <w:rsid w:val="009F007C"/>
    <w:rsid w:val="009F0250"/>
    <w:rsid w:val="009F02E5"/>
    <w:rsid w:val="009F039B"/>
    <w:rsid w:val="009F0588"/>
    <w:rsid w:val="009F05DC"/>
    <w:rsid w:val="009F0760"/>
    <w:rsid w:val="009F07D5"/>
    <w:rsid w:val="009F088E"/>
    <w:rsid w:val="009F08F4"/>
    <w:rsid w:val="009F0945"/>
    <w:rsid w:val="009F09F3"/>
    <w:rsid w:val="009F0B1F"/>
    <w:rsid w:val="009F0DC5"/>
    <w:rsid w:val="009F0E2B"/>
    <w:rsid w:val="009F0E7B"/>
    <w:rsid w:val="009F0ED4"/>
    <w:rsid w:val="009F0EF5"/>
    <w:rsid w:val="009F0F16"/>
    <w:rsid w:val="009F123C"/>
    <w:rsid w:val="009F1269"/>
    <w:rsid w:val="009F127F"/>
    <w:rsid w:val="009F1294"/>
    <w:rsid w:val="009F130C"/>
    <w:rsid w:val="009F136C"/>
    <w:rsid w:val="009F1412"/>
    <w:rsid w:val="009F142F"/>
    <w:rsid w:val="009F148C"/>
    <w:rsid w:val="009F14E9"/>
    <w:rsid w:val="009F15AD"/>
    <w:rsid w:val="009F17D3"/>
    <w:rsid w:val="009F1871"/>
    <w:rsid w:val="009F1925"/>
    <w:rsid w:val="009F1A87"/>
    <w:rsid w:val="009F1B01"/>
    <w:rsid w:val="009F1C83"/>
    <w:rsid w:val="009F1C9C"/>
    <w:rsid w:val="009F1D32"/>
    <w:rsid w:val="009F1F74"/>
    <w:rsid w:val="009F1F75"/>
    <w:rsid w:val="009F206A"/>
    <w:rsid w:val="009F20C8"/>
    <w:rsid w:val="009F218F"/>
    <w:rsid w:val="009F21DB"/>
    <w:rsid w:val="009F221F"/>
    <w:rsid w:val="009F22F7"/>
    <w:rsid w:val="009F23A0"/>
    <w:rsid w:val="009F2413"/>
    <w:rsid w:val="009F250B"/>
    <w:rsid w:val="009F2583"/>
    <w:rsid w:val="009F25A7"/>
    <w:rsid w:val="009F2667"/>
    <w:rsid w:val="009F27B4"/>
    <w:rsid w:val="009F2883"/>
    <w:rsid w:val="009F28FA"/>
    <w:rsid w:val="009F2902"/>
    <w:rsid w:val="009F2970"/>
    <w:rsid w:val="009F2986"/>
    <w:rsid w:val="009F29D9"/>
    <w:rsid w:val="009F29F8"/>
    <w:rsid w:val="009F2A08"/>
    <w:rsid w:val="009F2B48"/>
    <w:rsid w:val="009F2C77"/>
    <w:rsid w:val="009F2CCB"/>
    <w:rsid w:val="009F2D07"/>
    <w:rsid w:val="009F2ECF"/>
    <w:rsid w:val="009F311D"/>
    <w:rsid w:val="009F31A2"/>
    <w:rsid w:val="009F3295"/>
    <w:rsid w:val="009F3320"/>
    <w:rsid w:val="009F335F"/>
    <w:rsid w:val="009F33B3"/>
    <w:rsid w:val="009F3403"/>
    <w:rsid w:val="009F3625"/>
    <w:rsid w:val="009F36DF"/>
    <w:rsid w:val="009F3742"/>
    <w:rsid w:val="009F3783"/>
    <w:rsid w:val="009F37DA"/>
    <w:rsid w:val="009F3843"/>
    <w:rsid w:val="009F3898"/>
    <w:rsid w:val="009F389E"/>
    <w:rsid w:val="009F3B07"/>
    <w:rsid w:val="009F3CEB"/>
    <w:rsid w:val="009F3CFA"/>
    <w:rsid w:val="009F3D4E"/>
    <w:rsid w:val="009F3DC8"/>
    <w:rsid w:val="009F3DFB"/>
    <w:rsid w:val="009F3E16"/>
    <w:rsid w:val="009F3F50"/>
    <w:rsid w:val="009F4003"/>
    <w:rsid w:val="009F40BF"/>
    <w:rsid w:val="009F4114"/>
    <w:rsid w:val="009F4187"/>
    <w:rsid w:val="009F4481"/>
    <w:rsid w:val="009F4516"/>
    <w:rsid w:val="009F4593"/>
    <w:rsid w:val="009F45FB"/>
    <w:rsid w:val="009F4607"/>
    <w:rsid w:val="009F460F"/>
    <w:rsid w:val="009F46DA"/>
    <w:rsid w:val="009F4838"/>
    <w:rsid w:val="009F4950"/>
    <w:rsid w:val="009F4A92"/>
    <w:rsid w:val="009F4AB6"/>
    <w:rsid w:val="009F4B36"/>
    <w:rsid w:val="009F4B48"/>
    <w:rsid w:val="009F4E64"/>
    <w:rsid w:val="009F4ECB"/>
    <w:rsid w:val="009F4F74"/>
    <w:rsid w:val="009F5070"/>
    <w:rsid w:val="009F50DD"/>
    <w:rsid w:val="009F51A6"/>
    <w:rsid w:val="009F524C"/>
    <w:rsid w:val="009F53E8"/>
    <w:rsid w:val="009F54CA"/>
    <w:rsid w:val="009F5624"/>
    <w:rsid w:val="009F56C7"/>
    <w:rsid w:val="009F5806"/>
    <w:rsid w:val="009F5A32"/>
    <w:rsid w:val="009F5BFC"/>
    <w:rsid w:val="009F5C63"/>
    <w:rsid w:val="009F5CC5"/>
    <w:rsid w:val="009F5E13"/>
    <w:rsid w:val="009F622B"/>
    <w:rsid w:val="009F622D"/>
    <w:rsid w:val="009F633A"/>
    <w:rsid w:val="009F63CA"/>
    <w:rsid w:val="009F6410"/>
    <w:rsid w:val="009F65C5"/>
    <w:rsid w:val="009F673A"/>
    <w:rsid w:val="009F67BB"/>
    <w:rsid w:val="009F67D3"/>
    <w:rsid w:val="009F6880"/>
    <w:rsid w:val="009F69F9"/>
    <w:rsid w:val="009F6BFA"/>
    <w:rsid w:val="009F6D2B"/>
    <w:rsid w:val="009F6E5C"/>
    <w:rsid w:val="009F7023"/>
    <w:rsid w:val="009F706B"/>
    <w:rsid w:val="009F7099"/>
    <w:rsid w:val="009F70DA"/>
    <w:rsid w:val="009F70F3"/>
    <w:rsid w:val="009F712A"/>
    <w:rsid w:val="009F7349"/>
    <w:rsid w:val="009F7487"/>
    <w:rsid w:val="009F76A5"/>
    <w:rsid w:val="009F777E"/>
    <w:rsid w:val="009F77FA"/>
    <w:rsid w:val="009F78EF"/>
    <w:rsid w:val="009F795C"/>
    <w:rsid w:val="009F79B0"/>
    <w:rsid w:val="009F7A04"/>
    <w:rsid w:val="009F7B92"/>
    <w:rsid w:val="009F7CA0"/>
    <w:rsid w:val="009F7CC4"/>
    <w:rsid w:val="009F7D53"/>
    <w:rsid w:val="009F7E1C"/>
    <w:rsid w:val="009F7E3D"/>
    <w:rsid w:val="009F7E7C"/>
    <w:rsid w:val="009F7F12"/>
    <w:rsid w:val="009F7FDD"/>
    <w:rsid w:val="00A003D8"/>
    <w:rsid w:val="00A0053E"/>
    <w:rsid w:val="00A00578"/>
    <w:rsid w:val="00A0058D"/>
    <w:rsid w:val="00A00626"/>
    <w:rsid w:val="00A0065D"/>
    <w:rsid w:val="00A006CA"/>
    <w:rsid w:val="00A00768"/>
    <w:rsid w:val="00A00790"/>
    <w:rsid w:val="00A00804"/>
    <w:rsid w:val="00A0083D"/>
    <w:rsid w:val="00A00844"/>
    <w:rsid w:val="00A0094A"/>
    <w:rsid w:val="00A0096E"/>
    <w:rsid w:val="00A00981"/>
    <w:rsid w:val="00A009BB"/>
    <w:rsid w:val="00A00A27"/>
    <w:rsid w:val="00A00AA8"/>
    <w:rsid w:val="00A00AE5"/>
    <w:rsid w:val="00A00C48"/>
    <w:rsid w:val="00A00CB5"/>
    <w:rsid w:val="00A00EBE"/>
    <w:rsid w:val="00A00F3C"/>
    <w:rsid w:val="00A00F5A"/>
    <w:rsid w:val="00A01086"/>
    <w:rsid w:val="00A010C7"/>
    <w:rsid w:val="00A01430"/>
    <w:rsid w:val="00A01432"/>
    <w:rsid w:val="00A015D1"/>
    <w:rsid w:val="00A015D3"/>
    <w:rsid w:val="00A01619"/>
    <w:rsid w:val="00A01622"/>
    <w:rsid w:val="00A01719"/>
    <w:rsid w:val="00A017F0"/>
    <w:rsid w:val="00A019E8"/>
    <w:rsid w:val="00A01AA5"/>
    <w:rsid w:val="00A01D63"/>
    <w:rsid w:val="00A01DF7"/>
    <w:rsid w:val="00A01F3E"/>
    <w:rsid w:val="00A01F42"/>
    <w:rsid w:val="00A01FF1"/>
    <w:rsid w:val="00A02010"/>
    <w:rsid w:val="00A020B6"/>
    <w:rsid w:val="00A02155"/>
    <w:rsid w:val="00A021A1"/>
    <w:rsid w:val="00A0225E"/>
    <w:rsid w:val="00A02291"/>
    <w:rsid w:val="00A022C1"/>
    <w:rsid w:val="00A0232F"/>
    <w:rsid w:val="00A02486"/>
    <w:rsid w:val="00A025FF"/>
    <w:rsid w:val="00A02601"/>
    <w:rsid w:val="00A02656"/>
    <w:rsid w:val="00A026B9"/>
    <w:rsid w:val="00A0297C"/>
    <w:rsid w:val="00A029A1"/>
    <w:rsid w:val="00A02B27"/>
    <w:rsid w:val="00A02D3F"/>
    <w:rsid w:val="00A02D57"/>
    <w:rsid w:val="00A02F70"/>
    <w:rsid w:val="00A02FA9"/>
    <w:rsid w:val="00A031F7"/>
    <w:rsid w:val="00A032C0"/>
    <w:rsid w:val="00A032D6"/>
    <w:rsid w:val="00A034D5"/>
    <w:rsid w:val="00A03638"/>
    <w:rsid w:val="00A03690"/>
    <w:rsid w:val="00A0389F"/>
    <w:rsid w:val="00A0392E"/>
    <w:rsid w:val="00A0397B"/>
    <w:rsid w:val="00A039A9"/>
    <w:rsid w:val="00A03A92"/>
    <w:rsid w:val="00A03AEC"/>
    <w:rsid w:val="00A03B86"/>
    <w:rsid w:val="00A03BAE"/>
    <w:rsid w:val="00A03C43"/>
    <w:rsid w:val="00A03E4F"/>
    <w:rsid w:val="00A03E5B"/>
    <w:rsid w:val="00A03E9D"/>
    <w:rsid w:val="00A03EB3"/>
    <w:rsid w:val="00A03F59"/>
    <w:rsid w:val="00A0413B"/>
    <w:rsid w:val="00A041BE"/>
    <w:rsid w:val="00A0426D"/>
    <w:rsid w:val="00A042A4"/>
    <w:rsid w:val="00A043D0"/>
    <w:rsid w:val="00A043E5"/>
    <w:rsid w:val="00A043E7"/>
    <w:rsid w:val="00A04445"/>
    <w:rsid w:val="00A04458"/>
    <w:rsid w:val="00A044D5"/>
    <w:rsid w:val="00A044E9"/>
    <w:rsid w:val="00A04615"/>
    <w:rsid w:val="00A046BC"/>
    <w:rsid w:val="00A0479B"/>
    <w:rsid w:val="00A0485F"/>
    <w:rsid w:val="00A0487D"/>
    <w:rsid w:val="00A04899"/>
    <w:rsid w:val="00A04906"/>
    <w:rsid w:val="00A049D4"/>
    <w:rsid w:val="00A04B47"/>
    <w:rsid w:val="00A04BE5"/>
    <w:rsid w:val="00A04C12"/>
    <w:rsid w:val="00A04C7D"/>
    <w:rsid w:val="00A04CA4"/>
    <w:rsid w:val="00A04D3A"/>
    <w:rsid w:val="00A04E7C"/>
    <w:rsid w:val="00A04F0C"/>
    <w:rsid w:val="00A04F82"/>
    <w:rsid w:val="00A04FD8"/>
    <w:rsid w:val="00A05105"/>
    <w:rsid w:val="00A051BA"/>
    <w:rsid w:val="00A05237"/>
    <w:rsid w:val="00A05251"/>
    <w:rsid w:val="00A053A1"/>
    <w:rsid w:val="00A05459"/>
    <w:rsid w:val="00A05595"/>
    <w:rsid w:val="00A055C9"/>
    <w:rsid w:val="00A056EC"/>
    <w:rsid w:val="00A05834"/>
    <w:rsid w:val="00A0583C"/>
    <w:rsid w:val="00A0585B"/>
    <w:rsid w:val="00A05B8B"/>
    <w:rsid w:val="00A05CC9"/>
    <w:rsid w:val="00A05D09"/>
    <w:rsid w:val="00A05DF0"/>
    <w:rsid w:val="00A05E4F"/>
    <w:rsid w:val="00A0610E"/>
    <w:rsid w:val="00A06479"/>
    <w:rsid w:val="00A064CB"/>
    <w:rsid w:val="00A0662C"/>
    <w:rsid w:val="00A0666C"/>
    <w:rsid w:val="00A066BD"/>
    <w:rsid w:val="00A06724"/>
    <w:rsid w:val="00A06759"/>
    <w:rsid w:val="00A0679F"/>
    <w:rsid w:val="00A06889"/>
    <w:rsid w:val="00A06A01"/>
    <w:rsid w:val="00A06BFF"/>
    <w:rsid w:val="00A06D23"/>
    <w:rsid w:val="00A06DF5"/>
    <w:rsid w:val="00A06E23"/>
    <w:rsid w:val="00A06F01"/>
    <w:rsid w:val="00A06F0E"/>
    <w:rsid w:val="00A06F4B"/>
    <w:rsid w:val="00A06FCC"/>
    <w:rsid w:val="00A07040"/>
    <w:rsid w:val="00A0722F"/>
    <w:rsid w:val="00A07369"/>
    <w:rsid w:val="00A07723"/>
    <w:rsid w:val="00A07735"/>
    <w:rsid w:val="00A07854"/>
    <w:rsid w:val="00A07858"/>
    <w:rsid w:val="00A0798B"/>
    <w:rsid w:val="00A079F5"/>
    <w:rsid w:val="00A07A0D"/>
    <w:rsid w:val="00A07A4D"/>
    <w:rsid w:val="00A07C3F"/>
    <w:rsid w:val="00A07CA5"/>
    <w:rsid w:val="00A07DED"/>
    <w:rsid w:val="00A07ED1"/>
    <w:rsid w:val="00A101D5"/>
    <w:rsid w:val="00A104F3"/>
    <w:rsid w:val="00A10516"/>
    <w:rsid w:val="00A1051A"/>
    <w:rsid w:val="00A10528"/>
    <w:rsid w:val="00A105E0"/>
    <w:rsid w:val="00A10620"/>
    <w:rsid w:val="00A10681"/>
    <w:rsid w:val="00A106BD"/>
    <w:rsid w:val="00A106ED"/>
    <w:rsid w:val="00A108D2"/>
    <w:rsid w:val="00A10904"/>
    <w:rsid w:val="00A10978"/>
    <w:rsid w:val="00A10B1B"/>
    <w:rsid w:val="00A10B3F"/>
    <w:rsid w:val="00A10B78"/>
    <w:rsid w:val="00A10ED9"/>
    <w:rsid w:val="00A10EE5"/>
    <w:rsid w:val="00A10F52"/>
    <w:rsid w:val="00A10F70"/>
    <w:rsid w:val="00A11065"/>
    <w:rsid w:val="00A1108A"/>
    <w:rsid w:val="00A110A3"/>
    <w:rsid w:val="00A110DA"/>
    <w:rsid w:val="00A11251"/>
    <w:rsid w:val="00A112E0"/>
    <w:rsid w:val="00A112E1"/>
    <w:rsid w:val="00A113DA"/>
    <w:rsid w:val="00A1149A"/>
    <w:rsid w:val="00A115A6"/>
    <w:rsid w:val="00A1186E"/>
    <w:rsid w:val="00A11955"/>
    <w:rsid w:val="00A119A2"/>
    <w:rsid w:val="00A119BE"/>
    <w:rsid w:val="00A119D9"/>
    <w:rsid w:val="00A11A32"/>
    <w:rsid w:val="00A11A91"/>
    <w:rsid w:val="00A11BCD"/>
    <w:rsid w:val="00A11CEE"/>
    <w:rsid w:val="00A11D96"/>
    <w:rsid w:val="00A11DC4"/>
    <w:rsid w:val="00A11E84"/>
    <w:rsid w:val="00A11EBC"/>
    <w:rsid w:val="00A1202E"/>
    <w:rsid w:val="00A1206F"/>
    <w:rsid w:val="00A121BE"/>
    <w:rsid w:val="00A124BE"/>
    <w:rsid w:val="00A12534"/>
    <w:rsid w:val="00A1268E"/>
    <w:rsid w:val="00A126F0"/>
    <w:rsid w:val="00A12742"/>
    <w:rsid w:val="00A12836"/>
    <w:rsid w:val="00A12891"/>
    <w:rsid w:val="00A128A4"/>
    <w:rsid w:val="00A12939"/>
    <w:rsid w:val="00A1298F"/>
    <w:rsid w:val="00A12B54"/>
    <w:rsid w:val="00A12C78"/>
    <w:rsid w:val="00A12EC7"/>
    <w:rsid w:val="00A12F62"/>
    <w:rsid w:val="00A12FB9"/>
    <w:rsid w:val="00A13029"/>
    <w:rsid w:val="00A13052"/>
    <w:rsid w:val="00A13067"/>
    <w:rsid w:val="00A13139"/>
    <w:rsid w:val="00A132DA"/>
    <w:rsid w:val="00A13339"/>
    <w:rsid w:val="00A13348"/>
    <w:rsid w:val="00A135E3"/>
    <w:rsid w:val="00A13664"/>
    <w:rsid w:val="00A136B1"/>
    <w:rsid w:val="00A136FA"/>
    <w:rsid w:val="00A1376B"/>
    <w:rsid w:val="00A139A5"/>
    <w:rsid w:val="00A139AE"/>
    <w:rsid w:val="00A13D33"/>
    <w:rsid w:val="00A13DE9"/>
    <w:rsid w:val="00A13DF3"/>
    <w:rsid w:val="00A13ED4"/>
    <w:rsid w:val="00A13EF8"/>
    <w:rsid w:val="00A13F9A"/>
    <w:rsid w:val="00A14005"/>
    <w:rsid w:val="00A14051"/>
    <w:rsid w:val="00A141A6"/>
    <w:rsid w:val="00A1426E"/>
    <w:rsid w:val="00A14330"/>
    <w:rsid w:val="00A14349"/>
    <w:rsid w:val="00A144C8"/>
    <w:rsid w:val="00A14545"/>
    <w:rsid w:val="00A14646"/>
    <w:rsid w:val="00A14828"/>
    <w:rsid w:val="00A148D2"/>
    <w:rsid w:val="00A148FD"/>
    <w:rsid w:val="00A14B47"/>
    <w:rsid w:val="00A14B70"/>
    <w:rsid w:val="00A14C50"/>
    <w:rsid w:val="00A14D54"/>
    <w:rsid w:val="00A14EB7"/>
    <w:rsid w:val="00A150AB"/>
    <w:rsid w:val="00A1517D"/>
    <w:rsid w:val="00A152C0"/>
    <w:rsid w:val="00A153F7"/>
    <w:rsid w:val="00A15573"/>
    <w:rsid w:val="00A155FF"/>
    <w:rsid w:val="00A15704"/>
    <w:rsid w:val="00A1581C"/>
    <w:rsid w:val="00A15842"/>
    <w:rsid w:val="00A1589A"/>
    <w:rsid w:val="00A158A8"/>
    <w:rsid w:val="00A15A35"/>
    <w:rsid w:val="00A15B28"/>
    <w:rsid w:val="00A15C23"/>
    <w:rsid w:val="00A15CEA"/>
    <w:rsid w:val="00A15D34"/>
    <w:rsid w:val="00A15D50"/>
    <w:rsid w:val="00A15EA2"/>
    <w:rsid w:val="00A15F08"/>
    <w:rsid w:val="00A1607A"/>
    <w:rsid w:val="00A160CA"/>
    <w:rsid w:val="00A161B9"/>
    <w:rsid w:val="00A161D8"/>
    <w:rsid w:val="00A162BF"/>
    <w:rsid w:val="00A162F5"/>
    <w:rsid w:val="00A1632F"/>
    <w:rsid w:val="00A16600"/>
    <w:rsid w:val="00A16673"/>
    <w:rsid w:val="00A16760"/>
    <w:rsid w:val="00A167B6"/>
    <w:rsid w:val="00A1693D"/>
    <w:rsid w:val="00A16B41"/>
    <w:rsid w:val="00A16BF9"/>
    <w:rsid w:val="00A16F33"/>
    <w:rsid w:val="00A17098"/>
    <w:rsid w:val="00A170E6"/>
    <w:rsid w:val="00A17212"/>
    <w:rsid w:val="00A172B5"/>
    <w:rsid w:val="00A174A2"/>
    <w:rsid w:val="00A174C4"/>
    <w:rsid w:val="00A17896"/>
    <w:rsid w:val="00A179DF"/>
    <w:rsid w:val="00A17AC8"/>
    <w:rsid w:val="00A17BB7"/>
    <w:rsid w:val="00A200AB"/>
    <w:rsid w:val="00A200B9"/>
    <w:rsid w:val="00A2015E"/>
    <w:rsid w:val="00A20217"/>
    <w:rsid w:val="00A20280"/>
    <w:rsid w:val="00A20295"/>
    <w:rsid w:val="00A202AB"/>
    <w:rsid w:val="00A202B8"/>
    <w:rsid w:val="00A203F3"/>
    <w:rsid w:val="00A204C6"/>
    <w:rsid w:val="00A2086B"/>
    <w:rsid w:val="00A20942"/>
    <w:rsid w:val="00A209C0"/>
    <w:rsid w:val="00A209FA"/>
    <w:rsid w:val="00A20A5B"/>
    <w:rsid w:val="00A20B1C"/>
    <w:rsid w:val="00A20CA9"/>
    <w:rsid w:val="00A20CDB"/>
    <w:rsid w:val="00A20CDF"/>
    <w:rsid w:val="00A20EA2"/>
    <w:rsid w:val="00A20EC6"/>
    <w:rsid w:val="00A20F09"/>
    <w:rsid w:val="00A2109A"/>
    <w:rsid w:val="00A21154"/>
    <w:rsid w:val="00A211DB"/>
    <w:rsid w:val="00A21262"/>
    <w:rsid w:val="00A2129D"/>
    <w:rsid w:val="00A212D1"/>
    <w:rsid w:val="00A212D4"/>
    <w:rsid w:val="00A21358"/>
    <w:rsid w:val="00A215F3"/>
    <w:rsid w:val="00A2176A"/>
    <w:rsid w:val="00A21793"/>
    <w:rsid w:val="00A21A29"/>
    <w:rsid w:val="00A21ACD"/>
    <w:rsid w:val="00A21BAA"/>
    <w:rsid w:val="00A21BEB"/>
    <w:rsid w:val="00A21C03"/>
    <w:rsid w:val="00A21D2C"/>
    <w:rsid w:val="00A21F23"/>
    <w:rsid w:val="00A21F96"/>
    <w:rsid w:val="00A21F9F"/>
    <w:rsid w:val="00A22225"/>
    <w:rsid w:val="00A2226F"/>
    <w:rsid w:val="00A2256A"/>
    <w:rsid w:val="00A225A8"/>
    <w:rsid w:val="00A22633"/>
    <w:rsid w:val="00A22677"/>
    <w:rsid w:val="00A2267D"/>
    <w:rsid w:val="00A22788"/>
    <w:rsid w:val="00A2296F"/>
    <w:rsid w:val="00A229E9"/>
    <w:rsid w:val="00A22BC4"/>
    <w:rsid w:val="00A22CB6"/>
    <w:rsid w:val="00A22DDC"/>
    <w:rsid w:val="00A22E3E"/>
    <w:rsid w:val="00A2327D"/>
    <w:rsid w:val="00A2343B"/>
    <w:rsid w:val="00A23646"/>
    <w:rsid w:val="00A2369A"/>
    <w:rsid w:val="00A237F9"/>
    <w:rsid w:val="00A239FD"/>
    <w:rsid w:val="00A23BF9"/>
    <w:rsid w:val="00A23D0B"/>
    <w:rsid w:val="00A23D87"/>
    <w:rsid w:val="00A23D9F"/>
    <w:rsid w:val="00A23F7D"/>
    <w:rsid w:val="00A24170"/>
    <w:rsid w:val="00A241C4"/>
    <w:rsid w:val="00A24390"/>
    <w:rsid w:val="00A24577"/>
    <w:rsid w:val="00A245DD"/>
    <w:rsid w:val="00A246C7"/>
    <w:rsid w:val="00A2475B"/>
    <w:rsid w:val="00A247C7"/>
    <w:rsid w:val="00A247DF"/>
    <w:rsid w:val="00A248E9"/>
    <w:rsid w:val="00A249C4"/>
    <w:rsid w:val="00A249E2"/>
    <w:rsid w:val="00A24BC0"/>
    <w:rsid w:val="00A24CFA"/>
    <w:rsid w:val="00A24D11"/>
    <w:rsid w:val="00A24DD9"/>
    <w:rsid w:val="00A24E15"/>
    <w:rsid w:val="00A24EF4"/>
    <w:rsid w:val="00A2511A"/>
    <w:rsid w:val="00A2514A"/>
    <w:rsid w:val="00A2514F"/>
    <w:rsid w:val="00A25316"/>
    <w:rsid w:val="00A253AE"/>
    <w:rsid w:val="00A2546A"/>
    <w:rsid w:val="00A2559A"/>
    <w:rsid w:val="00A256E5"/>
    <w:rsid w:val="00A25729"/>
    <w:rsid w:val="00A257A7"/>
    <w:rsid w:val="00A259C0"/>
    <w:rsid w:val="00A25AFF"/>
    <w:rsid w:val="00A25C67"/>
    <w:rsid w:val="00A25D95"/>
    <w:rsid w:val="00A25DF9"/>
    <w:rsid w:val="00A25E3A"/>
    <w:rsid w:val="00A25FF9"/>
    <w:rsid w:val="00A26042"/>
    <w:rsid w:val="00A2607C"/>
    <w:rsid w:val="00A26134"/>
    <w:rsid w:val="00A2615E"/>
    <w:rsid w:val="00A26311"/>
    <w:rsid w:val="00A2636C"/>
    <w:rsid w:val="00A2642C"/>
    <w:rsid w:val="00A2643C"/>
    <w:rsid w:val="00A264E3"/>
    <w:rsid w:val="00A265ED"/>
    <w:rsid w:val="00A26636"/>
    <w:rsid w:val="00A26730"/>
    <w:rsid w:val="00A267CE"/>
    <w:rsid w:val="00A268C6"/>
    <w:rsid w:val="00A26944"/>
    <w:rsid w:val="00A2694E"/>
    <w:rsid w:val="00A26977"/>
    <w:rsid w:val="00A26ABE"/>
    <w:rsid w:val="00A26AF2"/>
    <w:rsid w:val="00A26DAB"/>
    <w:rsid w:val="00A26F15"/>
    <w:rsid w:val="00A26FE1"/>
    <w:rsid w:val="00A270D9"/>
    <w:rsid w:val="00A272B5"/>
    <w:rsid w:val="00A2734E"/>
    <w:rsid w:val="00A2737F"/>
    <w:rsid w:val="00A27517"/>
    <w:rsid w:val="00A276EE"/>
    <w:rsid w:val="00A278A1"/>
    <w:rsid w:val="00A278DD"/>
    <w:rsid w:val="00A27A77"/>
    <w:rsid w:val="00A27B1D"/>
    <w:rsid w:val="00A27C7B"/>
    <w:rsid w:val="00A27CA9"/>
    <w:rsid w:val="00A27CCA"/>
    <w:rsid w:val="00A27D90"/>
    <w:rsid w:val="00A27E29"/>
    <w:rsid w:val="00A27E99"/>
    <w:rsid w:val="00A27FC9"/>
    <w:rsid w:val="00A300F0"/>
    <w:rsid w:val="00A3016E"/>
    <w:rsid w:val="00A3025D"/>
    <w:rsid w:val="00A302B3"/>
    <w:rsid w:val="00A302D2"/>
    <w:rsid w:val="00A30416"/>
    <w:rsid w:val="00A30427"/>
    <w:rsid w:val="00A30443"/>
    <w:rsid w:val="00A3045C"/>
    <w:rsid w:val="00A305C6"/>
    <w:rsid w:val="00A307EA"/>
    <w:rsid w:val="00A30821"/>
    <w:rsid w:val="00A3092F"/>
    <w:rsid w:val="00A30AF2"/>
    <w:rsid w:val="00A30B01"/>
    <w:rsid w:val="00A30B7D"/>
    <w:rsid w:val="00A30C23"/>
    <w:rsid w:val="00A30C70"/>
    <w:rsid w:val="00A30CDF"/>
    <w:rsid w:val="00A30D06"/>
    <w:rsid w:val="00A30E27"/>
    <w:rsid w:val="00A30ED6"/>
    <w:rsid w:val="00A31047"/>
    <w:rsid w:val="00A31053"/>
    <w:rsid w:val="00A31083"/>
    <w:rsid w:val="00A31137"/>
    <w:rsid w:val="00A31220"/>
    <w:rsid w:val="00A3122C"/>
    <w:rsid w:val="00A313A7"/>
    <w:rsid w:val="00A3140C"/>
    <w:rsid w:val="00A31497"/>
    <w:rsid w:val="00A314B9"/>
    <w:rsid w:val="00A314C5"/>
    <w:rsid w:val="00A31593"/>
    <w:rsid w:val="00A31624"/>
    <w:rsid w:val="00A31898"/>
    <w:rsid w:val="00A31A3E"/>
    <w:rsid w:val="00A31A6A"/>
    <w:rsid w:val="00A31AE0"/>
    <w:rsid w:val="00A31AE3"/>
    <w:rsid w:val="00A31BD2"/>
    <w:rsid w:val="00A31ECC"/>
    <w:rsid w:val="00A31F92"/>
    <w:rsid w:val="00A31FEB"/>
    <w:rsid w:val="00A31FEE"/>
    <w:rsid w:val="00A32098"/>
    <w:rsid w:val="00A3224A"/>
    <w:rsid w:val="00A32288"/>
    <w:rsid w:val="00A322B3"/>
    <w:rsid w:val="00A32441"/>
    <w:rsid w:val="00A32444"/>
    <w:rsid w:val="00A3245A"/>
    <w:rsid w:val="00A32487"/>
    <w:rsid w:val="00A324D3"/>
    <w:rsid w:val="00A325B1"/>
    <w:rsid w:val="00A32B57"/>
    <w:rsid w:val="00A32B78"/>
    <w:rsid w:val="00A32BAF"/>
    <w:rsid w:val="00A32BEB"/>
    <w:rsid w:val="00A32C4C"/>
    <w:rsid w:val="00A32C95"/>
    <w:rsid w:val="00A32DC8"/>
    <w:rsid w:val="00A3305D"/>
    <w:rsid w:val="00A33067"/>
    <w:rsid w:val="00A33076"/>
    <w:rsid w:val="00A33165"/>
    <w:rsid w:val="00A331AD"/>
    <w:rsid w:val="00A331FF"/>
    <w:rsid w:val="00A33248"/>
    <w:rsid w:val="00A3336F"/>
    <w:rsid w:val="00A3352C"/>
    <w:rsid w:val="00A3373A"/>
    <w:rsid w:val="00A337CA"/>
    <w:rsid w:val="00A33AEF"/>
    <w:rsid w:val="00A33BF6"/>
    <w:rsid w:val="00A33E4A"/>
    <w:rsid w:val="00A33F69"/>
    <w:rsid w:val="00A33F98"/>
    <w:rsid w:val="00A34582"/>
    <w:rsid w:val="00A347C1"/>
    <w:rsid w:val="00A347D2"/>
    <w:rsid w:val="00A3488B"/>
    <w:rsid w:val="00A34939"/>
    <w:rsid w:val="00A3498B"/>
    <w:rsid w:val="00A34A23"/>
    <w:rsid w:val="00A34ACF"/>
    <w:rsid w:val="00A34B95"/>
    <w:rsid w:val="00A34CE2"/>
    <w:rsid w:val="00A34D24"/>
    <w:rsid w:val="00A34EE3"/>
    <w:rsid w:val="00A34F00"/>
    <w:rsid w:val="00A35101"/>
    <w:rsid w:val="00A35287"/>
    <w:rsid w:val="00A35382"/>
    <w:rsid w:val="00A353D8"/>
    <w:rsid w:val="00A35421"/>
    <w:rsid w:val="00A35664"/>
    <w:rsid w:val="00A35798"/>
    <w:rsid w:val="00A35849"/>
    <w:rsid w:val="00A35A2B"/>
    <w:rsid w:val="00A35AD4"/>
    <w:rsid w:val="00A35C29"/>
    <w:rsid w:val="00A35C71"/>
    <w:rsid w:val="00A35D3E"/>
    <w:rsid w:val="00A361D4"/>
    <w:rsid w:val="00A36257"/>
    <w:rsid w:val="00A362D0"/>
    <w:rsid w:val="00A364DF"/>
    <w:rsid w:val="00A36730"/>
    <w:rsid w:val="00A367C2"/>
    <w:rsid w:val="00A36826"/>
    <w:rsid w:val="00A36B32"/>
    <w:rsid w:val="00A36DA9"/>
    <w:rsid w:val="00A36FB3"/>
    <w:rsid w:val="00A36FDD"/>
    <w:rsid w:val="00A36FE6"/>
    <w:rsid w:val="00A3700D"/>
    <w:rsid w:val="00A370FC"/>
    <w:rsid w:val="00A37158"/>
    <w:rsid w:val="00A371F4"/>
    <w:rsid w:val="00A3724C"/>
    <w:rsid w:val="00A373AD"/>
    <w:rsid w:val="00A373DF"/>
    <w:rsid w:val="00A37448"/>
    <w:rsid w:val="00A37668"/>
    <w:rsid w:val="00A37820"/>
    <w:rsid w:val="00A37A87"/>
    <w:rsid w:val="00A37AB2"/>
    <w:rsid w:val="00A37ABF"/>
    <w:rsid w:val="00A37BC1"/>
    <w:rsid w:val="00A37BCD"/>
    <w:rsid w:val="00A37C1D"/>
    <w:rsid w:val="00A37C5E"/>
    <w:rsid w:val="00A37C9A"/>
    <w:rsid w:val="00A37CC0"/>
    <w:rsid w:val="00A400C1"/>
    <w:rsid w:val="00A400E4"/>
    <w:rsid w:val="00A40105"/>
    <w:rsid w:val="00A40225"/>
    <w:rsid w:val="00A402C8"/>
    <w:rsid w:val="00A4037F"/>
    <w:rsid w:val="00A403BB"/>
    <w:rsid w:val="00A403C1"/>
    <w:rsid w:val="00A407AD"/>
    <w:rsid w:val="00A407F7"/>
    <w:rsid w:val="00A40814"/>
    <w:rsid w:val="00A409FF"/>
    <w:rsid w:val="00A40A08"/>
    <w:rsid w:val="00A40A66"/>
    <w:rsid w:val="00A40A82"/>
    <w:rsid w:val="00A40B61"/>
    <w:rsid w:val="00A40BB0"/>
    <w:rsid w:val="00A40C24"/>
    <w:rsid w:val="00A40CA7"/>
    <w:rsid w:val="00A40CAC"/>
    <w:rsid w:val="00A40CF5"/>
    <w:rsid w:val="00A40E64"/>
    <w:rsid w:val="00A40F8C"/>
    <w:rsid w:val="00A40FAE"/>
    <w:rsid w:val="00A410B2"/>
    <w:rsid w:val="00A410C8"/>
    <w:rsid w:val="00A41306"/>
    <w:rsid w:val="00A41399"/>
    <w:rsid w:val="00A4144A"/>
    <w:rsid w:val="00A4146A"/>
    <w:rsid w:val="00A41488"/>
    <w:rsid w:val="00A4152C"/>
    <w:rsid w:val="00A41585"/>
    <w:rsid w:val="00A4161A"/>
    <w:rsid w:val="00A41622"/>
    <w:rsid w:val="00A41644"/>
    <w:rsid w:val="00A418F2"/>
    <w:rsid w:val="00A4198A"/>
    <w:rsid w:val="00A41A57"/>
    <w:rsid w:val="00A41B34"/>
    <w:rsid w:val="00A41C1F"/>
    <w:rsid w:val="00A41DB5"/>
    <w:rsid w:val="00A41DF7"/>
    <w:rsid w:val="00A41E50"/>
    <w:rsid w:val="00A41E69"/>
    <w:rsid w:val="00A41F1A"/>
    <w:rsid w:val="00A41FFB"/>
    <w:rsid w:val="00A42093"/>
    <w:rsid w:val="00A420E1"/>
    <w:rsid w:val="00A4210D"/>
    <w:rsid w:val="00A42185"/>
    <w:rsid w:val="00A421F8"/>
    <w:rsid w:val="00A423CD"/>
    <w:rsid w:val="00A42408"/>
    <w:rsid w:val="00A42416"/>
    <w:rsid w:val="00A42489"/>
    <w:rsid w:val="00A424E5"/>
    <w:rsid w:val="00A426E9"/>
    <w:rsid w:val="00A427FE"/>
    <w:rsid w:val="00A4284B"/>
    <w:rsid w:val="00A428A2"/>
    <w:rsid w:val="00A428AA"/>
    <w:rsid w:val="00A428C5"/>
    <w:rsid w:val="00A429B7"/>
    <w:rsid w:val="00A42AF5"/>
    <w:rsid w:val="00A42B66"/>
    <w:rsid w:val="00A42D64"/>
    <w:rsid w:val="00A42D9A"/>
    <w:rsid w:val="00A42DEC"/>
    <w:rsid w:val="00A42E29"/>
    <w:rsid w:val="00A42E70"/>
    <w:rsid w:val="00A42FA8"/>
    <w:rsid w:val="00A43073"/>
    <w:rsid w:val="00A430E8"/>
    <w:rsid w:val="00A430F7"/>
    <w:rsid w:val="00A431A4"/>
    <w:rsid w:val="00A431D7"/>
    <w:rsid w:val="00A432A8"/>
    <w:rsid w:val="00A4345F"/>
    <w:rsid w:val="00A437D6"/>
    <w:rsid w:val="00A4388E"/>
    <w:rsid w:val="00A439AE"/>
    <w:rsid w:val="00A43BCC"/>
    <w:rsid w:val="00A43C2F"/>
    <w:rsid w:val="00A43D64"/>
    <w:rsid w:val="00A43D83"/>
    <w:rsid w:val="00A43DB7"/>
    <w:rsid w:val="00A43DE0"/>
    <w:rsid w:val="00A43E51"/>
    <w:rsid w:val="00A43E8B"/>
    <w:rsid w:val="00A43EAC"/>
    <w:rsid w:val="00A43EE8"/>
    <w:rsid w:val="00A43F59"/>
    <w:rsid w:val="00A43F9C"/>
    <w:rsid w:val="00A43FB5"/>
    <w:rsid w:val="00A44076"/>
    <w:rsid w:val="00A44174"/>
    <w:rsid w:val="00A44498"/>
    <w:rsid w:val="00A445B6"/>
    <w:rsid w:val="00A4468A"/>
    <w:rsid w:val="00A4471A"/>
    <w:rsid w:val="00A449B1"/>
    <w:rsid w:val="00A449B7"/>
    <w:rsid w:val="00A44A93"/>
    <w:rsid w:val="00A44A9D"/>
    <w:rsid w:val="00A44C4E"/>
    <w:rsid w:val="00A44CBA"/>
    <w:rsid w:val="00A44D5C"/>
    <w:rsid w:val="00A44DD1"/>
    <w:rsid w:val="00A44DF3"/>
    <w:rsid w:val="00A44E8E"/>
    <w:rsid w:val="00A44F09"/>
    <w:rsid w:val="00A45007"/>
    <w:rsid w:val="00A4502D"/>
    <w:rsid w:val="00A45148"/>
    <w:rsid w:val="00A45162"/>
    <w:rsid w:val="00A452FB"/>
    <w:rsid w:val="00A45364"/>
    <w:rsid w:val="00A4541D"/>
    <w:rsid w:val="00A454BD"/>
    <w:rsid w:val="00A454CE"/>
    <w:rsid w:val="00A456A2"/>
    <w:rsid w:val="00A456A3"/>
    <w:rsid w:val="00A45753"/>
    <w:rsid w:val="00A45795"/>
    <w:rsid w:val="00A45963"/>
    <w:rsid w:val="00A459A4"/>
    <w:rsid w:val="00A45A49"/>
    <w:rsid w:val="00A45B02"/>
    <w:rsid w:val="00A45D3B"/>
    <w:rsid w:val="00A45FCC"/>
    <w:rsid w:val="00A46061"/>
    <w:rsid w:val="00A460E2"/>
    <w:rsid w:val="00A461B1"/>
    <w:rsid w:val="00A461DC"/>
    <w:rsid w:val="00A46443"/>
    <w:rsid w:val="00A46670"/>
    <w:rsid w:val="00A46755"/>
    <w:rsid w:val="00A467D6"/>
    <w:rsid w:val="00A46801"/>
    <w:rsid w:val="00A468AC"/>
    <w:rsid w:val="00A468DE"/>
    <w:rsid w:val="00A4699E"/>
    <w:rsid w:val="00A469DF"/>
    <w:rsid w:val="00A46ADB"/>
    <w:rsid w:val="00A46B3E"/>
    <w:rsid w:val="00A46BCC"/>
    <w:rsid w:val="00A46C8F"/>
    <w:rsid w:val="00A46C95"/>
    <w:rsid w:val="00A46C9C"/>
    <w:rsid w:val="00A46CD6"/>
    <w:rsid w:val="00A46CE5"/>
    <w:rsid w:val="00A46D05"/>
    <w:rsid w:val="00A46D2C"/>
    <w:rsid w:val="00A46D3B"/>
    <w:rsid w:val="00A46D3F"/>
    <w:rsid w:val="00A46DAC"/>
    <w:rsid w:val="00A46E1B"/>
    <w:rsid w:val="00A46E22"/>
    <w:rsid w:val="00A46E34"/>
    <w:rsid w:val="00A46ED6"/>
    <w:rsid w:val="00A46F83"/>
    <w:rsid w:val="00A46F86"/>
    <w:rsid w:val="00A470C8"/>
    <w:rsid w:val="00A4710C"/>
    <w:rsid w:val="00A4716C"/>
    <w:rsid w:val="00A472D5"/>
    <w:rsid w:val="00A473FC"/>
    <w:rsid w:val="00A4743C"/>
    <w:rsid w:val="00A47671"/>
    <w:rsid w:val="00A477CA"/>
    <w:rsid w:val="00A4781A"/>
    <w:rsid w:val="00A47A54"/>
    <w:rsid w:val="00A47C28"/>
    <w:rsid w:val="00A47CA4"/>
    <w:rsid w:val="00A47D4D"/>
    <w:rsid w:val="00A47E1D"/>
    <w:rsid w:val="00A47E27"/>
    <w:rsid w:val="00A47E68"/>
    <w:rsid w:val="00A47F40"/>
    <w:rsid w:val="00A50078"/>
    <w:rsid w:val="00A50396"/>
    <w:rsid w:val="00A50505"/>
    <w:rsid w:val="00A50723"/>
    <w:rsid w:val="00A5076C"/>
    <w:rsid w:val="00A5085A"/>
    <w:rsid w:val="00A508EE"/>
    <w:rsid w:val="00A509CC"/>
    <w:rsid w:val="00A50C9A"/>
    <w:rsid w:val="00A50D29"/>
    <w:rsid w:val="00A50E50"/>
    <w:rsid w:val="00A50FDC"/>
    <w:rsid w:val="00A5105F"/>
    <w:rsid w:val="00A5114C"/>
    <w:rsid w:val="00A51170"/>
    <w:rsid w:val="00A5119D"/>
    <w:rsid w:val="00A511DB"/>
    <w:rsid w:val="00A5122B"/>
    <w:rsid w:val="00A5129D"/>
    <w:rsid w:val="00A51495"/>
    <w:rsid w:val="00A5169B"/>
    <w:rsid w:val="00A51BF7"/>
    <w:rsid w:val="00A51C7B"/>
    <w:rsid w:val="00A51E49"/>
    <w:rsid w:val="00A51E79"/>
    <w:rsid w:val="00A520FC"/>
    <w:rsid w:val="00A52104"/>
    <w:rsid w:val="00A5212E"/>
    <w:rsid w:val="00A52157"/>
    <w:rsid w:val="00A52169"/>
    <w:rsid w:val="00A522A9"/>
    <w:rsid w:val="00A52348"/>
    <w:rsid w:val="00A52431"/>
    <w:rsid w:val="00A52452"/>
    <w:rsid w:val="00A524F0"/>
    <w:rsid w:val="00A52580"/>
    <w:rsid w:val="00A525B9"/>
    <w:rsid w:val="00A52661"/>
    <w:rsid w:val="00A52851"/>
    <w:rsid w:val="00A52883"/>
    <w:rsid w:val="00A52918"/>
    <w:rsid w:val="00A5298A"/>
    <w:rsid w:val="00A52D13"/>
    <w:rsid w:val="00A52DBA"/>
    <w:rsid w:val="00A52F1C"/>
    <w:rsid w:val="00A5329D"/>
    <w:rsid w:val="00A534F2"/>
    <w:rsid w:val="00A53535"/>
    <w:rsid w:val="00A5358A"/>
    <w:rsid w:val="00A535E3"/>
    <w:rsid w:val="00A535F1"/>
    <w:rsid w:val="00A53721"/>
    <w:rsid w:val="00A5381C"/>
    <w:rsid w:val="00A539A4"/>
    <w:rsid w:val="00A53AB2"/>
    <w:rsid w:val="00A53AF2"/>
    <w:rsid w:val="00A53B8D"/>
    <w:rsid w:val="00A53C68"/>
    <w:rsid w:val="00A53CC0"/>
    <w:rsid w:val="00A53E56"/>
    <w:rsid w:val="00A53E87"/>
    <w:rsid w:val="00A53FD9"/>
    <w:rsid w:val="00A54041"/>
    <w:rsid w:val="00A543A5"/>
    <w:rsid w:val="00A543D6"/>
    <w:rsid w:val="00A54431"/>
    <w:rsid w:val="00A5448B"/>
    <w:rsid w:val="00A54496"/>
    <w:rsid w:val="00A544F6"/>
    <w:rsid w:val="00A5461C"/>
    <w:rsid w:val="00A5466C"/>
    <w:rsid w:val="00A54754"/>
    <w:rsid w:val="00A54941"/>
    <w:rsid w:val="00A549E5"/>
    <w:rsid w:val="00A54A15"/>
    <w:rsid w:val="00A54AB6"/>
    <w:rsid w:val="00A54B2D"/>
    <w:rsid w:val="00A54DA9"/>
    <w:rsid w:val="00A54E1F"/>
    <w:rsid w:val="00A54E57"/>
    <w:rsid w:val="00A54EC9"/>
    <w:rsid w:val="00A54EE3"/>
    <w:rsid w:val="00A54FF7"/>
    <w:rsid w:val="00A55150"/>
    <w:rsid w:val="00A55173"/>
    <w:rsid w:val="00A5519C"/>
    <w:rsid w:val="00A5531B"/>
    <w:rsid w:val="00A553E4"/>
    <w:rsid w:val="00A55594"/>
    <w:rsid w:val="00A555B9"/>
    <w:rsid w:val="00A55675"/>
    <w:rsid w:val="00A55692"/>
    <w:rsid w:val="00A55770"/>
    <w:rsid w:val="00A557A2"/>
    <w:rsid w:val="00A558A4"/>
    <w:rsid w:val="00A55926"/>
    <w:rsid w:val="00A5592B"/>
    <w:rsid w:val="00A559AC"/>
    <w:rsid w:val="00A559FA"/>
    <w:rsid w:val="00A55A12"/>
    <w:rsid w:val="00A55A1E"/>
    <w:rsid w:val="00A55AEF"/>
    <w:rsid w:val="00A55B34"/>
    <w:rsid w:val="00A55F70"/>
    <w:rsid w:val="00A56032"/>
    <w:rsid w:val="00A5621B"/>
    <w:rsid w:val="00A5628F"/>
    <w:rsid w:val="00A5633C"/>
    <w:rsid w:val="00A564AD"/>
    <w:rsid w:val="00A564CB"/>
    <w:rsid w:val="00A56866"/>
    <w:rsid w:val="00A56928"/>
    <w:rsid w:val="00A56D14"/>
    <w:rsid w:val="00A56D26"/>
    <w:rsid w:val="00A56E5F"/>
    <w:rsid w:val="00A56FB2"/>
    <w:rsid w:val="00A56FC9"/>
    <w:rsid w:val="00A57021"/>
    <w:rsid w:val="00A570B7"/>
    <w:rsid w:val="00A57160"/>
    <w:rsid w:val="00A571B6"/>
    <w:rsid w:val="00A571BB"/>
    <w:rsid w:val="00A57428"/>
    <w:rsid w:val="00A574D1"/>
    <w:rsid w:val="00A57540"/>
    <w:rsid w:val="00A57579"/>
    <w:rsid w:val="00A57A9F"/>
    <w:rsid w:val="00A57AD5"/>
    <w:rsid w:val="00A57AEF"/>
    <w:rsid w:val="00A57BAB"/>
    <w:rsid w:val="00A57C2B"/>
    <w:rsid w:val="00A57C36"/>
    <w:rsid w:val="00A57D4F"/>
    <w:rsid w:val="00A57EED"/>
    <w:rsid w:val="00A57F3C"/>
    <w:rsid w:val="00A57F89"/>
    <w:rsid w:val="00A57FF1"/>
    <w:rsid w:val="00A60078"/>
    <w:rsid w:val="00A600C7"/>
    <w:rsid w:val="00A600CA"/>
    <w:rsid w:val="00A601B1"/>
    <w:rsid w:val="00A60331"/>
    <w:rsid w:val="00A60341"/>
    <w:rsid w:val="00A6048D"/>
    <w:rsid w:val="00A6049B"/>
    <w:rsid w:val="00A6052D"/>
    <w:rsid w:val="00A60557"/>
    <w:rsid w:val="00A60595"/>
    <w:rsid w:val="00A605AC"/>
    <w:rsid w:val="00A60774"/>
    <w:rsid w:val="00A607CA"/>
    <w:rsid w:val="00A60806"/>
    <w:rsid w:val="00A60986"/>
    <w:rsid w:val="00A609DC"/>
    <w:rsid w:val="00A60AD4"/>
    <w:rsid w:val="00A60BBC"/>
    <w:rsid w:val="00A60CE8"/>
    <w:rsid w:val="00A60E00"/>
    <w:rsid w:val="00A60F22"/>
    <w:rsid w:val="00A6125E"/>
    <w:rsid w:val="00A6131F"/>
    <w:rsid w:val="00A614F7"/>
    <w:rsid w:val="00A6152D"/>
    <w:rsid w:val="00A61567"/>
    <w:rsid w:val="00A6156B"/>
    <w:rsid w:val="00A615C8"/>
    <w:rsid w:val="00A616EE"/>
    <w:rsid w:val="00A61721"/>
    <w:rsid w:val="00A61864"/>
    <w:rsid w:val="00A619FB"/>
    <w:rsid w:val="00A61B6F"/>
    <w:rsid w:val="00A61C0D"/>
    <w:rsid w:val="00A61C97"/>
    <w:rsid w:val="00A61E89"/>
    <w:rsid w:val="00A61F23"/>
    <w:rsid w:val="00A6200B"/>
    <w:rsid w:val="00A620BA"/>
    <w:rsid w:val="00A6218E"/>
    <w:rsid w:val="00A62362"/>
    <w:rsid w:val="00A623D8"/>
    <w:rsid w:val="00A625B8"/>
    <w:rsid w:val="00A6260E"/>
    <w:rsid w:val="00A626C7"/>
    <w:rsid w:val="00A62791"/>
    <w:rsid w:val="00A627C2"/>
    <w:rsid w:val="00A62806"/>
    <w:rsid w:val="00A628CB"/>
    <w:rsid w:val="00A62B03"/>
    <w:rsid w:val="00A62B30"/>
    <w:rsid w:val="00A62D15"/>
    <w:rsid w:val="00A62D86"/>
    <w:rsid w:val="00A62DEC"/>
    <w:rsid w:val="00A62DFA"/>
    <w:rsid w:val="00A62E62"/>
    <w:rsid w:val="00A62E7F"/>
    <w:rsid w:val="00A62FB7"/>
    <w:rsid w:val="00A630FE"/>
    <w:rsid w:val="00A631D4"/>
    <w:rsid w:val="00A633FD"/>
    <w:rsid w:val="00A634E6"/>
    <w:rsid w:val="00A634EB"/>
    <w:rsid w:val="00A6354A"/>
    <w:rsid w:val="00A63676"/>
    <w:rsid w:val="00A63683"/>
    <w:rsid w:val="00A6374F"/>
    <w:rsid w:val="00A63838"/>
    <w:rsid w:val="00A6397B"/>
    <w:rsid w:val="00A639D2"/>
    <w:rsid w:val="00A63BD6"/>
    <w:rsid w:val="00A63D75"/>
    <w:rsid w:val="00A63E54"/>
    <w:rsid w:val="00A63EB7"/>
    <w:rsid w:val="00A63F65"/>
    <w:rsid w:val="00A63FA1"/>
    <w:rsid w:val="00A64008"/>
    <w:rsid w:val="00A6409C"/>
    <w:rsid w:val="00A6424D"/>
    <w:rsid w:val="00A64442"/>
    <w:rsid w:val="00A644CF"/>
    <w:rsid w:val="00A645A7"/>
    <w:rsid w:val="00A64670"/>
    <w:rsid w:val="00A64721"/>
    <w:rsid w:val="00A6493F"/>
    <w:rsid w:val="00A64B0D"/>
    <w:rsid w:val="00A64B81"/>
    <w:rsid w:val="00A64D24"/>
    <w:rsid w:val="00A64D4E"/>
    <w:rsid w:val="00A64DDA"/>
    <w:rsid w:val="00A64E57"/>
    <w:rsid w:val="00A64F13"/>
    <w:rsid w:val="00A64F55"/>
    <w:rsid w:val="00A651B6"/>
    <w:rsid w:val="00A65223"/>
    <w:rsid w:val="00A65403"/>
    <w:rsid w:val="00A65443"/>
    <w:rsid w:val="00A65502"/>
    <w:rsid w:val="00A6550F"/>
    <w:rsid w:val="00A655F0"/>
    <w:rsid w:val="00A6566B"/>
    <w:rsid w:val="00A65709"/>
    <w:rsid w:val="00A65798"/>
    <w:rsid w:val="00A657E5"/>
    <w:rsid w:val="00A6584B"/>
    <w:rsid w:val="00A65A70"/>
    <w:rsid w:val="00A65ADC"/>
    <w:rsid w:val="00A65B93"/>
    <w:rsid w:val="00A65BBC"/>
    <w:rsid w:val="00A65D7F"/>
    <w:rsid w:val="00A65D8F"/>
    <w:rsid w:val="00A65E01"/>
    <w:rsid w:val="00A65FF7"/>
    <w:rsid w:val="00A66073"/>
    <w:rsid w:val="00A66267"/>
    <w:rsid w:val="00A662F1"/>
    <w:rsid w:val="00A66563"/>
    <w:rsid w:val="00A66624"/>
    <w:rsid w:val="00A667E4"/>
    <w:rsid w:val="00A6681D"/>
    <w:rsid w:val="00A668B7"/>
    <w:rsid w:val="00A6699E"/>
    <w:rsid w:val="00A66C63"/>
    <w:rsid w:val="00A66CD2"/>
    <w:rsid w:val="00A66F50"/>
    <w:rsid w:val="00A6703E"/>
    <w:rsid w:val="00A672F3"/>
    <w:rsid w:val="00A67431"/>
    <w:rsid w:val="00A67461"/>
    <w:rsid w:val="00A675DE"/>
    <w:rsid w:val="00A6765D"/>
    <w:rsid w:val="00A676D7"/>
    <w:rsid w:val="00A6771E"/>
    <w:rsid w:val="00A67813"/>
    <w:rsid w:val="00A67A08"/>
    <w:rsid w:val="00A67A27"/>
    <w:rsid w:val="00A67A66"/>
    <w:rsid w:val="00A67AF5"/>
    <w:rsid w:val="00A67B58"/>
    <w:rsid w:val="00A67BC7"/>
    <w:rsid w:val="00A67BF1"/>
    <w:rsid w:val="00A67CC8"/>
    <w:rsid w:val="00A67D35"/>
    <w:rsid w:val="00A67E55"/>
    <w:rsid w:val="00A67E6F"/>
    <w:rsid w:val="00A67EF2"/>
    <w:rsid w:val="00A70017"/>
    <w:rsid w:val="00A700A1"/>
    <w:rsid w:val="00A700E7"/>
    <w:rsid w:val="00A701A6"/>
    <w:rsid w:val="00A701FD"/>
    <w:rsid w:val="00A7029B"/>
    <w:rsid w:val="00A704C2"/>
    <w:rsid w:val="00A705D1"/>
    <w:rsid w:val="00A70641"/>
    <w:rsid w:val="00A706C1"/>
    <w:rsid w:val="00A70714"/>
    <w:rsid w:val="00A70737"/>
    <w:rsid w:val="00A70897"/>
    <w:rsid w:val="00A708E2"/>
    <w:rsid w:val="00A70A9A"/>
    <w:rsid w:val="00A70AB6"/>
    <w:rsid w:val="00A70B81"/>
    <w:rsid w:val="00A70C03"/>
    <w:rsid w:val="00A70C0E"/>
    <w:rsid w:val="00A70C1C"/>
    <w:rsid w:val="00A70C7F"/>
    <w:rsid w:val="00A70C99"/>
    <w:rsid w:val="00A70C9C"/>
    <w:rsid w:val="00A70D9D"/>
    <w:rsid w:val="00A70E12"/>
    <w:rsid w:val="00A70EBD"/>
    <w:rsid w:val="00A70F90"/>
    <w:rsid w:val="00A7106B"/>
    <w:rsid w:val="00A711E5"/>
    <w:rsid w:val="00A7125D"/>
    <w:rsid w:val="00A71581"/>
    <w:rsid w:val="00A71782"/>
    <w:rsid w:val="00A718DE"/>
    <w:rsid w:val="00A71966"/>
    <w:rsid w:val="00A71ABB"/>
    <w:rsid w:val="00A71B82"/>
    <w:rsid w:val="00A71BC4"/>
    <w:rsid w:val="00A71E80"/>
    <w:rsid w:val="00A71F62"/>
    <w:rsid w:val="00A71FDC"/>
    <w:rsid w:val="00A72006"/>
    <w:rsid w:val="00A7208A"/>
    <w:rsid w:val="00A722AD"/>
    <w:rsid w:val="00A722C3"/>
    <w:rsid w:val="00A7232A"/>
    <w:rsid w:val="00A7259F"/>
    <w:rsid w:val="00A7262C"/>
    <w:rsid w:val="00A72653"/>
    <w:rsid w:val="00A72715"/>
    <w:rsid w:val="00A72751"/>
    <w:rsid w:val="00A727D7"/>
    <w:rsid w:val="00A72850"/>
    <w:rsid w:val="00A72AB9"/>
    <w:rsid w:val="00A72C57"/>
    <w:rsid w:val="00A72C99"/>
    <w:rsid w:val="00A72CA4"/>
    <w:rsid w:val="00A72D27"/>
    <w:rsid w:val="00A72DAF"/>
    <w:rsid w:val="00A72E7C"/>
    <w:rsid w:val="00A72F29"/>
    <w:rsid w:val="00A73176"/>
    <w:rsid w:val="00A7317C"/>
    <w:rsid w:val="00A7317E"/>
    <w:rsid w:val="00A7318E"/>
    <w:rsid w:val="00A73216"/>
    <w:rsid w:val="00A7330D"/>
    <w:rsid w:val="00A73335"/>
    <w:rsid w:val="00A735DD"/>
    <w:rsid w:val="00A73628"/>
    <w:rsid w:val="00A73655"/>
    <w:rsid w:val="00A73667"/>
    <w:rsid w:val="00A736FE"/>
    <w:rsid w:val="00A73747"/>
    <w:rsid w:val="00A73811"/>
    <w:rsid w:val="00A738FD"/>
    <w:rsid w:val="00A73A72"/>
    <w:rsid w:val="00A73A7C"/>
    <w:rsid w:val="00A73B16"/>
    <w:rsid w:val="00A73C05"/>
    <w:rsid w:val="00A73C31"/>
    <w:rsid w:val="00A73C4D"/>
    <w:rsid w:val="00A73D97"/>
    <w:rsid w:val="00A73DAC"/>
    <w:rsid w:val="00A74049"/>
    <w:rsid w:val="00A7410F"/>
    <w:rsid w:val="00A74379"/>
    <w:rsid w:val="00A744B2"/>
    <w:rsid w:val="00A74529"/>
    <w:rsid w:val="00A746D9"/>
    <w:rsid w:val="00A746E9"/>
    <w:rsid w:val="00A7480D"/>
    <w:rsid w:val="00A74831"/>
    <w:rsid w:val="00A748DA"/>
    <w:rsid w:val="00A74B27"/>
    <w:rsid w:val="00A74BB2"/>
    <w:rsid w:val="00A74C50"/>
    <w:rsid w:val="00A74DAC"/>
    <w:rsid w:val="00A74E31"/>
    <w:rsid w:val="00A74FC1"/>
    <w:rsid w:val="00A750F6"/>
    <w:rsid w:val="00A7512A"/>
    <w:rsid w:val="00A7512F"/>
    <w:rsid w:val="00A7523B"/>
    <w:rsid w:val="00A7539E"/>
    <w:rsid w:val="00A7545B"/>
    <w:rsid w:val="00A7545D"/>
    <w:rsid w:val="00A754D0"/>
    <w:rsid w:val="00A754FA"/>
    <w:rsid w:val="00A75995"/>
    <w:rsid w:val="00A759FA"/>
    <w:rsid w:val="00A75A05"/>
    <w:rsid w:val="00A75AEE"/>
    <w:rsid w:val="00A75BAB"/>
    <w:rsid w:val="00A75DEC"/>
    <w:rsid w:val="00A75F94"/>
    <w:rsid w:val="00A75FB5"/>
    <w:rsid w:val="00A75FE3"/>
    <w:rsid w:val="00A76010"/>
    <w:rsid w:val="00A76059"/>
    <w:rsid w:val="00A7628B"/>
    <w:rsid w:val="00A762EE"/>
    <w:rsid w:val="00A7637B"/>
    <w:rsid w:val="00A7641F"/>
    <w:rsid w:val="00A764EF"/>
    <w:rsid w:val="00A765F2"/>
    <w:rsid w:val="00A7661F"/>
    <w:rsid w:val="00A7664F"/>
    <w:rsid w:val="00A7696F"/>
    <w:rsid w:val="00A7698E"/>
    <w:rsid w:val="00A76BAB"/>
    <w:rsid w:val="00A76D44"/>
    <w:rsid w:val="00A76D65"/>
    <w:rsid w:val="00A76F23"/>
    <w:rsid w:val="00A76F66"/>
    <w:rsid w:val="00A76F6F"/>
    <w:rsid w:val="00A77035"/>
    <w:rsid w:val="00A77125"/>
    <w:rsid w:val="00A77285"/>
    <w:rsid w:val="00A7747E"/>
    <w:rsid w:val="00A77612"/>
    <w:rsid w:val="00A77662"/>
    <w:rsid w:val="00A778B7"/>
    <w:rsid w:val="00A778F5"/>
    <w:rsid w:val="00A778F9"/>
    <w:rsid w:val="00A77972"/>
    <w:rsid w:val="00A77A5B"/>
    <w:rsid w:val="00A77A79"/>
    <w:rsid w:val="00A77A80"/>
    <w:rsid w:val="00A77E00"/>
    <w:rsid w:val="00A77F94"/>
    <w:rsid w:val="00A8000F"/>
    <w:rsid w:val="00A8006C"/>
    <w:rsid w:val="00A80297"/>
    <w:rsid w:val="00A802CC"/>
    <w:rsid w:val="00A80440"/>
    <w:rsid w:val="00A80728"/>
    <w:rsid w:val="00A807AB"/>
    <w:rsid w:val="00A8085A"/>
    <w:rsid w:val="00A80AD1"/>
    <w:rsid w:val="00A80C28"/>
    <w:rsid w:val="00A81113"/>
    <w:rsid w:val="00A81200"/>
    <w:rsid w:val="00A81512"/>
    <w:rsid w:val="00A8154D"/>
    <w:rsid w:val="00A81B41"/>
    <w:rsid w:val="00A81BFB"/>
    <w:rsid w:val="00A81C12"/>
    <w:rsid w:val="00A81C3F"/>
    <w:rsid w:val="00A81D4F"/>
    <w:rsid w:val="00A81D9A"/>
    <w:rsid w:val="00A820E6"/>
    <w:rsid w:val="00A8216A"/>
    <w:rsid w:val="00A82178"/>
    <w:rsid w:val="00A82226"/>
    <w:rsid w:val="00A8231B"/>
    <w:rsid w:val="00A82361"/>
    <w:rsid w:val="00A8244E"/>
    <w:rsid w:val="00A828A0"/>
    <w:rsid w:val="00A82955"/>
    <w:rsid w:val="00A829FF"/>
    <w:rsid w:val="00A82ABA"/>
    <w:rsid w:val="00A82C19"/>
    <w:rsid w:val="00A82C80"/>
    <w:rsid w:val="00A82CCD"/>
    <w:rsid w:val="00A82D51"/>
    <w:rsid w:val="00A82DBD"/>
    <w:rsid w:val="00A8359B"/>
    <w:rsid w:val="00A83659"/>
    <w:rsid w:val="00A83693"/>
    <w:rsid w:val="00A83874"/>
    <w:rsid w:val="00A8397D"/>
    <w:rsid w:val="00A83BDD"/>
    <w:rsid w:val="00A83BEB"/>
    <w:rsid w:val="00A83DBA"/>
    <w:rsid w:val="00A83EAB"/>
    <w:rsid w:val="00A83EF7"/>
    <w:rsid w:val="00A83F82"/>
    <w:rsid w:val="00A84210"/>
    <w:rsid w:val="00A84226"/>
    <w:rsid w:val="00A8424E"/>
    <w:rsid w:val="00A84302"/>
    <w:rsid w:val="00A84343"/>
    <w:rsid w:val="00A8442E"/>
    <w:rsid w:val="00A84516"/>
    <w:rsid w:val="00A84616"/>
    <w:rsid w:val="00A846D8"/>
    <w:rsid w:val="00A846F0"/>
    <w:rsid w:val="00A84820"/>
    <w:rsid w:val="00A84900"/>
    <w:rsid w:val="00A84942"/>
    <w:rsid w:val="00A849E0"/>
    <w:rsid w:val="00A849F4"/>
    <w:rsid w:val="00A84A13"/>
    <w:rsid w:val="00A84AA7"/>
    <w:rsid w:val="00A84CC9"/>
    <w:rsid w:val="00A84D3A"/>
    <w:rsid w:val="00A84E43"/>
    <w:rsid w:val="00A84F3A"/>
    <w:rsid w:val="00A84F86"/>
    <w:rsid w:val="00A851E8"/>
    <w:rsid w:val="00A851F5"/>
    <w:rsid w:val="00A85314"/>
    <w:rsid w:val="00A85483"/>
    <w:rsid w:val="00A854F1"/>
    <w:rsid w:val="00A8552F"/>
    <w:rsid w:val="00A8556E"/>
    <w:rsid w:val="00A856CA"/>
    <w:rsid w:val="00A85845"/>
    <w:rsid w:val="00A858CB"/>
    <w:rsid w:val="00A85A05"/>
    <w:rsid w:val="00A85AAB"/>
    <w:rsid w:val="00A85C4D"/>
    <w:rsid w:val="00A85C91"/>
    <w:rsid w:val="00A85DAC"/>
    <w:rsid w:val="00A85ED3"/>
    <w:rsid w:val="00A85F5A"/>
    <w:rsid w:val="00A85FE0"/>
    <w:rsid w:val="00A86102"/>
    <w:rsid w:val="00A86248"/>
    <w:rsid w:val="00A86271"/>
    <w:rsid w:val="00A8633B"/>
    <w:rsid w:val="00A86363"/>
    <w:rsid w:val="00A86387"/>
    <w:rsid w:val="00A86406"/>
    <w:rsid w:val="00A864A3"/>
    <w:rsid w:val="00A86596"/>
    <w:rsid w:val="00A8662B"/>
    <w:rsid w:val="00A86679"/>
    <w:rsid w:val="00A86883"/>
    <w:rsid w:val="00A869E3"/>
    <w:rsid w:val="00A869F7"/>
    <w:rsid w:val="00A86A52"/>
    <w:rsid w:val="00A86B74"/>
    <w:rsid w:val="00A86BDF"/>
    <w:rsid w:val="00A86CB8"/>
    <w:rsid w:val="00A86E1C"/>
    <w:rsid w:val="00A86E81"/>
    <w:rsid w:val="00A87002"/>
    <w:rsid w:val="00A87090"/>
    <w:rsid w:val="00A87097"/>
    <w:rsid w:val="00A8727A"/>
    <w:rsid w:val="00A873FA"/>
    <w:rsid w:val="00A874B4"/>
    <w:rsid w:val="00A8752C"/>
    <w:rsid w:val="00A87556"/>
    <w:rsid w:val="00A8772B"/>
    <w:rsid w:val="00A877AC"/>
    <w:rsid w:val="00A879F8"/>
    <w:rsid w:val="00A87A29"/>
    <w:rsid w:val="00A87B30"/>
    <w:rsid w:val="00A87B77"/>
    <w:rsid w:val="00A87BBB"/>
    <w:rsid w:val="00A87C16"/>
    <w:rsid w:val="00A87C94"/>
    <w:rsid w:val="00A87D6E"/>
    <w:rsid w:val="00A87DA4"/>
    <w:rsid w:val="00A87DE5"/>
    <w:rsid w:val="00A87E59"/>
    <w:rsid w:val="00A87E60"/>
    <w:rsid w:val="00A87E97"/>
    <w:rsid w:val="00A8DEF7"/>
    <w:rsid w:val="00A900D4"/>
    <w:rsid w:val="00A900E2"/>
    <w:rsid w:val="00A90151"/>
    <w:rsid w:val="00A90198"/>
    <w:rsid w:val="00A90215"/>
    <w:rsid w:val="00A902AB"/>
    <w:rsid w:val="00A903D0"/>
    <w:rsid w:val="00A903E9"/>
    <w:rsid w:val="00A9049E"/>
    <w:rsid w:val="00A9053F"/>
    <w:rsid w:val="00A905D9"/>
    <w:rsid w:val="00A905F2"/>
    <w:rsid w:val="00A90899"/>
    <w:rsid w:val="00A908CC"/>
    <w:rsid w:val="00A909B3"/>
    <w:rsid w:val="00A90A41"/>
    <w:rsid w:val="00A90AB5"/>
    <w:rsid w:val="00A90C95"/>
    <w:rsid w:val="00A90D84"/>
    <w:rsid w:val="00A90E42"/>
    <w:rsid w:val="00A90EC0"/>
    <w:rsid w:val="00A90F1F"/>
    <w:rsid w:val="00A90F56"/>
    <w:rsid w:val="00A90FCC"/>
    <w:rsid w:val="00A90FDF"/>
    <w:rsid w:val="00A90FF4"/>
    <w:rsid w:val="00A91117"/>
    <w:rsid w:val="00A91154"/>
    <w:rsid w:val="00A913E0"/>
    <w:rsid w:val="00A915AD"/>
    <w:rsid w:val="00A9161D"/>
    <w:rsid w:val="00A91722"/>
    <w:rsid w:val="00A91740"/>
    <w:rsid w:val="00A91773"/>
    <w:rsid w:val="00A91807"/>
    <w:rsid w:val="00A91912"/>
    <w:rsid w:val="00A91A03"/>
    <w:rsid w:val="00A91AD3"/>
    <w:rsid w:val="00A91B37"/>
    <w:rsid w:val="00A91C3B"/>
    <w:rsid w:val="00A91E46"/>
    <w:rsid w:val="00A91E7B"/>
    <w:rsid w:val="00A91F2A"/>
    <w:rsid w:val="00A92011"/>
    <w:rsid w:val="00A921B8"/>
    <w:rsid w:val="00A923DB"/>
    <w:rsid w:val="00A923EC"/>
    <w:rsid w:val="00A923EE"/>
    <w:rsid w:val="00A924B2"/>
    <w:rsid w:val="00A92656"/>
    <w:rsid w:val="00A92657"/>
    <w:rsid w:val="00A9275A"/>
    <w:rsid w:val="00A92993"/>
    <w:rsid w:val="00A92A28"/>
    <w:rsid w:val="00A92A33"/>
    <w:rsid w:val="00A92A5C"/>
    <w:rsid w:val="00A92AE9"/>
    <w:rsid w:val="00A92C08"/>
    <w:rsid w:val="00A92C88"/>
    <w:rsid w:val="00A92C9A"/>
    <w:rsid w:val="00A92E10"/>
    <w:rsid w:val="00A92E27"/>
    <w:rsid w:val="00A92EFB"/>
    <w:rsid w:val="00A92F44"/>
    <w:rsid w:val="00A93001"/>
    <w:rsid w:val="00A9307D"/>
    <w:rsid w:val="00A930E6"/>
    <w:rsid w:val="00A93158"/>
    <w:rsid w:val="00A932BE"/>
    <w:rsid w:val="00A93570"/>
    <w:rsid w:val="00A9359B"/>
    <w:rsid w:val="00A935BB"/>
    <w:rsid w:val="00A93893"/>
    <w:rsid w:val="00A9390F"/>
    <w:rsid w:val="00A93B18"/>
    <w:rsid w:val="00A93B20"/>
    <w:rsid w:val="00A93C4F"/>
    <w:rsid w:val="00A93EB7"/>
    <w:rsid w:val="00A93EEB"/>
    <w:rsid w:val="00A9402C"/>
    <w:rsid w:val="00A94081"/>
    <w:rsid w:val="00A940C1"/>
    <w:rsid w:val="00A94119"/>
    <w:rsid w:val="00A94167"/>
    <w:rsid w:val="00A941B3"/>
    <w:rsid w:val="00A9434C"/>
    <w:rsid w:val="00A943FF"/>
    <w:rsid w:val="00A9447A"/>
    <w:rsid w:val="00A9449A"/>
    <w:rsid w:val="00A944BF"/>
    <w:rsid w:val="00A944CE"/>
    <w:rsid w:val="00A9452A"/>
    <w:rsid w:val="00A945C8"/>
    <w:rsid w:val="00A94625"/>
    <w:rsid w:val="00A946A2"/>
    <w:rsid w:val="00A946F8"/>
    <w:rsid w:val="00A94731"/>
    <w:rsid w:val="00A948EE"/>
    <w:rsid w:val="00A9495E"/>
    <w:rsid w:val="00A94A88"/>
    <w:rsid w:val="00A94AC6"/>
    <w:rsid w:val="00A94ACA"/>
    <w:rsid w:val="00A94C02"/>
    <w:rsid w:val="00A94C95"/>
    <w:rsid w:val="00A94D02"/>
    <w:rsid w:val="00A94E28"/>
    <w:rsid w:val="00A94E6C"/>
    <w:rsid w:val="00A94ED9"/>
    <w:rsid w:val="00A94F08"/>
    <w:rsid w:val="00A94F81"/>
    <w:rsid w:val="00A950D4"/>
    <w:rsid w:val="00A9518B"/>
    <w:rsid w:val="00A95212"/>
    <w:rsid w:val="00A953F0"/>
    <w:rsid w:val="00A95437"/>
    <w:rsid w:val="00A9544F"/>
    <w:rsid w:val="00A9555A"/>
    <w:rsid w:val="00A95604"/>
    <w:rsid w:val="00A956F5"/>
    <w:rsid w:val="00A95839"/>
    <w:rsid w:val="00A9587C"/>
    <w:rsid w:val="00A958FE"/>
    <w:rsid w:val="00A9593C"/>
    <w:rsid w:val="00A95A9B"/>
    <w:rsid w:val="00A95AFE"/>
    <w:rsid w:val="00A95B43"/>
    <w:rsid w:val="00A95B6D"/>
    <w:rsid w:val="00A95C18"/>
    <w:rsid w:val="00A95DA2"/>
    <w:rsid w:val="00A96075"/>
    <w:rsid w:val="00A96147"/>
    <w:rsid w:val="00A96159"/>
    <w:rsid w:val="00A961D3"/>
    <w:rsid w:val="00A961DC"/>
    <w:rsid w:val="00A961E4"/>
    <w:rsid w:val="00A96206"/>
    <w:rsid w:val="00A9632C"/>
    <w:rsid w:val="00A964F1"/>
    <w:rsid w:val="00A9653D"/>
    <w:rsid w:val="00A9655A"/>
    <w:rsid w:val="00A965D9"/>
    <w:rsid w:val="00A96622"/>
    <w:rsid w:val="00A9673B"/>
    <w:rsid w:val="00A9693B"/>
    <w:rsid w:val="00A96AC8"/>
    <w:rsid w:val="00A96B0B"/>
    <w:rsid w:val="00A96BD5"/>
    <w:rsid w:val="00A96BDB"/>
    <w:rsid w:val="00A96D20"/>
    <w:rsid w:val="00A96D4D"/>
    <w:rsid w:val="00A96D9E"/>
    <w:rsid w:val="00A96DED"/>
    <w:rsid w:val="00A96E69"/>
    <w:rsid w:val="00A96FB8"/>
    <w:rsid w:val="00A9702F"/>
    <w:rsid w:val="00A9729C"/>
    <w:rsid w:val="00A972F5"/>
    <w:rsid w:val="00A9730E"/>
    <w:rsid w:val="00A973F9"/>
    <w:rsid w:val="00A974D1"/>
    <w:rsid w:val="00A97757"/>
    <w:rsid w:val="00A9777B"/>
    <w:rsid w:val="00A977E1"/>
    <w:rsid w:val="00A9783D"/>
    <w:rsid w:val="00A97BFB"/>
    <w:rsid w:val="00A97E49"/>
    <w:rsid w:val="00A97E70"/>
    <w:rsid w:val="00A97F05"/>
    <w:rsid w:val="00A9A1A3"/>
    <w:rsid w:val="00A9A5F5"/>
    <w:rsid w:val="00AA0162"/>
    <w:rsid w:val="00AA018A"/>
    <w:rsid w:val="00AA02D2"/>
    <w:rsid w:val="00AA0303"/>
    <w:rsid w:val="00AA0376"/>
    <w:rsid w:val="00AA03E0"/>
    <w:rsid w:val="00AA044B"/>
    <w:rsid w:val="00AA054C"/>
    <w:rsid w:val="00AA0657"/>
    <w:rsid w:val="00AA06AB"/>
    <w:rsid w:val="00AA06AD"/>
    <w:rsid w:val="00AA06C3"/>
    <w:rsid w:val="00AA07DD"/>
    <w:rsid w:val="00AA08E9"/>
    <w:rsid w:val="00AA095B"/>
    <w:rsid w:val="00AA095E"/>
    <w:rsid w:val="00AA0A25"/>
    <w:rsid w:val="00AA0BBB"/>
    <w:rsid w:val="00AA0BD9"/>
    <w:rsid w:val="00AA0F8D"/>
    <w:rsid w:val="00AA1083"/>
    <w:rsid w:val="00AA10D6"/>
    <w:rsid w:val="00AA12DF"/>
    <w:rsid w:val="00AA12EA"/>
    <w:rsid w:val="00AA14B3"/>
    <w:rsid w:val="00AA1561"/>
    <w:rsid w:val="00AA1562"/>
    <w:rsid w:val="00AA15E7"/>
    <w:rsid w:val="00AA163B"/>
    <w:rsid w:val="00AA1805"/>
    <w:rsid w:val="00AA1922"/>
    <w:rsid w:val="00AA19BD"/>
    <w:rsid w:val="00AA1A0A"/>
    <w:rsid w:val="00AA1A14"/>
    <w:rsid w:val="00AA1B91"/>
    <w:rsid w:val="00AA1BB5"/>
    <w:rsid w:val="00AA1C0E"/>
    <w:rsid w:val="00AA1C5A"/>
    <w:rsid w:val="00AA1C5D"/>
    <w:rsid w:val="00AA1C75"/>
    <w:rsid w:val="00AA1D37"/>
    <w:rsid w:val="00AA1E04"/>
    <w:rsid w:val="00AA1E2B"/>
    <w:rsid w:val="00AA1E40"/>
    <w:rsid w:val="00AA1E9F"/>
    <w:rsid w:val="00AA20E0"/>
    <w:rsid w:val="00AA21E2"/>
    <w:rsid w:val="00AA225C"/>
    <w:rsid w:val="00AA22DB"/>
    <w:rsid w:val="00AA22F9"/>
    <w:rsid w:val="00AA238A"/>
    <w:rsid w:val="00AA2576"/>
    <w:rsid w:val="00AA2655"/>
    <w:rsid w:val="00AA2674"/>
    <w:rsid w:val="00AA26F4"/>
    <w:rsid w:val="00AA27A5"/>
    <w:rsid w:val="00AA2871"/>
    <w:rsid w:val="00AA287C"/>
    <w:rsid w:val="00AA2A92"/>
    <w:rsid w:val="00AA2AE2"/>
    <w:rsid w:val="00AA2B33"/>
    <w:rsid w:val="00AA2E0F"/>
    <w:rsid w:val="00AA2E18"/>
    <w:rsid w:val="00AA2E40"/>
    <w:rsid w:val="00AA2F78"/>
    <w:rsid w:val="00AA300A"/>
    <w:rsid w:val="00AA31F7"/>
    <w:rsid w:val="00AA336E"/>
    <w:rsid w:val="00AA33AD"/>
    <w:rsid w:val="00AA33E2"/>
    <w:rsid w:val="00AA33FF"/>
    <w:rsid w:val="00AA344B"/>
    <w:rsid w:val="00AA3591"/>
    <w:rsid w:val="00AA359E"/>
    <w:rsid w:val="00AA35EF"/>
    <w:rsid w:val="00AA3688"/>
    <w:rsid w:val="00AA38B6"/>
    <w:rsid w:val="00AA38E1"/>
    <w:rsid w:val="00AA38F7"/>
    <w:rsid w:val="00AA3936"/>
    <w:rsid w:val="00AA3A7A"/>
    <w:rsid w:val="00AA3AC4"/>
    <w:rsid w:val="00AA3B4B"/>
    <w:rsid w:val="00AA3BE0"/>
    <w:rsid w:val="00AA3C61"/>
    <w:rsid w:val="00AA3C98"/>
    <w:rsid w:val="00AA3CAA"/>
    <w:rsid w:val="00AA3D34"/>
    <w:rsid w:val="00AA3DA0"/>
    <w:rsid w:val="00AA3EF0"/>
    <w:rsid w:val="00AA40EE"/>
    <w:rsid w:val="00AA4310"/>
    <w:rsid w:val="00AA43EC"/>
    <w:rsid w:val="00AA4410"/>
    <w:rsid w:val="00AA4589"/>
    <w:rsid w:val="00AA4639"/>
    <w:rsid w:val="00AA4751"/>
    <w:rsid w:val="00AA4781"/>
    <w:rsid w:val="00AA48BE"/>
    <w:rsid w:val="00AA49E9"/>
    <w:rsid w:val="00AA4A12"/>
    <w:rsid w:val="00AA4B6D"/>
    <w:rsid w:val="00AA4C45"/>
    <w:rsid w:val="00AA4C4D"/>
    <w:rsid w:val="00AA4C88"/>
    <w:rsid w:val="00AA4CC3"/>
    <w:rsid w:val="00AA4DC9"/>
    <w:rsid w:val="00AA4E30"/>
    <w:rsid w:val="00AA4FF1"/>
    <w:rsid w:val="00AA5001"/>
    <w:rsid w:val="00AA5017"/>
    <w:rsid w:val="00AA506E"/>
    <w:rsid w:val="00AA5099"/>
    <w:rsid w:val="00AA521F"/>
    <w:rsid w:val="00AA5338"/>
    <w:rsid w:val="00AA540D"/>
    <w:rsid w:val="00AA5480"/>
    <w:rsid w:val="00AA5489"/>
    <w:rsid w:val="00AA5520"/>
    <w:rsid w:val="00AA56FF"/>
    <w:rsid w:val="00AA5707"/>
    <w:rsid w:val="00AA5784"/>
    <w:rsid w:val="00AA578C"/>
    <w:rsid w:val="00AA5AB2"/>
    <w:rsid w:val="00AA5AC2"/>
    <w:rsid w:val="00AA5B1F"/>
    <w:rsid w:val="00AA5C43"/>
    <w:rsid w:val="00AA5D33"/>
    <w:rsid w:val="00AA5E33"/>
    <w:rsid w:val="00AA5E4C"/>
    <w:rsid w:val="00AA5EE6"/>
    <w:rsid w:val="00AA6058"/>
    <w:rsid w:val="00AA60A1"/>
    <w:rsid w:val="00AA61ED"/>
    <w:rsid w:val="00AA61F9"/>
    <w:rsid w:val="00AA6233"/>
    <w:rsid w:val="00AA623C"/>
    <w:rsid w:val="00AA63B0"/>
    <w:rsid w:val="00AA6437"/>
    <w:rsid w:val="00AA64A3"/>
    <w:rsid w:val="00AA65FB"/>
    <w:rsid w:val="00AA6641"/>
    <w:rsid w:val="00AA6655"/>
    <w:rsid w:val="00AA6771"/>
    <w:rsid w:val="00AA67EC"/>
    <w:rsid w:val="00AA6822"/>
    <w:rsid w:val="00AA6910"/>
    <w:rsid w:val="00AA6ACB"/>
    <w:rsid w:val="00AA6B44"/>
    <w:rsid w:val="00AA6BD8"/>
    <w:rsid w:val="00AA6C92"/>
    <w:rsid w:val="00AA6D95"/>
    <w:rsid w:val="00AA6E3B"/>
    <w:rsid w:val="00AA6EE3"/>
    <w:rsid w:val="00AA6F11"/>
    <w:rsid w:val="00AA6F7D"/>
    <w:rsid w:val="00AA715C"/>
    <w:rsid w:val="00AA72B5"/>
    <w:rsid w:val="00AA72BC"/>
    <w:rsid w:val="00AA73A3"/>
    <w:rsid w:val="00AA73E2"/>
    <w:rsid w:val="00AA743B"/>
    <w:rsid w:val="00AA75E0"/>
    <w:rsid w:val="00AA76DD"/>
    <w:rsid w:val="00AA77BF"/>
    <w:rsid w:val="00AA7902"/>
    <w:rsid w:val="00AA79BD"/>
    <w:rsid w:val="00AA7AAD"/>
    <w:rsid w:val="00AA7BF3"/>
    <w:rsid w:val="00AA7C39"/>
    <w:rsid w:val="00AA7C74"/>
    <w:rsid w:val="00AA7CD7"/>
    <w:rsid w:val="00AA7D03"/>
    <w:rsid w:val="00AA7EB1"/>
    <w:rsid w:val="00AA7ECE"/>
    <w:rsid w:val="00AA7F3D"/>
    <w:rsid w:val="00AB01E0"/>
    <w:rsid w:val="00AB0551"/>
    <w:rsid w:val="00AB055C"/>
    <w:rsid w:val="00AB0614"/>
    <w:rsid w:val="00AB0740"/>
    <w:rsid w:val="00AB0855"/>
    <w:rsid w:val="00AB088A"/>
    <w:rsid w:val="00AB09B6"/>
    <w:rsid w:val="00AB0A4F"/>
    <w:rsid w:val="00AB0A83"/>
    <w:rsid w:val="00AB0B17"/>
    <w:rsid w:val="00AB0B93"/>
    <w:rsid w:val="00AB0C08"/>
    <w:rsid w:val="00AB0E9C"/>
    <w:rsid w:val="00AB0EBA"/>
    <w:rsid w:val="00AB0F07"/>
    <w:rsid w:val="00AB1174"/>
    <w:rsid w:val="00AB127F"/>
    <w:rsid w:val="00AB12CA"/>
    <w:rsid w:val="00AB133A"/>
    <w:rsid w:val="00AB13D7"/>
    <w:rsid w:val="00AB13EE"/>
    <w:rsid w:val="00AB1730"/>
    <w:rsid w:val="00AB1969"/>
    <w:rsid w:val="00AB19C0"/>
    <w:rsid w:val="00AB19E8"/>
    <w:rsid w:val="00AB1A00"/>
    <w:rsid w:val="00AB1A3E"/>
    <w:rsid w:val="00AB1A92"/>
    <w:rsid w:val="00AB1B10"/>
    <w:rsid w:val="00AB1D7D"/>
    <w:rsid w:val="00AB1D99"/>
    <w:rsid w:val="00AB1EDF"/>
    <w:rsid w:val="00AB20E6"/>
    <w:rsid w:val="00AB21CC"/>
    <w:rsid w:val="00AB221D"/>
    <w:rsid w:val="00AB222F"/>
    <w:rsid w:val="00AB24AE"/>
    <w:rsid w:val="00AB24E1"/>
    <w:rsid w:val="00AB26C4"/>
    <w:rsid w:val="00AB2889"/>
    <w:rsid w:val="00AB290A"/>
    <w:rsid w:val="00AB29DF"/>
    <w:rsid w:val="00AB2A07"/>
    <w:rsid w:val="00AB2A85"/>
    <w:rsid w:val="00AB2E24"/>
    <w:rsid w:val="00AB2EC7"/>
    <w:rsid w:val="00AB2ECF"/>
    <w:rsid w:val="00AB30A5"/>
    <w:rsid w:val="00AB30A7"/>
    <w:rsid w:val="00AB30D0"/>
    <w:rsid w:val="00AB313E"/>
    <w:rsid w:val="00AB31D3"/>
    <w:rsid w:val="00AB31E3"/>
    <w:rsid w:val="00AB329D"/>
    <w:rsid w:val="00AB33FA"/>
    <w:rsid w:val="00AB3494"/>
    <w:rsid w:val="00AB355B"/>
    <w:rsid w:val="00AB3640"/>
    <w:rsid w:val="00AB3758"/>
    <w:rsid w:val="00AB38C9"/>
    <w:rsid w:val="00AB38F0"/>
    <w:rsid w:val="00AB3A04"/>
    <w:rsid w:val="00AB3A22"/>
    <w:rsid w:val="00AB3C29"/>
    <w:rsid w:val="00AB3C4D"/>
    <w:rsid w:val="00AB3CC5"/>
    <w:rsid w:val="00AB3E0B"/>
    <w:rsid w:val="00AB3F42"/>
    <w:rsid w:val="00AB3F75"/>
    <w:rsid w:val="00AB4009"/>
    <w:rsid w:val="00AB41C5"/>
    <w:rsid w:val="00AB42DC"/>
    <w:rsid w:val="00AB430F"/>
    <w:rsid w:val="00AB4507"/>
    <w:rsid w:val="00AB457C"/>
    <w:rsid w:val="00AB4601"/>
    <w:rsid w:val="00AB4725"/>
    <w:rsid w:val="00AB4772"/>
    <w:rsid w:val="00AB481F"/>
    <w:rsid w:val="00AB49F3"/>
    <w:rsid w:val="00AB4AA8"/>
    <w:rsid w:val="00AB4AF4"/>
    <w:rsid w:val="00AB4BAA"/>
    <w:rsid w:val="00AB4C2B"/>
    <w:rsid w:val="00AB4D3F"/>
    <w:rsid w:val="00AB4E27"/>
    <w:rsid w:val="00AB4E90"/>
    <w:rsid w:val="00AB4EED"/>
    <w:rsid w:val="00AB4EF8"/>
    <w:rsid w:val="00AB50E2"/>
    <w:rsid w:val="00AB52F2"/>
    <w:rsid w:val="00AB5419"/>
    <w:rsid w:val="00AB543C"/>
    <w:rsid w:val="00AB5441"/>
    <w:rsid w:val="00AB552E"/>
    <w:rsid w:val="00AB5664"/>
    <w:rsid w:val="00AB58AB"/>
    <w:rsid w:val="00AB5937"/>
    <w:rsid w:val="00AB5C76"/>
    <w:rsid w:val="00AB5D66"/>
    <w:rsid w:val="00AB5DDA"/>
    <w:rsid w:val="00AB5EAE"/>
    <w:rsid w:val="00AB5F81"/>
    <w:rsid w:val="00AB5FD4"/>
    <w:rsid w:val="00AB60F5"/>
    <w:rsid w:val="00AB60F7"/>
    <w:rsid w:val="00AB614F"/>
    <w:rsid w:val="00AB6177"/>
    <w:rsid w:val="00AB61B6"/>
    <w:rsid w:val="00AB6202"/>
    <w:rsid w:val="00AB623B"/>
    <w:rsid w:val="00AB62AC"/>
    <w:rsid w:val="00AB6327"/>
    <w:rsid w:val="00AB63C7"/>
    <w:rsid w:val="00AB651E"/>
    <w:rsid w:val="00AB67E1"/>
    <w:rsid w:val="00AB6872"/>
    <w:rsid w:val="00AB68E8"/>
    <w:rsid w:val="00AB69B6"/>
    <w:rsid w:val="00AB6B0C"/>
    <w:rsid w:val="00AB6B0F"/>
    <w:rsid w:val="00AB6C25"/>
    <w:rsid w:val="00AB6CA9"/>
    <w:rsid w:val="00AB6CBA"/>
    <w:rsid w:val="00AB6D31"/>
    <w:rsid w:val="00AB6D4C"/>
    <w:rsid w:val="00AB6FB8"/>
    <w:rsid w:val="00AB7269"/>
    <w:rsid w:val="00AB727F"/>
    <w:rsid w:val="00AB72E6"/>
    <w:rsid w:val="00AB7458"/>
    <w:rsid w:val="00AB74FD"/>
    <w:rsid w:val="00AB750C"/>
    <w:rsid w:val="00AB7523"/>
    <w:rsid w:val="00AB753B"/>
    <w:rsid w:val="00AB7546"/>
    <w:rsid w:val="00AB7559"/>
    <w:rsid w:val="00AB7602"/>
    <w:rsid w:val="00AB7833"/>
    <w:rsid w:val="00AB795A"/>
    <w:rsid w:val="00AB7996"/>
    <w:rsid w:val="00AB79E0"/>
    <w:rsid w:val="00AB7B01"/>
    <w:rsid w:val="00AB7BD0"/>
    <w:rsid w:val="00AB7DC0"/>
    <w:rsid w:val="00AB7E3E"/>
    <w:rsid w:val="00AB7E5E"/>
    <w:rsid w:val="00AB7F00"/>
    <w:rsid w:val="00AB7F7E"/>
    <w:rsid w:val="00ABB6C8"/>
    <w:rsid w:val="00AC0042"/>
    <w:rsid w:val="00AC015D"/>
    <w:rsid w:val="00AC01C2"/>
    <w:rsid w:val="00AC01EA"/>
    <w:rsid w:val="00AC02FB"/>
    <w:rsid w:val="00AC032E"/>
    <w:rsid w:val="00AC03C9"/>
    <w:rsid w:val="00AC0480"/>
    <w:rsid w:val="00AC04EA"/>
    <w:rsid w:val="00AC0501"/>
    <w:rsid w:val="00AC0558"/>
    <w:rsid w:val="00AC059B"/>
    <w:rsid w:val="00AC060E"/>
    <w:rsid w:val="00AC07CF"/>
    <w:rsid w:val="00AC091E"/>
    <w:rsid w:val="00AC0920"/>
    <w:rsid w:val="00AC0968"/>
    <w:rsid w:val="00AC09E3"/>
    <w:rsid w:val="00AC0C11"/>
    <w:rsid w:val="00AC0C26"/>
    <w:rsid w:val="00AC0C62"/>
    <w:rsid w:val="00AC0D3F"/>
    <w:rsid w:val="00AC0DB2"/>
    <w:rsid w:val="00AC0DC3"/>
    <w:rsid w:val="00AC0DDA"/>
    <w:rsid w:val="00AC0DFF"/>
    <w:rsid w:val="00AC0E89"/>
    <w:rsid w:val="00AC0F31"/>
    <w:rsid w:val="00AC0F84"/>
    <w:rsid w:val="00AC0FA8"/>
    <w:rsid w:val="00AC108F"/>
    <w:rsid w:val="00AC10D5"/>
    <w:rsid w:val="00AC12A8"/>
    <w:rsid w:val="00AC1499"/>
    <w:rsid w:val="00AC17F4"/>
    <w:rsid w:val="00AC18C9"/>
    <w:rsid w:val="00AC18FD"/>
    <w:rsid w:val="00AC190A"/>
    <w:rsid w:val="00AC19D5"/>
    <w:rsid w:val="00AC1AE5"/>
    <w:rsid w:val="00AC1C47"/>
    <w:rsid w:val="00AC1DBA"/>
    <w:rsid w:val="00AC1F35"/>
    <w:rsid w:val="00AC1F3D"/>
    <w:rsid w:val="00AC1FE3"/>
    <w:rsid w:val="00AC21FC"/>
    <w:rsid w:val="00AC223B"/>
    <w:rsid w:val="00AC23CE"/>
    <w:rsid w:val="00AC2491"/>
    <w:rsid w:val="00AC2849"/>
    <w:rsid w:val="00AC2964"/>
    <w:rsid w:val="00AC29EA"/>
    <w:rsid w:val="00AC2AA5"/>
    <w:rsid w:val="00AC2B3A"/>
    <w:rsid w:val="00AC2BDD"/>
    <w:rsid w:val="00AC2D5E"/>
    <w:rsid w:val="00AC2D9E"/>
    <w:rsid w:val="00AC2DD0"/>
    <w:rsid w:val="00AC2E27"/>
    <w:rsid w:val="00AC2E71"/>
    <w:rsid w:val="00AC2EBA"/>
    <w:rsid w:val="00AC2EF3"/>
    <w:rsid w:val="00AC3070"/>
    <w:rsid w:val="00AC3241"/>
    <w:rsid w:val="00AC344F"/>
    <w:rsid w:val="00AC346E"/>
    <w:rsid w:val="00AC35CC"/>
    <w:rsid w:val="00AC35F9"/>
    <w:rsid w:val="00AC3696"/>
    <w:rsid w:val="00AC36DD"/>
    <w:rsid w:val="00AC3717"/>
    <w:rsid w:val="00AC3886"/>
    <w:rsid w:val="00AC38AB"/>
    <w:rsid w:val="00AC3A97"/>
    <w:rsid w:val="00AC3B14"/>
    <w:rsid w:val="00AC3CEF"/>
    <w:rsid w:val="00AC3D42"/>
    <w:rsid w:val="00AC3D49"/>
    <w:rsid w:val="00AC3E2C"/>
    <w:rsid w:val="00AC3EE8"/>
    <w:rsid w:val="00AC3F58"/>
    <w:rsid w:val="00AC418A"/>
    <w:rsid w:val="00AC419B"/>
    <w:rsid w:val="00AC45C0"/>
    <w:rsid w:val="00AC461F"/>
    <w:rsid w:val="00AC4652"/>
    <w:rsid w:val="00AC46DB"/>
    <w:rsid w:val="00AC4781"/>
    <w:rsid w:val="00AC478A"/>
    <w:rsid w:val="00AC47CF"/>
    <w:rsid w:val="00AC498E"/>
    <w:rsid w:val="00AC4999"/>
    <w:rsid w:val="00AC4B8D"/>
    <w:rsid w:val="00AC4BF2"/>
    <w:rsid w:val="00AC4C0B"/>
    <w:rsid w:val="00AC4DC2"/>
    <w:rsid w:val="00AC4EFE"/>
    <w:rsid w:val="00AC508E"/>
    <w:rsid w:val="00AC524B"/>
    <w:rsid w:val="00AC529B"/>
    <w:rsid w:val="00AC5329"/>
    <w:rsid w:val="00AC5403"/>
    <w:rsid w:val="00AC55EB"/>
    <w:rsid w:val="00AC57C9"/>
    <w:rsid w:val="00AC5809"/>
    <w:rsid w:val="00AC58C2"/>
    <w:rsid w:val="00AC58C9"/>
    <w:rsid w:val="00AC5B0F"/>
    <w:rsid w:val="00AC5B36"/>
    <w:rsid w:val="00AC5BB2"/>
    <w:rsid w:val="00AC5C3B"/>
    <w:rsid w:val="00AC5D4A"/>
    <w:rsid w:val="00AC5E2B"/>
    <w:rsid w:val="00AC5EC9"/>
    <w:rsid w:val="00AC5F50"/>
    <w:rsid w:val="00AC6029"/>
    <w:rsid w:val="00AC6125"/>
    <w:rsid w:val="00AC61DC"/>
    <w:rsid w:val="00AC626B"/>
    <w:rsid w:val="00AC642D"/>
    <w:rsid w:val="00AC6635"/>
    <w:rsid w:val="00AC666E"/>
    <w:rsid w:val="00AC675C"/>
    <w:rsid w:val="00AC687B"/>
    <w:rsid w:val="00AC6880"/>
    <w:rsid w:val="00AC697C"/>
    <w:rsid w:val="00AC69C1"/>
    <w:rsid w:val="00AC69E9"/>
    <w:rsid w:val="00AC6A03"/>
    <w:rsid w:val="00AC6AE7"/>
    <w:rsid w:val="00AC6AF7"/>
    <w:rsid w:val="00AC6B2A"/>
    <w:rsid w:val="00AC6C5C"/>
    <w:rsid w:val="00AC6CDC"/>
    <w:rsid w:val="00AC6DAF"/>
    <w:rsid w:val="00AC6DC7"/>
    <w:rsid w:val="00AC6F51"/>
    <w:rsid w:val="00AC6F96"/>
    <w:rsid w:val="00AC6FB7"/>
    <w:rsid w:val="00AC705F"/>
    <w:rsid w:val="00AC71FA"/>
    <w:rsid w:val="00AC7262"/>
    <w:rsid w:val="00AC732F"/>
    <w:rsid w:val="00AC734C"/>
    <w:rsid w:val="00AC7388"/>
    <w:rsid w:val="00AC7391"/>
    <w:rsid w:val="00AC73FB"/>
    <w:rsid w:val="00AC7401"/>
    <w:rsid w:val="00AC7649"/>
    <w:rsid w:val="00AC7667"/>
    <w:rsid w:val="00AC76CA"/>
    <w:rsid w:val="00AC77E5"/>
    <w:rsid w:val="00AC7833"/>
    <w:rsid w:val="00AC7944"/>
    <w:rsid w:val="00AC7A19"/>
    <w:rsid w:val="00AC7BCC"/>
    <w:rsid w:val="00AC7D38"/>
    <w:rsid w:val="00AC7DA7"/>
    <w:rsid w:val="00AC7DFF"/>
    <w:rsid w:val="00AD04B7"/>
    <w:rsid w:val="00AD0567"/>
    <w:rsid w:val="00AD07A7"/>
    <w:rsid w:val="00AD0A72"/>
    <w:rsid w:val="00AD0AFE"/>
    <w:rsid w:val="00AD0AFF"/>
    <w:rsid w:val="00AD0B71"/>
    <w:rsid w:val="00AD0C0B"/>
    <w:rsid w:val="00AD0CEE"/>
    <w:rsid w:val="00AD0D39"/>
    <w:rsid w:val="00AD0DED"/>
    <w:rsid w:val="00AD0EC1"/>
    <w:rsid w:val="00AD0EE2"/>
    <w:rsid w:val="00AD0F5A"/>
    <w:rsid w:val="00AD0F9A"/>
    <w:rsid w:val="00AD104F"/>
    <w:rsid w:val="00AD108E"/>
    <w:rsid w:val="00AD13A7"/>
    <w:rsid w:val="00AD13BF"/>
    <w:rsid w:val="00AD14FD"/>
    <w:rsid w:val="00AD1606"/>
    <w:rsid w:val="00AD166F"/>
    <w:rsid w:val="00AD16FD"/>
    <w:rsid w:val="00AD1729"/>
    <w:rsid w:val="00AD17E3"/>
    <w:rsid w:val="00AD1868"/>
    <w:rsid w:val="00AD18FF"/>
    <w:rsid w:val="00AD1B32"/>
    <w:rsid w:val="00AD1CCA"/>
    <w:rsid w:val="00AD1EF4"/>
    <w:rsid w:val="00AD1EFA"/>
    <w:rsid w:val="00AD2005"/>
    <w:rsid w:val="00AD2137"/>
    <w:rsid w:val="00AD21D4"/>
    <w:rsid w:val="00AD2250"/>
    <w:rsid w:val="00AD23FC"/>
    <w:rsid w:val="00AD2440"/>
    <w:rsid w:val="00AD2494"/>
    <w:rsid w:val="00AD24D2"/>
    <w:rsid w:val="00AD2674"/>
    <w:rsid w:val="00AD2908"/>
    <w:rsid w:val="00AD2955"/>
    <w:rsid w:val="00AD2A69"/>
    <w:rsid w:val="00AD2B83"/>
    <w:rsid w:val="00AD2BBE"/>
    <w:rsid w:val="00AD2C23"/>
    <w:rsid w:val="00AD2C6E"/>
    <w:rsid w:val="00AD2CB0"/>
    <w:rsid w:val="00AD2F65"/>
    <w:rsid w:val="00AD315A"/>
    <w:rsid w:val="00AD3242"/>
    <w:rsid w:val="00AD3291"/>
    <w:rsid w:val="00AD3375"/>
    <w:rsid w:val="00AD3395"/>
    <w:rsid w:val="00AD33E3"/>
    <w:rsid w:val="00AD343A"/>
    <w:rsid w:val="00AD346C"/>
    <w:rsid w:val="00AD3661"/>
    <w:rsid w:val="00AD3671"/>
    <w:rsid w:val="00AD36BD"/>
    <w:rsid w:val="00AD3732"/>
    <w:rsid w:val="00AD3868"/>
    <w:rsid w:val="00AD3896"/>
    <w:rsid w:val="00AD38B1"/>
    <w:rsid w:val="00AD390A"/>
    <w:rsid w:val="00AD390E"/>
    <w:rsid w:val="00AD3A55"/>
    <w:rsid w:val="00AD3B25"/>
    <w:rsid w:val="00AD3B2C"/>
    <w:rsid w:val="00AD3CAA"/>
    <w:rsid w:val="00AD3D91"/>
    <w:rsid w:val="00AD3EFD"/>
    <w:rsid w:val="00AD3F79"/>
    <w:rsid w:val="00AD4012"/>
    <w:rsid w:val="00AD403C"/>
    <w:rsid w:val="00AD40E5"/>
    <w:rsid w:val="00AD412B"/>
    <w:rsid w:val="00AD4149"/>
    <w:rsid w:val="00AD417C"/>
    <w:rsid w:val="00AD431A"/>
    <w:rsid w:val="00AD4366"/>
    <w:rsid w:val="00AD4424"/>
    <w:rsid w:val="00AD45A3"/>
    <w:rsid w:val="00AD45C4"/>
    <w:rsid w:val="00AD46AD"/>
    <w:rsid w:val="00AD471A"/>
    <w:rsid w:val="00AD4722"/>
    <w:rsid w:val="00AD48AC"/>
    <w:rsid w:val="00AD4A0D"/>
    <w:rsid w:val="00AD4BAA"/>
    <w:rsid w:val="00AD4C0A"/>
    <w:rsid w:val="00AD4CFC"/>
    <w:rsid w:val="00AD4D39"/>
    <w:rsid w:val="00AD4DE7"/>
    <w:rsid w:val="00AD4E1E"/>
    <w:rsid w:val="00AD4FD1"/>
    <w:rsid w:val="00AD5031"/>
    <w:rsid w:val="00AD505F"/>
    <w:rsid w:val="00AD529A"/>
    <w:rsid w:val="00AD530A"/>
    <w:rsid w:val="00AD54F0"/>
    <w:rsid w:val="00AD5683"/>
    <w:rsid w:val="00AD56D1"/>
    <w:rsid w:val="00AD57F1"/>
    <w:rsid w:val="00AD5877"/>
    <w:rsid w:val="00AD5A22"/>
    <w:rsid w:val="00AD5A47"/>
    <w:rsid w:val="00AD5A98"/>
    <w:rsid w:val="00AD5AA9"/>
    <w:rsid w:val="00AD5C35"/>
    <w:rsid w:val="00AD5F9C"/>
    <w:rsid w:val="00AD6049"/>
    <w:rsid w:val="00AD6115"/>
    <w:rsid w:val="00AD6151"/>
    <w:rsid w:val="00AD61CD"/>
    <w:rsid w:val="00AD62D5"/>
    <w:rsid w:val="00AD6693"/>
    <w:rsid w:val="00AD66F2"/>
    <w:rsid w:val="00AD6788"/>
    <w:rsid w:val="00AD6B47"/>
    <w:rsid w:val="00AD6BA0"/>
    <w:rsid w:val="00AD6E09"/>
    <w:rsid w:val="00AD6F54"/>
    <w:rsid w:val="00AD708F"/>
    <w:rsid w:val="00AD70DD"/>
    <w:rsid w:val="00AD74A2"/>
    <w:rsid w:val="00AD751E"/>
    <w:rsid w:val="00AD7529"/>
    <w:rsid w:val="00AD75CC"/>
    <w:rsid w:val="00AD75F0"/>
    <w:rsid w:val="00AD763E"/>
    <w:rsid w:val="00AD765A"/>
    <w:rsid w:val="00AD76E7"/>
    <w:rsid w:val="00AD7936"/>
    <w:rsid w:val="00AD7A0E"/>
    <w:rsid w:val="00AD7AC1"/>
    <w:rsid w:val="00AD7B59"/>
    <w:rsid w:val="00AD7BA9"/>
    <w:rsid w:val="00AD7BAD"/>
    <w:rsid w:val="00AD7BB9"/>
    <w:rsid w:val="00AD7BF5"/>
    <w:rsid w:val="00AD7CA6"/>
    <w:rsid w:val="00AD7E18"/>
    <w:rsid w:val="00AD7E7F"/>
    <w:rsid w:val="00AD7FD5"/>
    <w:rsid w:val="00AE008F"/>
    <w:rsid w:val="00AE0112"/>
    <w:rsid w:val="00AE019C"/>
    <w:rsid w:val="00AE03A3"/>
    <w:rsid w:val="00AE03B5"/>
    <w:rsid w:val="00AE0427"/>
    <w:rsid w:val="00AE047B"/>
    <w:rsid w:val="00AE0572"/>
    <w:rsid w:val="00AE05AA"/>
    <w:rsid w:val="00AE0681"/>
    <w:rsid w:val="00AE0808"/>
    <w:rsid w:val="00AE09B8"/>
    <w:rsid w:val="00AE0A59"/>
    <w:rsid w:val="00AE0C65"/>
    <w:rsid w:val="00AE0C74"/>
    <w:rsid w:val="00AE0DA8"/>
    <w:rsid w:val="00AE0E1A"/>
    <w:rsid w:val="00AE0E22"/>
    <w:rsid w:val="00AE0E39"/>
    <w:rsid w:val="00AE0E8C"/>
    <w:rsid w:val="00AE0E99"/>
    <w:rsid w:val="00AE1017"/>
    <w:rsid w:val="00AE1072"/>
    <w:rsid w:val="00AE112B"/>
    <w:rsid w:val="00AE1238"/>
    <w:rsid w:val="00AE12A9"/>
    <w:rsid w:val="00AE1422"/>
    <w:rsid w:val="00AE1482"/>
    <w:rsid w:val="00AE1586"/>
    <w:rsid w:val="00AE15C9"/>
    <w:rsid w:val="00AE1645"/>
    <w:rsid w:val="00AE1816"/>
    <w:rsid w:val="00AE1829"/>
    <w:rsid w:val="00AE192C"/>
    <w:rsid w:val="00AE19EC"/>
    <w:rsid w:val="00AE19F9"/>
    <w:rsid w:val="00AE1A76"/>
    <w:rsid w:val="00AE1B7A"/>
    <w:rsid w:val="00AE1CB8"/>
    <w:rsid w:val="00AE1F94"/>
    <w:rsid w:val="00AE2024"/>
    <w:rsid w:val="00AE2142"/>
    <w:rsid w:val="00AE22BA"/>
    <w:rsid w:val="00AE2339"/>
    <w:rsid w:val="00AE2375"/>
    <w:rsid w:val="00AE240F"/>
    <w:rsid w:val="00AE2460"/>
    <w:rsid w:val="00AE2464"/>
    <w:rsid w:val="00AE251D"/>
    <w:rsid w:val="00AE25A1"/>
    <w:rsid w:val="00AE25CD"/>
    <w:rsid w:val="00AE263D"/>
    <w:rsid w:val="00AE2670"/>
    <w:rsid w:val="00AE26F2"/>
    <w:rsid w:val="00AE26F3"/>
    <w:rsid w:val="00AE26F4"/>
    <w:rsid w:val="00AE2841"/>
    <w:rsid w:val="00AE298D"/>
    <w:rsid w:val="00AE29B7"/>
    <w:rsid w:val="00AE2B02"/>
    <w:rsid w:val="00AE2CEE"/>
    <w:rsid w:val="00AE2E09"/>
    <w:rsid w:val="00AE3233"/>
    <w:rsid w:val="00AE3298"/>
    <w:rsid w:val="00AE332F"/>
    <w:rsid w:val="00AE3410"/>
    <w:rsid w:val="00AE350B"/>
    <w:rsid w:val="00AE3545"/>
    <w:rsid w:val="00AE356F"/>
    <w:rsid w:val="00AE35CD"/>
    <w:rsid w:val="00AE3610"/>
    <w:rsid w:val="00AE372E"/>
    <w:rsid w:val="00AE375D"/>
    <w:rsid w:val="00AE379F"/>
    <w:rsid w:val="00AE37B6"/>
    <w:rsid w:val="00AE38E3"/>
    <w:rsid w:val="00AE397D"/>
    <w:rsid w:val="00AE39B9"/>
    <w:rsid w:val="00AE39D8"/>
    <w:rsid w:val="00AE3A77"/>
    <w:rsid w:val="00AE3ABC"/>
    <w:rsid w:val="00AE3B51"/>
    <w:rsid w:val="00AE3B99"/>
    <w:rsid w:val="00AE3D29"/>
    <w:rsid w:val="00AE3D3C"/>
    <w:rsid w:val="00AE3D62"/>
    <w:rsid w:val="00AE3E86"/>
    <w:rsid w:val="00AE3EE0"/>
    <w:rsid w:val="00AE40CE"/>
    <w:rsid w:val="00AE4162"/>
    <w:rsid w:val="00AE4196"/>
    <w:rsid w:val="00AE429F"/>
    <w:rsid w:val="00AE42FE"/>
    <w:rsid w:val="00AE4382"/>
    <w:rsid w:val="00AE43A2"/>
    <w:rsid w:val="00AE43B1"/>
    <w:rsid w:val="00AE444C"/>
    <w:rsid w:val="00AE4526"/>
    <w:rsid w:val="00AE45AA"/>
    <w:rsid w:val="00AE46A8"/>
    <w:rsid w:val="00AE47EE"/>
    <w:rsid w:val="00AE4835"/>
    <w:rsid w:val="00AE491C"/>
    <w:rsid w:val="00AE4B61"/>
    <w:rsid w:val="00AE4BD3"/>
    <w:rsid w:val="00AE4BFA"/>
    <w:rsid w:val="00AE4C58"/>
    <w:rsid w:val="00AE4C76"/>
    <w:rsid w:val="00AE4D3E"/>
    <w:rsid w:val="00AE4DC6"/>
    <w:rsid w:val="00AE4E29"/>
    <w:rsid w:val="00AE4E46"/>
    <w:rsid w:val="00AE4E9B"/>
    <w:rsid w:val="00AE4F0A"/>
    <w:rsid w:val="00AE5096"/>
    <w:rsid w:val="00AE513C"/>
    <w:rsid w:val="00AE5228"/>
    <w:rsid w:val="00AE526D"/>
    <w:rsid w:val="00AE5280"/>
    <w:rsid w:val="00AE536B"/>
    <w:rsid w:val="00AE54B4"/>
    <w:rsid w:val="00AE5610"/>
    <w:rsid w:val="00AE5855"/>
    <w:rsid w:val="00AE58E3"/>
    <w:rsid w:val="00AE5948"/>
    <w:rsid w:val="00AE5981"/>
    <w:rsid w:val="00AE5D4F"/>
    <w:rsid w:val="00AE5D5A"/>
    <w:rsid w:val="00AE5E0E"/>
    <w:rsid w:val="00AE5EF6"/>
    <w:rsid w:val="00AE6122"/>
    <w:rsid w:val="00AE612B"/>
    <w:rsid w:val="00AE612F"/>
    <w:rsid w:val="00AE62A7"/>
    <w:rsid w:val="00AE62E1"/>
    <w:rsid w:val="00AE6454"/>
    <w:rsid w:val="00AE659E"/>
    <w:rsid w:val="00AE666F"/>
    <w:rsid w:val="00AE670D"/>
    <w:rsid w:val="00AE672F"/>
    <w:rsid w:val="00AE679B"/>
    <w:rsid w:val="00AE69BD"/>
    <w:rsid w:val="00AE6A25"/>
    <w:rsid w:val="00AE6B74"/>
    <w:rsid w:val="00AE6CEC"/>
    <w:rsid w:val="00AE6EC7"/>
    <w:rsid w:val="00AE6ED1"/>
    <w:rsid w:val="00AE6F19"/>
    <w:rsid w:val="00AE6FE8"/>
    <w:rsid w:val="00AE7103"/>
    <w:rsid w:val="00AE720B"/>
    <w:rsid w:val="00AE7480"/>
    <w:rsid w:val="00AE756E"/>
    <w:rsid w:val="00AE762F"/>
    <w:rsid w:val="00AE7689"/>
    <w:rsid w:val="00AE779E"/>
    <w:rsid w:val="00AE77D0"/>
    <w:rsid w:val="00AE782D"/>
    <w:rsid w:val="00AE78A2"/>
    <w:rsid w:val="00AE7917"/>
    <w:rsid w:val="00AE7938"/>
    <w:rsid w:val="00AE7A60"/>
    <w:rsid w:val="00AE7ABD"/>
    <w:rsid w:val="00AE7B1C"/>
    <w:rsid w:val="00AE7B24"/>
    <w:rsid w:val="00AE7B6E"/>
    <w:rsid w:val="00AE7D56"/>
    <w:rsid w:val="00AE7E29"/>
    <w:rsid w:val="00AE7F50"/>
    <w:rsid w:val="00AE7F67"/>
    <w:rsid w:val="00AE7FC9"/>
    <w:rsid w:val="00AE7FD7"/>
    <w:rsid w:val="00AF00BF"/>
    <w:rsid w:val="00AF0158"/>
    <w:rsid w:val="00AF01DD"/>
    <w:rsid w:val="00AF039B"/>
    <w:rsid w:val="00AF03E1"/>
    <w:rsid w:val="00AF0405"/>
    <w:rsid w:val="00AF0437"/>
    <w:rsid w:val="00AF0441"/>
    <w:rsid w:val="00AF051D"/>
    <w:rsid w:val="00AF07B0"/>
    <w:rsid w:val="00AF09BA"/>
    <w:rsid w:val="00AF09CE"/>
    <w:rsid w:val="00AF0B6A"/>
    <w:rsid w:val="00AF0BF6"/>
    <w:rsid w:val="00AF0C39"/>
    <w:rsid w:val="00AF0CAB"/>
    <w:rsid w:val="00AF0E55"/>
    <w:rsid w:val="00AF0ED1"/>
    <w:rsid w:val="00AF0FC2"/>
    <w:rsid w:val="00AF1009"/>
    <w:rsid w:val="00AF1118"/>
    <w:rsid w:val="00AF1219"/>
    <w:rsid w:val="00AF135C"/>
    <w:rsid w:val="00AF13E9"/>
    <w:rsid w:val="00AF13F4"/>
    <w:rsid w:val="00AF1404"/>
    <w:rsid w:val="00AF14CD"/>
    <w:rsid w:val="00AF1534"/>
    <w:rsid w:val="00AF1713"/>
    <w:rsid w:val="00AF186C"/>
    <w:rsid w:val="00AF18DE"/>
    <w:rsid w:val="00AF18DF"/>
    <w:rsid w:val="00AF1976"/>
    <w:rsid w:val="00AF19BE"/>
    <w:rsid w:val="00AF1B17"/>
    <w:rsid w:val="00AF1B27"/>
    <w:rsid w:val="00AF1B7D"/>
    <w:rsid w:val="00AF1CB5"/>
    <w:rsid w:val="00AF1DD0"/>
    <w:rsid w:val="00AF1E11"/>
    <w:rsid w:val="00AF1E50"/>
    <w:rsid w:val="00AF1EAF"/>
    <w:rsid w:val="00AF1F09"/>
    <w:rsid w:val="00AF1F59"/>
    <w:rsid w:val="00AF1F64"/>
    <w:rsid w:val="00AF1F9F"/>
    <w:rsid w:val="00AF21B4"/>
    <w:rsid w:val="00AF21FF"/>
    <w:rsid w:val="00AF249B"/>
    <w:rsid w:val="00AF24F9"/>
    <w:rsid w:val="00AF2508"/>
    <w:rsid w:val="00AF262A"/>
    <w:rsid w:val="00AF26A0"/>
    <w:rsid w:val="00AF26D2"/>
    <w:rsid w:val="00AF27CC"/>
    <w:rsid w:val="00AF281A"/>
    <w:rsid w:val="00AF29A6"/>
    <w:rsid w:val="00AF2A27"/>
    <w:rsid w:val="00AF2B49"/>
    <w:rsid w:val="00AF2D1B"/>
    <w:rsid w:val="00AF2DC2"/>
    <w:rsid w:val="00AF2DE9"/>
    <w:rsid w:val="00AF2E0B"/>
    <w:rsid w:val="00AF2FAE"/>
    <w:rsid w:val="00AF3117"/>
    <w:rsid w:val="00AF3138"/>
    <w:rsid w:val="00AF3155"/>
    <w:rsid w:val="00AF343E"/>
    <w:rsid w:val="00AF353B"/>
    <w:rsid w:val="00AF35F9"/>
    <w:rsid w:val="00AF3616"/>
    <w:rsid w:val="00AF3641"/>
    <w:rsid w:val="00AF383F"/>
    <w:rsid w:val="00AF3979"/>
    <w:rsid w:val="00AF3B31"/>
    <w:rsid w:val="00AF3D79"/>
    <w:rsid w:val="00AF3F42"/>
    <w:rsid w:val="00AF3F8C"/>
    <w:rsid w:val="00AF3FC2"/>
    <w:rsid w:val="00AF3FE6"/>
    <w:rsid w:val="00AF4207"/>
    <w:rsid w:val="00AF42AE"/>
    <w:rsid w:val="00AF4462"/>
    <w:rsid w:val="00AF447E"/>
    <w:rsid w:val="00AF457A"/>
    <w:rsid w:val="00AF46C4"/>
    <w:rsid w:val="00AF46D9"/>
    <w:rsid w:val="00AF4708"/>
    <w:rsid w:val="00AF47C6"/>
    <w:rsid w:val="00AF484C"/>
    <w:rsid w:val="00AF48F4"/>
    <w:rsid w:val="00AF495C"/>
    <w:rsid w:val="00AF49B2"/>
    <w:rsid w:val="00AF4F51"/>
    <w:rsid w:val="00AF521B"/>
    <w:rsid w:val="00AF5404"/>
    <w:rsid w:val="00AF5438"/>
    <w:rsid w:val="00AF545E"/>
    <w:rsid w:val="00AF5491"/>
    <w:rsid w:val="00AF563B"/>
    <w:rsid w:val="00AF56BF"/>
    <w:rsid w:val="00AF56FA"/>
    <w:rsid w:val="00AF57A7"/>
    <w:rsid w:val="00AF57BF"/>
    <w:rsid w:val="00AF58BE"/>
    <w:rsid w:val="00AF5931"/>
    <w:rsid w:val="00AF5AF9"/>
    <w:rsid w:val="00AF5B30"/>
    <w:rsid w:val="00AF5B3E"/>
    <w:rsid w:val="00AF5B6E"/>
    <w:rsid w:val="00AF5CAD"/>
    <w:rsid w:val="00AF5DF0"/>
    <w:rsid w:val="00AF5DFD"/>
    <w:rsid w:val="00AF6012"/>
    <w:rsid w:val="00AF6129"/>
    <w:rsid w:val="00AF6250"/>
    <w:rsid w:val="00AF626B"/>
    <w:rsid w:val="00AF62B1"/>
    <w:rsid w:val="00AF631D"/>
    <w:rsid w:val="00AF64D5"/>
    <w:rsid w:val="00AF676E"/>
    <w:rsid w:val="00AF6784"/>
    <w:rsid w:val="00AF6827"/>
    <w:rsid w:val="00AF6A62"/>
    <w:rsid w:val="00AF6B7C"/>
    <w:rsid w:val="00AF6C06"/>
    <w:rsid w:val="00AF6D2E"/>
    <w:rsid w:val="00AF717D"/>
    <w:rsid w:val="00AF71B4"/>
    <w:rsid w:val="00AF73BD"/>
    <w:rsid w:val="00AF73EA"/>
    <w:rsid w:val="00AF742E"/>
    <w:rsid w:val="00AF762F"/>
    <w:rsid w:val="00AF76F6"/>
    <w:rsid w:val="00AF777C"/>
    <w:rsid w:val="00AF77D6"/>
    <w:rsid w:val="00AF7824"/>
    <w:rsid w:val="00AF78CA"/>
    <w:rsid w:val="00AF7AE0"/>
    <w:rsid w:val="00AF7BDB"/>
    <w:rsid w:val="00AF7C66"/>
    <w:rsid w:val="00AF7C71"/>
    <w:rsid w:val="00AF7C9F"/>
    <w:rsid w:val="00AF7CA8"/>
    <w:rsid w:val="00AF7F84"/>
    <w:rsid w:val="00B00119"/>
    <w:rsid w:val="00B00208"/>
    <w:rsid w:val="00B00359"/>
    <w:rsid w:val="00B003A9"/>
    <w:rsid w:val="00B00410"/>
    <w:rsid w:val="00B00476"/>
    <w:rsid w:val="00B004AE"/>
    <w:rsid w:val="00B004DA"/>
    <w:rsid w:val="00B00763"/>
    <w:rsid w:val="00B008D5"/>
    <w:rsid w:val="00B009A6"/>
    <w:rsid w:val="00B00AF9"/>
    <w:rsid w:val="00B00B1C"/>
    <w:rsid w:val="00B00E3D"/>
    <w:rsid w:val="00B00E88"/>
    <w:rsid w:val="00B00EC7"/>
    <w:rsid w:val="00B00F42"/>
    <w:rsid w:val="00B00F84"/>
    <w:rsid w:val="00B011BB"/>
    <w:rsid w:val="00B011C5"/>
    <w:rsid w:val="00B0130E"/>
    <w:rsid w:val="00B0133D"/>
    <w:rsid w:val="00B01340"/>
    <w:rsid w:val="00B01397"/>
    <w:rsid w:val="00B013A2"/>
    <w:rsid w:val="00B014EE"/>
    <w:rsid w:val="00B014F5"/>
    <w:rsid w:val="00B01574"/>
    <w:rsid w:val="00B0162A"/>
    <w:rsid w:val="00B01668"/>
    <w:rsid w:val="00B016EB"/>
    <w:rsid w:val="00B01825"/>
    <w:rsid w:val="00B01A3F"/>
    <w:rsid w:val="00B01A89"/>
    <w:rsid w:val="00B01A99"/>
    <w:rsid w:val="00B01B6E"/>
    <w:rsid w:val="00B01C04"/>
    <w:rsid w:val="00B01D81"/>
    <w:rsid w:val="00B01E52"/>
    <w:rsid w:val="00B01E98"/>
    <w:rsid w:val="00B0208D"/>
    <w:rsid w:val="00B020BD"/>
    <w:rsid w:val="00B02164"/>
    <w:rsid w:val="00B021E0"/>
    <w:rsid w:val="00B021E9"/>
    <w:rsid w:val="00B022B1"/>
    <w:rsid w:val="00B022E2"/>
    <w:rsid w:val="00B022E5"/>
    <w:rsid w:val="00B023BE"/>
    <w:rsid w:val="00B0245C"/>
    <w:rsid w:val="00B0248F"/>
    <w:rsid w:val="00B025FD"/>
    <w:rsid w:val="00B02683"/>
    <w:rsid w:val="00B026C2"/>
    <w:rsid w:val="00B02762"/>
    <w:rsid w:val="00B0279A"/>
    <w:rsid w:val="00B0280D"/>
    <w:rsid w:val="00B02835"/>
    <w:rsid w:val="00B028F4"/>
    <w:rsid w:val="00B02958"/>
    <w:rsid w:val="00B02BFC"/>
    <w:rsid w:val="00B02F06"/>
    <w:rsid w:val="00B03281"/>
    <w:rsid w:val="00B033BC"/>
    <w:rsid w:val="00B03665"/>
    <w:rsid w:val="00B036FF"/>
    <w:rsid w:val="00B03789"/>
    <w:rsid w:val="00B03823"/>
    <w:rsid w:val="00B038C2"/>
    <w:rsid w:val="00B038E5"/>
    <w:rsid w:val="00B038F4"/>
    <w:rsid w:val="00B03960"/>
    <w:rsid w:val="00B03980"/>
    <w:rsid w:val="00B0398C"/>
    <w:rsid w:val="00B03A3F"/>
    <w:rsid w:val="00B03AC6"/>
    <w:rsid w:val="00B03B30"/>
    <w:rsid w:val="00B03BEA"/>
    <w:rsid w:val="00B03C1F"/>
    <w:rsid w:val="00B03C5E"/>
    <w:rsid w:val="00B03E1E"/>
    <w:rsid w:val="00B03E2F"/>
    <w:rsid w:val="00B03EB7"/>
    <w:rsid w:val="00B03F04"/>
    <w:rsid w:val="00B03F5D"/>
    <w:rsid w:val="00B03F94"/>
    <w:rsid w:val="00B03FED"/>
    <w:rsid w:val="00B04025"/>
    <w:rsid w:val="00B0407C"/>
    <w:rsid w:val="00B04179"/>
    <w:rsid w:val="00B041F8"/>
    <w:rsid w:val="00B043AC"/>
    <w:rsid w:val="00B0447C"/>
    <w:rsid w:val="00B044C5"/>
    <w:rsid w:val="00B04525"/>
    <w:rsid w:val="00B04564"/>
    <w:rsid w:val="00B04677"/>
    <w:rsid w:val="00B046C2"/>
    <w:rsid w:val="00B04758"/>
    <w:rsid w:val="00B04857"/>
    <w:rsid w:val="00B048E4"/>
    <w:rsid w:val="00B0499B"/>
    <w:rsid w:val="00B04A0E"/>
    <w:rsid w:val="00B04B23"/>
    <w:rsid w:val="00B04B4C"/>
    <w:rsid w:val="00B04C5B"/>
    <w:rsid w:val="00B04C67"/>
    <w:rsid w:val="00B04E14"/>
    <w:rsid w:val="00B04F47"/>
    <w:rsid w:val="00B04F5C"/>
    <w:rsid w:val="00B04F6C"/>
    <w:rsid w:val="00B04F70"/>
    <w:rsid w:val="00B050B6"/>
    <w:rsid w:val="00B052D4"/>
    <w:rsid w:val="00B0558E"/>
    <w:rsid w:val="00B05664"/>
    <w:rsid w:val="00B05D5D"/>
    <w:rsid w:val="00B05D8A"/>
    <w:rsid w:val="00B05E4D"/>
    <w:rsid w:val="00B05E6D"/>
    <w:rsid w:val="00B06141"/>
    <w:rsid w:val="00B06518"/>
    <w:rsid w:val="00B06525"/>
    <w:rsid w:val="00B0659A"/>
    <w:rsid w:val="00B065C8"/>
    <w:rsid w:val="00B067FD"/>
    <w:rsid w:val="00B06B0C"/>
    <w:rsid w:val="00B06CA8"/>
    <w:rsid w:val="00B06CC6"/>
    <w:rsid w:val="00B06ECD"/>
    <w:rsid w:val="00B06EE2"/>
    <w:rsid w:val="00B06F04"/>
    <w:rsid w:val="00B0701B"/>
    <w:rsid w:val="00B0702B"/>
    <w:rsid w:val="00B07170"/>
    <w:rsid w:val="00B071CA"/>
    <w:rsid w:val="00B07288"/>
    <w:rsid w:val="00B07359"/>
    <w:rsid w:val="00B07376"/>
    <w:rsid w:val="00B074A5"/>
    <w:rsid w:val="00B075EB"/>
    <w:rsid w:val="00B0765A"/>
    <w:rsid w:val="00B076D2"/>
    <w:rsid w:val="00B076D5"/>
    <w:rsid w:val="00B07880"/>
    <w:rsid w:val="00B07921"/>
    <w:rsid w:val="00B07B42"/>
    <w:rsid w:val="00B07C4C"/>
    <w:rsid w:val="00B07DEF"/>
    <w:rsid w:val="00B07E05"/>
    <w:rsid w:val="00B07E37"/>
    <w:rsid w:val="00B07E3F"/>
    <w:rsid w:val="00B07F5A"/>
    <w:rsid w:val="00B07FB1"/>
    <w:rsid w:val="00B1006E"/>
    <w:rsid w:val="00B1019A"/>
    <w:rsid w:val="00B101E8"/>
    <w:rsid w:val="00B102B0"/>
    <w:rsid w:val="00B103D6"/>
    <w:rsid w:val="00B10684"/>
    <w:rsid w:val="00B10704"/>
    <w:rsid w:val="00B107E9"/>
    <w:rsid w:val="00B10897"/>
    <w:rsid w:val="00B108CC"/>
    <w:rsid w:val="00B10A06"/>
    <w:rsid w:val="00B10A0E"/>
    <w:rsid w:val="00B10A8D"/>
    <w:rsid w:val="00B10BAC"/>
    <w:rsid w:val="00B10CC3"/>
    <w:rsid w:val="00B10D28"/>
    <w:rsid w:val="00B10DAD"/>
    <w:rsid w:val="00B10E2A"/>
    <w:rsid w:val="00B10FA4"/>
    <w:rsid w:val="00B11077"/>
    <w:rsid w:val="00B111D3"/>
    <w:rsid w:val="00B111D6"/>
    <w:rsid w:val="00B1120A"/>
    <w:rsid w:val="00B11228"/>
    <w:rsid w:val="00B11312"/>
    <w:rsid w:val="00B113A6"/>
    <w:rsid w:val="00B115CB"/>
    <w:rsid w:val="00B115CF"/>
    <w:rsid w:val="00B116B8"/>
    <w:rsid w:val="00B116BA"/>
    <w:rsid w:val="00B1170B"/>
    <w:rsid w:val="00B1176D"/>
    <w:rsid w:val="00B11798"/>
    <w:rsid w:val="00B11890"/>
    <w:rsid w:val="00B118E1"/>
    <w:rsid w:val="00B11965"/>
    <w:rsid w:val="00B11983"/>
    <w:rsid w:val="00B11C2A"/>
    <w:rsid w:val="00B11D73"/>
    <w:rsid w:val="00B11E29"/>
    <w:rsid w:val="00B11E4F"/>
    <w:rsid w:val="00B11E5C"/>
    <w:rsid w:val="00B11EDA"/>
    <w:rsid w:val="00B11FA8"/>
    <w:rsid w:val="00B11FEB"/>
    <w:rsid w:val="00B11FF6"/>
    <w:rsid w:val="00B1204C"/>
    <w:rsid w:val="00B12292"/>
    <w:rsid w:val="00B12369"/>
    <w:rsid w:val="00B123BF"/>
    <w:rsid w:val="00B123F8"/>
    <w:rsid w:val="00B125F6"/>
    <w:rsid w:val="00B12617"/>
    <w:rsid w:val="00B127B7"/>
    <w:rsid w:val="00B12896"/>
    <w:rsid w:val="00B128B2"/>
    <w:rsid w:val="00B129FE"/>
    <w:rsid w:val="00B12D74"/>
    <w:rsid w:val="00B12DAA"/>
    <w:rsid w:val="00B12DCF"/>
    <w:rsid w:val="00B12E1D"/>
    <w:rsid w:val="00B12EC3"/>
    <w:rsid w:val="00B12F32"/>
    <w:rsid w:val="00B12FA5"/>
    <w:rsid w:val="00B12FB0"/>
    <w:rsid w:val="00B131D5"/>
    <w:rsid w:val="00B134B2"/>
    <w:rsid w:val="00B13585"/>
    <w:rsid w:val="00B13591"/>
    <w:rsid w:val="00B13597"/>
    <w:rsid w:val="00B135E5"/>
    <w:rsid w:val="00B13631"/>
    <w:rsid w:val="00B1368F"/>
    <w:rsid w:val="00B1371C"/>
    <w:rsid w:val="00B13762"/>
    <w:rsid w:val="00B137ED"/>
    <w:rsid w:val="00B1380D"/>
    <w:rsid w:val="00B13835"/>
    <w:rsid w:val="00B13870"/>
    <w:rsid w:val="00B13939"/>
    <w:rsid w:val="00B1393B"/>
    <w:rsid w:val="00B139FA"/>
    <w:rsid w:val="00B13AF2"/>
    <w:rsid w:val="00B13B26"/>
    <w:rsid w:val="00B13B3D"/>
    <w:rsid w:val="00B13C44"/>
    <w:rsid w:val="00B13D07"/>
    <w:rsid w:val="00B13EDA"/>
    <w:rsid w:val="00B13F11"/>
    <w:rsid w:val="00B14058"/>
    <w:rsid w:val="00B140CB"/>
    <w:rsid w:val="00B140D9"/>
    <w:rsid w:val="00B141E3"/>
    <w:rsid w:val="00B14236"/>
    <w:rsid w:val="00B1425C"/>
    <w:rsid w:val="00B142C6"/>
    <w:rsid w:val="00B143EA"/>
    <w:rsid w:val="00B14469"/>
    <w:rsid w:val="00B14536"/>
    <w:rsid w:val="00B145DC"/>
    <w:rsid w:val="00B14684"/>
    <w:rsid w:val="00B146D9"/>
    <w:rsid w:val="00B1477E"/>
    <w:rsid w:val="00B1478E"/>
    <w:rsid w:val="00B14824"/>
    <w:rsid w:val="00B14896"/>
    <w:rsid w:val="00B148A3"/>
    <w:rsid w:val="00B14B20"/>
    <w:rsid w:val="00B14C72"/>
    <w:rsid w:val="00B14DC6"/>
    <w:rsid w:val="00B14E5A"/>
    <w:rsid w:val="00B14EC4"/>
    <w:rsid w:val="00B14F25"/>
    <w:rsid w:val="00B151EC"/>
    <w:rsid w:val="00B15278"/>
    <w:rsid w:val="00B1533F"/>
    <w:rsid w:val="00B153C1"/>
    <w:rsid w:val="00B15450"/>
    <w:rsid w:val="00B15460"/>
    <w:rsid w:val="00B15462"/>
    <w:rsid w:val="00B15513"/>
    <w:rsid w:val="00B15519"/>
    <w:rsid w:val="00B15537"/>
    <w:rsid w:val="00B1553A"/>
    <w:rsid w:val="00B155F8"/>
    <w:rsid w:val="00B156FC"/>
    <w:rsid w:val="00B15902"/>
    <w:rsid w:val="00B15B5A"/>
    <w:rsid w:val="00B15B8A"/>
    <w:rsid w:val="00B15C72"/>
    <w:rsid w:val="00B15CE4"/>
    <w:rsid w:val="00B15DE4"/>
    <w:rsid w:val="00B15E83"/>
    <w:rsid w:val="00B15E88"/>
    <w:rsid w:val="00B15F13"/>
    <w:rsid w:val="00B16169"/>
    <w:rsid w:val="00B161BC"/>
    <w:rsid w:val="00B16285"/>
    <w:rsid w:val="00B1649C"/>
    <w:rsid w:val="00B164B3"/>
    <w:rsid w:val="00B16623"/>
    <w:rsid w:val="00B16678"/>
    <w:rsid w:val="00B16741"/>
    <w:rsid w:val="00B167A6"/>
    <w:rsid w:val="00B1686B"/>
    <w:rsid w:val="00B16909"/>
    <w:rsid w:val="00B16B4B"/>
    <w:rsid w:val="00B16B72"/>
    <w:rsid w:val="00B16BB9"/>
    <w:rsid w:val="00B16BC2"/>
    <w:rsid w:val="00B16C08"/>
    <w:rsid w:val="00B16D72"/>
    <w:rsid w:val="00B16D91"/>
    <w:rsid w:val="00B16DF3"/>
    <w:rsid w:val="00B16E23"/>
    <w:rsid w:val="00B16E37"/>
    <w:rsid w:val="00B16E9B"/>
    <w:rsid w:val="00B16EC7"/>
    <w:rsid w:val="00B170AC"/>
    <w:rsid w:val="00B170AF"/>
    <w:rsid w:val="00B1721F"/>
    <w:rsid w:val="00B17558"/>
    <w:rsid w:val="00B175BD"/>
    <w:rsid w:val="00B1766E"/>
    <w:rsid w:val="00B177FC"/>
    <w:rsid w:val="00B17883"/>
    <w:rsid w:val="00B178AD"/>
    <w:rsid w:val="00B178D0"/>
    <w:rsid w:val="00B17ADE"/>
    <w:rsid w:val="00B17B0B"/>
    <w:rsid w:val="00B17B13"/>
    <w:rsid w:val="00B17C20"/>
    <w:rsid w:val="00B17C6F"/>
    <w:rsid w:val="00B17D54"/>
    <w:rsid w:val="00B17D6C"/>
    <w:rsid w:val="00B17E4A"/>
    <w:rsid w:val="00B20029"/>
    <w:rsid w:val="00B2024F"/>
    <w:rsid w:val="00B20254"/>
    <w:rsid w:val="00B2037D"/>
    <w:rsid w:val="00B2056B"/>
    <w:rsid w:val="00B20690"/>
    <w:rsid w:val="00B2078D"/>
    <w:rsid w:val="00B208A6"/>
    <w:rsid w:val="00B208BD"/>
    <w:rsid w:val="00B20A16"/>
    <w:rsid w:val="00B20ADB"/>
    <w:rsid w:val="00B20AE0"/>
    <w:rsid w:val="00B20B84"/>
    <w:rsid w:val="00B20B92"/>
    <w:rsid w:val="00B20C35"/>
    <w:rsid w:val="00B20C40"/>
    <w:rsid w:val="00B20C55"/>
    <w:rsid w:val="00B20DB7"/>
    <w:rsid w:val="00B20F5C"/>
    <w:rsid w:val="00B20F5D"/>
    <w:rsid w:val="00B21037"/>
    <w:rsid w:val="00B21272"/>
    <w:rsid w:val="00B2129E"/>
    <w:rsid w:val="00B213B1"/>
    <w:rsid w:val="00B2146C"/>
    <w:rsid w:val="00B21577"/>
    <w:rsid w:val="00B21578"/>
    <w:rsid w:val="00B215A9"/>
    <w:rsid w:val="00B2161B"/>
    <w:rsid w:val="00B21641"/>
    <w:rsid w:val="00B21865"/>
    <w:rsid w:val="00B21982"/>
    <w:rsid w:val="00B219DC"/>
    <w:rsid w:val="00B21A31"/>
    <w:rsid w:val="00B21B8E"/>
    <w:rsid w:val="00B21C35"/>
    <w:rsid w:val="00B21E85"/>
    <w:rsid w:val="00B21F04"/>
    <w:rsid w:val="00B21FFC"/>
    <w:rsid w:val="00B2204A"/>
    <w:rsid w:val="00B2207C"/>
    <w:rsid w:val="00B221D1"/>
    <w:rsid w:val="00B2230F"/>
    <w:rsid w:val="00B22396"/>
    <w:rsid w:val="00B22425"/>
    <w:rsid w:val="00B224C4"/>
    <w:rsid w:val="00B224DC"/>
    <w:rsid w:val="00B22687"/>
    <w:rsid w:val="00B2268D"/>
    <w:rsid w:val="00B226F3"/>
    <w:rsid w:val="00B2271C"/>
    <w:rsid w:val="00B22734"/>
    <w:rsid w:val="00B2274F"/>
    <w:rsid w:val="00B22847"/>
    <w:rsid w:val="00B22948"/>
    <w:rsid w:val="00B2296B"/>
    <w:rsid w:val="00B22990"/>
    <w:rsid w:val="00B22B7A"/>
    <w:rsid w:val="00B22BD1"/>
    <w:rsid w:val="00B22C12"/>
    <w:rsid w:val="00B22C27"/>
    <w:rsid w:val="00B22F93"/>
    <w:rsid w:val="00B2317D"/>
    <w:rsid w:val="00B23184"/>
    <w:rsid w:val="00B23204"/>
    <w:rsid w:val="00B2347A"/>
    <w:rsid w:val="00B234A4"/>
    <w:rsid w:val="00B234B5"/>
    <w:rsid w:val="00B23573"/>
    <w:rsid w:val="00B23581"/>
    <w:rsid w:val="00B2359A"/>
    <w:rsid w:val="00B23603"/>
    <w:rsid w:val="00B23605"/>
    <w:rsid w:val="00B237EE"/>
    <w:rsid w:val="00B238B7"/>
    <w:rsid w:val="00B238F7"/>
    <w:rsid w:val="00B239C0"/>
    <w:rsid w:val="00B239CE"/>
    <w:rsid w:val="00B23A67"/>
    <w:rsid w:val="00B23A75"/>
    <w:rsid w:val="00B23A79"/>
    <w:rsid w:val="00B23AB7"/>
    <w:rsid w:val="00B23B8D"/>
    <w:rsid w:val="00B23C37"/>
    <w:rsid w:val="00B23CC8"/>
    <w:rsid w:val="00B23CFF"/>
    <w:rsid w:val="00B23D10"/>
    <w:rsid w:val="00B23ECC"/>
    <w:rsid w:val="00B24017"/>
    <w:rsid w:val="00B2405A"/>
    <w:rsid w:val="00B24094"/>
    <w:rsid w:val="00B240C1"/>
    <w:rsid w:val="00B241AD"/>
    <w:rsid w:val="00B241B7"/>
    <w:rsid w:val="00B241BF"/>
    <w:rsid w:val="00B24317"/>
    <w:rsid w:val="00B2433C"/>
    <w:rsid w:val="00B24406"/>
    <w:rsid w:val="00B244C3"/>
    <w:rsid w:val="00B24642"/>
    <w:rsid w:val="00B2469C"/>
    <w:rsid w:val="00B247CC"/>
    <w:rsid w:val="00B248BB"/>
    <w:rsid w:val="00B248DF"/>
    <w:rsid w:val="00B24A79"/>
    <w:rsid w:val="00B24BD8"/>
    <w:rsid w:val="00B24CB7"/>
    <w:rsid w:val="00B24CE4"/>
    <w:rsid w:val="00B24D05"/>
    <w:rsid w:val="00B24FC4"/>
    <w:rsid w:val="00B2529E"/>
    <w:rsid w:val="00B25548"/>
    <w:rsid w:val="00B25557"/>
    <w:rsid w:val="00B25655"/>
    <w:rsid w:val="00B25774"/>
    <w:rsid w:val="00B257CE"/>
    <w:rsid w:val="00B2585A"/>
    <w:rsid w:val="00B25916"/>
    <w:rsid w:val="00B25972"/>
    <w:rsid w:val="00B25B91"/>
    <w:rsid w:val="00B25BD0"/>
    <w:rsid w:val="00B25C72"/>
    <w:rsid w:val="00B25C73"/>
    <w:rsid w:val="00B25CDA"/>
    <w:rsid w:val="00B25CEE"/>
    <w:rsid w:val="00B25DD3"/>
    <w:rsid w:val="00B25F00"/>
    <w:rsid w:val="00B26033"/>
    <w:rsid w:val="00B26085"/>
    <w:rsid w:val="00B2608F"/>
    <w:rsid w:val="00B26164"/>
    <w:rsid w:val="00B262FF"/>
    <w:rsid w:val="00B263B7"/>
    <w:rsid w:val="00B2647A"/>
    <w:rsid w:val="00B26497"/>
    <w:rsid w:val="00B2651C"/>
    <w:rsid w:val="00B2658A"/>
    <w:rsid w:val="00B265F6"/>
    <w:rsid w:val="00B268C2"/>
    <w:rsid w:val="00B2690A"/>
    <w:rsid w:val="00B26A8E"/>
    <w:rsid w:val="00B26AB1"/>
    <w:rsid w:val="00B26ADD"/>
    <w:rsid w:val="00B26B23"/>
    <w:rsid w:val="00B26BC2"/>
    <w:rsid w:val="00B26C0C"/>
    <w:rsid w:val="00B26C87"/>
    <w:rsid w:val="00B26D72"/>
    <w:rsid w:val="00B26DB2"/>
    <w:rsid w:val="00B26EAB"/>
    <w:rsid w:val="00B270DF"/>
    <w:rsid w:val="00B2711F"/>
    <w:rsid w:val="00B2724C"/>
    <w:rsid w:val="00B27256"/>
    <w:rsid w:val="00B27520"/>
    <w:rsid w:val="00B27644"/>
    <w:rsid w:val="00B2773B"/>
    <w:rsid w:val="00B27782"/>
    <w:rsid w:val="00B27813"/>
    <w:rsid w:val="00B27841"/>
    <w:rsid w:val="00B27868"/>
    <w:rsid w:val="00B278C4"/>
    <w:rsid w:val="00B279B3"/>
    <w:rsid w:val="00B27A4F"/>
    <w:rsid w:val="00B27B9D"/>
    <w:rsid w:val="00B27BCE"/>
    <w:rsid w:val="00B27C1A"/>
    <w:rsid w:val="00B27C39"/>
    <w:rsid w:val="00B27D82"/>
    <w:rsid w:val="00B27E0E"/>
    <w:rsid w:val="00B27F2C"/>
    <w:rsid w:val="00B27F88"/>
    <w:rsid w:val="00B3008E"/>
    <w:rsid w:val="00B300D6"/>
    <w:rsid w:val="00B300F6"/>
    <w:rsid w:val="00B3012B"/>
    <w:rsid w:val="00B30165"/>
    <w:rsid w:val="00B30177"/>
    <w:rsid w:val="00B3024A"/>
    <w:rsid w:val="00B30354"/>
    <w:rsid w:val="00B30448"/>
    <w:rsid w:val="00B304C7"/>
    <w:rsid w:val="00B304EE"/>
    <w:rsid w:val="00B304F3"/>
    <w:rsid w:val="00B30514"/>
    <w:rsid w:val="00B305CB"/>
    <w:rsid w:val="00B3070F"/>
    <w:rsid w:val="00B3076A"/>
    <w:rsid w:val="00B3092A"/>
    <w:rsid w:val="00B30955"/>
    <w:rsid w:val="00B30957"/>
    <w:rsid w:val="00B30AD5"/>
    <w:rsid w:val="00B30BA5"/>
    <w:rsid w:val="00B30C0A"/>
    <w:rsid w:val="00B30D67"/>
    <w:rsid w:val="00B30E7B"/>
    <w:rsid w:val="00B30EC9"/>
    <w:rsid w:val="00B30F05"/>
    <w:rsid w:val="00B31026"/>
    <w:rsid w:val="00B31080"/>
    <w:rsid w:val="00B311DA"/>
    <w:rsid w:val="00B312B7"/>
    <w:rsid w:val="00B313FC"/>
    <w:rsid w:val="00B314AD"/>
    <w:rsid w:val="00B3155C"/>
    <w:rsid w:val="00B315E7"/>
    <w:rsid w:val="00B316E5"/>
    <w:rsid w:val="00B31706"/>
    <w:rsid w:val="00B31765"/>
    <w:rsid w:val="00B317A0"/>
    <w:rsid w:val="00B31CE6"/>
    <w:rsid w:val="00B31DB2"/>
    <w:rsid w:val="00B31FAF"/>
    <w:rsid w:val="00B320D2"/>
    <w:rsid w:val="00B32108"/>
    <w:rsid w:val="00B32179"/>
    <w:rsid w:val="00B32248"/>
    <w:rsid w:val="00B32372"/>
    <w:rsid w:val="00B32537"/>
    <w:rsid w:val="00B326A1"/>
    <w:rsid w:val="00B3283E"/>
    <w:rsid w:val="00B328D9"/>
    <w:rsid w:val="00B3293C"/>
    <w:rsid w:val="00B32A3D"/>
    <w:rsid w:val="00B32AA4"/>
    <w:rsid w:val="00B32BFD"/>
    <w:rsid w:val="00B32C4D"/>
    <w:rsid w:val="00B32CCB"/>
    <w:rsid w:val="00B32D6C"/>
    <w:rsid w:val="00B32D6E"/>
    <w:rsid w:val="00B32DB2"/>
    <w:rsid w:val="00B32E36"/>
    <w:rsid w:val="00B32E7F"/>
    <w:rsid w:val="00B32FAC"/>
    <w:rsid w:val="00B32FC6"/>
    <w:rsid w:val="00B330EB"/>
    <w:rsid w:val="00B33258"/>
    <w:rsid w:val="00B3336D"/>
    <w:rsid w:val="00B33503"/>
    <w:rsid w:val="00B3351B"/>
    <w:rsid w:val="00B3357A"/>
    <w:rsid w:val="00B3361B"/>
    <w:rsid w:val="00B338B7"/>
    <w:rsid w:val="00B339EA"/>
    <w:rsid w:val="00B33A0F"/>
    <w:rsid w:val="00B33A49"/>
    <w:rsid w:val="00B33B08"/>
    <w:rsid w:val="00B33B13"/>
    <w:rsid w:val="00B33CD6"/>
    <w:rsid w:val="00B33D99"/>
    <w:rsid w:val="00B33E03"/>
    <w:rsid w:val="00B33E61"/>
    <w:rsid w:val="00B33E6B"/>
    <w:rsid w:val="00B33E97"/>
    <w:rsid w:val="00B33F9C"/>
    <w:rsid w:val="00B34005"/>
    <w:rsid w:val="00B34034"/>
    <w:rsid w:val="00B3410C"/>
    <w:rsid w:val="00B3411A"/>
    <w:rsid w:val="00B341F0"/>
    <w:rsid w:val="00B342DB"/>
    <w:rsid w:val="00B34391"/>
    <w:rsid w:val="00B34589"/>
    <w:rsid w:val="00B345ED"/>
    <w:rsid w:val="00B34667"/>
    <w:rsid w:val="00B346D7"/>
    <w:rsid w:val="00B34834"/>
    <w:rsid w:val="00B349F1"/>
    <w:rsid w:val="00B34C7F"/>
    <w:rsid w:val="00B34CA5"/>
    <w:rsid w:val="00B34CCE"/>
    <w:rsid w:val="00B34CE5"/>
    <w:rsid w:val="00B34EBD"/>
    <w:rsid w:val="00B350BA"/>
    <w:rsid w:val="00B350F5"/>
    <w:rsid w:val="00B35272"/>
    <w:rsid w:val="00B352B2"/>
    <w:rsid w:val="00B352F6"/>
    <w:rsid w:val="00B353D2"/>
    <w:rsid w:val="00B353EE"/>
    <w:rsid w:val="00B35423"/>
    <w:rsid w:val="00B3543E"/>
    <w:rsid w:val="00B3546C"/>
    <w:rsid w:val="00B355EC"/>
    <w:rsid w:val="00B3584B"/>
    <w:rsid w:val="00B358E2"/>
    <w:rsid w:val="00B35A59"/>
    <w:rsid w:val="00B35A8D"/>
    <w:rsid w:val="00B35A99"/>
    <w:rsid w:val="00B35AA9"/>
    <w:rsid w:val="00B35B15"/>
    <w:rsid w:val="00B35B54"/>
    <w:rsid w:val="00B35C59"/>
    <w:rsid w:val="00B35C7A"/>
    <w:rsid w:val="00B35D86"/>
    <w:rsid w:val="00B35D8A"/>
    <w:rsid w:val="00B35E02"/>
    <w:rsid w:val="00B35E06"/>
    <w:rsid w:val="00B35F83"/>
    <w:rsid w:val="00B361B9"/>
    <w:rsid w:val="00B3626D"/>
    <w:rsid w:val="00B36447"/>
    <w:rsid w:val="00B36836"/>
    <w:rsid w:val="00B36855"/>
    <w:rsid w:val="00B368EA"/>
    <w:rsid w:val="00B36A47"/>
    <w:rsid w:val="00B36AEE"/>
    <w:rsid w:val="00B36CA9"/>
    <w:rsid w:val="00B36E56"/>
    <w:rsid w:val="00B36E66"/>
    <w:rsid w:val="00B36EC0"/>
    <w:rsid w:val="00B36F33"/>
    <w:rsid w:val="00B36FC9"/>
    <w:rsid w:val="00B3704D"/>
    <w:rsid w:val="00B37121"/>
    <w:rsid w:val="00B37229"/>
    <w:rsid w:val="00B3731E"/>
    <w:rsid w:val="00B3736D"/>
    <w:rsid w:val="00B3749D"/>
    <w:rsid w:val="00B37523"/>
    <w:rsid w:val="00B3779C"/>
    <w:rsid w:val="00B37827"/>
    <w:rsid w:val="00B3787F"/>
    <w:rsid w:val="00B37A38"/>
    <w:rsid w:val="00B37ACB"/>
    <w:rsid w:val="00B37AF7"/>
    <w:rsid w:val="00B37BC9"/>
    <w:rsid w:val="00B37BF1"/>
    <w:rsid w:val="00B37CE6"/>
    <w:rsid w:val="00B37D68"/>
    <w:rsid w:val="00B37D90"/>
    <w:rsid w:val="00B37E1D"/>
    <w:rsid w:val="00B37E6D"/>
    <w:rsid w:val="00B37E78"/>
    <w:rsid w:val="00B37F81"/>
    <w:rsid w:val="00B37FBC"/>
    <w:rsid w:val="00B37FDD"/>
    <w:rsid w:val="00B40037"/>
    <w:rsid w:val="00B40087"/>
    <w:rsid w:val="00B401BA"/>
    <w:rsid w:val="00B40209"/>
    <w:rsid w:val="00B4042A"/>
    <w:rsid w:val="00B40655"/>
    <w:rsid w:val="00B40697"/>
    <w:rsid w:val="00B406AE"/>
    <w:rsid w:val="00B4070B"/>
    <w:rsid w:val="00B40717"/>
    <w:rsid w:val="00B4075F"/>
    <w:rsid w:val="00B40866"/>
    <w:rsid w:val="00B408BA"/>
    <w:rsid w:val="00B4099E"/>
    <w:rsid w:val="00B40A71"/>
    <w:rsid w:val="00B40ACD"/>
    <w:rsid w:val="00B40B85"/>
    <w:rsid w:val="00B40CA6"/>
    <w:rsid w:val="00B40EE2"/>
    <w:rsid w:val="00B41042"/>
    <w:rsid w:val="00B41131"/>
    <w:rsid w:val="00B411DD"/>
    <w:rsid w:val="00B412EC"/>
    <w:rsid w:val="00B413F0"/>
    <w:rsid w:val="00B413F5"/>
    <w:rsid w:val="00B4140C"/>
    <w:rsid w:val="00B41435"/>
    <w:rsid w:val="00B414D8"/>
    <w:rsid w:val="00B41548"/>
    <w:rsid w:val="00B4154A"/>
    <w:rsid w:val="00B416AF"/>
    <w:rsid w:val="00B416BE"/>
    <w:rsid w:val="00B416C0"/>
    <w:rsid w:val="00B417E0"/>
    <w:rsid w:val="00B41915"/>
    <w:rsid w:val="00B419E3"/>
    <w:rsid w:val="00B41A3C"/>
    <w:rsid w:val="00B41B3A"/>
    <w:rsid w:val="00B41D23"/>
    <w:rsid w:val="00B4203D"/>
    <w:rsid w:val="00B420B9"/>
    <w:rsid w:val="00B42288"/>
    <w:rsid w:val="00B423DC"/>
    <w:rsid w:val="00B4244A"/>
    <w:rsid w:val="00B42461"/>
    <w:rsid w:val="00B4256E"/>
    <w:rsid w:val="00B42814"/>
    <w:rsid w:val="00B4298B"/>
    <w:rsid w:val="00B429FF"/>
    <w:rsid w:val="00B42B4A"/>
    <w:rsid w:val="00B42B4E"/>
    <w:rsid w:val="00B42CDE"/>
    <w:rsid w:val="00B42CE3"/>
    <w:rsid w:val="00B42D09"/>
    <w:rsid w:val="00B42D1B"/>
    <w:rsid w:val="00B42ECA"/>
    <w:rsid w:val="00B43006"/>
    <w:rsid w:val="00B43093"/>
    <w:rsid w:val="00B430AD"/>
    <w:rsid w:val="00B4314F"/>
    <w:rsid w:val="00B43210"/>
    <w:rsid w:val="00B4329C"/>
    <w:rsid w:val="00B43351"/>
    <w:rsid w:val="00B434E8"/>
    <w:rsid w:val="00B43537"/>
    <w:rsid w:val="00B43631"/>
    <w:rsid w:val="00B43730"/>
    <w:rsid w:val="00B43837"/>
    <w:rsid w:val="00B43860"/>
    <w:rsid w:val="00B438A5"/>
    <w:rsid w:val="00B439A3"/>
    <w:rsid w:val="00B439B5"/>
    <w:rsid w:val="00B439BC"/>
    <w:rsid w:val="00B43A1E"/>
    <w:rsid w:val="00B43A91"/>
    <w:rsid w:val="00B43AD7"/>
    <w:rsid w:val="00B43B1A"/>
    <w:rsid w:val="00B43B3F"/>
    <w:rsid w:val="00B43BA6"/>
    <w:rsid w:val="00B43BB6"/>
    <w:rsid w:val="00B43C8F"/>
    <w:rsid w:val="00B43D1E"/>
    <w:rsid w:val="00B44016"/>
    <w:rsid w:val="00B44384"/>
    <w:rsid w:val="00B443C4"/>
    <w:rsid w:val="00B4444D"/>
    <w:rsid w:val="00B44553"/>
    <w:rsid w:val="00B447CA"/>
    <w:rsid w:val="00B4482D"/>
    <w:rsid w:val="00B44B62"/>
    <w:rsid w:val="00B44C44"/>
    <w:rsid w:val="00B44E49"/>
    <w:rsid w:val="00B44ED0"/>
    <w:rsid w:val="00B45017"/>
    <w:rsid w:val="00B45298"/>
    <w:rsid w:val="00B452A0"/>
    <w:rsid w:val="00B452B9"/>
    <w:rsid w:val="00B453AF"/>
    <w:rsid w:val="00B453E2"/>
    <w:rsid w:val="00B454C8"/>
    <w:rsid w:val="00B4560B"/>
    <w:rsid w:val="00B45634"/>
    <w:rsid w:val="00B45666"/>
    <w:rsid w:val="00B457BB"/>
    <w:rsid w:val="00B457DF"/>
    <w:rsid w:val="00B45874"/>
    <w:rsid w:val="00B45C23"/>
    <w:rsid w:val="00B45C53"/>
    <w:rsid w:val="00B45C5B"/>
    <w:rsid w:val="00B45CE6"/>
    <w:rsid w:val="00B45DFB"/>
    <w:rsid w:val="00B45E1D"/>
    <w:rsid w:val="00B45E3B"/>
    <w:rsid w:val="00B4600F"/>
    <w:rsid w:val="00B4601A"/>
    <w:rsid w:val="00B460F6"/>
    <w:rsid w:val="00B463EE"/>
    <w:rsid w:val="00B4640F"/>
    <w:rsid w:val="00B464C1"/>
    <w:rsid w:val="00B46630"/>
    <w:rsid w:val="00B46817"/>
    <w:rsid w:val="00B46824"/>
    <w:rsid w:val="00B46B57"/>
    <w:rsid w:val="00B46DA6"/>
    <w:rsid w:val="00B470D8"/>
    <w:rsid w:val="00B47337"/>
    <w:rsid w:val="00B47365"/>
    <w:rsid w:val="00B47426"/>
    <w:rsid w:val="00B4746F"/>
    <w:rsid w:val="00B474C3"/>
    <w:rsid w:val="00B475D4"/>
    <w:rsid w:val="00B476A6"/>
    <w:rsid w:val="00B4777A"/>
    <w:rsid w:val="00B477B0"/>
    <w:rsid w:val="00B47869"/>
    <w:rsid w:val="00B4795A"/>
    <w:rsid w:val="00B479B9"/>
    <w:rsid w:val="00B47ADF"/>
    <w:rsid w:val="00B47B11"/>
    <w:rsid w:val="00B47B3F"/>
    <w:rsid w:val="00B47B7C"/>
    <w:rsid w:val="00B47CF1"/>
    <w:rsid w:val="00B47F0E"/>
    <w:rsid w:val="00B47F4E"/>
    <w:rsid w:val="00B5017F"/>
    <w:rsid w:val="00B50324"/>
    <w:rsid w:val="00B50335"/>
    <w:rsid w:val="00B50369"/>
    <w:rsid w:val="00B5037A"/>
    <w:rsid w:val="00B50579"/>
    <w:rsid w:val="00B50701"/>
    <w:rsid w:val="00B507D4"/>
    <w:rsid w:val="00B5089E"/>
    <w:rsid w:val="00B508B3"/>
    <w:rsid w:val="00B508B6"/>
    <w:rsid w:val="00B5091C"/>
    <w:rsid w:val="00B509C5"/>
    <w:rsid w:val="00B509F8"/>
    <w:rsid w:val="00B50A1D"/>
    <w:rsid w:val="00B50B9B"/>
    <w:rsid w:val="00B50F73"/>
    <w:rsid w:val="00B5111F"/>
    <w:rsid w:val="00B51203"/>
    <w:rsid w:val="00B51286"/>
    <w:rsid w:val="00B5148B"/>
    <w:rsid w:val="00B515D9"/>
    <w:rsid w:val="00B5163E"/>
    <w:rsid w:val="00B519CB"/>
    <w:rsid w:val="00B51A9D"/>
    <w:rsid w:val="00B51ACF"/>
    <w:rsid w:val="00B51BA3"/>
    <w:rsid w:val="00B51BAF"/>
    <w:rsid w:val="00B51BED"/>
    <w:rsid w:val="00B51DAC"/>
    <w:rsid w:val="00B51DB3"/>
    <w:rsid w:val="00B51E42"/>
    <w:rsid w:val="00B51F21"/>
    <w:rsid w:val="00B51F77"/>
    <w:rsid w:val="00B51FE8"/>
    <w:rsid w:val="00B5225C"/>
    <w:rsid w:val="00B522FA"/>
    <w:rsid w:val="00B523CD"/>
    <w:rsid w:val="00B52728"/>
    <w:rsid w:val="00B5278A"/>
    <w:rsid w:val="00B527DC"/>
    <w:rsid w:val="00B52B34"/>
    <w:rsid w:val="00B52C5B"/>
    <w:rsid w:val="00B52CB9"/>
    <w:rsid w:val="00B52CDD"/>
    <w:rsid w:val="00B52E7D"/>
    <w:rsid w:val="00B52E8B"/>
    <w:rsid w:val="00B53049"/>
    <w:rsid w:val="00B5321C"/>
    <w:rsid w:val="00B53233"/>
    <w:rsid w:val="00B53390"/>
    <w:rsid w:val="00B533E2"/>
    <w:rsid w:val="00B533FF"/>
    <w:rsid w:val="00B53498"/>
    <w:rsid w:val="00B5363B"/>
    <w:rsid w:val="00B536CD"/>
    <w:rsid w:val="00B536E3"/>
    <w:rsid w:val="00B536F4"/>
    <w:rsid w:val="00B5389A"/>
    <w:rsid w:val="00B539E4"/>
    <w:rsid w:val="00B53AA2"/>
    <w:rsid w:val="00B53ABA"/>
    <w:rsid w:val="00B53ABF"/>
    <w:rsid w:val="00B53C5D"/>
    <w:rsid w:val="00B53C63"/>
    <w:rsid w:val="00B53CFB"/>
    <w:rsid w:val="00B53EE4"/>
    <w:rsid w:val="00B53EF2"/>
    <w:rsid w:val="00B53F94"/>
    <w:rsid w:val="00B5401D"/>
    <w:rsid w:val="00B54097"/>
    <w:rsid w:val="00B540E3"/>
    <w:rsid w:val="00B541C9"/>
    <w:rsid w:val="00B5428B"/>
    <w:rsid w:val="00B54455"/>
    <w:rsid w:val="00B544A2"/>
    <w:rsid w:val="00B54564"/>
    <w:rsid w:val="00B54613"/>
    <w:rsid w:val="00B54859"/>
    <w:rsid w:val="00B548E0"/>
    <w:rsid w:val="00B54976"/>
    <w:rsid w:val="00B549D3"/>
    <w:rsid w:val="00B54A67"/>
    <w:rsid w:val="00B54A7B"/>
    <w:rsid w:val="00B54B82"/>
    <w:rsid w:val="00B54D65"/>
    <w:rsid w:val="00B54DF6"/>
    <w:rsid w:val="00B5507E"/>
    <w:rsid w:val="00B553CA"/>
    <w:rsid w:val="00B55521"/>
    <w:rsid w:val="00B55533"/>
    <w:rsid w:val="00B5559D"/>
    <w:rsid w:val="00B55609"/>
    <w:rsid w:val="00B556E9"/>
    <w:rsid w:val="00B5581D"/>
    <w:rsid w:val="00B5596B"/>
    <w:rsid w:val="00B55B5F"/>
    <w:rsid w:val="00B55B87"/>
    <w:rsid w:val="00B55C8A"/>
    <w:rsid w:val="00B55D2A"/>
    <w:rsid w:val="00B55F42"/>
    <w:rsid w:val="00B55F89"/>
    <w:rsid w:val="00B55FB7"/>
    <w:rsid w:val="00B560A4"/>
    <w:rsid w:val="00B56120"/>
    <w:rsid w:val="00B561AE"/>
    <w:rsid w:val="00B56226"/>
    <w:rsid w:val="00B562A0"/>
    <w:rsid w:val="00B56324"/>
    <w:rsid w:val="00B563DF"/>
    <w:rsid w:val="00B564A1"/>
    <w:rsid w:val="00B564CD"/>
    <w:rsid w:val="00B564DA"/>
    <w:rsid w:val="00B56693"/>
    <w:rsid w:val="00B56899"/>
    <w:rsid w:val="00B569AB"/>
    <w:rsid w:val="00B56A91"/>
    <w:rsid w:val="00B56AF1"/>
    <w:rsid w:val="00B56AFB"/>
    <w:rsid w:val="00B56BD3"/>
    <w:rsid w:val="00B56C34"/>
    <w:rsid w:val="00B56D96"/>
    <w:rsid w:val="00B56E9C"/>
    <w:rsid w:val="00B5702E"/>
    <w:rsid w:val="00B57066"/>
    <w:rsid w:val="00B570E5"/>
    <w:rsid w:val="00B57143"/>
    <w:rsid w:val="00B57173"/>
    <w:rsid w:val="00B57190"/>
    <w:rsid w:val="00B571BA"/>
    <w:rsid w:val="00B571BF"/>
    <w:rsid w:val="00B571D8"/>
    <w:rsid w:val="00B57326"/>
    <w:rsid w:val="00B573BD"/>
    <w:rsid w:val="00B573EB"/>
    <w:rsid w:val="00B573F6"/>
    <w:rsid w:val="00B5752A"/>
    <w:rsid w:val="00B5761E"/>
    <w:rsid w:val="00B57660"/>
    <w:rsid w:val="00B57671"/>
    <w:rsid w:val="00B577AF"/>
    <w:rsid w:val="00B57825"/>
    <w:rsid w:val="00B5782F"/>
    <w:rsid w:val="00B578F0"/>
    <w:rsid w:val="00B57A2F"/>
    <w:rsid w:val="00B57B92"/>
    <w:rsid w:val="00B57D85"/>
    <w:rsid w:val="00B57D8F"/>
    <w:rsid w:val="00B57FE1"/>
    <w:rsid w:val="00B600D8"/>
    <w:rsid w:val="00B60289"/>
    <w:rsid w:val="00B604F8"/>
    <w:rsid w:val="00B604FE"/>
    <w:rsid w:val="00B6057C"/>
    <w:rsid w:val="00B60759"/>
    <w:rsid w:val="00B6085B"/>
    <w:rsid w:val="00B608BC"/>
    <w:rsid w:val="00B608BF"/>
    <w:rsid w:val="00B60976"/>
    <w:rsid w:val="00B609E5"/>
    <w:rsid w:val="00B609E7"/>
    <w:rsid w:val="00B60C23"/>
    <w:rsid w:val="00B60C84"/>
    <w:rsid w:val="00B60F8D"/>
    <w:rsid w:val="00B6107A"/>
    <w:rsid w:val="00B61159"/>
    <w:rsid w:val="00B612C9"/>
    <w:rsid w:val="00B61363"/>
    <w:rsid w:val="00B6144A"/>
    <w:rsid w:val="00B617F9"/>
    <w:rsid w:val="00B618BA"/>
    <w:rsid w:val="00B61AF4"/>
    <w:rsid w:val="00B61B49"/>
    <w:rsid w:val="00B61BDB"/>
    <w:rsid w:val="00B61C91"/>
    <w:rsid w:val="00B61CF7"/>
    <w:rsid w:val="00B61D2B"/>
    <w:rsid w:val="00B61E97"/>
    <w:rsid w:val="00B61FA0"/>
    <w:rsid w:val="00B620C2"/>
    <w:rsid w:val="00B621C5"/>
    <w:rsid w:val="00B622B9"/>
    <w:rsid w:val="00B6236C"/>
    <w:rsid w:val="00B62541"/>
    <w:rsid w:val="00B62543"/>
    <w:rsid w:val="00B6258D"/>
    <w:rsid w:val="00B625B2"/>
    <w:rsid w:val="00B627A5"/>
    <w:rsid w:val="00B627CE"/>
    <w:rsid w:val="00B628F0"/>
    <w:rsid w:val="00B629FF"/>
    <w:rsid w:val="00B62BAD"/>
    <w:rsid w:val="00B62D1E"/>
    <w:rsid w:val="00B62E06"/>
    <w:rsid w:val="00B62E28"/>
    <w:rsid w:val="00B62E89"/>
    <w:rsid w:val="00B62EB3"/>
    <w:rsid w:val="00B62F2C"/>
    <w:rsid w:val="00B62F80"/>
    <w:rsid w:val="00B63086"/>
    <w:rsid w:val="00B630DD"/>
    <w:rsid w:val="00B6316F"/>
    <w:rsid w:val="00B631B1"/>
    <w:rsid w:val="00B631E6"/>
    <w:rsid w:val="00B6334D"/>
    <w:rsid w:val="00B6337F"/>
    <w:rsid w:val="00B633F4"/>
    <w:rsid w:val="00B6345C"/>
    <w:rsid w:val="00B635EE"/>
    <w:rsid w:val="00B63653"/>
    <w:rsid w:val="00B63883"/>
    <w:rsid w:val="00B63B5F"/>
    <w:rsid w:val="00B63C37"/>
    <w:rsid w:val="00B63E7D"/>
    <w:rsid w:val="00B63FEC"/>
    <w:rsid w:val="00B64080"/>
    <w:rsid w:val="00B641D5"/>
    <w:rsid w:val="00B6420E"/>
    <w:rsid w:val="00B64326"/>
    <w:rsid w:val="00B6455C"/>
    <w:rsid w:val="00B64613"/>
    <w:rsid w:val="00B646B2"/>
    <w:rsid w:val="00B6479E"/>
    <w:rsid w:val="00B647A3"/>
    <w:rsid w:val="00B647D5"/>
    <w:rsid w:val="00B648DA"/>
    <w:rsid w:val="00B6498E"/>
    <w:rsid w:val="00B649CA"/>
    <w:rsid w:val="00B64B84"/>
    <w:rsid w:val="00B64CD7"/>
    <w:rsid w:val="00B64E7D"/>
    <w:rsid w:val="00B64E95"/>
    <w:rsid w:val="00B64EAB"/>
    <w:rsid w:val="00B64F09"/>
    <w:rsid w:val="00B64F12"/>
    <w:rsid w:val="00B64FA4"/>
    <w:rsid w:val="00B65068"/>
    <w:rsid w:val="00B65089"/>
    <w:rsid w:val="00B65166"/>
    <w:rsid w:val="00B651AB"/>
    <w:rsid w:val="00B652D8"/>
    <w:rsid w:val="00B65354"/>
    <w:rsid w:val="00B6542A"/>
    <w:rsid w:val="00B654AB"/>
    <w:rsid w:val="00B6558D"/>
    <w:rsid w:val="00B655BD"/>
    <w:rsid w:val="00B655EF"/>
    <w:rsid w:val="00B656F6"/>
    <w:rsid w:val="00B65753"/>
    <w:rsid w:val="00B6592A"/>
    <w:rsid w:val="00B65A0E"/>
    <w:rsid w:val="00B65A8F"/>
    <w:rsid w:val="00B65AB0"/>
    <w:rsid w:val="00B65ADE"/>
    <w:rsid w:val="00B65B78"/>
    <w:rsid w:val="00B65D41"/>
    <w:rsid w:val="00B65DAA"/>
    <w:rsid w:val="00B65DE1"/>
    <w:rsid w:val="00B65E12"/>
    <w:rsid w:val="00B65E69"/>
    <w:rsid w:val="00B65E75"/>
    <w:rsid w:val="00B65F71"/>
    <w:rsid w:val="00B65FF0"/>
    <w:rsid w:val="00B66034"/>
    <w:rsid w:val="00B66048"/>
    <w:rsid w:val="00B6605A"/>
    <w:rsid w:val="00B660B1"/>
    <w:rsid w:val="00B660C5"/>
    <w:rsid w:val="00B66110"/>
    <w:rsid w:val="00B66121"/>
    <w:rsid w:val="00B6612D"/>
    <w:rsid w:val="00B6613B"/>
    <w:rsid w:val="00B66144"/>
    <w:rsid w:val="00B661CF"/>
    <w:rsid w:val="00B6624A"/>
    <w:rsid w:val="00B664F7"/>
    <w:rsid w:val="00B66747"/>
    <w:rsid w:val="00B66751"/>
    <w:rsid w:val="00B6679E"/>
    <w:rsid w:val="00B668AD"/>
    <w:rsid w:val="00B66A0E"/>
    <w:rsid w:val="00B66AE3"/>
    <w:rsid w:val="00B66AE4"/>
    <w:rsid w:val="00B66AFA"/>
    <w:rsid w:val="00B66B2F"/>
    <w:rsid w:val="00B66B34"/>
    <w:rsid w:val="00B66B9C"/>
    <w:rsid w:val="00B66C94"/>
    <w:rsid w:val="00B66CBB"/>
    <w:rsid w:val="00B66CFD"/>
    <w:rsid w:val="00B6712B"/>
    <w:rsid w:val="00B6734B"/>
    <w:rsid w:val="00B673AA"/>
    <w:rsid w:val="00B67500"/>
    <w:rsid w:val="00B67720"/>
    <w:rsid w:val="00B6781C"/>
    <w:rsid w:val="00B678A0"/>
    <w:rsid w:val="00B67A5A"/>
    <w:rsid w:val="00B67B4B"/>
    <w:rsid w:val="00B67BF7"/>
    <w:rsid w:val="00B67BFC"/>
    <w:rsid w:val="00B67CB3"/>
    <w:rsid w:val="00B67CC5"/>
    <w:rsid w:val="00B67CC7"/>
    <w:rsid w:val="00B67E56"/>
    <w:rsid w:val="00B67E83"/>
    <w:rsid w:val="00B67F39"/>
    <w:rsid w:val="00B700C9"/>
    <w:rsid w:val="00B7012D"/>
    <w:rsid w:val="00B702F7"/>
    <w:rsid w:val="00B70391"/>
    <w:rsid w:val="00B70552"/>
    <w:rsid w:val="00B70607"/>
    <w:rsid w:val="00B706E5"/>
    <w:rsid w:val="00B70747"/>
    <w:rsid w:val="00B70A38"/>
    <w:rsid w:val="00B70CAA"/>
    <w:rsid w:val="00B70D9B"/>
    <w:rsid w:val="00B70E81"/>
    <w:rsid w:val="00B70E83"/>
    <w:rsid w:val="00B70EC3"/>
    <w:rsid w:val="00B70EEC"/>
    <w:rsid w:val="00B70F8A"/>
    <w:rsid w:val="00B7109A"/>
    <w:rsid w:val="00B7114F"/>
    <w:rsid w:val="00B71280"/>
    <w:rsid w:val="00B712F7"/>
    <w:rsid w:val="00B713E4"/>
    <w:rsid w:val="00B7156C"/>
    <w:rsid w:val="00B7161C"/>
    <w:rsid w:val="00B7168E"/>
    <w:rsid w:val="00B716BF"/>
    <w:rsid w:val="00B717CB"/>
    <w:rsid w:val="00B718FB"/>
    <w:rsid w:val="00B71AAB"/>
    <w:rsid w:val="00B71B4B"/>
    <w:rsid w:val="00B720AA"/>
    <w:rsid w:val="00B7223B"/>
    <w:rsid w:val="00B72330"/>
    <w:rsid w:val="00B7245F"/>
    <w:rsid w:val="00B724D7"/>
    <w:rsid w:val="00B726FD"/>
    <w:rsid w:val="00B7279C"/>
    <w:rsid w:val="00B7296D"/>
    <w:rsid w:val="00B729A0"/>
    <w:rsid w:val="00B72A4D"/>
    <w:rsid w:val="00B72B16"/>
    <w:rsid w:val="00B72BD5"/>
    <w:rsid w:val="00B72DFE"/>
    <w:rsid w:val="00B72E15"/>
    <w:rsid w:val="00B72EA8"/>
    <w:rsid w:val="00B72EAB"/>
    <w:rsid w:val="00B72EFF"/>
    <w:rsid w:val="00B72FA0"/>
    <w:rsid w:val="00B730E8"/>
    <w:rsid w:val="00B73163"/>
    <w:rsid w:val="00B731D6"/>
    <w:rsid w:val="00B7328D"/>
    <w:rsid w:val="00B73449"/>
    <w:rsid w:val="00B734BD"/>
    <w:rsid w:val="00B7359B"/>
    <w:rsid w:val="00B735A8"/>
    <w:rsid w:val="00B735D3"/>
    <w:rsid w:val="00B736DF"/>
    <w:rsid w:val="00B738CC"/>
    <w:rsid w:val="00B738E5"/>
    <w:rsid w:val="00B73A6D"/>
    <w:rsid w:val="00B73B49"/>
    <w:rsid w:val="00B73B90"/>
    <w:rsid w:val="00B73CBB"/>
    <w:rsid w:val="00B73D75"/>
    <w:rsid w:val="00B73DAB"/>
    <w:rsid w:val="00B73DE6"/>
    <w:rsid w:val="00B73E01"/>
    <w:rsid w:val="00B73F20"/>
    <w:rsid w:val="00B74125"/>
    <w:rsid w:val="00B742BB"/>
    <w:rsid w:val="00B742D8"/>
    <w:rsid w:val="00B743FD"/>
    <w:rsid w:val="00B74411"/>
    <w:rsid w:val="00B74457"/>
    <w:rsid w:val="00B744B5"/>
    <w:rsid w:val="00B7456C"/>
    <w:rsid w:val="00B745B1"/>
    <w:rsid w:val="00B74670"/>
    <w:rsid w:val="00B746E6"/>
    <w:rsid w:val="00B74945"/>
    <w:rsid w:val="00B74A8B"/>
    <w:rsid w:val="00B74BB7"/>
    <w:rsid w:val="00B74BC1"/>
    <w:rsid w:val="00B74BCE"/>
    <w:rsid w:val="00B74D36"/>
    <w:rsid w:val="00B74D63"/>
    <w:rsid w:val="00B74D82"/>
    <w:rsid w:val="00B74DF2"/>
    <w:rsid w:val="00B74E0E"/>
    <w:rsid w:val="00B74F7F"/>
    <w:rsid w:val="00B74FB4"/>
    <w:rsid w:val="00B75022"/>
    <w:rsid w:val="00B75036"/>
    <w:rsid w:val="00B751C3"/>
    <w:rsid w:val="00B751CE"/>
    <w:rsid w:val="00B7521D"/>
    <w:rsid w:val="00B7529C"/>
    <w:rsid w:val="00B752F2"/>
    <w:rsid w:val="00B752F7"/>
    <w:rsid w:val="00B75348"/>
    <w:rsid w:val="00B75373"/>
    <w:rsid w:val="00B75510"/>
    <w:rsid w:val="00B75569"/>
    <w:rsid w:val="00B75602"/>
    <w:rsid w:val="00B7581D"/>
    <w:rsid w:val="00B758CF"/>
    <w:rsid w:val="00B758DE"/>
    <w:rsid w:val="00B75A5C"/>
    <w:rsid w:val="00B75B08"/>
    <w:rsid w:val="00B75C39"/>
    <w:rsid w:val="00B75C51"/>
    <w:rsid w:val="00B75C5A"/>
    <w:rsid w:val="00B75CCE"/>
    <w:rsid w:val="00B75D3F"/>
    <w:rsid w:val="00B75D6A"/>
    <w:rsid w:val="00B75DE1"/>
    <w:rsid w:val="00B75EA6"/>
    <w:rsid w:val="00B760FC"/>
    <w:rsid w:val="00B7611A"/>
    <w:rsid w:val="00B76123"/>
    <w:rsid w:val="00B76199"/>
    <w:rsid w:val="00B76269"/>
    <w:rsid w:val="00B76288"/>
    <w:rsid w:val="00B763AA"/>
    <w:rsid w:val="00B764C3"/>
    <w:rsid w:val="00B764F9"/>
    <w:rsid w:val="00B7687F"/>
    <w:rsid w:val="00B76B09"/>
    <w:rsid w:val="00B76BA5"/>
    <w:rsid w:val="00B76CB9"/>
    <w:rsid w:val="00B76CF2"/>
    <w:rsid w:val="00B76CF9"/>
    <w:rsid w:val="00B76DDF"/>
    <w:rsid w:val="00B76E43"/>
    <w:rsid w:val="00B77000"/>
    <w:rsid w:val="00B77001"/>
    <w:rsid w:val="00B77047"/>
    <w:rsid w:val="00B770EB"/>
    <w:rsid w:val="00B77208"/>
    <w:rsid w:val="00B77248"/>
    <w:rsid w:val="00B77261"/>
    <w:rsid w:val="00B773D9"/>
    <w:rsid w:val="00B775A0"/>
    <w:rsid w:val="00B77642"/>
    <w:rsid w:val="00B7764C"/>
    <w:rsid w:val="00B77668"/>
    <w:rsid w:val="00B776D3"/>
    <w:rsid w:val="00B77726"/>
    <w:rsid w:val="00B77771"/>
    <w:rsid w:val="00B7786C"/>
    <w:rsid w:val="00B7793E"/>
    <w:rsid w:val="00B77A94"/>
    <w:rsid w:val="00B77C4A"/>
    <w:rsid w:val="00B77C8D"/>
    <w:rsid w:val="00B800F9"/>
    <w:rsid w:val="00B801E6"/>
    <w:rsid w:val="00B80256"/>
    <w:rsid w:val="00B80280"/>
    <w:rsid w:val="00B802B2"/>
    <w:rsid w:val="00B802C5"/>
    <w:rsid w:val="00B805E9"/>
    <w:rsid w:val="00B806EB"/>
    <w:rsid w:val="00B808A2"/>
    <w:rsid w:val="00B8095C"/>
    <w:rsid w:val="00B80A36"/>
    <w:rsid w:val="00B80BA4"/>
    <w:rsid w:val="00B80C8E"/>
    <w:rsid w:val="00B80CA8"/>
    <w:rsid w:val="00B80CC9"/>
    <w:rsid w:val="00B80D1A"/>
    <w:rsid w:val="00B80D75"/>
    <w:rsid w:val="00B80DD1"/>
    <w:rsid w:val="00B80EEE"/>
    <w:rsid w:val="00B81033"/>
    <w:rsid w:val="00B81172"/>
    <w:rsid w:val="00B812AE"/>
    <w:rsid w:val="00B8134D"/>
    <w:rsid w:val="00B81450"/>
    <w:rsid w:val="00B81469"/>
    <w:rsid w:val="00B814D8"/>
    <w:rsid w:val="00B8156E"/>
    <w:rsid w:val="00B815A4"/>
    <w:rsid w:val="00B81792"/>
    <w:rsid w:val="00B81A11"/>
    <w:rsid w:val="00B81ADB"/>
    <w:rsid w:val="00B81C43"/>
    <w:rsid w:val="00B81EBB"/>
    <w:rsid w:val="00B81F1A"/>
    <w:rsid w:val="00B81F2A"/>
    <w:rsid w:val="00B81FA3"/>
    <w:rsid w:val="00B8213B"/>
    <w:rsid w:val="00B8216E"/>
    <w:rsid w:val="00B82287"/>
    <w:rsid w:val="00B82524"/>
    <w:rsid w:val="00B82631"/>
    <w:rsid w:val="00B826F8"/>
    <w:rsid w:val="00B82859"/>
    <w:rsid w:val="00B82961"/>
    <w:rsid w:val="00B8297E"/>
    <w:rsid w:val="00B82AD4"/>
    <w:rsid w:val="00B82AF0"/>
    <w:rsid w:val="00B82B9B"/>
    <w:rsid w:val="00B82BEB"/>
    <w:rsid w:val="00B82C1B"/>
    <w:rsid w:val="00B82CFF"/>
    <w:rsid w:val="00B82E74"/>
    <w:rsid w:val="00B82EA4"/>
    <w:rsid w:val="00B82F27"/>
    <w:rsid w:val="00B82FFB"/>
    <w:rsid w:val="00B832F6"/>
    <w:rsid w:val="00B8354A"/>
    <w:rsid w:val="00B83578"/>
    <w:rsid w:val="00B835A1"/>
    <w:rsid w:val="00B835FD"/>
    <w:rsid w:val="00B83703"/>
    <w:rsid w:val="00B83709"/>
    <w:rsid w:val="00B83746"/>
    <w:rsid w:val="00B837FA"/>
    <w:rsid w:val="00B839AA"/>
    <w:rsid w:val="00B83C4A"/>
    <w:rsid w:val="00B83C8D"/>
    <w:rsid w:val="00B83E3A"/>
    <w:rsid w:val="00B83ED0"/>
    <w:rsid w:val="00B83EE6"/>
    <w:rsid w:val="00B83F00"/>
    <w:rsid w:val="00B83F35"/>
    <w:rsid w:val="00B84074"/>
    <w:rsid w:val="00B84082"/>
    <w:rsid w:val="00B840CE"/>
    <w:rsid w:val="00B841D7"/>
    <w:rsid w:val="00B84414"/>
    <w:rsid w:val="00B8469E"/>
    <w:rsid w:val="00B846AD"/>
    <w:rsid w:val="00B846CA"/>
    <w:rsid w:val="00B846E9"/>
    <w:rsid w:val="00B84869"/>
    <w:rsid w:val="00B84887"/>
    <w:rsid w:val="00B84A0E"/>
    <w:rsid w:val="00B84A3A"/>
    <w:rsid w:val="00B84AF1"/>
    <w:rsid w:val="00B84B5B"/>
    <w:rsid w:val="00B84B7A"/>
    <w:rsid w:val="00B84BAA"/>
    <w:rsid w:val="00B84D3F"/>
    <w:rsid w:val="00B84DC2"/>
    <w:rsid w:val="00B84E30"/>
    <w:rsid w:val="00B84E7B"/>
    <w:rsid w:val="00B84EFA"/>
    <w:rsid w:val="00B84FE2"/>
    <w:rsid w:val="00B85050"/>
    <w:rsid w:val="00B8514F"/>
    <w:rsid w:val="00B85156"/>
    <w:rsid w:val="00B85169"/>
    <w:rsid w:val="00B851CE"/>
    <w:rsid w:val="00B851E7"/>
    <w:rsid w:val="00B85272"/>
    <w:rsid w:val="00B852CD"/>
    <w:rsid w:val="00B8533E"/>
    <w:rsid w:val="00B853C9"/>
    <w:rsid w:val="00B85478"/>
    <w:rsid w:val="00B85546"/>
    <w:rsid w:val="00B855D5"/>
    <w:rsid w:val="00B8561C"/>
    <w:rsid w:val="00B8574B"/>
    <w:rsid w:val="00B857AD"/>
    <w:rsid w:val="00B857B9"/>
    <w:rsid w:val="00B8582F"/>
    <w:rsid w:val="00B85A40"/>
    <w:rsid w:val="00B85AEF"/>
    <w:rsid w:val="00B85B53"/>
    <w:rsid w:val="00B85CB0"/>
    <w:rsid w:val="00B85CF3"/>
    <w:rsid w:val="00B85D18"/>
    <w:rsid w:val="00B85D1D"/>
    <w:rsid w:val="00B85F17"/>
    <w:rsid w:val="00B85F36"/>
    <w:rsid w:val="00B85F4A"/>
    <w:rsid w:val="00B85F4C"/>
    <w:rsid w:val="00B85FAB"/>
    <w:rsid w:val="00B85FE2"/>
    <w:rsid w:val="00B86192"/>
    <w:rsid w:val="00B8624A"/>
    <w:rsid w:val="00B862AF"/>
    <w:rsid w:val="00B862F0"/>
    <w:rsid w:val="00B86420"/>
    <w:rsid w:val="00B86431"/>
    <w:rsid w:val="00B864D8"/>
    <w:rsid w:val="00B864EB"/>
    <w:rsid w:val="00B8656E"/>
    <w:rsid w:val="00B865C3"/>
    <w:rsid w:val="00B865DF"/>
    <w:rsid w:val="00B8661F"/>
    <w:rsid w:val="00B86672"/>
    <w:rsid w:val="00B86851"/>
    <w:rsid w:val="00B868D0"/>
    <w:rsid w:val="00B869A6"/>
    <w:rsid w:val="00B869E7"/>
    <w:rsid w:val="00B86BD8"/>
    <w:rsid w:val="00B872D9"/>
    <w:rsid w:val="00B8753D"/>
    <w:rsid w:val="00B876C0"/>
    <w:rsid w:val="00B87705"/>
    <w:rsid w:val="00B87859"/>
    <w:rsid w:val="00B87ACA"/>
    <w:rsid w:val="00B87B89"/>
    <w:rsid w:val="00B87C58"/>
    <w:rsid w:val="00B87DD3"/>
    <w:rsid w:val="00B87DF7"/>
    <w:rsid w:val="00B87E3F"/>
    <w:rsid w:val="00B90005"/>
    <w:rsid w:val="00B90159"/>
    <w:rsid w:val="00B90182"/>
    <w:rsid w:val="00B9023E"/>
    <w:rsid w:val="00B90395"/>
    <w:rsid w:val="00B90472"/>
    <w:rsid w:val="00B90474"/>
    <w:rsid w:val="00B904E9"/>
    <w:rsid w:val="00B9069E"/>
    <w:rsid w:val="00B90772"/>
    <w:rsid w:val="00B90816"/>
    <w:rsid w:val="00B90934"/>
    <w:rsid w:val="00B90BD1"/>
    <w:rsid w:val="00B90C36"/>
    <w:rsid w:val="00B90C58"/>
    <w:rsid w:val="00B90C5A"/>
    <w:rsid w:val="00B90C5C"/>
    <w:rsid w:val="00B90D19"/>
    <w:rsid w:val="00B90DA1"/>
    <w:rsid w:val="00B90E86"/>
    <w:rsid w:val="00B90E9D"/>
    <w:rsid w:val="00B90F37"/>
    <w:rsid w:val="00B90F63"/>
    <w:rsid w:val="00B91018"/>
    <w:rsid w:val="00B9103A"/>
    <w:rsid w:val="00B912B2"/>
    <w:rsid w:val="00B9132B"/>
    <w:rsid w:val="00B9139D"/>
    <w:rsid w:val="00B9145A"/>
    <w:rsid w:val="00B914F6"/>
    <w:rsid w:val="00B91526"/>
    <w:rsid w:val="00B91614"/>
    <w:rsid w:val="00B9163C"/>
    <w:rsid w:val="00B917AE"/>
    <w:rsid w:val="00B91947"/>
    <w:rsid w:val="00B9196A"/>
    <w:rsid w:val="00B91B3C"/>
    <w:rsid w:val="00B91B45"/>
    <w:rsid w:val="00B91C45"/>
    <w:rsid w:val="00B91D47"/>
    <w:rsid w:val="00B91DB7"/>
    <w:rsid w:val="00B91E04"/>
    <w:rsid w:val="00B91E9F"/>
    <w:rsid w:val="00B91EA3"/>
    <w:rsid w:val="00B91EB9"/>
    <w:rsid w:val="00B91F36"/>
    <w:rsid w:val="00B91FFA"/>
    <w:rsid w:val="00B920DA"/>
    <w:rsid w:val="00B9218F"/>
    <w:rsid w:val="00B92366"/>
    <w:rsid w:val="00B92486"/>
    <w:rsid w:val="00B924AA"/>
    <w:rsid w:val="00B924F0"/>
    <w:rsid w:val="00B92707"/>
    <w:rsid w:val="00B9292F"/>
    <w:rsid w:val="00B92B2E"/>
    <w:rsid w:val="00B92B50"/>
    <w:rsid w:val="00B92C99"/>
    <w:rsid w:val="00B92CE8"/>
    <w:rsid w:val="00B92E18"/>
    <w:rsid w:val="00B92E7F"/>
    <w:rsid w:val="00B92EE3"/>
    <w:rsid w:val="00B92FDE"/>
    <w:rsid w:val="00B93081"/>
    <w:rsid w:val="00B93139"/>
    <w:rsid w:val="00B9320A"/>
    <w:rsid w:val="00B9325D"/>
    <w:rsid w:val="00B9329B"/>
    <w:rsid w:val="00B93313"/>
    <w:rsid w:val="00B9335B"/>
    <w:rsid w:val="00B9347A"/>
    <w:rsid w:val="00B93483"/>
    <w:rsid w:val="00B93539"/>
    <w:rsid w:val="00B93573"/>
    <w:rsid w:val="00B936B3"/>
    <w:rsid w:val="00B936C7"/>
    <w:rsid w:val="00B936CE"/>
    <w:rsid w:val="00B93722"/>
    <w:rsid w:val="00B93727"/>
    <w:rsid w:val="00B93736"/>
    <w:rsid w:val="00B93A5B"/>
    <w:rsid w:val="00B93ABB"/>
    <w:rsid w:val="00B93B21"/>
    <w:rsid w:val="00B93B9A"/>
    <w:rsid w:val="00B93BBE"/>
    <w:rsid w:val="00B93C6F"/>
    <w:rsid w:val="00B93E01"/>
    <w:rsid w:val="00B93EA2"/>
    <w:rsid w:val="00B93F31"/>
    <w:rsid w:val="00B93FCD"/>
    <w:rsid w:val="00B94049"/>
    <w:rsid w:val="00B94097"/>
    <w:rsid w:val="00B9418F"/>
    <w:rsid w:val="00B941DF"/>
    <w:rsid w:val="00B941EE"/>
    <w:rsid w:val="00B94387"/>
    <w:rsid w:val="00B94527"/>
    <w:rsid w:val="00B9456E"/>
    <w:rsid w:val="00B94605"/>
    <w:rsid w:val="00B94744"/>
    <w:rsid w:val="00B947E8"/>
    <w:rsid w:val="00B94877"/>
    <w:rsid w:val="00B9489E"/>
    <w:rsid w:val="00B94A0E"/>
    <w:rsid w:val="00B94B1F"/>
    <w:rsid w:val="00B94B7A"/>
    <w:rsid w:val="00B94EA4"/>
    <w:rsid w:val="00B94F61"/>
    <w:rsid w:val="00B95031"/>
    <w:rsid w:val="00B950A1"/>
    <w:rsid w:val="00B950E6"/>
    <w:rsid w:val="00B9524B"/>
    <w:rsid w:val="00B9528A"/>
    <w:rsid w:val="00B95301"/>
    <w:rsid w:val="00B9540B"/>
    <w:rsid w:val="00B95482"/>
    <w:rsid w:val="00B9554A"/>
    <w:rsid w:val="00B956C4"/>
    <w:rsid w:val="00B9570C"/>
    <w:rsid w:val="00B957E0"/>
    <w:rsid w:val="00B959C8"/>
    <w:rsid w:val="00B95BDF"/>
    <w:rsid w:val="00B95BEE"/>
    <w:rsid w:val="00B95C88"/>
    <w:rsid w:val="00B95D8B"/>
    <w:rsid w:val="00B95DA2"/>
    <w:rsid w:val="00B95DBD"/>
    <w:rsid w:val="00B95E8B"/>
    <w:rsid w:val="00B95F52"/>
    <w:rsid w:val="00B96075"/>
    <w:rsid w:val="00B960F8"/>
    <w:rsid w:val="00B961D1"/>
    <w:rsid w:val="00B96200"/>
    <w:rsid w:val="00B9620C"/>
    <w:rsid w:val="00B9630A"/>
    <w:rsid w:val="00B96515"/>
    <w:rsid w:val="00B9675D"/>
    <w:rsid w:val="00B96807"/>
    <w:rsid w:val="00B96809"/>
    <w:rsid w:val="00B9680C"/>
    <w:rsid w:val="00B9683A"/>
    <w:rsid w:val="00B96845"/>
    <w:rsid w:val="00B96927"/>
    <w:rsid w:val="00B96A5B"/>
    <w:rsid w:val="00B96B3C"/>
    <w:rsid w:val="00B96C2B"/>
    <w:rsid w:val="00B96C2F"/>
    <w:rsid w:val="00B96C38"/>
    <w:rsid w:val="00B96C92"/>
    <w:rsid w:val="00B96CFA"/>
    <w:rsid w:val="00B96DA9"/>
    <w:rsid w:val="00B96E43"/>
    <w:rsid w:val="00B96F77"/>
    <w:rsid w:val="00B96F80"/>
    <w:rsid w:val="00B9735C"/>
    <w:rsid w:val="00B973A6"/>
    <w:rsid w:val="00B973B1"/>
    <w:rsid w:val="00B9749B"/>
    <w:rsid w:val="00B97685"/>
    <w:rsid w:val="00B97717"/>
    <w:rsid w:val="00B9775C"/>
    <w:rsid w:val="00B97768"/>
    <w:rsid w:val="00B97814"/>
    <w:rsid w:val="00B97A24"/>
    <w:rsid w:val="00B97BDA"/>
    <w:rsid w:val="00B97CF3"/>
    <w:rsid w:val="00B97D28"/>
    <w:rsid w:val="00B97D44"/>
    <w:rsid w:val="00B97D67"/>
    <w:rsid w:val="00B97D9B"/>
    <w:rsid w:val="00B97E35"/>
    <w:rsid w:val="00B97EC2"/>
    <w:rsid w:val="00B97F1C"/>
    <w:rsid w:val="00BA0049"/>
    <w:rsid w:val="00BA00D6"/>
    <w:rsid w:val="00BA013C"/>
    <w:rsid w:val="00BA0237"/>
    <w:rsid w:val="00BA0253"/>
    <w:rsid w:val="00BA0400"/>
    <w:rsid w:val="00BA0612"/>
    <w:rsid w:val="00BA063B"/>
    <w:rsid w:val="00BA0664"/>
    <w:rsid w:val="00BA06DB"/>
    <w:rsid w:val="00BA07AB"/>
    <w:rsid w:val="00BA082A"/>
    <w:rsid w:val="00BA0999"/>
    <w:rsid w:val="00BA0AC0"/>
    <w:rsid w:val="00BA0B18"/>
    <w:rsid w:val="00BA0BED"/>
    <w:rsid w:val="00BA0C4B"/>
    <w:rsid w:val="00BA0DBC"/>
    <w:rsid w:val="00BA0E63"/>
    <w:rsid w:val="00BA0E6A"/>
    <w:rsid w:val="00BA0EA5"/>
    <w:rsid w:val="00BA0F2A"/>
    <w:rsid w:val="00BA0FEF"/>
    <w:rsid w:val="00BA1178"/>
    <w:rsid w:val="00BA12C0"/>
    <w:rsid w:val="00BA1303"/>
    <w:rsid w:val="00BA1308"/>
    <w:rsid w:val="00BA14EF"/>
    <w:rsid w:val="00BA184B"/>
    <w:rsid w:val="00BA184C"/>
    <w:rsid w:val="00BA185D"/>
    <w:rsid w:val="00BA194C"/>
    <w:rsid w:val="00BA1953"/>
    <w:rsid w:val="00BA1A70"/>
    <w:rsid w:val="00BA1AA0"/>
    <w:rsid w:val="00BA1AC2"/>
    <w:rsid w:val="00BA1B6A"/>
    <w:rsid w:val="00BA1BED"/>
    <w:rsid w:val="00BA1CAB"/>
    <w:rsid w:val="00BA1DD1"/>
    <w:rsid w:val="00BA1EA0"/>
    <w:rsid w:val="00BA1FA7"/>
    <w:rsid w:val="00BA202E"/>
    <w:rsid w:val="00BA2041"/>
    <w:rsid w:val="00BA2110"/>
    <w:rsid w:val="00BA232B"/>
    <w:rsid w:val="00BA23D9"/>
    <w:rsid w:val="00BA2613"/>
    <w:rsid w:val="00BA2677"/>
    <w:rsid w:val="00BA26A6"/>
    <w:rsid w:val="00BA276F"/>
    <w:rsid w:val="00BA2893"/>
    <w:rsid w:val="00BA2AE9"/>
    <w:rsid w:val="00BA2BC9"/>
    <w:rsid w:val="00BA3023"/>
    <w:rsid w:val="00BA310C"/>
    <w:rsid w:val="00BA3261"/>
    <w:rsid w:val="00BA3288"/>
    <w:rsid w:val="00BA32BC"/>
    <w:rsid w:val="00BA3386"/>
    <w:rsid w:val="00BA33A0"/>
    <w:rsid w:val="00BA33EC"/>
    <w:rsid w:val="00BA3401"/>
    <w:rsid w:val="00BA3718"/>
    <w:rsid w:val="00BA3771"/>
    <w:rsid w:val="00BA37F4"/>
    <w:rsid w:val="00BA3885"/>
    <w:rsid w:val="00BA3964"/>
    <w:rsid w:val="00BA39D9"/>
    <w:rsid w:val="00BA3A0C"/>
    <w:rsid w:val="00BA3A65"/>
    <w:rsid w:val="00BA3A90"/>
    <w:rsid w:val="00BA3BD1"/>
    <w:rsid w:val="00BA3CB8"/>
    <w:rsid w:val="00BA3CB9"/>
    <w:rsid w:val="00BA3D17"/>
    <w:rsid w:val="00BA3DD2"/>
    <w:rsid w:val="00BA3FC8"/>
    <w:rsid w:val="00BA4051"/>
    <w:rsid w:val="00BA40A3"/>
    <w:rsid w:val="00BA418B"/>
    <w:rsid w:val="00BA4213"/>
    <w:rsid w:val="00BA43D5"/>
    <w:rsid w:val="00BA44A3"/>
    <w:rsid w:val="00BA453E"/>
    <w:rsid w:val="00BA4573"/>
    <w:rsid w:val="00BA46B2"/>
    <w:rsid w:val="00BA4705"/>
    <w:rsid w:val="00BA484C"/>
    <w:rsid w:val="00BA495C"/>
    <w:rsid w:val="00BA4AEA"/>
    <w:rsid w:val="00BA4C33"/>
    <w:rsid w:val="00BA4C39"/>
    <w:rsid w:val="00BA4E10"/>
    <w:rsid w:val="00BA5099"/>
    <w:rsid w:val="00BA5142"/>
    <w:rsid w:val="00BA5177"/>
    <w:rsid w:val="00BA525A"/>
    <w:rsid w:val="00BA52B7"/>
    <w:rsid w:val="00BA535D"/>
    <w:rsid w:val="00BA5557"/>
    <w:rsid w:val="00BA5582"/>
    <w:rsid w:val="00BA55AE"/>
    <w:rsid w:val="00BA560A"/>
    <w:rsid w:val="00BA57FB"/>
    <w:rsid w:val="00BA5813"/>
    <w:rsid w:val="00BA589D"/>
    <w:rsid w:val="00BA5985"/>
    <w:rsid w:val="00BA59FA"/>
    <w:rsid w:val="00BA59FE"/>
    <w:rsid w:val="00BA5AB2"/>
    <w:rsid w:val="00BA5AFA"/>
    <w:rsid w:val="00BA5B4A"/>
    <w:rsid w:val="00BA5B8D"/>
    <w:rsid w:val="00BA5BCA"/>
    <w:rsid w:val="00BA5D73"/>
    <w:rsid w:val="00BA5ED1"/>
    <w:rsid w:val="00BA5F51"/>
    <w:rsid w:val="00BA5FE6"/>
    <w:rsid w:val="00BA5FF7"/>
    <w:rsid w:val="00BA600E"/>
    <w:rsid w:val="00BA6144"/>
    <w:rsid w:val="00BA6159"/>
    <w:rsid w:val="00BA626C"/>
    <w:rsid w:val="00BA62B1"/>
    <w:rsid w:val="00BA62D6"/>
    <w:rsid w:val="00BA6441"/>
    <w:rsid w:val="00BA645C"/>
    <w:rsid w:val="00BA64A6"/>
    <w:rsid w:val="00BA64BB"/>
    <w:rsid w:val="00BA64D0"/>
    <w:rsid w:val="00BA64F6"/>
    <w:rsid w:val="00BA6570"/>
    <w:rsid w:val="00BA65B5"/>
    <w:rsid w:val="00BA6743"/>
    <w:rsid w:val="00BA6880"/>
    <w:rsid w:val="00BA689D"/>
    <w:rsid w:val="00BA68E3"/>
    <w:rsid w:val="00BA6A00"/>
    <w:rsid w:val="00BA6C4E"/>
    <w:rsid w:val="00BA6CB5"/>
    <w:rsid w:val="00BA6CED"/>
    <w:rsid w:val="00BA6D14"/>
    <w:rsid w:val="00BA6EF8"/>
    <w:rsid w:val="00BA7009"/>
    <w:rsid w:val="00BA7201"/>
    <w:rsid w:val="00BA727B"/>
    <w:rsid w:val="00BA7347"/>
    <w:rsid w:val="00BA7381"/>
    <w:rsid w:val="00BA74B3"/>
    <w:rsid w:val="00BA7623"/>
    <w:rsid w:val="00BA77C3"/>
    <w:rsid w:val="00BA794A"/>
    <w:rsid w:val="00BA7A09"/>
    <w:rsid w:val="00BA7A13"/>
    <w:rsid w:val="00BA7A38"/>
    <w:rsid w:val="00BA7A60"/>
    <w:rsid w:val="00BA7AD5"/>
    <w:rsid w:val="00BA7ADE"/>
    <w:rsid w:val="00BA7AFB"/>
    <w:rsid w:val="00BA7C34"/>
    <w:rsid w:val="00BA7CB0"/>
    <w:rsid w:val="00BA7D0B"/>
    <w:rsid w:val="00BA7E68"/>
    <w:rsid w:val="00BA7EEB"/>
    <w:rsid w:val="00BB0059"/>
    <w:rsid w:val="00BB01E4"/>
    <w:rsid w:val="00BB02EF"/>
    <w:rsid w:val="00BB0339"/>
    <w:rsid w:val="00BB03A7"/>
    <w:rsid w:val="00BB03E3"/>
    <w:rsid w:val="00BB0461"/>
    <w:rsid w:val="00BB0604"/>
    <w:rsid w:val="00BB0828"/>
    <w:rsid w:val="00BB0A65"/>
    <w:rsid w:val="00BB0C97"/>
    <w:rsid w:val="00BB0D21"/>
    <w:rsid w:val="00BB0F01"/>
    <w:rsid w:val="00BB0F61"/>
    <w:rsid w:val="00BB0F75"/>
    <w:rsid w:val="00BB0F7B"/>
    <w:rsid w:val="00BB0FDF"/>
    <w:rsid w:val="00BB1009"/>
    <w:rsid w:val="00BB10E7"/>
    <w:rsid w:val="00BB11DC"/>
    <w:rsid w:val="00BB126A"/>
    <w:rsid w:val="00BB132C"/>
    <w:rsid w:val="00BB133D"/>
    <w:rsid w:val="00BB13D0"/>
    <w:rsid w:val="00BB1489"/>
    <w:rsid w:val="00BB16FF"/>
    <w:rsid w:val="00BB1708"/>
    <w:rsid w:val="00BB172D"/>
    <w:rsid w:val="00BB1741"/>
    <w:rsid w:val="00BB17F9"/>
    <w:rsid w:val="00BB1868"/>
    <w:rsid w:val="00BB18AB"/>
    <w:rsid w:val="00BB1987"/>
    <w:rsid w:val="00BB1BB1"/>
    <w:rsid w:val="00BB1BFE"/>
    <w:rsid w:val="00BB1DD2"/>
    <w:rsid w:val="00BB1E80"/>
    <w:rsid w:val="00BB1EC7"/>
    <w:rsid w:val="00BB2030"/>
    <w:rsid w:val="00BB2053"/>
    <w:rsid w:val="00BB20A8"/>
    <w:rsid w:val="00BB2119"/>
    <w:rsid w:val="00BB21EA"/>
    <w:rsid w:val="00BB22B9"/>
    <w:rsid w:val="00BB230A"/>
    <w:rsid w:val="00BB2364"/>
    <w:rsid w:val="00BB23D0"/>
    <w:rsid w:val="00BB2451"/>
    <w:rsid w:val="00BB2496"/>
    <w:rsid w:val="00BB24BC"/>
    <w:rsid w:val="00BB24F6"/>
    <w:rsid w:val="00BB2575"/>
    <w:rsid w:val="00BB2611"/>
    <w:rsid w:val="00BB2651"/>
    <w:rsid w:val="00BB2672"/>
    <w:rsid w:val="00BB27DC"/>
    <w:rsid w:val="00BB2A2A"/>
    <w:rsid w:val="00BB2A80"/>
    <w:rsid w:val="00BB2BC5"/>
    <w:rsid w:val="00BB2BE0"/>
    <w:rsid w:val="00BB2C51"/>
    <w:rsid w:val="00BB2CF6"/>
    <w:rsid w:val="00BB2DC3"/>
    <w:rsid w:val="00BB2F81"/>
    <w:rsid w:val="00BB2FC5"/>
    <w:rsid w:val="00BB3045"/>
    <w:rsid w:val="00BB309F"/>
    <w:rsid w:val="00BB3165"/>
    <w:rsid w:val="00BB3238"/>
    <w:rsid w:val="00BB3342"/>
    <w:rsid w:val="00BB33D7"/>
    <w:rsid w:val="00BB3407"/>
    <w:rsid w:val="00BB349C"/>
    <w:rsid w:val="00BB34B1"/>
    <w:rsid w:val="00BB3531"/>
    <w:rsid w:val="00BB362D"/>
    <w:rsid w:val="00BB3678"/>
    <w:rsid w:val="00BB36A4"/>
    <w:rsid w:val="00BB3700"/>
    <w:rsid w:val="00BB3728"/>
    <w:rsid w:val="00BB3911"/>
    <w:rsid w:val="00BB39B0"/>
    <w:rsid w:val="00BB39B7"/>
    <w:rsid w:val="00BB3B77"/>
    <w:rsid w:val="00BB3EFE"/>
    <w:rsid w:val="00BB3F3B"/>
    <w:rsid w:val="00BB40AF"/>
    <w:rsid w:val="00BB42D8"/>
    <w:rsid w:val="00BB43DE"/>
    <w:rsid w:val="00BB45A5"/>
    <w:rsid w:val="00BB4703"/>
    <w:rsid w:val="00BB4836"/>
    <w:rsid w:val="00BB483F"/>
    <w:rsid w:val="00BB49E4"/>
    <w:rsid w:val="00BB4ADF"/>
    <w:rsid w:val="00BB4B35"/>
    <w:rsid w:val="00BB4C24"/>
    <w:rsid w:val="00BB4C64"/>
    <w:rsid w:val="00BB4C6C"/>
    <w:rsid w:val="00BB4CF8"/>
    <w:rsid w:val="00BB4DF2"/>
    <w:rsid w:val="00BB4DF9"/>
    <w:rsid w:val="00BB4EBB"/>
    <w:rsid w:val="00BB5225"/>
    <w:rsid w:val="00BB52D0"/>
    <w:rsid w:val="00BB5480"/>
    <w:rsid w:val="00BB54AA"/>
    <w:rsid w:val="00BB54B6"/>
    <w:rsid w:val="00BB553C"/>
    <w:rsid w:val="00BB55DF"/>
    <w:rsid w:val="00BB55F5"/>
    <w:rsid w:val="00BB55F8"/>
    <w:rsid w:val="00BB56CA"/>
    <w:rsid w:val="00BB5782"/>
    <w:rsid w:val="00BB5848"/>
    <w:rsid w:val="00BB58B8"/>
    <w:rsid w:val="00BB5910"/>
    <w:rsid w:val="00BB594C"/>
    <w:rsid w:val="00BB5BE2"/>
    <w:rsid w:val="00BB5C07"/>
    <w:rsid w:val="00BB5C71"/>
    <w:rsid w:val="00BB5CCD"/>
    <w:rsid w:val="00BB5CFD"/>
    <w:rsid w:val="00BB5D15"/>
    <w:rsid w:val="00BB5D81"/>
    <w:rsid w:val="00BB5F72"/>
    <w:rsid w:val="00BB5F7A"/>
    <w:rsid w:val="00BB609C"/>
    <w:rsid w:val="00BB60E1"/>
    <w:rsid w:val="00BB6129"/>
    <w:rsid w:val="00BB6172"/>
    <w:rsid w:val="00BB624F"/>
    <w:rsid w:val="00BB62C7"/>
    <w:rsid w:val="00BB62F1"/>
    <w:rsid w:val="00BB63B0"/>
    <w:rsid w:val="00BB63EE"/>
    <w:rsid w:val="00BB6406"/>
    <w:rsid w:val="00BB68C4"/>
    <w:rsid w:val="00BB69E6"/>
    <w:rsid w:val="00BB6A2F"/>
    <w:rsid w:val="00BB6A41"/>
    <w:rsid w:val="00BB6B5F"/>
    <w:rsid w:val="00BB6BA4"/>
    <w:rsid w:val="00BB6D19"/>
    <w:rsid w:val="00BB6F35"/>
    <w:rsid w:val="00BB7030"/>
    <w:rsid w:val="00BB717F"/>
    <w:rsid w:val="00BB71ED"/>
    <w:rsid w:val="00BB72C5"/>
    <w:rsid w:val="00BB73FD"/>
    <w:rsid w:val="00BB74FE"/>
    <w:rsid w:val="00BB753D"/>
    <w:rsid w:val="00BB762F"/>
    <w:rsid w:val="00BB763A"/>
    <w:rsid w:val="00BB776D"/>
    <w:rsid w:val="00BB77B3"/>
    <w:rsid w:val="00BB77E0"/>
    <w:rsid w:val="00BB77E1"/>
    <w:rsid w:val="00BB7831"/>
    <w:rsid w:val="00BB7839"/>
    <w:rsid w:val="00BB78E4"/>
    <w:rsid w:val="00BB78FB"/>
    <w:rsid w:val="00BB7900"/>
    <w:rsid w:val="00BB7A13"/>
    <w:rsid w:val="00BB7BD5"/>
    <w:rsid w:val="00BB7BD9"/>
    <w:rsid w:val="00BB7C5D"/>
    <w:rsid w:val="00BB7C81"/>
    <w:rsid w:val="00BB7D52"/>
    <w:rsid w:val="00BB7E15"/>
    <w:rsid w:val="00BB7F5B"/>
    <w:rsid w:val="00BBBDF4"/>
    <w:rsid w:val="00BC0000"/>
    <w:rsid w:val="00BC0044"/>
    <w:rsid w:val="00BC00C8"/>
    <w:rsid w:val="00BC00EB"/>
    <w:rsid w:val="00BC02BA"/>
    <w:rsid w:val="00BC02DA"/>
    <w:rsid w:val="00BC0449"/>
    <w:rsid w:val="00BC07A1"/>
    <w:rsid w:val="00BC0A4E"/>
    <w:rsid w:val="00BC0DC0"/>
    <w:rsid w:val="00BC0DF2"/>
    <w:rsid w:val="00BC0E12"/>
    <w:rsid w:val="00BC0F1F"/>
    <w:rsid w:val="00BC1236"/>
    <w:rsid w:val="00BC1253"/>
    <w:rsid w:val="00BC12F7"/>
    <w:rsid w:val="00BC1308"/>
    <w:rsid w:val="00BC132C"/>
    <w:rsid w:val="00BC132E"/>
    <w:rsid w:val="00BC1333"/>
    <w:rsid w:val="00BC1481"/>
    <w:rsid w:val="00BC15C8"/>
    <w:rsid w:val="00BC1699"/>
    <w:rsid w:val="00BC16C6"/>
    <w:rsid w:val="00BC17E8"/>
    <w:rsid w:val="00BC1873"/>
    <w:rsid w:val="00BC18A2"/>
    <w:rsid w:val="00BC18D3"/>
    <w:rsid w:val="00BC1984"/>
    <w:rsid w:val="00BC1A9C"/>
    <w:rsid w:val="00BC1B28"/>
    <w:rsid w:val="00BC1B76"/>
    <w:rsid w:val="00BC1C0A"/>
    <w:rsid w:val="00BC1E85"/>
    <w:rsid w:val="00BC1EDC"/>
    <w:rsid w:val="00BC1EFB"/>
    <w:rsid w:val="00BC2020"/>
    <w:rsid w:val="00BC234B"/>
    <w:rsid w:val="00BC24A1"/>
    <w:rsid w:val="00BC25E9"/>
    <w:rsid w:val="00BC266E"/>
    <w:rsid w:val="00BC2766"/>
    <w:rsid w:val="00BC2934"/>
    <w:rsid w:val="00BC29A0"/>
    <w:rsid w:val="00BC2A33"/>
    <w:rsid w:val="00BC2C74"/>
    <w:rsid w:val="00BC2E14"/>
    <w:rsid w:val="00BC2EA5"/>
    <w:rsid w:val="00BC2FEE"/>
    <w:rsid w:val="00BC3102"/>
    <w:rsid w:val="00BC3152"/>
    <w:rsid w:val="00BC3250"/>
    <w:rsid w:val="00BC33DB"/>
    <w:rsid w:val="00BC347A"/>
    <w:rsid w:val="00BC34B7"/>
    <w:rsid w:val="00BC3546"/>
    <w:rsid w:val="00BC354F"/>
    <w:rsid w:val="00BC35F2"/>
    <w:rsid w:val="00BC371C"/>
    <w:rsid w:val="00BC3728"/>
    <w:rsid w:val="00BC374B"/>
    <w:rsid w:val="00BC3949"/>
    <w:rsid w:val="00BC3973"/>
    <w:rsid w:val="00BC3A49"/>
    <w:rsid w:val="00BC3B22"/>
    <w:rsid w:val="00BC3C39"/>
    <w:rsid w:val="00BC3D09"/>
    <w:rsid w:val="00BC3D35"/>
    <w:rsid w:val="00BC3D8C"/>
    <w:rsid w:val="00BC3D94"/>
    <w:rsid w:val="00BC3ED8"/>
    <w:rsid w:val="00BC3F2A"/>
    <w:rsid w:val="00BC3F81"/>
    <w:rsid w:val="00BC40B9"/>
    <w:rsid w:val="00BC420D"/>
    <w:rsid w:val="00BC43E3"/>
    <w:rsid w:val="00BC451D"/>
    <w:rsid w:val="00BC461F"/>
    <w:rsid w:val="00BC464C"/>
    <w:rsid w:val="00BC4800"/>
    <w:rsid w:val="00BC4866"/>
    <w:rsid w:val="00BC48FE"/>
    <w:rsid w:val="00BC4A1F"/>
    <w:rsid w:val="00BC4AD5"/>
    <w:rsid w:val="00BC4C71"/>
    <w:rsid w:val="00BC4C7A"/>
    <w:rsid w:val="00BC4CF1"/>
    <w:rsid w:val="00BC4EF7"/>
    <w:rsid w:val="00BC4F77"/>
    <w:rsid w:val="00BC51C4"/>
    <w:rsid w:val="00BC522E"/>
    <w:rsid w:val="00BC5281"/>
    <w:rsid w:val="00BC530A"/>
    <w:rsid w:val="00BC534F"/>
    <w:rsid w:val="00BC542F"/>
    <w:rsid w:val="00BC57DE"/>
    <w:rsid w:val="00BC57FB"/>
    <w:rsid w:val="00BC5883"/>
    <w:rsid w:val="00BC58CF"/>
    <w:rsid w:val="00BC5927"/>
    <w:rsid w:val="00BC59FD"/>
    <w:rsid w:val="00BC5A51"/>
    <w:rsid w:val="00BC5BAE"/>
    <w:rsid w:val="00BC5D10"/>
    <w:rsid w:val="00BC5DFC"/>
    <w:rsid w:val="00BC5E0A"/>
    <w:rsid w:val="00BC5E76"/>
    <w:rsid w:val="00BC5E7B"/>
    <w:rsid w:val="00BC5E92"/>
    <w:rsid w:val="00BC60F2"/>
    <w:rsid w:val="00BC61C2"/>
    <w:rsid w:val="00BC61FB"/>
    <w:rsid w:val="00BC62D8"/>
    <w:rsid w:val="00BC63CD"/>
    <w:rsid w:val="00BC63FD"/>
    <w:rsid w:val="00BC64AC"/>
    <w:rsid w:val="00BC65B6"/>
    <w:rsid w:val="00BC65E5"/>
    <w:rsid w:val="00BC65FC"/>
    <w:rsid w:val="00BC662E"/>
    <w:rsid w:val="00BC66D7"/>
    <w:rsid w:val="00BC6941"/>
    <w:rsid w:val="00BC6943"/>
    <w:rsid w:val="00BC6B15"/>
    <w:rsid w:val="00BC6D9A"/>
    <w:rsid w:val="00BC6DD5"/>
    <w:rsid w:val="00BC6FB6"/>
    <w:rsid w:val="00BC7180"/>
    <w:rsid w:val="00BC7264"/>
    <w:rsid w:val="00BC7304"/>
    <w:rsid w:val="00BC7311"/>
    <w:rsid w:val="00BC740F"/>
    <w:rsid w:val="00BC75C4"/>
    <w:rsid w:val="00BC76B8"/>
    <w:rsid w:val="00BC7761"/>
    <w:rsid w:val="00BC790F"/>
    <w:rsid w:val="00BC791C"/>
    <w:rsid w:val="00BC79DC"/>
    <w:rsid w:val="00BC7A5A"/>
    <w:rsid w:val="00BC7A90"/>
    <w:rsid w:val="00BC7AF3"/>
    <w:rsid w:val="00BC7B2A"/>
    <w:rsid w:val="00BC7C16"/>
    <w:rsid w:val="00BC7D0C"/>
    <w:rsid w:val="00BC7E03"/>
    <w:rsid w:val="00BD008F"/>
    <w:rsid w:val="00BD00E6"/>
    <w:rsid w:val="00BD01BC"/>
    <w:rsid w:val="00BD034A"/>
    <w:rsid w:val="00BD042F"/>
    <w:rsid w:val="00BD043D"/>
    <w:rsid w:val="00BD0457"/>
    <w:rsid w:val="00BD04BA"/>
    <w:rsid w:val="00BD06E2"/>
    <w:rsid w:val="00BD0850"/>
    <w:rsid w:val="00BD09A9"/>
    <w:rsid w:val="00BD0C79"/>
    <w:rsid w:val="00BD0CE6"/>
    <w:rsid w:val="00BD0F0F"/>
    <w:rsid w:val="00BD1003"/>
    <w:rsid w:val="00BD10BB"/>
    <w:rsid w:val="00BD1102"/>
    <w:rsid w:val="00BD11B6"/>
    <w:rsid w:val="00BD11B7"/>
    <w:rsid w:val="00BD11CA"/>
    <w:rsid w:val="00BD122C"/>
    <w:rsid w:val="00BD1305"/>
    <w:rsid w:val="00BD150C"/>
    <w:rsid w:val="00BD1513"/>
    <w:rsid w:val="00BD1533"/>
    <w:rsid w:val="00BD1582"/>
    <w:rsid w:val="00BD15CD"/>
    <w:rsid w:val="00BD165D"/>
    <w:rsid w:val="00BD169D"/>
    <w:rsid w:val="00BD16E1"/>
    <w:rsid w:val="00BD1708"/>
    <w:rsid w:val="00BD1710"/>
    <w:rsid w:val="00BD172C"/>
    <w:rsid w:val="00BD1B21"/>
    <w:rsid w:val="00BD1B4D"/>
    <w:rsid w:val="00BD1C33"/>
    <w:rsid w:val="00BD1C72"/>
    <w:rsid w:val="00BD1CB7"/>
    <w:rsid w:val="00BD1D21"/>
    <w:rsid w:val="00BD1D8E"/>
    <w:rsid w:val="00BD1E46"/>
    <w:rsid w:val="00BD1F4F"/>
    <w:rsid w:val="00BD1F57"/>
    <w:rsid w:val="00BD1FDD"/>
    <w:rsid w:val="00BD210A"/>
    <w:rsid w:val="00BD2130"/>
    <w:rsid w:val="00BD2187"/>
    <w:rsid w:val="00BD241F"/>
    <w:rsid w:val="00BD24A6"/>
    <w:rsid w:val="00BD24E3"/>
    <w:rsid w:val="00BD2538"/>
    <w:rsid w:val="00BD2605"/>
    <w:rsid w:val="00BD275E"/>
    <w:rsid w:val="00BD277D"/>
    <w:rsid w:val="00BD27EC"/>
    <w:rsid w:val="00BD2827"/>
    <w:rsid w:val="00BD283A"/>
    <w:rsid w:val="00BD2857"/>
    <w:rsid w:val="00BD29EE"/>
    <w:rsid w:val="00BD2A4B"/>
    <w:rsid w:val="00BD2B89"/>
    <w:rsid w:val="00BD2BF2"/>
    <w:rsid w:val="00BD2FC8"/>
    <w:rsid w:val="00BD2FD1"/>
    <w:rsid w:val="00BD33C1"/>
    <w:rsid w:val="00BD341B"/>
    <w:rsid w:val="00BD3466"/>
    <w:rsid w:val="00BD36B9"/>
    <w:rsid w:val="00BD3708"/>
    <w:rsid w:val="00BD3715"/>
    <w:rsid w:val="00BD377D"/>
    <w:rsid w:val="00BD384E"/>
    <w:rsid w:val="00BD39B3"/>
    <w:rsid w:val="00BD3A4F"/>
    <w:rsid w:val="00BD3AA3"/>
    <w:rsid w:val="00BD3AF0"/>
    <w:rsid w:val="00BD3C14"/>
    <w:rsid w:val="00BD3C58"/>
    <w:rsid w:val="00BD3DF8"/>
    <w:rsid w:val="00BD3F6B"/>
    <w:rsid w:val="00BD4121"/>
    <w:rsid w:val="00BD414F"/>
    <w:rsid w:val="00BD4166"/>
    <w:rsid w:val="00BD41A6"/>
    <w:rsid w:val="00BD42D7"/>
    <w:rsid w:val="00BD4356"/>
    <w:rsid w:val="00BD44B6"/>
    <w:rsid w:val="00BD44F9"/>
    <w:rsid w:val="00BD4526"/>
    <w:rsid w:val="00BD466D"/>
    <w:rsid w:val="00BD47DF"/>
    <w:rsid w:val="00BD49A5"/>
    <w:rsid w:val="00BD49F9"/>
    <w:rsid w:val="00BD4B48"/>
    <w:rsid w:val="00BD4B52"/>
    <w:rsid w:val="00BD4CF4"/>
    <w:rsid w:val="00BD4D73"/>
    <w:rsid w:val="00BD4E49"/>
    <w:rsid w:val="00BD4F26"/>
    <w:rsid w:val="00BD4FD1"/>
    <w:rsid w:val="00BD501B"/>
    <w:rsid w:val="00BD509C"/>
    <w:rsid w:val="00BD5104"/>
    <w:rsid w:val="00BD510E"/>
    <w:rsid w:val="00BD51A2"/>
    <w:rsid w:val="00BD5358"/>
    <w:rsid w:val="00BD53DF"/>
    <w:rsid w:val="00BD56FC"/>
    <w:rsid w:val="00BD57B8"/>
    <w:rsid w:val="00BD5804"/>
    <w:rsid w:val="00BD581E"/>
    <w:rsid w:val="00BD5858"/>
    <w:rsid w:val="00BD5878"/>
    <w:rsid w:val="00BD599D"/>
    <w:rsid w:val="00BD59B3"/>
    <w:rsid w:val="00BD5AFB"/>
    <w:rsid w:val="00BD5C16"/>
    <w:rsid w:val="00BD5C57"/>
    <w:rsid w:val="00BD5DDA"/>
    <w:rsid w:val="00BD611B"/>
    <w:rsid w:val="00BD62B7"/>
    <w:rsid w:val="00BD63C8"/>
    <w:rsid w:val="00BD63E7"/>
    <w:rsid w:val="00BD6475"/>
    <w:rsid w:val="00BD654F"/>
    <w:rsid w:val="00BD6564"/>
    <w:rsid w:val="00BD65C2"/>
    <w:rsid w:val="00BD66AF"/>
    <w:rsid w:val="00BD6701"/>
    <w:rsid w:val="00BD6997"/>
    <w:rsid w:val="00BD6A30"/>
    <w:rsid w:val="00BD6DCB"/>
    <w:rsid w:val="00BD6E55"/>
    <w:rsid w:val="00BD6F98"/>
    <w:rsid w:val="00BD71AE"/>
    <w:rsid w:val="00BD71F9"/>
    <w:rsid w:val="00BD7268"/>
    <w:rsid w:val="00BD7289"/>
    <w:rsid w:val="00BD72A1"/>
    <w:rsid w:val="00BD733E"/>
    <w:rsid w:val="00BD7375"/>
    <w:rsid w:val="00BD7488"/>
    <w:rsid w:val="00BD7596"/>
    <w:rsid w:val="00BD761B"/>
    <w:rsid w:val="00BD7749"/>
    <w:rsid w:val="00BD78B7"/>
    <w:rsid w:val="00BD793D"/>
    <w:rsid w:val="00BD7AB1"/>
    <w:rsid w:val="00BD7C12"/>
    <w:rsid w:val="00BD7D10"/>
    <w:rsid w:val="00BD7DA7"/>
    <w:rsid w:val="00BD7FFC"/>
    <w:rsid w:val="00BE0045"/>
    <w:rsid w:val="00BE02F3"/>
    <w:rsid w:val="00BE03B2"/>
    <w:rsid w:val="00BE03D2"/>
    <w:rsid w:val="00BE03F1"/>
    <w:rsid w:val="00BE0419"/>
    <w:rsid w:val="00BE0466"/>
    <w:rsid w:val="00BE0496"/>
    <w:rsid w:val="00BE066C"/>
    <w:rsid w:val="00BE0747"/>
    <w:rsid w:val="00BE07CF"/>
    <w:rsid w:val="00BE0876"/>
    <w:rsid w:val="00BE099A"/>
    <w:rsid w:val="00BE09B1"/>
    <w:rsid w:val="00BE09B3"/>
    <w:rsid w:val="00BE0A82"/>
    <w:rsid w:val="00BE0AE9"/>
    <w:rsid w:val="00BE0B12"/>
    <w:rsid w:val="00BE0C37"/>
    <w:rsid w:val="00BE0C62"/>
    <w:rsid w:val="00BE0D9B"/>
    <w:rsid w:val="00BE0ECE"/>
    <w:rsid w:val="00BE1033"/>
    <w:rsid w:val="00BE1076"/>
    <w:rsid w:val="00BE1085"/>
    <w:rsid w:val="00BE108A"/>
    <w:rsid w:val="00BE10F4"/>
    <w:rsid w:val="00BE1109"/>
    <w:rsid w:val="00BE1246"/>
    <w:rsid w:val="00BE13F1"/>
    <w:rsid w:val="00BE1437"/>
    <w:rsid w:val="00BE1509"/>
    <w:rsid w:val="00BE1531"/>
    <w:rsid w:val="00BE155B"/>
    <w:rsid w:val="00BE1579"/>
    <w:rsid w:val="00BE1798"/>
    <w:rsid w:val="00BE17B6"/>
    <w:rsid w:val="00BE1902"/>
    <w:rsid w:val="00BE19E9"/>
    <w:rsid w:val="00BE1BF8"/>
    <w:rsid w:val="00BE1C97"/>
    <w:rsid w:val="00BE1E0C"/>
    <w:rsid w:val="00BE1EED"/>
    <w:rsid w:val="00BE1F58"/>
    <w:rsid w:val="00BE2098"/>
    <w:rsid w:val="00BE20E9"/>
    <w:rsid w:val="00BE2101"/>
    <w:rsid w:val="00BE214E"/>
    <w:rsid w:val="00BE2196"/>
    <w:rsid w:val="00BE21B6"/>
    <w:rsid w:val="00BE21BF"/>
    <w:rsid w:val="00BE23D0"/>
    <w:rsid w:val="00BE2434"/>
    <w:rsid w:val="00BE2454"/>
    <w:rsid w:val="00BE24D1"/>
    <w:rsid w:val="00BE2525"/>
    <w:rsid w:val="00BE2533"/>
    <w:rsid w:val="00BE2585"/>
    <w:rsid w:val="00BE282C"/>
    <w:rsid w:val="00BE28E7"/>
    <w:rsid w:val="00BE28E8"/>
    <w:rsid w:val="00BE29B6"/>
    <w:rsid w:val="00BE2A0A"/>
    <w:rsid w:val="00BE2B29"/>
    <w:rsid w:val="00BE2C05"/>
    <w:rsid w:val="00BE2D75"/>
    <w:rsid w:val="00BE2E3D"/>
    <w:rsid w:val="00BE2E77"/>
    <w:rsid w:val="00BE2F8A"/>
    <w:rsid w:val="00BE2FDE"/>
    <w:rsid w:val="00BE3013"/>
    <w:rsid w:val="00BE3169"/>
    <w:rsid w:val="00BE31D8"/>
    <w:rsid w:val="00BE326E"/>
    <w:rsid w:val="00BE32EC"/>
    <w:rsid w:val="00BE3328"/>
    <w:rsid w:val="00BE3350"/>
    <w:rsid w:val="00BE358A"/>
    <w:rsid w:val="00BE359F"/>
    <w:rsid w:val="00BE3618"/>
    <w:rsid w:val="00BE3643"/>
    <w:rsid w:val="00BE36BB"/>
    <w:rsid w:val="00BE39D2"/>
    <w:rsid w:val="00BE3B25"/>
    <w:rsid w:val="00BE3B2A"/>
    <w:rsid w:val="00BE3B69"/>
    <w:rsid w:val="00BE3C16"/>
    <w:rsid w:val="00BE3D26"/>
    <w:rsid w:val="00BE3E2D"/>
    <w:rsid w:val="00BE3E56"/>
    <w:rsid w:val="00BE402B"/>
    <w:rsid w:val="00BE40A0"/>
    <w:rsid w:val="00BE4343"/>
    <w:rsid w:val="00BE43EB"/>
    <w:rsid w:val="00BE45AD"/>
    <w:rsid w:val="00BE461B"/>
    <w:rsid w:val="00BE46D3"/>
    <w:rsid w:val="00BE48BD"/>
    <w:rsid w:val="00BE4939"/>
    <w:rsid w:val="00BE4A8C"/>
    <w:rsid w:val="00BE4B22"/>
    <w:rsid w:val="00BE4D3E"/>
    <w:rsid w:val="00BE4D59"/>
    <w:rsid w:val="00BE5100"/>
    <w:rsid w:val="00BE51F2"/>
    <w:rsid w:val="00BE5337"/>
    <w:rsid w:val="00BE5413"/>
    <w:rsid w:val="00BE54B2"/>
    <w:rsid w:val="00BE54C9"/>
    <w:rsid w:val="00BE5651"/>
    <w:rsid w:val="00BE5A08"/>
    <w:rsid w:val="00BE5C1B"/>
    <w:rsid w:val="00BE5E40"/>
    <w:rsid w:val="00BE5E7F"/>
    <w:rsid w:val="00BE5F2D"/>
    <w:rsid w:val="00BE61D7"/>
    <w:rsid w:val="00BE6258"/>
    <w:rsid w:val="00BE62C7"/>
    <w:rsid w:val="00BE6311"/>
    <w:rsid w:val="00BE6350"/>
    <w:rsid w:val="00BE639D"/>
    <w:rsid w:val="00BE63AB"/>
    <w:rsid w:val="00BE646A"/>
    <w:rsid w:val="00BE65B5"/>
    <w:rsid w:val="00BE65E3"/>
    <w:rsid w:val="00BE660F"/>
    <w:rsid w:val="00BE66E3"/>
    <w:rsid w:val="00BE682C"/>
    <w:rsid w:val="00BE689D"/>
    <w:rsid w:val="00BE6A13"/>
    <w:rsid w:val="00BE6BA9"/>
    <w:rsid w:val="00BE6BAF"/>
    <w:rsid w:val="00BE6BB1"/>
    <w:rsid w:val="00BE6C58"/>
    <w:rsid w:val="00BE6D5E"/>
    <w:rsid w:val="00BE6FB1"/>
    <w:rsid w:val="00BE700B"/>
    <w:rsid w:val="00BE7039"/>
    <w:rsid w:val="00BE76AB"/>
    <w:rsid w:val="00BE7733"/>
    <w:rsid w:val="00BE773A"/>
    <w:rsid w:val="00BE789A"/>
    <w:rsid w:val="00BE78DD"/>
    <w:rsid w:val="00BE7940"/>
    <w:rsid w:val="00BE7A30"/>
    <w:rsid w:val="00BE7A53"/>
    <w:rsid w:val="00BE7A98"/>
    <w:rsid w:val="00BE7B33"/>
    <w:rsid w:val="00BE7B63"/>
    <w:rsid w:val="00BE7C65"/>
    <w:rsid w:val="00BE7D40"/>
    <w:rsid w:val="00BE7E82"/>
    <w:rsid w:val="00BE7E9F"/>
    <w:rsid w:val="00BF0048"/>
    <w:rsid w:val="00BF00C6"/>
    <w:rsid w:val="00BF00FE"/>
    <w:rsid w:val="00BF021C"/>
    <w:rsid w:val="00BF0223"/>
    <w:rsid w:val="00BF02FF"/>
    <w:rsid w:val="00BF046F"/>
    <w:rsid w:val="00BF047D"/>
    <w:rsid w:val="00BF04C0"/>
    <w:rsid w:val="00BF0520"/>
    <w:rsid w:val="00BF056E"/>
    <w:rsid w:val="00BF05B8"/>
    <w:rsid w:val="00BF05FE"/>
    <w:rsid w:val="00BF06F1"/>
    <w:rsid w:val="00BF073F"/>
    <w:rsid w:val="00BF0896"/>
    <w:rsid w:val="00BF0979"/>
    <w:rsid w:val="00BF0A46"/>
    <w:rsid w:val="00BF0A60"/>
    <w:rsid w:val="00BF0A76"/>
    <w:rsid w:val="00BF0A8C"/>
    <w:rsid w:val="00BF0A92"/>
    <w:rsid w:val="00BF0D3F"/>
    <w:rsid w:val="00BF0E6B"/>
    <w:rsid w:val="00BF108B"/>
    <w:rsid w:val="00BF12BE"/>
    <w:rsid w:val="00BF1394"/>
    <w:rsid w:val="00BF14AA"/>
    <w:rsid w:val="00BF15A3"/>
    <w:rsid w:val="00BF15FB"/>
    <w:rsid w:val="00BF1653"/>
    <w:rsid w:val="00BF1676"/>
    <w:rsid w:val="00BF170C"/>
    <w:rsid w:val="00BF18A3"/>
    <w:rsid w:val="00BF195E"/>
    <w:rsid w:val="00BF1A26"/>
    <w:rsid w:val="00BF1A87"/>
    <w:rsid w:val="00BF1AF8"/>
    <w:rsid w:val="00BF1B9C"/>
    <w:rsid w:val="00BF1BE7"/>
    <w:rsid w:val="00BF1C0F"/>
    <w:rsid w:val="00BF1C86"/>
    <w:rsid w:val="00BF1CF0"/>
    <w:rsid w:val="00BF1D10"/>
    <w:rsid w:val="00BF1D78"/>
    <w:rsid w:val="00BF1EF2"/>
    <w:rsid w:val="00BF1F41"/>
    <w:rsid w:val="00BF1F64"/>
    <w:rsid w:val="00BF2020"/>
    <w:rsid w:val="00BF2038"/>
    <w:rsid w:val="00BF240E"/>
    <w:rsid w:val="00BF2428"/>
    <w:rsid w:val="00BF2463"/>
    <w:rsid w:val="00BF2500"/>
    <w:rsid w:val="00BF2627"/>
    <w:rsid w:val="00BF27A0"/>
    <w:rsid w:val="00BF27C8"/>
    <w:rsid w:val="00BF28D5"/>
    <w:rsid w:val="00BF2BC2"/>
    <w:rsid w:val="00BF2CA1"/>
    <w:rsid w:val="00BF2DAD"/>
    <w:rsid w:val="00BF2DE4"/>
    <w:rsid w:val="00BF2E3E"/>
    <w:rsid w:val="00BF3182"/>
    <w:rsid w:val="00BF31FE"/>
    <w:rsid w:val="00BF33AF"/>
    <w:rsid w:val="00BF34A2"/>
    <w:rsid w:val="00BF34A4"/>
    <w:rsid w:val="00BF352E"/>
    <w:rsid w:val="00BF3633"/>
    <w:rsid w:val="00BF369A"/>
    <w:rsid w:val="00BF36FB"/>
    <w:rsid w:val="00BF3719"/>
    <w:rsid w:val="00BF3761"/>
    <w:rsid w:val="00BF398B"/>
    <w:rsid w:val="00BF3BA5"/>
    <w:rsid w:val="00BF3C4E"/>
    <w:rsid w:val="00BF3C89"/>
    <w:rsid w:val="00BF3D9D"/>
    <w:rsid w:val="00BF3DB9"/>
    <w:rsid w:val="00BF3DCA"/>
    <w:rsid w:val="00BF3DF4"/>
    <w:rsid w:val="00BF3F36"/>
    <w:rsid w:val="00BF3FD5"/>
    <w:rsid w:val="00BF407D"/>
    <w:rsid w:val="00BF4120"/>
    <w:rsid w:val="00BF4169"/>
    <w:rsid w:val="00BF41B0"/>
    <w:rsid w:val="00BF4270"/>
    <w:rsid w:val="00BF42AF"/>
    <w:rsid w:val="00BF4371"/>
    <w:rsid w:val="00BF4486"/>
    <w:rsid w:val="00BF44B5"/>
    <w:rsid w:val="00BF46DA"/>
    <w:rsid w:val="00BF4757"/>
    <w:rsid w:val="00BF4795"/>
    <w:rsid w:val="00BF486A"/>
    <w:rsid w:val="00BF4A9B"/>
    <w:rsid w:val="00BF4B00"/>
    <w:rsid w:val="00BF4B7A"/>
    <w:rsid w:val="00BF4DE3"/>
    <w:rsid w:val="00BF4ECC"/>
    <w:rsid w:val="00BF4F9B"/>
    <w:rsid w:val="00BF51DD"/>
    <w:rsid w:val="00BF54A2"/>
    <w:rsid w:val="00BF54D8"/>
    <w:rsid w:val="00BF54FE"/>
    <w:rsid w:val="00BF5517"/>
    <w:rsid w:val="00BF559E"/>
    <w:rsid w:val="00BF562E"/>
    <w:rsid w:val="00BF5762"/>
    <w:rsid w:val="00BF578C"/>
    <w:rsid w:val="00BF579C"/>
    <w:rsid w:val="00BF5B55"/>
    <w:rsid w:val="00BF5BA6"/>
    <w:rsid w:val="00BF5C51"/>
    <w:rsid w:val="00BF5CB7"/>
    <w:rsid w:val="00BF5CEC"/>
    <w:rsid w:val="00BF5D51"/>
    <w:rsid w:val="00BF5D91"/>
    <w:rsid w:val="00BF5DDE"/>
    <w:rsid w:val="00BF5E86"/>
    <w:rsid w:val="00BF5F20"/>
    <w:rsid w:val="00BF5F31"/>
    <w:rsid w:val="00BF5FBA"/>
    <w:rsid w:val="00BF6002"/>
    <w:rsid w:val="00BF6066"/>
    <w:rsid w:val="00BF630C"/>
    <w:rsid w:val="00BF6397"/>
    <w:rsid w:val="00BF63B8"/>
    <w:rsid w:val="00BF63CB"/>
    <w:rsid w:val="00BF63D1"/>
    <w:rsid w:val="00BF6468"/>
    <w:rsid w:val="00BF648B"/>
    <w:rsid w:val="00BF64A9"/>
    <w:rsid w:val="00BF65AD"/>
    <w:rsid w:val="00BF65E9"/>
    <w:rsid w:val="00BF678F"/>
    <w:rsid w:val="00BF6874"/>
    <w:rsid w:val="00BF68B5"/>
    <w:rsid w:val="00BF68C8"/>
    <w:rsid w:val="00BF68FD"/>
    <w:rsid w:val="00BF6958"/>
    <w:rsid w:val="00BF69AA"/>
    <w:rsid w:val="00BF6A1C"/>
    <w:rsid w:val="00BF6AC4"/>
    <w:rsid w:val="00BF6C24"/>
    <w:rsid w:val="00BF6CCF"/>
    <w:rsid w:val="00BF6D04"/>
    <w:rsid w:val="00BF6D89"/>
    <w:rsid w:val="00BF6DAF"/>
    <w:rsid w:val="00BF6DFE"/>
    <w:rsid w:val="00BF6EDA"/>
    <w:rsid w:val="00BF6F1E"/>
    <w:rsid w:val="00BF7020"/>
    <w:rsid w:val="00BF709B"/>
    <w:rsid w:val="00BF71BB"/>
    <w:rsid w:val="00BF71CE"/>
    <w:rsid w:val="00BF7396"/>
    <w:rsid w:val="00BF76B2"/>
    <w:rsid w:val="00BF777F"/>
    <w:rsid w:val="00BF7AA1"/>
    <w:rsid w:val="00BF7BE5"/>
    <w:rsid w:val="00BF7C24"/>
    <w:rsid w:val="00BF7D12"/>
    <w:rsid w:val="00BF7DEA"/>
    <w:rsid w:val="00BF7E50"/>
    <w:rsid w:val="00BF7E97"/>
    <w:rsid w:val="00BF7EF5"/>
    <w:rsid w:val="00BF7FB1"/>
    <w:rsid w:val="00C00174"/>
    <w:rsid w:val="00C0022B"/>
    <w:rsid w:val="00C0035E"/>
    <w:rsid w:val="00C00574"/>
    <w:rsid w:val="00C009A4"/>
    <w:rsid w:val="00C00A52"/>
    <w:rsid w:val="00C00D29"/>
    <w:rsid w:val="00C00D78"/>
    <w:rsid w:val="00C00DAD"/>
    <w:rsid w:val="00C00DB7"/>
    <w:rsid w:val="00C00E31"/>
    <w:rsid w:val="00C00F10"/>
    <w:rsid w:val="00C00FA5"/>
    <w:rsid w:val="00C0107C"/>
    <w:rsid w:val="00C011AC"/>
    <w:rsid w:val="00C011FB"/>
    <w:rsid w:val="00C01296"/>
    <w:rsid w:val="00C0139F"/>
    <w:rsid w:val="00C0147F"/>
    <w:rsid w:val="00C015D4"/>
    <w:rsid w:val="00C01741"/>
    <w:rsid w:val="00C0176C"/>
    <w:rsid w:val="00C017E0"/>
    <w:rsid w:val="00C0189D"/>
    <w:rsid w:val="00C01A3F"/>
    <w:rsid w:val="00C01B9B"/>
    <w:rsid w:val="00C01BEF"/>
    <w:rsid w:val="00C01C86"/>
    <w:rsid w:val="00C01CF8"/>
    <w:rsid w:val="00C01D7B"/>
    <w:rsid w:val="00C01E68"/>
    <w:rsid w:val="00C01F63"/>
    <w:rsid w:val="00C01F76"/>
    <w:rsid w:val="00C02090"/>
    <w:rsid w:val="00C02191"/>
    <w:rsid w:val="00C02199"/>
    <w:rsid w:val="00C023E8"/>
    <w:rsid w:val="00C02406"/>
    <w:rsid w:val="00C025CC"/>
    <w:rsid w:val="00C0277A"/>
    <w:rsid w:val="00C027FB"/>
    <w:rsid w:val="00C028BF"/>
    <w:rsid w:val="00C02968"/>
    <w:rsid w:val="00C02A31"/>
    <w:rsid w:val="00C02B5F"/>
    <w:rsid w:val="00C02C7B"/>
    <w:rsid w:val="00C02F00"/>
    <w:rsid w:val="00C02F23"/>
    <w:rsid w:val="00C02F72"/>
    <w:rsid w:val="00C0308E"/>
    <w:rsid w:val="00C031B2"/>
    <w:rsid w:val="00C0324E"/>
    <w:rsid w:val="00C03286"/>
    <w:rsid w:val="00C0352D"/>
    <w:rsid w:val="00C0358C"/>
    <w:rsid w:val="00C035FF"/>
    <w:rsid w:val="00C03640"/>
    <w:rsid w:val="00C03651"/>
    <w:rsid w:val="00C036A7"/>
    <w:rsid w:val="00C0378B"/>
    <w:rsid w:val="00C03803"/>
    <w:rsid w:val="00C038CC"/>
    <w:rsid w:val="00C038E1"/>
    <w:rsid w:val="00C039EC"/>
    <w:rsid w:val="00C03A56"/>
    <w:rsid w:val="00C03AAD"/>
    <w:rsid w:val="00C03AB6"/>
    <w:rsid w:val="00C03BB2"/>
    <w:rsid w:val="00C03BBC"/>
    <w:rsid w:val="00C03CD1"/>
    <w:rsid w:val="00C03E1C"/>
    <w:rsid w:val="00C03E8D"/>
    <w:rsid w:val="00C03F1A"/>
    <w:rsid w:val="00C03F8D"/>
    <w:rsid w:val="00C0416D"/>
    <w:rsid w:val="00C04171"/>
    <w:rsid w:val="00C041CF"/>
    <w:rsid w:val="00C04205"/>
    <w:rsid w:val="00C0424B"/>
    <w:rsid w:val="00C042E9"/>
    <w:rsid w:val="00C04300"/>
    <w:rsid w:val="00C043B2"/>
    <w:rsid w:val="00C043C8"/>
    <w:rsid w:val="00C04450"/>
    <w:rsid w:val="00C04597"/>
    <w:rsid w:val="00C04619"/>
    <w:rsid w:val="00C046BC"/>
    <w:rsid w:val="00C04837"/>
    <w:rsid w:val="00C04839"/>
    <w:rsid w:val="00C04916"/>
    <w:rsid w:val="00C0493C"/>
    <w:rsid w:val="00C04C5F"/>
    <w:rsid w:val="00C04C7E"/>
    <w:rsid w:val="00C04D0B"/>
    <w:rsid w:val="00C04E14"/>
    <w:rsid w:val="00C04F85"/>
    <w:rsid w:val="00C0501E"/>
    <w:rsid w:val="00C052C1"/>
    <w:rsid w:val="00C05363"/>
    <w:rsid w:val="00C053F6"/>
    <w:rsid w:val="00C05427"/>
    <w:rsid w:val="00C05478"/>
    <w:rsid w:val="00C0550E"/>
    <w:rsid w:val="00C055A9"/>
    <w:rsid w:val="00C05660"/>
    <w:rsid w:val="00C0570A"/>
    <w:rsid w:val="00C05C0B"/>
    <w:rsid w:val="00C05C20"/>
    <w:rsid w:val="00C05C86"/>
    <w:rsid w:val="00C05DE3"/>
    <w:rsid w:val="00C05E8B"/>
    <w:rsid w:val="00C05EA2"/>
    <w:rsid w:val="00C05F20"/>
    <w:rsid w:val="00C061AD"/>
    <w:rsid w:val="00C062B6"/>
    <w:rsid w:val="00C0634B"/>
    <w:rsid w:val="00C06435"/>
    <w:rsid w:val="00C064D8"/>
    <w:rsid w:val="00C065C9"/>
    <w:rsid w:val="00C065DC"/>
    <w:rsid w:val="00C067AB"/>
    <w:rsid w:val="00C0695A"/>
    <w:rsid w:val="00C06964"/>
    <w:rsid w:val="00C06996"/>
    <w:rsid w:val="00C069D4"/>
    <w:rsid w:val="00C06A85"/>
    <w:rsid w:val="00C06ADE"/>
    <w:rsid w:val="00C06ADF"/>
    <w:rsid w:val="00C06AF3"/>
    <w:rsid w:val="00C06B01"/>
    <w:rsid w:val="00C06C24"/>
    <w:rsid w:val="00C06EAF"/>
    <w:rsid w:val="00C06ED6"/>
    <w:rsid w:val="00C06EEE"/>
    <w:rsid w:val="00C06EF6"/>
    <w:rsid w:val="00C07050"/>
    <w:rsid w:val="00C071B1"/>
    <w:rsid w:val="00C07434"/>
    <w:rsid w:val="00C0767C"/>
    <w:rsid w:val="00C07705"/>
    <w:rsid w:val="00C0789B"/>
    <w:rsid w:val="00C079CC"/>
    <w:rsid w:val="00C07A83"/>
    <w:rsid w:val="00C07A86"/>
    <w:rsid w:val="00C07AD0"/>
    <w:rsid w:val="00C07C88"/>
    <w:rsid w:val="00C07E1E"/>
    <w:rsid w:val="00C07EAE"/>
    <w:rsid w:val="00C07EDA"/>
    <w:rsid w:val="00C10006"/>
    <w:rsid w:val="00C1000C"/>
    <w:rsid w:val="00C1024B"/>
    <w:rsid w:val="00C106D5"/>
    <w:rsid w:val="00C109F1"/>
    <w:rsid w:val="00C10A2E"/>
    <w:rsid w:val="00C10C50"/>
    <w:rsid w:val="00C10C8E"/>
    <w:rsid w:val="00C10D73"/>
    <w:rsid w:val="00C10F05"/>
    <w:rsid w:val="00C10F16"/>
    <w:rsid w:val="00C110C5"/>
    <w:rsid w:val="00C11135"/>
    <w:rsid w:val="00C1139F"/>
    <w:rsid w:val="00C11430"/>
    <w:rsid w:val="00C114D4"/>
    <w:rsid w:val="00C114D5"/>
    <w:rsid w:val="00C114E4"/>
    <w:rsid w:val="00C11625"/>
    <w:rsid w:val="00C1179D"/>
    <w:rsid w:val="00C117B2"/>
    <w:rsid w:val="00C11837"/>
    <w:rsid w:val="00C11924"/>
    <w:rsid w:val="00C119C4"/>
    <w:rsid w:val="00C11AB8"/>
    <w:rsid w:val="00C11B0D"/>
    <w:rsid w:val="00C11C42"/>
    <w:rsid w:val="00C11C8E"/>
    <w:rsid w:val="00C11E35"/>
    <w:rsid w:val="00C11F99"/>
    <w:rsid w:val="00C12005"/>
    <w:rsid w:val="00C1217A"/>
    <w:rsid w:val="00C12254"/>
    <w:rsid w:val="00C1225A"/>
    <w:rsid w:val="00C123BC"/>
    <w:rsid w:val="00C125A2"/>
    <w:rsid w:val="00C126DD"/>
    <w:rsid w:val="00C1270F"/>
    <w:rsid w:val="00C1279E"/>
    <w:rsid w:val="00C127B4"/>
    <w:rsid w:val="00C127ED"/>
    <w:rsid w:val="00C1280F"/>
    <w:rsid w:val="00C1285D"/>
    <w:rsid w:val="00C12949"/>
    <w:rsid w:val="00C12B70"/>
    <w:rsid w:val="00C12BCC"/>
    <w:rsid w:val="00C12C33"/>
    <w:rsid w:val="00C12CEE"/>
    <w:rsid w:val="00C12FA4"/>
    <w:rsid w:val="00C12FE1"/>
    <w:rsid w:val="00C12FFD"/>
    <w:rsid w:val="00C131A0"/>
    <w:rsid w:val="00C131FE"/>
    <w:rsid w:val="00C13277"/>
    <w:rsid w:val="00C132C5"/>
    <w:rsid w:val="00C135F0"/>
    <w:rsid w:val="00C13606"/>
    <w:rsid w:val="00C13795"/>
    <w:rsid w:val="00C137FB"/>
    <w:rsid w:val="00C13816"/>
    <w:rsid w:val="00C13CB6"/>
    <w:rsid w:val="00C13D82"/>
    <w:rsid w:val="00C13E42"/>
    <w:rsid w:val="00C13EF5"/>
    <w:rsid w:val="00C13F6B"/>
    <w:rsid w:val="00C14013"/>
    <w:rsid w:val="00C1407A"/>
    <w:rsid w:val="00C141AE"/>
    <w:rsid w:val="00C14302"/>
    <w:rsid w:val="00C1442A"/>
    <w:rsid w:val="00C14497"/>
    <w:rsid w:val="00C14616"/>
    <w:rsid w:val="00C146B6"/>
    <w:rsid w:val="00C14786"/>
    <w:rsid w:val="00C14881"/>
    <w:rsid w:val="00C1492B"/>
    <w:rsid w:val="00C149DB"/>
    <w:rsid w:val="00C14A8E"/>
    <w:rsid w:val="00C14B4E"/>
    <w:rsid w:val="00C14EA9"/>
    <w:rsid w:val="00C150BA"/>
    <w:rsid w:val="00C15132"/>
    <w:rsid w:val="00C1514C"/>
    <w:rsid w:val="00C15211"/>
    <w:rsid w:val="00C15225"/>
    <w:rsid w:val="00C1522B"/>
    <w:rsid w:val="00C152B7"/>
    <w:rsid w:val="00C152F9"/>
    <w:rsid w:val="00C15464"/>
    <w:rsid w:val="00C154B1"/>
    <w:rsid w:val="00C1556E"/>
    <w:rsid w:val="00C156C2"/>
    <w:rsid w:val="00C156E8"/>
    <w:rsid w:val="00C1578F"/>
    <w:rsid w:val="00C15869"/>
    <w:rsid w:val="00C15A44"/>
    <w:rsid w:val="00C15C77"/>
    <w:rsid w:val="00C15D06"/>
    <w:rsid w:val="00C15D7B"/>
    <w:rsid w:val="00C15D83"/>
    <w:rsid w:val="00C15DD6"/>
    <w:rsid w:val="00C15E1F"/>
    <w:rsid w:val="00C15E7A"/>
    <w:rsid w:val="00C15FE8"/>
    <w:rsid w:val="00C161AB"/>
    <w:rsid w:val="00C16233"/>
    <w:rsid w:val="00C162B6"/>
    <w:rsid w:val="00C162FB"/>
    <w:rsid w:val="00C16321"/>
    <w:rsid w:val="00C1634E"/>
    <w:rsid w:val="00C163ED"/>
    <w:rsid w:val="00C1640E"/>
    <w:rsid w:val="00C16413"/>
    <w:rsid w:val="00C16578"/>
    <w:rsid w:val="00C165D1"/>
    <w:rsid w:val="00C16672"/>
    <w:rsid w:val="00C16796"/>
    <w:rsid w:val="00C16873"/>
    <w:rsid w:val="00C16AED"/>
    <w:rsid w:val="00C16B4B"/>
    <w:rsid w:val="00C16B7B"/>
    <w:rsid w:val="00C16D4B"/>
    <w:rsid w:val="00C16D93"/>
    <w:rsid w:val="00C16E99"/>
    <w:rsid w:val="00C16FCF"/>
    <w:rsid w:val="00C17034"/>
    <w:rsid w:val="00C17039"/>
    <w:rsid w:val="00C17070"/>
    <w:rsid w:val="00C173B2"/>
    <w:rsid w:val="00C17408"/>
    <w:rsid w:val="00C1763D"/>
    <w:rsid w:val="00C17652"/>
    <w:rsid w:val="00C17668"/>
    <w:rsid w:val="00C1772E"/>
    <w:rsid w:val="00C17772"/>
    <w:rsid w:val="00C177B7"/>
    <w:rsid w:val="00C177CB"/>
    <w:rsid w:val="00C179CE"/>
    <w:rsid w:val="00C17A36"/>
    <w:rsid w:val="00C17A9D"/>
    <w:rsid w:val="00C17BA7"/>
    <w:rsid w:val="00C17C7F"/>
    <w:rsid w:val="00C17E95"/>
    <w:rsid w:val="00C17FD7"/>
    <w:rsid w:val="00C201AB"/>
    <w:rsid w:val="00C202BE"/>
    <w:rsid w:val="00C20304"/>
    <w:rsid w:val="00C20472"/>
    <w:rsid w:val="00C20548"/>
    <w:rsid w:val="00C2059E"/>
    <w:rsid w:val="00C2086C"/>
    <w:rsid w:val="00C208C6"/>
    <w:rsid w:val="00C208CB"/>
    <w:rsid w:val="00C208CF"/>
    <w:rsid w:val="00C20913"/>
    <w:rsid w:val="00C20962"/>
    <w:rsid w:val="00C20993"/>
    <w:rsid w:val="00C20A01"/>
    <w:rsid w:val="00C20D5A"/>
    <w:rsid w:val="00C20D84"/>
    <w:rsid w:val="00C20DA8"/>
    <w:rsid w:val="00C20E22"/>
    <w:rsid w:val="00C20EA0"/>
    <w:rsid w:val="00C20F7B"/>
    <w:rsid w:val="00C20FDB"/>
    <w:rsid w:val="00C21306"/>
    <w:rsid w:val="00C215A4"/>
    <w:rsid w:val="00C215B5"/>
    <w:rsid w:val="00C2175C"/>
    <w:rsid w:val="00C2176F"/>
    <w:rsid w:val="00C217EB"/>
    <w:rsid w:val="00C21999"/>
    <w:rsid w:val="00C21B69"/>
    <w:rsid w:val="00C21C73"/>
    <w:rsid w:val="00C21ED0"/>
    <w:rsid w:val="00C220EB"/>
    <w:rsid w:val="00C22147"/>
    <w:rsid w:val="00C2227E"/>
    <w:rsid w:val="00C22280"/>
    <w:rsid w:val="00C224B2"/>
    <w:rsid w:val="00C224B6"/>
    <w:rsid w:val="00C22760"/>
    <w:rsid w:val="00C22784"/>
    <w:rsid w:val="00C227A3"/>
    <w:rsid w:val="00C22A78"/>
    <w:rsid w:val="00C22B79"/>
    <w:rsid w:val="00C22BAF"/>
    <w:rsid w:val="00C22BCF"/>
    <w:rsid w:val="00C22CE9"/>
    <w:rsid w:val="00C22DB7"/>
    <w:rsid w:val="00C22FA9"/>
    <w:rsid w:val="00C23160"/>
    <w:rsid w:val="00C23183"/>
    <w:rsid w:val="00C231E9"/>
    <w:rsid w:val="00C231F9"/>
    <w:rsid w:val="00C233B4"/>
    <w:rsid w:val="00C233DE"/>
    <w:rsid w:val="00C233E6"/>
    <w:rsid w:val="00C23614"/>
    <w:rsid w:val="00C2373F"/>
    <w:rsid w:val="00C237F7"/>
    <w:rsid w:val="00C238FB"/>
    <w:rsid w:val="00C23AA2"/>
    <w:rsid w:val="00C23B1B"/>
    <w:rsid w:val="00C23C43"/>
    <w:rsid w:val="00C23EB2"/>
    <w:rsid w:val="00C23EE1"/>
    <w:rsid w:val="00C23F09"/>
    <w:rsid w:val="00C23F21"/>
    <w:rsid w:val="00C23FEE"/>
    <w:rsid w:val="00C24098"/>
    <w:rsid w:val="00C2420E"/>
    <w:rsid w:val="00C242C8"/>
    <w:rsid w:val="00C24478"/>
    <w:rsid w:val="00C24501"/>
    <w:rsid w:val="00C2456A"/>
    <w:rsid w:val="00C24574"/>
    <w:rsid w:val="00C245DF"/>
    <w:rsid w:val="00C24661"/>
    <w:rsid w:val="00C24670"/>
    <w:rsid w:val="00C2481F"/>
    <w:rsid w:val="00C24941"/>
    <w:rsid w:val="00C2496F"/>
    <w:rsid w:val="00C24A8A"/>
    <w:rsid w:val="00C24BAF"/>
    <w:rsid w:val="00C24BE1"/>
    <w:rsid w:val="00C24C94"/>
    <w:rsid w:val="00C24C97"/>
    <w:rsid w:val="00C24D3E"/>
    <w:rsid w:val="00C24D7E"/>
    <w:rsid w:val="00C24DA4"/>
    <w:rsid w:val="00C24F4E"/>
    <w:rsid w:val="00C24FEE"/>
    <w:rsid w:val="00C24FFB"/>
    <w:rsid w:val="00C25038"/>
    <w:rsid w:val="00C251BE"/>
    <w:rsid w:val="00C251E5"/>
    <w:rsid w:val="00C251F8"/>
    <w:rsid w:val="00C2522D"/>
    <w:rsid w:val="00C252E2"/>
    <w:rsid w:val="00C256B5"/>
    <w:rsid w:val="00C2577D"/>
    <w:rsid w:val="00C25796"/>
    <w:rsid w:val="00C25B99"/>
    <w:rsid w:val="00C25F29"/>
    <w:rsid w:val="00C25F81"/>
    <w:rsid w:val="00C26119"/>
    <w:rsid w:val="00C264D7"/>
    <w:rsid w:val="00C267C5"/>
    <w:rsid w:val="00C268C2"/>
    <w:rsid w:val="00C2698A"/>
    <w:rsid w:val="00C26AF9"/>
    <w:rsid w:val="00C26B2F"/>
    <w:rsid w:val="00C26E5D"/>
    <w:rsid w:val="00C26EB6"/>
    <w:rsid w:val="00C26FCE"/>
    <w:rsid w:val="00C270D6"/>
    <w:rsid w:val="00C27296"/>
    <w:rsid w:val="00C273D7"/>
    <w:rsid w:val="00C27444"/>
    <w:rsid w:val="00C27490"/>
    <w:rsid w:val="00C275E0"/>
    <w:rsid w:val="00C27626"/>
    <w:rsid w:val="00C276EB"/>
    <w:rsid w:val="00C277D4"/>
    <w:rsid w:val="00C27857"/>
    <w:rsid w:val="00C27972"/>
    <w:rsid w:val="00C27980"/>
    <w:rsid w:val="00C279B0"/>
    <w:rsid w:val="00C27A92"/>
    <w:rsid w:val="00C27AE9"/>
    <w:rsid w:val="00C27B1A"/>
    <w:rsid w:val="00C27B56"/>
    <w:rsid w:val="00C27BF1"/>
    <w:rsid w:val="00C27C66"/>
    <w:rsid w:val="00C27C82"/>
    <w:rsid w:val="00C27CF8"/>
    <w:rsid w:val="00C27DD7"/>
    <w:rsid w:val="00C27F6D"/>
    <w:rsid w:val="00C27FED"/>
    <w:rsid w:val="00C30068"/>
    <w:rsid w:val="00C30133"/>
    <w:rsid w:val="00C301A9"/>
    <w:rsid w:val="00C301CF"/>
    <w:rsid w:val="00C302D8"/>
    <w:rsid w:val="00C303E4"/>
    <w:rsid w:val="00C303FE"/>
    <w:rsid w:val="00C30722"/>
    <w:rsid w:val="00C308F5"/>
    <w:rsid w:val="00C30B28"/>
    <w:rsid w:val="00C30E20"/>
    <w:rsid w:val="00C30F36"/>
    <w:rsid w:val="00C31043"/>
    <w:rsid w:val="00C3128F"/>
    <w:rsid w:val="00C313BC"/>
    <w:rsid w:val="00C313EF"/>
    <w:rsid w:val="00C315C1"/>
    <w:rsid w:val="00C31600"/>
    <w:rsid w:val="00C3161C"/>
    <w:rsid w:val="00C31832"/>
    <w:rsid w:val="00C31881"/>
    <w:rsid w:val="00C31A4B"/>
    <w:rsid w:val="00C31AAF"/>
    <w:rsid w:val="00C31B6A"/>
    <w:rsid w:val="00C31C98"/>
    <w:rsid w:val="00C31CB5"/>
    <w:rsid w:val="00C31D6F"/>
    <w:rsid w:val="00C31E4C"/>
    <w:rsid w:val="00C31F6D"/>
    <w:rsid w:val="00C31F7C"/>
    <w:rsid w:val="00C32032"/>
    <w:rsid w:val="00C32042"/>
    <w:rsid w:val="00C322CD"/>
    <w:rsid w:val="00C322F4"/>
    <w:rsid w:val="00C32446"/>
    <w:rsid w:val="00C3245A"/>
    <w:rsid w:val="00C3254D"/>
    <w:rsid w:val="00C325F3"/>
    <w:rsid w:val="00C32609"/>
    <w:rsid w:val="00C3263E"/>
    <w:rsid w:val="00C326F9"/>
    <w:rsid w:val="00C32781"/>
    <w:rsid w:val="00C328E1"/>
    <w:rsid w:val="00C329DB"/>
    <w:rsid w:val="00C32A50"/>
    <w:rsid w:val="00C32AD8"/>
    <w:rsid w:val="00C32AE4"/>
    <w:rsid w:val="00C32B99"/>
    <w:rsid w:val="00C32DB5"/>
    <w:rsid w:val="00C32F53"/>
    <w:rsid w:val="00C331E0"/>
    <w:rsid w:val="00C3331F"/>
    <w:rsid w:val="00C334AB"/>
    <w:rsid w:val="00C33811"/>
    <w:rsid w:val="00C33984"/>
    <w:rsid w:val="00C33A49"/>
    <w:rsid w:val="00C33B73"/>
    <w:rsid w:val="00C33B7E"/>
    <w:rsid w:val="00C33BA6"/>
    <w:rsid w:val="00C33D9C"/>
    <w:rsid w:val="00C33E4A"/>
    <w:rsid w:val="00C33F88"/>
    <w:rsid w:val="00C33FB2"/>
    <w:rsid w:val="00C34092"/>
    <w:rsid w:val="00C34184"/>
    <w:rsid w:val="00C341BB"/>
    <w:rsid w:val="00C34242"/>
    <w:rsid w:val="00C342B8"/>
    <w:rsid w:val="00C343E6"/>
    <w:rsid w:val="00C3450E"/>
    <w:rsid w:val="00C34592"/>
    <w:rsid w:val="00C345FE"/>
    <w:rsid w:val="00C346E2"/>
    <w:rsid w:val="00C347C4"/>
    <w:rsid w:val="00C34978"/>
    <w:rsid w:val="00C34AAA"/>
    <w:rsid w:val="00C34AEF"/>
    <w:rsid w:val="00C34B88"/>
    <w:rsid w:val="00C34BAB"/>
    <w:rsid w:val="00C34DC5"/>
    <w:rsid w:val="00C34E10"/>
    <w:rsid w:val="00C34EA4"/>
    <w:rsid w:val="00C34F98"/>
    <w:rsid w:val="00C351AC"/>
    <w:rsid w:val="00C351EB"/>
    <w:rsid w:val="00C35204"/>
    <w:rsid w:val="00C3530F"/>
    <w:rsid w:val="00C35332"/>
    <w:rsid w:val="00C35420"/>
    <w:rsid w:val="00C354CA"/>
    <w:rsid w:val="00C355DE"/>
    <w:rsid w:val="00C356BE"/>
    <w:rsid w:val="00C3576E"/>
    <w:rsid w:val="00C357A5"/>
    <w:rsid w:val="00C35A7E"/>
    <w:rsid w:val="00C35AAF"/>
    <w:rsid w:val="00C35B76"/>
    <w:rsid w:val="00C35CCC"/>
    <w:rsid w:val="00C35E03"/>
    <w:rsid w:val="00C35E1A"/>
    <w:rsid w:val="00C35E93"/>
    <w:rsid w:val="00C360A0"/>
    <w:rsid w:val="00C36311"/>
    <w:rsid w:val="00C36520"/>
    <w:rsid w:val="00C36553"/>
    <w:rsid w:val="00C365BE"/>
    <w:rsid w:val="00C36629"/>
    <w:rsid w:val="00C3671C"/>
    <w:rsid w:val="00C36910"/>
    <w:rsid w:val="00C369EE"/>
    <w:rsid w:val="00C36A3D"/>
    <w:rsid w:val="00C36B45"/>
    <w:rsid w:val="00C36BFE"/>
    <w:rsid w:val="00C36D3E"/>
    <w:rsid w:val="00C36D66"/>
    <w:rsid w:val="00C36FB9"/>
    <w:rsid w:val="00C36FD0"/>
    <w:rsid w:val="00C370E3"/>
    <w:rsid w:val="00C371D6"/>
    <w:rsid w:val="00C37235"/>
    <w:rsid w:val="00C3731C"/>
    <w:rsid w:val="00C3731E"/>
    <w:rsid w:val="00C37417"/>
    <w:rsid w:val="00C374AB"/>
    <w:rsid w:val="00C3769A"/>
    <w:rsid w:val="00C376D0"/>
    <w:rsid w:val="00C378B6"/>
    <w:rsid w:val="00C378BD"/>
    <w:rsid w:val="00C37A29"/>
    <w:rsid w:val="00C37B71"/>
    <w:rsid w:val="00C37F70"/>
    <w:rsid w:val="00C37FA2"/>
    <w:rsid w:val="00C4005E"/>
    <w:rsid w:val="00C4020B"/>
    <w:rsid w:val="00C40265"/>
    <w:rsid w:val="00C402AD"/>
    <w:rsid w:val="00C40337"/>
    <w:rsid w:val="00C403A7"/>
    <w:rsid w:val="00C403CE"/>
    <w:rsid w:val="00C405DF"/>
    <w:rsid w:val="00C40632"/>
    <w:rsid w:val="00C4067F"/>
    <w:rsid w:val="00C408D8"/>
    <w:rsid w:val="00C4095E"/>
    <w:rsid w:val="00C40A97"/>
    <w:rsid w:val="00C40B1C"/>
    <w:rsid w:val="00C40B81"/>
    <w:rsid w:val="00C40E46"/>
    <w:rsid w:val="00C41102"/>
    <w:rsid w:val="00C41150"/>
    <w:rsid w:val="00C4120A"/>
    <w:rsid w:val="00C41266"/>
    <w:rsid w:val="00C41272"/>
    <w:rsid w:val="00C4130B"/>
    <w:rsid w:val="00C41394"/>
    <w:rsid w:val="00C4143B"/>
    <w:rsid w:val="00C4145D"/>
    <w:rsid w:val="00C41594"/>
    <w:rsid w:val="00C415BB"/>
    <w:rsid w:val="00C41770"/>
    <w:rsid w:val="00C4181C"/>
    <w:rsid w:val="00C4188E"/>
    <w:rsid w:val="00C41A0E"/>
    <w:rsid w:val="00C41AAF"/>
    <w:rsid w:val="00C41AB9"/>
    <w:rsid w:val="00C41B5C"/>
    <w:rsid w:val="00C41DC4"/>
    <w:rsid w:val="00C41F33"/>
    <w:rsid w:val="00C4248B"/>
    <w:rsid w:val="00C42556"/>
    <w:rsid w:val="00C4255E"/>
    <w:rsid w:val="00C425AC"/>
    <w:rsid w:val="00C425B8"/>
    <w:rsid w:val="00C42702"/>
    <w:rsid w:val="00C42755"/>
    <w:rsid w:val="00C427BB"/>
    <w:rsid w:val="00C427F9"/>
    <w:rsid w:val="00C42965"/>
    <w:rsid w:val="00C42998"/>
    <w:rsid w:val="00C42A71"/>
    <w:rsid w:val="00C42B0E"/>
    <w:rsid w:val="00C42B47"/>
    <w:rsid w:val="00C42B4D"/>
    <w:rsid w:val="00C42C05"/>
    <w:rsid w:val="00C42CA7"/>
    <w:rsid w:val="00C42D36"/>
    <w:rsid w:val="00C42DB4"/>
    <w:rsid w:val="00C42E6E"/>
    <w:rsid w:val="00C42E70"/>
    <w:rsid w:val="00C43113"/>
    <w:rsid w:val="00C43128"/>
    <w:rsid w:val="00C4312B"/>
    <w:rsid w:val="00C431DD"/>
    <w:rsid w:val="00C432CF"/>
    <w:rsid w:val="00C43342"/>
    <w:rsid w:val="00C433A7"/>
    <w:rsid w:val="00C4361D"/>
    <w:rsid w:val="00C436A1"/>
    <w:rsid w:val="00C436E1"/>
    <w:rsid w:val="00C43727"/>
    <w:rsid w:val="00C43A1A"/>
    <w:rsid w:val="00C43A3A"/>
    <w:rsid w:val="00C43B80"/>
    <w:rsid w:val="00C43C83"/>
    <w:rsid w:val="00C43CF9"/>
    <w:rsid w:val="00C43D33"/>
    <w:rsid w:val="00C43D6D"/>
    <w:rsid w:val="00C43DD4"/>
    <w:rsid w:val="00C43F12"/>
    <w:rsid w:val="00C43F3A"/>
    <w:rsid w:val="00C44009"/>
    <w:rsid w:val="00C440BC"/>
    <w:rsid w:val="00C44118"/>
    <w:rsid w:val="00C44477"/>
    <w:rsid w:val="00C44498"/>
    <w:rsid w:val="00C44817"/>
    <w:rsid w:val="00C4489B"/>
    <w:rsid w:val="00C44936"/>
    <w:rsid w:val="00C44939"/>
    <w:rsid w:val="00C4497E"/>
    <w:rsid w:val="00C44A8E"/>
    <w:rsid w:val="00C44A9E"/>
    <w:rsid w:val="00C44B15"/>
    <w:rsid w:val="00C44B95"/>
    <w:rsid w:val="00C44C8D"/>
    <w:rsid w:val="00C44D3A"/>
    <w:rsid w:val="00C44D68"/>
    <w:rsid w:val="00C44FD0"/>
    <w:rsid w:val="00C44FE7"/>
    <w:rsid w:val="00C45091"/>
    <w:rsid w:val="00C4516B"/>
    <w:rsid w:val="00C451F3"/>
    <w:rsid w:val="00C4521C"/>
    <w:rsid w:val="00C45249"/>
    <w:rsid w:val="00C45374"/>
    <w:rsid w:val="00C454ED"/>
    <w:rsid w:val="00C45518"/>
    <w:rsid w:val="00C4579E"/>
    <w:rsid w:val="00C457E1"/>
    <w:rsid w:val="00C45829"/>
    <w:rsid w:val="00C458DD"/>
    <w:rsid w:val="00C45A38"/>
    <w:rsid w:val="00C45AF1"/>
    <w:rsid w:val="00C45B45"/>
    <w:rsid w:val="00C45C69"/>
    <w:rsid w:val="00C45D65"/>
    <w:rsid w:val="00C45DA5"/>
    <w:rsid w:val="00C45DC8"/>
    <w:rsid w:val="00C45E6B"/>
    <w:rsid w:val="00C45F61"/>
    <w:rsid w:val="00C45FB9"/>
    <w:rsid w:val="00C4632C"/>
    <w:rsid w:val="00C465A5"/>
    <w:rsid w:val="00C4665F"/>
    <w:rsid w:val="00C466EC"/>
    <w:rsid w:val="00C46846"/>
    <w:rsid w:val="00C468B6"/>
    <w:rsid w:val="00C46A33"/>
    <w:rsid w:val="00C46A5B"/>
    <w:rsid w:val="00C46B3C"/>
    <w:rsid w:val="00C46C6B"/>
    <w:rsid w:val="00C46CBC"/>
    <w:rsid w:val="00C46D0B"/>
    <w:rsid w:val="00C46D43"/>
    <w:rsid w:val="00C46E11"/>
    <w:rsid w:val="00C46E47"/>
    <w:rsid w:val="00C46F21"/>
    <w:rsid w:val="00C46F47"/>
    <w:rsid w:val="00C46FE6"/>
    <w:rsid w:val="00C47004"/>
    <w:rsid w:val="00C4707D"/>
    <w:rsid w:val="00C470F9"/>
    <w:rsid w:val="00C47252"/>
    <w:rsid w:val="00C4725C"/>
    <w:rsid w:val="00C473B0"/>
    <w:rsid w:val="00C47468"/>
    <w:rsid w:val="00C47487"/>
    <w:rsid w:val="00C47564"/>
    <w:rsid w:val="00C475DD"/>
    <w:rsid w:val="00C4761A"/>
    <w:rsid w:val="00C477CF"/>
    <w:rsid w:val="00C47940"/>
    <w:rsid w:val="00C4797A"/>
    <w:rsid w:val="00C47A11"/>
    <w:rsid w:val="00C47A2D"/>
    <w:rsid w:val="00C47A45"/>
    <w:rsid w:val="00C47E5C"/>
    <w:rsid w:val="00C47E67"/>
    <w:rsid w:val="00C47E9D"/>
    <w:rsid w:val="00C47F84"/>
    <w:rsid w:val="00C5004C"/>
    <w:rsid w:val="00C5009A"/>
    <w:rsid w:val="00C5018E"/>
    <w:rsid w:val="00C502C5"/>
    <w:rsid w:val="00C50303"/>
    <w:rsid w:val="00C50308"/>
    <w:rsid w:val="00C50452"/>
    <w:rsid w:val="00C50586"/>
    <w:rsid w:val="00C505F0"/>
    <w:rsid w:val="00C505F5"/>
    <w:rsid w:val="00C5065B"/>
    <w:rsid w:val="00C5067A"/>
    <w:rsid w:val="00C506A7"/>
    <w:rsid w:val="00C50B8F"/>
    <w:rsid w:val="00C50BA7"/>
    <w:rsid w:val="00C50BB7"/>
    <w:rsid w:val="00C50C8F"/>
    <w:rsid w:val="00C50D94"/>
    <w:rsid w:val="00C50FED"/>
    <w:rsid w:val="00C51024"/>
    <w:rsid w:val="00C510DA"/>
    <w:rsid w:val="00C511A3"/>
    <w:rsid w:val="00C511B8"/>
    <w:rsid w:val="00C51303"/>
    <w:rsid w:val="00C51399"/>
    <w:rsid w:val="00C513B3"/>
    <w:rsid w:val="00C514BC"/>
    <w:rsid w:val="00C515E9"/>
    <w:rsid w:val="00C51616"/>
    <w:rsid w:val="00C51740"/>
    <w:rsid w:val="00C5186C"/>
    <w:rsid w:val="00C51891"/>
    <w:rsid w:val="00C518AF"/>
    <w:rsid w:val="00C51A32"/>
    <w:rsid w:val="00C51D12"/>
    <w:rsid w:val="00C51D84"/>
    <w:rsid w:val="00C51EE1"/>
    <w:rsid w:val="00C51F97"/>
    <w:rsid w:val="00C520CB"/>
    <w:rsid w:val="00C52126"/>
    <w:rsid w:val="00C5232E"/>
    <w:rsid w:val="00C52337"/>
    <w:rsid w:val="00C523BB"/>
    <w:rsid w:val="00C523BC"/>
    <w:rsid w:val="00C52499"/>
    <w:rsid w:val="00C52535"/>
    <w:rsid w:val="00C52598"/>
    <w:rsid w:val="00C52773"/>
    <w:rsid w:val="00C527C8"/>
    <w:rsid w:val="00C527EC"/>
    <w:rsid w:val="00C52996"/>
    <w:rsid w:val="00C52C7B"/>
    <w:rsid w:val="00C52EF7"/>
    <w:rsid w:val="00C5327E"/>
    <w:rsid w:val="00C532CD"/>
    <w:rsid w:val="00C532FA"/>
    <w:rsid w:val="00C53352"/>
    <w:rsid w:val="00C53542"/>
    <w:rsid w:val="00C5358B"/>
    <w:rsid w:val="00C53641"/>
    <w:rsid w:val="00C536F9"/>
    <w:rsid w:val="00C537EC"/>
    <w:rsid w:val="00C53876"/>
    <w:rsid w:val="00C539CD"/>
    <w:rsid w:val="00C53A36"/>
    <w:rsid w:val="00C53AE4"/>
    <w:rsid w:val="00C53B10"/>
    <w:rsid w:val="00C53BD4"/>
    <w:rsid w:val="00C53C05"/>
    <w:rsid w:val="00C53C40"/>
    <w:rsid w:val="00C53CA8"/>
    <w:rsid w:val="00C53D4C"/>
    <w:rsid w:val="00C53D67"/>
    <w:rsid w:val="00C53F5E"/>
    <w:rsid w:val="00C5412A"/>
    <w:rsid w:val="00C54133"/>
    <w:rsid w:val="00C5413F"/>
    <w:rsid w:val="00C54251"/>
    <w:rsid w:val="00C54302"/>
    <w:rsid w:val="00C5447E"/>
    <w:rsid w:val="00C544C8"/>
    <w:rsid w:val="00C54501"/>
    <w:rsid w:val="00C545A4"/>
    <w:rsid w:val="00C545B4"/>
    <w:rsid w:val="00C54617"/>
    <w:rsid w:val="00C54676"/>
    <w:rsid w:val="00C54688"/>
    <w:rsid w:val="00C54817"/>
    <w:rsid w:val="00C54858"/>
    <w:rsid w:val="00C549BF"/>
    <w:rsid w:val="00C54A4C"/>
    <w:rsid w:val="00C54AC7"/>
    <w:rsid w:val="00C54CA3"/>
    <w:rsid w:val="00C54CC2"/>
    <w:rsid w:val="00C54CD4"/>
    <w:rsid w:val="00C54CD6"/>
    <w:rsid w:val="00C54E7C"/>
    <w:rsid w:val="00C54EA0"/>
    <w:rsid w:val="00C54F71"/>
    <w:rsid w:val="00C5502F"/>
    <w:rsid w:val="00C550E3"/>
    <w:rsid w:val="00C55225"/>
    <w:rsid w:val="00C55257"/>
    <w:rsid w:val="00C552A4"/>
    <w:rsid w:val="00C553B6"/>
    <w:rsid w:val="00C554B5"/>
    <w:rsid w:val="00C556A9"/>
    <w:rsid w:val="00C556C7"/>
    <w:rsid w:val="00C55749"/>
    <w:rsid w:val="00C5581E"/>
    <w:rsid w:val="00C55829"/>
    <w:rsid w:val="00C55905"/>
    <w:rsid w:val="00C5594D"/>
    <w:rsid w:val="00C559B1"/>
    <w:rsid w:val="00C559D0"/>
    <w:rsid w:val="00C55A11"/>
    <w:rsid w:val="00C55A60"/>
    <w:rsid w:val="00C55D79"/>
    <w:rsid w:val="00C55EDC"/>
    <w:rsid w:val="00C55EF8"/>
    <w:rsid w:val="00C55FA8"/>
    <w:rsid w:val="00C56046"/>
    <w:rsid w:val="00C56084"/>
    <w:rsid w:val="00C5624C"/>
    <w:rsid w:val="00C56302"/>
    <w:rsid w:val="00C56325"/>
    <w:rsid w:val="00C5633D"/>
    <w:rsid w:val="00C56350"/>
    <w:rsid w:val="00C5638A"/>
    <w:rsid w:val="00C563C0"/>
    <w:rsid w:val="00C56424"/>
    <w:rsid w:val="00C564C7"/>
    <w:rsid w:val="00C564D5"/>
    <w:rsid w:val="00C56599"/>
    <w:rsid w:val="00C566D8"/>
    <w:rsid w:val="00C5677E"/>
    <w:rsid w:val="00C567EB"/>
    <w:rsid w:val="00C568A8"/>
    <w:rsid w:val="00C56909"/>
    <w:rsid w:val="00C56A56"/>
    <w:rsid w:val="00C56DFD"/>
    <w:rsid w:val="00C56E4F"/>
    <w:rsid w:val="00C56EDD"/>
    <w:rsid w:val="00C56F2F"/>
    <w:rsid w:val="00C56F5F"/>
    <w:rsid w:val="00C57039"/>
    <w:rsid w:val="00C57163"/>
    <w:rsid w:val="00C571DF"/>
    <w:rsid w:val="00C574C1"/>
    <w:rsid w:val="00C57507"/>
    <w:rsid w:val="00C57591"/>
    <w:rsid w:val="00C57604"/>
    <w:rsid w:val="00C57867"/>
    <w:rsid w:val="00C579A7"/>
    <w:rsid w:val="00C57A15"/>
    <w:rsid w:val="00C57A83"/>
    <w:rsid w:val="00C57CA6"/>
    <w:rsid w:val="00C57D37"/>
    <w:rsid w:val="00C57F67"/>
    <w:rsid w:val="00C57FEC"/>
    <w:rsid w:val="00C600CA"/>
    <w:rsid w:val="00C60298"/>
    <w:rsid w:val="00C60411"/>
    <w:rsid w:val="00C6042D"/>
    <w:rsid w:val="00C6043B"/>
    <w:rsid w:val="00C604C2"/>
    <w:rsid w:val="00C6054A"/>
    <w:rsid w:val="00C60684"/>
    <w:rsid w:val="00C6071F"/>
    <w:rsid w:val="00C60793"/>
    <w:rsid w:val="00C607E4"/>
    <w:rsid w:val="00C60837"/>
    <w:rsid w:val="00C60862"/>
    <w:rsid w:val="00C6087C"/>
    <w:rsid w:val="00C60928"/>
    <w:rsid w:val="00C60BED"/>
    <w:rsid w:val="00C60C0E"/>
    <w:rsid w:val="00C60C38"/>
    <w:rsid w:val="00C60F94"/>
    <w:rsid w:val="00C60FCD"/>
    <w:rsid w:val="00C61006"/>
    <w:rsid w:val="00C611E0"/>
    <w:rsid w:val="00C61259"/>
    <w:rsid w:val="00C612DC"/>
    <w:rsid w:val="00C613C9"/>
    <w:rsid w:val="00C613D3"/>
    <w:rsid w:val="00C614F6"/>
    <w:rsid w:val="00C61569"/>
    <w:rsid w:val="00C61656"/>
    <w:rsid w:val="00C6179E"/>
    <w:rsid w:val="00C618A1"/>
    <w:rsid w:val="00C61974"/>
    <w:rsid w:val="00C61A8D"/>
    <w:rsid w:val="00C61AC7"/>
    <w:rsid w:val="00C61AD7"/>
    <w:rsid w:val="00C61AFF"/>
    <w:rsid w:val="00C61B93"/>
    <w:rsid w:val="00C61E37"/>
    <w:rsid w:val="00C61E39"/>
    <w:rsid w:val="00C61F07"/>
    <w:rsid w:val="00C61FE4"/>
    <w:rsid w:val="00C62026"/>
    <w:rsid w:val="00C620D4"/>
    <w:rsid w:val="00C621D4"/>
    <w:rsid w:val="00C622CD"/>
    <w:rsid w:val="00C622EB"/>
    <w:rsid w:val="00C6236B"/>
    <w:rsid w:val="00C62468"/>
    <w:rsid w:val="00C62580"/>
    <w:rsid w:val="00C6263C"/>
    <w:rsid w:val="00C6274C"/>
    <w:rsid w:val="00C62791"/>
    <w:rsid w:val="00C627F1"/>
    <w:rsid w:val="00C628C3"/>
    <w:rsid w:val="00C629B2"/>
    <w:rsid w:val="00C62AE1"/>
    <w:rsid w:val="00C62B85"/>
    <w:rsid w:val="00C62BE1"/>
    <w:rsid w:val="00C62C9D"/>
    <w:rsid w:val="00C62DA6"/>
    <w:rsid w:val="00C62E43"/>
    <w:rsid w:val="00C62E92"/>
    <w:rsid w:val="00C62F1A"/>
    <w:rsid w:val="00C63082"/>
    <w:rsid w:val="00C6315D"/>
    <w:rsid w:val="00C63256"/>
    <w:rsid w:val="00C632FF"/>
    <w:rsid w:val="00C63331"/>
    <w:rsid w:val="00C6349B"/>
    <w:rsid w:val="00C6349C"/>
    <w:rsid w:val="00C637F9"/>
    <w:rsid w:val="00C639EA"/>
    <w:rsid w:val="00C63AE9"/>
    <w:rsid w:val="00C63C96"/>
    <w:rsid w:val="00C63CAA"/>
    <w:rsid w:val="00C63D04"/>
    <w:rsid w:val="00C63D0B"/>
    <w:rsid w:val="00C642CD"/>
    <w:rsid w:val="00C6438A"/>
    <w:rsid w:val="00C64421"/>
    <w:rsid w:val="00C644BD"/>
    <w:rsid w:val="00C64548"/>
    <w:rsid w:val="00C646B1"/>
    <w:rsid w:val="00C64739"/>
    <w:rsid w:val="00C64756"/>
    <w:rsid w:val="00C64801"/>
    <w:rsid w:val="00C6484D"/>
    <w:rsid w:val="00C64A39"/>
    <w:rsid w:val="00C64BD1"/>
    <w:rsid w:val="00C64D61"/>
    <w:rsid w:val="00C64D9D"/>
    <w:rsid w:val="00C64DF3"/>
    <w:rsid w:val="00C64E08"/>
    <w:rsid w:val="00C64E63"/>
    <w:rsid w:val="00C64E8F"/>
    <w:rsid w:val="00C64EDE"/>
    <w:rsid w:val="00C64F34"/>
    <w:rsid w:val="00C64F8E"/>
    <w:rsid w:val="00C651CA"/>
    <w:rsid w:val="00C651DE"/>
    <w:rsid w:val="00C651E0"/>
    <w:rsid w:val="00C6522F"/>
    <w:rsid w:val="00C6534C"/>
    <w:rsid w:val="00C653F2"/>
    <w:rsid w:val="00C654A3"/>
    <w:rsid w:val="00C654E3"/>
    <w:rsid w:val="00C655E0"/>
    <w:rsid w:val="00C6561A"/>
    <w:rsid w:val="00C65675"/>
    <w:rsid w:val="00C65754"/>
    <w:rsid w:val="00C6576A"/>
    <w:rsid w:val="00C65845"/>
    <w:rsid w:val="00C65ADA"/>
    <w:rsid w:val="00C65B14"/>
    <w:rsid w:val="00C65C19"/>
    <w:rsid w:val="00C65C5A"/>
    <w:rsid w:val="00C65C9F"/>
    <w:rsid w:val="00C65CDD"/>
    <w:rsid w:val="00C65EFC"/>
    <w:rsid w:val="00C65FAC"/>
    <w:rsid w:val="00C660C4"/>
    <w:rsid w:val="00C660F8"/>
    <w:rsid w:val="00C66293"/>
    <w:rsid w:val="00C662E5"/>
    <w:rsid w:val="00C66381"/>
    <w:rsid w:val="00C66456"/>
    <w:rsid w:val="00C6645D"/>
    <w:rsid w:val="00C66514"/>
    <w:rsid w:val="00C666D5"/>
    <w:rsid w:val="00C66789"/>
    <w:rsid w:val="00C668A0"/>
    <w:rsid w:val="00C669D0"/>
    <w:rsid w:val="00C66AA4"/>
    <w:rsid w:val="00C66B75"/>
    <w:rsid w:val="00C66DF5"/>
    <w:rsid w:val="00C66F57"/>
    <w:rsid w:val="00C66F9C"/>
    <w:rsid w:val="00C66FBB"/>
    <w:rsid w:val="00C672D8"/>
    <w:rsid w:val="00C6738C"/>
    <w:rsid w:val="00C67532"/>
    <w:rsid w:val="00C67693"/>
    <w:rsid w:val="00C6770E"/>
    <w:rsid w:val="00C67790"/>
    <w:rsid w:val="00C677C1"/>
    <w:rsid w:val="00C678A2"/>
    <w:rsid w:val="00C678B1"/>
    <w:rsid w:val="00C679D6"/>
    <w:rsid w:val="00C67C8E"/>
    <w:rsid w:val="00C67CBA"/>
    <w:rsid w:val="00C67D14"/>
    <w:rsid w:val="00C67E3B"/>
    <w:rsid w:val="00C67F49"/>
    <w:rsid w:val="00C7022D"/>
    <w:rsid w:val="00C70372"/>
    <w:rsid w:val="00C704F8"/>
    <w:rsid w:val="00C70517"/>
    <w:rsid w:val="00C70555"/>
    <w:rsid w:val="00C7059E"/>
    <w:rsid w:val="00C7063B"/>
    <w:rsid w:val="00C707C1"/>
    <w:rsid w:val="00C707FC"/>
    <w:rsid w:val="00C70A7F"/>
    <w:rsid w:val="00C70A9E"/>
    <w:rsid w:val="00C70AF3"/>
    <w:rsid w:val="00C70B19"/>
    <w:rsid w:val="00C70BC9"/>
    <w:rsid w:val="00C70E6E"/>
    <w:rsid w:val="00C70E71"/>
    <w:rsid w:val="00C70EE6"/>
    <w:rsid w:val="00C70EEB"/>
    <w:rsid w:val="00C70EFC"/>
    <w:rsid w:val="00C70FE2"/>
    <w:rsid w:val="00C70FE8"/>
    <w:rsid w:val="00C71021"/>
    <w:rsid w:val="00C71032"/>
    <w:rsid w:val="00C71251"/>
    <w:rsid w:val="00C7145F"/>
    <w:rsid w:val="00C71485"/>
    <w:rsid w:val="00C71489"/>
    <w:rsid w:val="00C714B7"/>
    <w:rsid w:val="00C7157E"/>
    <w:rsid w:val="00C716E2"/>
    <w:rsid w:val="00C716F8"/>
    <w:rsid w:val="00C71889"/>
    <w:rsid w:val="00C7188E"/>
    <w:rsid w:val="00C718AB"/>
    <w:rsid w:val="00C71A04"/>
    <w:rsid w:val="00C71AE5"/>
    <w:rsid w:val="00C71C89"/>
    <w:rsid w:val="00C71D27"/>
    <w:rsid w:val="00C71DE2"/>
    <w:rsid w:val="00C71E31"/>
    <w:rsid w:val="00C71E40"/>
    <w:rsid w:val="00C71E95"/>
    <w:rsid w:val="00C71EBA"/>
    <w:rsid w:val="00C71F04"/>
    <w:rsid w:val="00C71FC7"/>
    <w:rsid w:val="00C720CE"/>
    <w:rsid w:val="00C721AC"/>
    <w:rsid w:val="00C72265"/>
    <w:rsid w:val="00C72268"/>
    <w:rsid w:val="00C722B0"/>
    <w:rsid w:val="00C72326"/>
    <w:rsid w:val="00C7249C"/>
    <w:rsid w:val="00C724EB"/>
    <w:rsid w:val="00C725BA"/>
    <w:rsid w:val="00C725D3"/>
    <w:rsid w:val="00C7266D"/>
    <w:rsid w:val="00C72724"/>
    <w:rsid w:val="00C72736"/>
    <w:rsid w:val="00C72909"/>
    <w:rsid w:val="00C72B67"/>
    <w:rsid w:val="00C72C33"/>
    <w:rsid w:val="00C72C9C"/>
    <w:rsid w:val="00C72CC6"/>
    <w:rsid w:val="00C72CEA"/>
    <w:rsid w:val="00C72D4C"/>
    <w:rsid w:val="00C72E3E"/>
    <w:rsid w:val="00C72E8C"/>
    <w:rsid w:val="00C72F0B"/>
    <w:rsid w:val="00C73078"/>
    <w:rsid w:val="00C730C7"/>
    <w:rsid w:val="00C73134"/>
    <w:rsid w:val="00C73252"/>
    <w:rsid w:val="00C7325E"/>
    <w:rsid w:val="00C732B9"/>
    <w:rsid w:val="00C7344A"/>
    <w:rsid w:val="00C73701"/>
    <w:rsid w:val="00C73730"/>
    <w:rsid w:val="00C737D3"/>
    <w:rsid w:val="00C738D2"/>
    <w:rsid w:val="00C73957"/>
    <w:rsid w:val="00C73963"/>
    <w:rsid w:val="00C73C67"/>
    <w:rsid w:val="00C73CD5"/>
    <w:rsid w:val="00C73CFA"/>
    <w:rsid w:val="00C73D7F"/>
    <w:rsid w:val="00C73DB4"/>
    <w:rsid w:val="00C73E98"/>
    <w:rsid w:val="00C73FBB"/>
    <w:rsid w:val="00C7418C"/>
    <w:rsid w:val="00C741CC"/>
    <w:rsid w:val="00C74200"/>
    <w:rsid w:val="00C74291"/>
    <w:rsid w:val="00C74330"/>
    <w:rsid w:val="00C74368"/>
    <w:rsid w:val="00C743C1"/>
    <w:rsid w:val="00C743C9"/>
    <w:rsid w:val="00C74476"/>
    <w:rsid w:val="00C744C1"/>
    <w:rsid w:val="00C74555"/>
    <w:rsid w:val="00C745CA"/>
    <w:rsid w:val="00C7489D"/>
    <w:rsid w:val="00C74A5D"/>
    <w:rsid w:val="00C74B32"/>
    <w:rsid w:val="00C74B39"/>
    <w:rsid w:val="00C74B82"/>
    <w:rsid w:val="00C74D6B"/>
    <w:rsid w:val="00C74D7C"/>
    <w:rsid w:val="00C75043"/>
    <w:rsid w:val="00C7509B"/>
    <w:rsid w:val="00C750BF"/>
    <w:rsid w:val="00C75154"/>
    <w:rsid w:val="00C7520D"/>
    <w:rsid w:val="00C7525A"/>
    <w:rsid w:val="00C7532F"/>
    <w:rsid w:val="00C753F0"/>
    <w:rsid w:val="00C75539"/>
    <w:rsid w:val="00C7557C"/>
    <w:rsid w:val="00C756F6"/>
    <w:rsid w:val="00C75734"/>
    <w:rsid w:val="00C75747"/>
    <w:rsid w:val="00C75798"/>
    <w:rsid w:val="00C757F6"/>
    <w:rsid w:val="00C75844"/>
    <w:rsid w:val="00C758D1"/>
    <w:rsid w:val="00C759B3"/>
    <w:rsid w:val="00C75A60"/>
    <w:rsid w:val="00C75BAE"/>
    <w:rsid w:val="00C75ED5"/>
    <w:rsid w:val="00C75FD9"/>
    <w:rsid w:val="00C76045"/>
    <w:rsid w:val="00C760AA"/>
    <w:rsid w:val="00C761D2"/>
    <w:rsid w:val="00C76349"/>
    <w:rsid w:val="00C7659C"/>
    <w:rsid w:val="00C76611"/>
    <w:rsid w:val="00C76644"/>
    <w:rsid w:val="00C76780"/>
    <w:rsid w:val="00C767A5"/>
    <w:rsid w:val="00C7695A"/>
    <w:rsid w:val="00C76B1B"/>
    <w:rsid w:val="00C76B5E"/>
    <w:rsid w:val="00C76B80"/>
    <w:rsid w:val="00C76E04"/>
    <w:rsid w:val="00C76EF1"/>
    <w:rsid w:val="00C76F53"/>
    <w:rsid w:val="00C76FEF"/>
    <w:rsid w:val="00C771D7"/>
    <w:rsid w:val="00C771E4"/>
    <w:rsid w:val="00C77210"/>
    <w:rsid w:val="00C7735A"/>
    <w:rsid w:val="00C775A1"/>
    <w:rsid w:val="00C77606"/>
    <w:rsid w:val="00C77638"/>
    <w:rsid w:val="00C77653"/>
    <w:rsid w:val="00C776A7"/>
    <w:rsid w:val="00C778FA"/>
    <w:rsid w:val="00C77AA6"/>
    <w:rsid w:val="00C77BBD"/>
    <w:rsid w:val="00C77C2D"/>
    <w:rsid w:val="00C77E23"/>
    <w:rsid w:val="00C77E37"/>
    <w:rsid w:val="00C77EFE"/>
    <w:rsid w:val="00C77F78"/>
    <w:rsid w:val="00C77F85"/>
    <w:rsid w:val="00C77FB6"/>
    <w:rsid w:val="00C77FDF"/>
    <w:rsid w:val="00C80026"/>
    <w:rsid w:val="00C801BB"/>
    <w:rsid w:val="00C8021F"/>
    <w:rsid w:val="00C80367"/>
    <w:rsid w:val="00C8040E"/>
    <w:rsid w:val="00C8068A"/>
    <w:rsid w:val="00C80724"/>
    <w:rsid w:val="00C80766"/>
    <w:rsid w:val="00C8080A"/>
    <w:rsid w:val="00C8081A"/>
    <w:rsid w:val="00C80826"/>
    <w:rsid w:val="00C809A4"/>
    <w:rsid w:val="00C80C38"/>
    <w:rsid w:val="00C80C55"/>
    <w:rsid w:val="00C80DA5"/>
    <w:rsid w:val="00C80E27"/>
    <w:rsid w:val="00C80E73"/>
    <w:rsid w:val="00C80EED"/>
    <w:rsid w:val="00C80F87"/>
    <w:rsid w:val="00C8123E"/>
    <w:rsid w:val="00C81264"/>
    <w:rsid w:val="00C81333"/>
    <w:rsid w:val="00C81368"/>
    <w:rsid w:val="00C81388"/>
    <w:rsid w:val="00C813AF"/>
    <w:rsid w:val="00C81558"/>
    <w:rsid w:val="00C81656"/>
    <w:rsid w:val="00C8194C"/>
    <w:rsid w:val="00C81A11"/>
    <w:rsid w:val="00C81A2E"/>
    <w:rsid w:val="00C81AE7"/>
    <w:rsid w:val="00C81B56"/>
    <w:rsid w:val="00C81B7E"/>
    <w:rsid w:val="00C81C28"/>
    <w:rsid w:val="00C81CAA"/>
    <w:rsid w:val="00C81D21"/>
    <w:rsid w:val="00C81DDA"/>
    <w:rsid w:val="00C81E7D"/>
    <w:rsid w:val="00C81E88"/>
    <w:rsid w:val="00C81EFB"/>
    <w:rsid w:val="00C821E2"/>
    <w:rsid w:val="00C822B3"/>
    <w:rsid w:val="00C822F5"/>
    <w:rsid w:val="00C823C0"/>
    <w:rsid w:val="00C823FB"/>
    <w:rsid w:val="00C82412"/>
    <w:rsid w:val="00C8245C"/>
    <w:rsid w:val="00C825D1"/>
    <w:rsid w:val="00C825DB"/>
    <w:rsid w:val="00C827AB"/>
    <w:rsid w:val="00C827F1"/>
    <w:rsid w:val="00C8293F"/>
    <w:rsid w:val="00C82AAB"/>
    <w:rsid w:val="00C82C20"/>
    <w:rsid w:val="00C82D48"/>
    <w:rsid w:val="00C82D67"/>
    <w:rsid w:val="00C82DBA"/>
    <w:rsid w:val="00C82DD6"/>
    <w:rsid w:val="00C82DE5"/>
    <w:rsid w:val="00C82EB6"/>
    <w:rsid w:val="00C82ECE"/>
    <w:rsid w:val="00C82ED5"/>
    <w:rsid w:val="00C82EF0"/>
    <w:rsid w:val="00C83027"/>
    <w:rsid w:val="00C8307A"/>
    <w:rsid w:val="00C830F8"/>
    <w:rsid w:val="00C83185"/>
    <w:rsid w:val="00C8319F"/>
    <w:rsid w:val="00C831EA"/>
    <w:rsid w:val="00C832DC"/>
    <w:rsid w:val="00C83450"/>
    <w:rsid w:val="00C83567"/>
    <w:rsid w:val="00C8374D"/>
    <w:rsid w:val="00C83766"/>
    <w:rsid w:val="00C83813"/>
    <w:rsid w:val="00C838F1"/>
    <w:rsid w:val="00C83A6D"/>
    <w:rsid w:val="00C83AD9"/>
    <w:rsid w:val="00C83C06"/>
    <w:rsid w:val="00C83D3F"/>
    <w:rsid w:val="00C83DAB"/>
    <w:rsid w:val="00C83FC8"/>
    <w:rsid w:val="00C84047"/>
    <w:rsid w:val="00C841FD"/>
    <w:rsid w:val="00C8426D"/>
    <w:rsid w:val="00C84283"/>
    <w:rsid w:val="00C842C4"/>
    <w:rsid w:val="00C8444E"/>
    <w:rsid w:val="00C84504"/>
    <w:rsid w:val="00C84542"/>
    <w:rsid w:val="00C84599"/>
    <w:rsid w:val="00C84630"/>
    <w:rsid w:val="00C84710"/>
    <w:rsid w:val="00C849A8"/>
    <w:rsid w:val="00C84B4B"/>
    <w:rsid w:val="00C84B80"/>
    <w:rsid w:val="00C84B8F"/>
    <w:rsid w:val="00C84B98"/>
    <w:rsid w:val="00C84BA7"/>
    <w:rsid w:val="00C84BDC"/>
    <w:rsid w:val="00C84BE7"/>
    <w:rsid w:val="00C84CA1"/>
    <w:rsid w:val="00C84D80"/>
    <w:rsid w:val="00C84DD2"/>
    <w:rsid w:val="00C84E8D"/>
    <w:rsid w:val="00C84EDE"/>
    <w:rsid w:val="00C8501C"/>
    <w:rsid w:val="00C8505C"/>
    <w:rsid w:val="00C8508B"/>
    <w:rsid w:val="00C850A2"/>
    <w:rsid w:val="00C85203"/>
    <w:rsid w:val="00C8538C"/>
    <w:rsid w:val="00C853C4"/>
    <w:rsid w:val="00C85466"/>
    <w:rsid w:val="00C85505"/>
    <w:rsid w:val="00C85564"/>
    <w:rsid w:val="00C85646"/>
    <w:rsid w:val="00C8568F"/>
    <w:rsid w:val="00C85784"/>
    <w:rsid w:val="00C859AE"/>
    <w:rsid w:val="00C85BAD"/>
    <w:rsid w:val="00C85BBA"/>
    <w:rsid w:val="00C85D29"/>
    <w:rsid w:val="00C85E3D"/>
    <w:rsid w:val="00C85F0A"/>
    <w:rsid w:val="00C861E6"/>
    <w:rsid w:val="00C8639E"/>
    <w:rsid w:val="00C86505"/>
    <w:rsid w:val="00C866EB"/>
    <w:rsid w:val="00C8697D"/>
    <w:rsid w:val="00C869B0"/>
    <w:rsid w:val="00C86B1E"/>
    <w:rsid w:val="00C86C8D"/>
    <w:rsid w:val="00C86CC0"/>
    <w:rsid w:val="00C86D8A"/>
    <w:rsid w:val="00C86E39"/>
    <w:rsid w:val="00C86E92"/>
    <w:rsid w:val="00C86F15"/>
    <w:rsid w:val="00C86F19"/>
    <w:rsid w:val="00C86F36"/>
    <w:rsid w:val="00C871DF"/>
    <w:rsid w:val="00C87389"/>
    <w:rsid w:val="00C873CF"/>
    <w:rsid w:val="00C87402"/>
    <w:rsid w:val="00C87462"/>
    <w:rsid w:val="00C87507"/>
    <w:rsid w:val="00C8759D"/>
    <w:rsid w:val="00C87612"/>
    <w:rsid w:val="00C8777F"/>
    <w:rsid w:val="00C87AAE"/>
    <w:rsid w:val="00C87AB4"/>
    <w:rsid w:val="00C87AE1"/>
    <w:rsid w:val="00C87B4F"/>
    <w:rsid w:val="00C87B73"/>
    <w:rsid w:val="00C87CDE"/>
    <w:rsid w:val="00C87DEB"/>
    <w:rsid w:val="00C87F52"/>
    <w:rsid w:val="00C90013"/>
    <w:rsid w:val="00C90096"/>
    <w:rsid w:val="00C9009F"/>
    <w:rsid w:val="00C901C2"/>
    <w:rsid w:val="00C9023E"/>
    <w:rsid w:val="00C9024E"/>
    <w:rsid w:val="00C90281"/>
    <w:rsid w:val="00C902D9"/>
    <w:rsid w:val="00C902E3"/>
    <w:rsid w:val="00C90356"/>
    <w:rsid w:val="00C9046E"/>
    <w:rsid w:val="00C90564"/>
    <w:rsid w:val="00C905C3"/>
    <w:rsid w:val="00C906B5"/>
    <w:rsid w:val="00C906CF"/>
    <w:rsid w:val="00C906E3"/>
    <w:rsid w:val="00C90741"/>
    <w:rsid w:val="00C9076B"/>
    <w:rsid w:val="00C9080B"/>
    <w:rsid w:val="00C9086A"/>
    <w:rsid w:val="00C9094E"/>
    <w:rsid w:val="00C90B39"/>
    <w:rsid w:val="00C90C94"/>
    <w:rsid w:val="00C90E75"/>
    <w:rsid w:val="00C90FB1"/>
    <w:rsid w:val="00C9117A"/>
    <w:rsid w:val="00C911BF"/>
    <w:rsid w:val="00C913D2"/>
    <w:rsid w:val="00C91514"/>
    <w:rsid w:val="00C915FB"/>
    <w:rsid w:val="00C9160A"/>
    <w:rsid w:val="00C9170E"/>
    <w:rsid w:val="00C91727"/>
    <w:rsid w:val="00C91749"/>
    <w:rsid w:val="00C91933"/>
    <w:rsid w:val="00C9197A"/>
    <w:rsid w:val="00C91B75"/>
    <w:rsid w:val="00C91C4D"/>
    <w:rsid w:val="00C91CA2"/>
    <w:rsid w:val="00C91CA8"/>
    <w:rsid w:val="00C91CEC"/>
    <w:rsid w:val="00C91CF4"/>
    <w:rsid w:val="00C91CFD"/>
    <w:rsid w:val="00C91D78"/>
    <w:rsid w:val="00C91E09"/>
    <w:rsid w:val="00C91ED1"/>
    <w:rsid w:val="00C91F36"/>
    <w:rsid w:val="00C9201C"/>
    <w:rsid w:val="00C92028"/>
    <w:rsid w:val="00C92204"/>
    <w:rsid w:val="00C9220A"/>
    <w:rsid w:val="00C92508"/>
    <w:rsid w:val="00C9297A"/>
    <w:rsid w:val="00C92A4B"/>
    <w:rsid w:val="00C92A61"/>
    <w:rsid w:val="00C92BBB"/>
    <w:rsid w:val="00C92BFA"/>
    <w:rsid w:val="00C92C28"/>
    <w:rsid w:val="00C92D01"/>
    <w:rsid w:val="00C92E01"/>
    <w:rsid w:val="00C92ED3"/>
    <w:rsid w:val="00C92FDB"/>
    <w:rsid w:val="00C9308A"/>
    <w:rsid w:val="00C932F3"/>
    <w:rsid w:val="00C933AD"/>
    <w:rsid w:val="00C933BA"/>
    <w:rsid w:val="00C93430"/>
    <w:rsid w:val="00C93458"/>
    <w:rsid w:val="00C93515"/>
    <w:rsid w:val="00C935CF"/>
    <w:rsid w:val="00C935D2"/>
    <w:rsid w:val="00C93611"/>
    <w:rsid w:val="00C93814"/>
    <w:rsid w:val="00C938A3"/>
    <w:rsid w:val="00C93A04"/>
    <w:rsid w:val="00C93A48"/>
    <w:rsid w:val="00C93AD4"/>
    <w:rsid w:val="00C93AEB"/>
    <w:rsid w:val="00C93BD0"/>
    <w:rsid w:val="00C93CA7"/>
    <w:rsid w:val="00C93D3D"/>
    <w:rsid w:val="00C93D9E"/>
    <w:rsid w:val="00C93E3B"/>
    <w:rsid w:val="00C93E70"/>
    <w:rsid w:val="00C94017"/>
    <w:rsid w:val="00C94149"/>
    <w:rsid w:val="00C9420D"/>
    <w:rsid w:val="00C942C8"/>
    <w:rsid w:val="00C942EF"/>
    <w:rsid w:val="00C944A9"/>
    <w:rsid w:val="00C944FA"/>
    <w:rsid w:val="00C94533"/>
    <w:rsid w:val="00C9454C"/>
    <w:rsid w:val="00C9456A"/>
    <w:rsid w:val="00C94714"/>
    <w:rsid w:val="00C94830"/>
    <w:rsid w:val="00C949A2"/>
    <w:rsid w:val="00C94B74"/>
    <w:rsid w:val="00C94B78"/>
    <w:rsid w:val="00C94D61"/>
    <w:rsid w:val="00C94E76"/>
    <w:rsid w:val="00C94EE0"/>
    <w:rsid w:val="00C94F74"/>
    <w:rsid w:val="00C9508F"/>
    <w:rsid w:val="00C950E2"/>
    <w:rsid w:val="00C950E4"/>
    <w:rsid w:val="00C952FB"/>
    <w:rsid w:val="00C95338"/>
    <w:rsid w:val="00C95407"/>
    <w:rsid w:val="00C95480"/>
    <w:rsid w:val="00C954CE"/>
    <w:rsid w:val="00C95526"/>
    <w:rsid w:val="00C95658"/>
    <w:rsid w:val="00C956D9"/>
    <w:rsid w:val="00C956EA"/>
    <w:rsid w:val="00C9570F"/>
    <w:rsid w:val="00C95757"/>
    <w:rsid w:val="00C95839"/>
    <w:rsid w:val="00C958CA"/>
    <w:rsid w:val="00C95B30"/>
    <w:rsid w:val="00C95B34"/>
    <w:rsid w:val="00C95BAF"/>
    <w:rsid w:val="00C95C58"/>
    <w:rsid w:val="00C95E27"/>
    <w:rsid w:val="00C95E45"/>
    <w:rsid w:val="00C95F22"/>
    <w:rsid w:val="00C95FE8"/>
    <w:rsid w:val="00C96004"/>
    <w:rsid w:val="00C9602E"/>
    <w:rsid w:val="00C96090"/>
    <w:rsid w:val="00C96268"/>
    <w:rsid w:val="00C96335"/>
    <w:rsid w:val="00C964F7"/>
    <w:rsid w:val="00C9656D"/>
    <w:rsid w:val="00C965DE"/>
    <w:rsid w:val="00C96663"/>
    <w:rsid w:val="00C96713"/>
    <w:rsid w:val="00C96721"/>
    <w:rsid w:val="00C9684A"/>
    <w:rsid w:val="00C96958"/>
    <w:rsid w:val="00C969E4"/>
    <w:rsid w:val="00C96A37"/>
    <w:rsid w:val="00C96C82"/>
    <w:rsid w:val="00C96CCC"/>
    <w:rsid w:val="00C96CF6"/>
    <w:rsid w:val="00C96E2A"/>
    <w:rsid w:val="00C96E37"/>
    <w:rsid w:val="00C971E0"/>
    <w:rsid w:val="00C973E7"/>
    <w:rsid w:val="00C9787B"/>
    <w:rsid w:val="00C978D8"/>
    <w:rsid w:val="00C9794B"/>
    <w:rsid w:val="00C97B01"/>
    <w:rsid w:val="00C97CE7"/>
    <w:rsid w:val="00C97D0D"/>
    <w:rsid w:val="00C97D5A"/>
    <w:rsid w:val="00C97DA2"/>
    <w:rsid w:val="00C97E6B"/>
    <w:rsid w:val="00CA01EC"/>
    <w:rsid w:val="00CA02C7"/>
    <w:rsid w:val="00CA036E"/>
    <w:rsid w:val="00CA0410"/>
    <w:rsid w:val="00CA0471"/>
    <w:rsid w:val="00CA0502"/>
    <w:rsid w:val="00CA07A5"/>
    <w:rsid w:val="00CA0873"/>
    <w:rsid w:val="00CA0A6C"/>
    <w:rsid w:val="00CA0AB6"/>
    <w:rsid w:val="00CA0B17"/>
    <w:rsid w:val="00CA0B67"/>
    <w:rsid w:val="00CA0C31"/>
    <w:rsid w:val="00CA0CF0"/>
    <w:rsid w:val="00CA0D13"/>
    <w:rsid w:val="00CA0D87"/>
    <w:rsid w:val="00CA0DD0"/>
    <w:rsid w:val="00CA0E55"/>
    <w:rsid w:val="00CA0F29"/>
    <w:rsid w:val="00CA0FAD"/>
    <w:rsid w:val="00CA10E6"/>
    <w:rsid w:val="00CA1291"/>
    <w:rsid w:val="00CA146E"/>
    <w:rsid w:val="00CA158C"/>
    <w:rsid w:val="00CA15FF"/>
    <w:rsid w:val="00CA1646"/>
    <w:rsid w:val="00CA17F0"/>
    <w:rsid w:val="00CA183C"/>
    <w:rsid w:val="00CA19CB"/>
    <w:rsid w:val="00CA1A99"/>
    <w:rsid w:val="00CA1CF9"/>
    <w:rsid w:val="00CA1F02"/>
    <w:rsid w:val="00CA1F90"/>
    <w:rsid w:val="00CA2080"/>
    <w:rsid w:val="00CA2209"/>
    <w:rsid w:val="00CA2291"/>
    <w:rsid w:val="00CA23A5"/>
    <w:rsid w:val="00CA23B2"/>
    <w:rsid w:val="00CA25F2"/>
    <w:rsid w:val="00CA262D"/>
    <w:rsid w:val="00CA2657"/>
    <w:rsid w:val="00CA2798"/>
    <w:rsid w:val="00CA2807"/>
    <w:rsid w:val="00CA28A9"/>
    <w:rsid w:val="00CA2A7C"/>
    <w:rsid w:val="00CA2AF3"/>
    <w:rsid w:val="00CA2B03"/>
    <w:rsid w:val="00CA2B85"/>
    <w:rsid w:val="00CA2CBE"/>
    <w:rsid w:val="00CA2E4C"/>
    <w:rsid w:val="00CA2F7F"/>
    <w:rsid w:val="00CA2FA4"/>
    <w:rsid w:val="00CA3292"/>
    <w:rsid w:val="00CA32CC"/>
    <w:rsid w:val="00CA3334"/>
    <w:rsid w:val="00CA339D"/>
    <w:rsid w:val="00CA3532"/>
    <w:rsid w:val="00CA3533"/>
    <w:rsid w:val="00CA35CD"/>
    <w:rsid w:val="00CA35FB"/>
    <w:rsid w:val="00CA360B"/>
    <w:rsid w:val="00CA36A9"/>
    <w:rsid w:val="00CA36D7"/>
    <w:rsid w:val="00CA378F"/>
    <w:rsid w:val="00CA3A52"/>
    <w:rsid w:val="00CA3A63"/>
    <w:rsid w:val="00CA3AEE"/>
    <w:rsid w:val="00CA3BAC"/>
    <w:rsid w:val="00CA3CDC"/>
    <w:rsid w:val="00CA3CF5"/>
    <w:rsid w:val="00CA3DCE"/>
    <w:rsid w:val="00CA3E1C"/>
    <w:rsid w:val="00CA3E38"/>
    <w:rsid w:val="00CA3EBE"/>
    <w:rsid w:val="00CA40A8"/>
    <w:rsid w:val="00CA433F"/>
    <w:rsid w:val="00CA435A"/>
    <w:rsid w:val="00CA435D"/>
    <w:rsid w:val="00CA4549"/>
    <w:rsid w:val="00CA4681"/>
    <w:rsid w:val="00CA47F5"/>
    <w:rsid w:val="00CA48A3"/>
    <w:rsid w:val="00CA4A1E"/>
    <w:rsid w:val="00CA4BBD"/>
    <w:rsid w:val="00CA4C3F"/>
    <w:rsid w:val="00CA4F5B"/>
    <w:rsid w:val="00CA5151"/>
    <w:rsid w:val="00CA519B"/>
    <w:rsid w:val="00CA51C0"/>
    <w:rsid w:val="00CA522A"/>
    <w:rsid w:val="00CA538F"/>
    <w:rsid w:val="00CA5456"/>
    <w:rsid w:val="00CA5513"/>
    <w:rsid w:val="00CA55E7"/>
    <w:rsid w:val="00CA5606"/>
    <w:rsid w:val="00CA56AC"/>
    <w:rsid w:val="00CA5768"/>
    <w:rsid w:val="00CA5878"/>
    <w:rsid w:val="00CA5896"/>
    <w:rsid w:val="00CA58D8"/>
    <w:rsid w:val="00CA59AA"/>
    <w:rsid w:val="00CA5A14"/>
    <w:rsid w:val="00CA5A65"/>
    <w:rsid w:val="00CA5B26"/>
    <w:rsid w:val="00CA5BD8"/>
    <w:rsid w:val="00CA5CBD"/>
    <w:rsid w:val="00CA5D33"/>
    <w:rsid w:val="00CA5EE2"/>
    <w:rsid w:val="00CA5FDE"/>
    <w:rsid w:val="00CA6000"/>
    <w:rsid w:val="00CA6202"/>
    <w:rsid w:val="00CA6293"/>
    <w:rsid w:val="00CA629E"/>
    <w:rsid w:val="00CA6499"/>
    <w:rsid w:val="00CA64EF"/>
    <w:rsid w:val="00CA667E"/>
    <w:rsid w:val="00CA6715"/>
    <w:rsid w:val="00CA678C"/>
    <w:rsid w:val="00CA67D5"/>
    <w:rsid w:val="00CA67ED"/>
    <w:rsid w:val="00CA68A5"/>
    <w:rsid w:val="00CA6966"/>
    <w:rsid w:val="00CA6973"/>
    <w:rsid w:val="00CA6989"/>
    <w:rsid w:val="00CA6A6E"/>
    <w:rsid w:val="00CA6AD0"/>
    <w:rsid w:val="00CA6B01"/>
    <w:rsid w:val="00CA6B3C"/>
    <w:rsid w:val="00CA6B77"/>
    <w:rsid w:val="00CA6CE2"/>
    <w:rsid w:val="00CA6CFB"/>
    <w:rsid w:val="00CA6DE4"/>
    <w:rsid w:val="00CA703B"/>
    <w:rsid w:val="00CA7070"/>
    <w:rsid w:val="00CA70B6"/>
    <w:rsid w:val="00CA70DA"/>
    <w:rsid w:val="00CA70DF"/>
    <w:rsid w:val="00CA7129"/>
    <w:rsid w:val="00CA722B"/>
    <w:rsid w:val="00CA72CF"/>
    <w:rsid w:val="00CA743E"/>
    <w:rsid w:val="00CA7456"/>
    <w:rsid w:val="00CA74AD"/>
    <w:rsid w:val="00CA7518"/>
    <w:rsid w:val="00CA7551"/>
    <w:rsid w:val="00CA7567"/>
    <w:rsid w:val="00CA75EB"/>
    <w:rsid w:val="00CA760C"/>
    <w:rsid w:val="00CA7631"/>
    <w:rsid w:val="00CA7651"/>
    <w:rsid w:val="00CA76B3"/>
    <w:rsid w:val="00CA76D0"/>
    <w:rsid w:val="00CA7785"/>
    <w:rsid w:val="00CA77E7"/>
    <w:rsid w:val="00CA7887"/>
    <w:rsid w:val="00CA78C4"/>
    <w:rsid w:val="00CA790D"/>
    <w:rsid w:val="00CA791F"/>
    <w:rsid w:val="00CA7939"/>
    <w:rsid w:val="00CA796F"/>
    <w:rsid w:val="00CA7A18"/>
    <w:rsid w:val="00CA7A44"/>
    <w:rsid w:val="00CA7A63"/>
    <w:rsid w:val="00CA7AA9"/>
    <w:rsid w:val="00CA7BAE"/>
    <w:rsid w:val="00CA7CE1"/>
    <w:rsid w:val="00CA7DDB"/>
    <w:rsid w:val="00CA7F38"/>
    <w:rsid w:val="00CB00B4"/>
    <w:rsid w:val="00CB010E"/>
    <w:rsid w:val="00CB011E"/>
    <w:rsid w:val="00CB01BC"/>
    <w:rsid w:val="00CB0465"/>
    <w:rsid w:val="00CB0592"/>
    <w:rsid w:val="00CB069B"/>
    <w:rsid w:val="00CB075A"/>
    <w:rsid w:val="00CB07C2"/>
    <w:rsid w:val="00CB08FA"/>
    <w:rsid w:val="00CB0B73"/>
    <w:rsid w:val="00CB0B74"/>
    <w:rsid w:val="00CB0BBA"/>
    <w:rsid w:val="00CB0D0A"/>
    <w:rsid w:val="00CB0DA3"/>
    <w:rsid w:val="00CB0DB2"/>
    <w:rsid w:val="00CB0F1F"/>
    <w:rsid w:val="00CB0F49"/>
    <w:rsid w:val="00CB0FD2"/>
    <w:rsid w:val="00CB11B9"/>
    <w:rsid w:val="00CB133C"/>
    <w:rsid w:val="00CB135A"/>
    <w:rsid w:val="00CB142F"/>
    <w:rsid w:val="00CB1520"/>
    <w:rsid w:val="00CB155B"/>
    <w:rsid w:val="00CB1564"/>
    <w:rsid w:val="00CB1685"/>
    <w:rsid w:val="00CB185B"/>
    <w:rsid w:val="00CB1A40"/>
    <w:rsid w:val="00CB1ACD"/>
    <w:rsid w:val="00CB1C76"/>
    <w:rsid w:val="00CB1C96"/>
    <w:rsid w:val="00CB1CE5"/>
    <w:rsid w:val="00CB1D7A"/>
    <w:rsid w:val="00CB1FF4"/>
    <w:rsid w:val="00CB1FFA"/>
    <w:rsid w:val="00CB2032"/>
    <w:rsid w:val="00CB258F"/>
    <w:rsid w:val="00CB25B1"/>
    <w:rsid w:val="00CB25C7"/>
    <w:rsid w:val="00CB2664"/>
    <w:rsid w:val="00CB287A"/>
    <w:rsid w:val="00CB29A7"/>
    <w:rsid w:val="00CB2A09"/>
    <w:rsid w:val="00CB2A54"/>
    <w:rsid w:val="00CB2BF5"/>
    <w:rsid w:val="00CB2DA2"/>
    <w:rsid w:val="00CB2EE4"/>
    <w:rsid w:val="00CB2EE9"/>
    <w:rsid w:val="00CB3005"/>
    <w:rsid w:val="00CB3026"/>
    <w:rsid w:val="00CB3068"/>
    <w:rsid w:val="00CB334B"/>
    <w:rsid w:val="00CB334F"/>
    <w:rsid w:val="00CB33B4"/>
    <w:rsid w:val="00CB3446"/>
    <w:rsid w:val="00CB348D"/>
    <w:rsid w:val="00CB34E1"/>
    <w:rsid w:val="00CB34FC"/>
    <w:rsid w:val="00CB3553"/>
    <w:rsid w:val="00CB3571"/>
    <w:rsid w:val="00CB35DD"/>
    <w:rsid w:val="00CB363B"/>
    <w:rsid w:val="00CB3662"/>
    <w:rsid w:val="00CB368D"/>
    <w:rsid w:val="00CB3853"/>
    <w:rsid w:val="00CB38BA"/>
    <w:rsid w:val="00CB3A3B"/>
    <w:rsid w:val="00CB3AC4"/>
    <w:rsid w:val="00CB3B61"/>
    <w:rsid w:val="00CB3C52"/>
    <w:rsid w:val="00CB3C69"/>
    <w:rsid w:val="00CB3D19"/>
    <w:rsid w:val="00CB3D4E"/>
    <w:rsid w:val="00CB3D88"/>
    <w:rsid w:val="00CB3F3D"/>
    <w:rsid w:val="00CB3F59"/>
    <w:rsid w:val="00CB410B"/>
    <w:rsid w:val="00CB4272"/>
    <w:rsid w:val="00CB43CC"/>
    <w:rsid w:val="00CB43D3"/>
    <w:rsid w:val="00CB43E1"/>
    <w:rsid w:val="00CB44FE"/>
    <w:rsid w:val="00CB458B"/>
    <w:rsid w:val="00CB4A10"/>
    <w:rsid w:val="00CB4A54"/>
    <w:rsid w:val="00CB4A58"/>
    <w:rsid w:val="00CB4A5A"/>
    <w:rsid w:val="00CB4C94"/>
    <w:rsid w:val="00CB4CDD"/>
    <w:rsid w:val="00CB4CFA"/>
    <w:rsid w:val="00CB4D19"/>
    <w:rsid w:val="00CB4D99"/>
    <w:rsid w:val="00CB4E5E"/>
    <w:rsid w:val="00CB500E"/>
    <w:rsid w:val="00CB5027"/>
    <w:rsid w:val="00CB50C3"/>
    <w:rsid w:val="00CB50C4"/>
    <w:rsid w:val="00CB50C7"/>
    <w:rsid w:val="00CB514C"/>
    <w:rsid w:val="00CB519E"/>
    <w:rsid w:val="00CB524A"/>
    <w:rsid w:val="00CB539B"/>
    <w:rsid w:val="00CB5463"/>
    <w:rsid w:val="00CB56EF"/>
    <w:rsid w:val="00CB583D"/>
    <w:rsid w:val="00CB58C3"/>
    <w:rsid w:val="00CB5902"/>
    <w:rsid w:val="00CB5A5A"/>
    <w:rsid w:val="00CB5AA3"/>
    <w:rsid w:val="00CB5B60"/>
    <w:rsid w:val="00CB5BB0"/>
    <w:rsid w:val="00CB5C76"/>
    <w:rsid w:val="00CB5E25"/>
    <w:rsid w:val="00CB5E8D"/>
    <w:rsid w:val="00CB607B"/>
    <w:rsid w:val="00CB6343"/>
    <w:rsid w:val="00CB64F6"/>
    <w:rsid w:val="00CB66CA"/>
    <w:rsid w:val="00CB67BD"/>
    <w:rsid w:val="00CB6851"/>
    <w:rsid w:val="00CB69DE"/>
    <w:rsid w:val="00CB69EC"/>
    <w:rsid w:val="00CB6CA9"/>
    <w:rsid w:val="00CB6FAA"/>
    <w:rsid w:val="00CB6FC0"/>
    <w:rsid w:val="00CB6FD8"/>
    <w:rsid w:val="00CB730C"/>
    <w:rsid w:val="00CB731F"/>
    <w:rsid w:val="00CB7399"/>
    <w:rsid w:val="00CB739D"/>
    <w:rsid w:val="00CB745D"/>
    <w:rsid w:val="00CB752D"/>
    <w:rsid w:val="00CB759C"/>
    <w:rsid w:val="00CB75A6"/>
    <w:rsid w:val="00CB75D3"/>
    <w:rsid w:val="00CB762D"/>
    <w:rsid w:val="00CB76D3"/>
    <w:rsid w:val="00CB778E"/>
    <w:rsid w:val="00CB77BA"/>
    <w:rsid w:val="00CB7864"/>
    <w:rsid w:val="00CB78B1"/>
    <w:rsid w:val="00CB795C"/>
    <w:rsid w:val="00CB79F2"/>
    <w:rsid w:val="00CB7A95"/>
    <w:rsid w:val="00CB7BD5"/>
    <w:rsid w:val="00CB7C8D"/>
    <w:rsid w:val="00CB7CB5"/>
    <w:rsid w:val="00CB7DDF"/>
    <w:rsid w:val="00CC0024"/>
    <w:rsid w:val="00CC0068"/>
    <w:rsid w:val="00CC0143"/>
    <w:rsid w:val="00CC01A6"/>
    <w:rsid w:val="00CC01CB"/>
    <w:rsid w:val="00CC01F8"/>
    <w:rsid w:val="00CC0279"/>
    <w:rsid w:val="00CC0288"/>
    <w:rsid w:val="00CC04A9"/>
    <w:rsid w:val="00CC04BE"/>
    <w:rsid w:val="00CC0723"/>
    <w:rsid w:val="00CC07B2"/>
    <w:rsid w:val="00CC07FA"/>
    <w:rsid w:val="00CC0BF2"/>
    <w:rsid w:val="00CC0CF8"/>
    <w:rsid w:val="00CC0D78"/>
    <w:rsid w:val="00CC0DE5"/>
    <w:rsid w:val="00CC0E76"/>
    <w:rsid w:val="00CC0EBC"/>
    <w:rsid w:val="00CC0FFF"/>
    <w:rsid w:val="00CC101D"/>
    <w:rsid w:val="00CC11C0"/>
    <w:rsid w:val="00CC1210"/>
    <w:rsid w:val="00CC1217"/>
    <w:rsid w:val="00CC12C6"/>
    <w:rsid w:val="00CC12EC"/>
    <w:rsid w:val="00CC1400"/>
    <w:rsid w:val="00CC1512"/>
    <w:rsid w:val="00CC152B"/>
    <w:rsid w:val="00CC16B8"/>
    <w:rsid w:val="00CC170E"/>
    <w:rsid w:val="00CC18B1"/>
    <w:rsid w:val="00CC1B88"/>
    <w:rsid w:val="00CC1BF5"/>
    <w:rsid w:val="00CC1CBE"/>
    <w:rsid w:val="00CC1D86"/>
    <w:rsid w:val="00CC1E73"/>
    <w:rsid w:val="00CC1F5B"/>
    <w:rsid w:val="00CC1F89"/>
    <w:rsid w:val="00CC1FA5"/>
    <w:rsid w:val="00CC1FF1"/>
    <w:rsid w:val="00CC2124"/>
    <w:rsid w:val="00CC21C6"/>
    <w:rsid w:val="00CC220C"/>
    <w:rsid w:val="00CC22BB"/>
    <w:rsid w:val="00CC22CC"/>
    <w:rsid w:val="00CC268A"/>
    <w:rsid w:val="00CC26B8"/>
    <w:rsid w:val="00CC26BB"/>
    <w:rsid w:val="00CC2988"/>
    <w:rsid w:val="00CC29AC"/>
    <w:rsid w:val="00CC29BF"/>
    <w:rsid w:val="00CC29DE"/>
    <w:rsid w:val="00CC2AB2"/>
    <w:rsid w:val="00CC2B13"/>
    <w:rsid w:val="00CC2B9F"/>
    <w:rsid w:val="00CC2BBF"/>
    <w:rsid w:val="00CC2CC5"/>
    <w:rsid w:val="00CC2D8F"/>
    <w:rsid w:val="00CC2E96"/>
    <w:rsid w:val="00CC2F5E"/>
    <w:rsid w:val="00CC3185"/>
    <w:rsid w:val="00CC3219"/>
    <w:rsid w:val="00CC3267"/>
    <w:rsid w:val="00CC3501"/>
    <w:rsid w:val="00CC3535"/>
    <w:rsid w:val="00CC35B1"/>
    <w:rsid w:val="00CC35D3"/>
    <w:rsid w:val="00CC364F"/>
    <w:rsid w:val="00CC3691"/>
    <w:rsid w:val="00CC36C2"/>
    <w:rsid w:val="00CC3707"/>
    <w:rsid w:val="00CC3708"/>
    <w:rsid w:val="00CC38D1"/>
    <w:rsid w:val="00CC38E4"/>
    <w:rsid w:val="00CC3A8E"/>
    <w:rsid w:val="00CC3BFD"/>
    <w:rsid w:val="00CC3CFC"/>
    <w:rsid w:val="00CC3D3A"/>
    <w:rsid w:val="00CC3D86"/>
    <w:rsid w:val="00CC3E2E"/>
    <w:rsid w:val="00CC415E"/>
    <w:rsid w:val="00CC418E"/>
    <w:rsid w:val="00CC41AB"/>
    <w:rsid w:val="00CC43CD"/>
    <w:rsid w:val="00CC4567"/>
    <w:rsid w:val="00CC45E7"/>
    <w:rsid w:val="00CC46CD"/>
    <w:rsid w:val="00CC474C"/>
    <w:rsid w:val="00CC4B2C"/>
    <w:rsid w:val="00CC4C21"/>
    <w:rsid w:val="00CC4C3F"/>
    <w:rsid w:val="00CC4C5A"/>
    <w:rsid w:val="00CC4D24"/>
    <w:rsid w:val="00CC4F63"/>
    <w:rsid w:val="00CC4F7E"/>
    <w:rsid w:val="00CC51E6"/>
    <w:rsid w:val="00CC51E7"/>
    <w:rsid w:val="00CC5227"/>
    <w:rsid w:val="00CC547D"/>
    <w:rsid w:val="00CC5652"/>
    <w:rsid w:val="00CC5672"/>
    <w:rsid w:val="00CC568F"/>
    <w:rsid w:val="00CC5746"/>
    <w:rsid w:val="00CC589A"/>
    <w:rsid w:val="00CC58EA"/>
    <w:rsid w:val="00CC593A"/>
    <w:rsid w:val="00CC5B4F"/>
    <w:rsid w:val="00CC5C26"/>
    <w:rsid w:val="00CC5CC7"/>
    <w:rsid w:val="00CC5CF6"/>
    <w:rsid w:val="00CC5DCD"/>
    <w:rsid w:val="00CC5E61"/>
    <w:rsid w:val="00CC5E6A"/>
    <w:rsid w:val="00CC5E78"/>
    <w:rsid w:val="00CC5F2C"/>
    <w:rsid w:val="00CC5F74"/>
    <w:rsid w:val="00CC60D3"/>
    <w:rsid w:val="00CC6146"/>
    <w:rsid w:val="00CC61D1"/>
    <w:rsid w:val="00CC62F4"/>
    <w:rsid w:val="00CC6385"/>
    <w:rsid w:val="00CC6446"/>
    <w:rsid w:val="00CC64E7"/>
    <w:rsid w:val="00CC6730"/>
    <w:rsid w:val="00CC689E"/>
    <w:rsid w:val="00CC6BDC"/>
    <w:rsid w:val="00CC6CE3"/>
    <w:rsid w:val="00CC6DF2"/>
    <w:rsid w:val="00CC6E03"/>
    <w:rsid w:val="00CC6EB9"/>
    <w:rsid w:val="00CC6F93"/>
    <w:rsid w:val="00CC702F"/>
    <w:rsid w:val="00CC704A"/>
    <w:rsid w:val="00CC71AB"/>
    <w:rsid w:val="00CC72A6"/>
    <w:rsid w:val="00CC72E2"/>
    <w:rsid w:val="00CC7755"/>
    <w:rsid w:val="00CC7865"/>
    <w:rsid w:val="00CC79EB"/>
    <w:rsid w:val="00CC7B80"/>
    <w:rsid w:val="00CC7BC6"/>
    <w:rsid w:val="00CC7C7D"/>
    <w:rsid w:val="00CC7D08"/>
    <w:rsid w:val="00CC7D9A"/>
    <w:rsid w:val="00CC7E86"/>
    <w:rsid w:val="00CC7F4A"/>
    <w:rsid w:val="00CC7FB6"/>
    <w:rsid w:val="00CD038C"/>
    <w:rsid w:val="00CD04B5"/>
    <w:rsid w:val="00CD054E"/>
    <w:rsid w:val="00CD059B"/>
    <w:rsid w:val="00CD0660"/>
    <w:rsid w:val="00CD06EC"/>
    <w:rsid w:val="00CD07A6"/>
    <w:rsid w:val="00CD096C"/>
    <w:rsid w:val="00CD09D6"/>
    <w:rsid w:val="00CD0A1C"/>
    <w:rsid w:val="00CD0A43"/>
    <w:rsid w:val="00CD0B4B"/>
    <w:rsid w:val="00CD0E8A"/>
    <w:rsid w:val="00CD0F41"/>
    <w:rsid w:val="00CD0F7D"/>
    <w:rsid w:val="00CD0F87"/>
    <w:rsid w:val="00CD0FBA"/>
    <w:rsid w:val="00CD1189"/>
    <w:rsid w:val="00CD143B"/>
    <w:rsid w:val="00CD1440"/>
    <w:rsid w:val="00CD154D"/>
    <w:rsid w:val="00CD15D1"/>
    <w:rsid w:val="00CD1628"/>
    <w:rsid w:val="00CD16C0"/>
    <w:rsid w:val="00CD16C8"/>
    <w:rsid w:val="00CD174A"/>
    <w:rsid w:val="00CD1792"/>
    <w:rsid w:val="00CD17BF"/>
    <w:rsid w:val="00CD19AB"/>
    <w:rsid w:val="00CD1AF0"/>
    <w:rsid w:val="00CD1B6B"/>
    <w:rsid w:val="00CD1C21"/>
    <w:rsid w:val="00CD1C50"/>
    <w:rsid w:val="00CD1C9A"/>
    <w:rsid w:val="00CD1E3B"/>
    <w:rsid w:val="00CD1E9E"/>
    <w:rsid w:val="00CD21C7"/>
    <w:rsid w:val="00CD25FF"/>
    <w:rsid w:val="00CD2613"/>
    <w:rsid w:val="00CD2794"/>
    <w:rsid w:val="00CD27D3"/>
    <w:rsid w:val="00CD28D0"/>
    <w:rsid w:val="00CD2907"/>
    <w:rsid w:val="00CD2979"/>
    <w:rsid w:val="00CD2A6F"/>
    <w:rsid w:val="00CD2D2F"/>
    <w:rsid w:val="00CD2D35"/>
    <w:rsid w:val="00CD2E61"/>
    <w:rsid w:val="00CD2EAA"/>
    <w:rsid w:val="00CD2EED"/>
    <w:rsid w:val="00CD2EFB"/>
    <w:rsid w:val="00CD2F18"/>
    <w:rsid w:val="00CD2FD2"/>
    <w:rsid w:val="00CD3019"/>
    <w:rsid w:val="00CD302B"/>
    <w:rsid w:val="00CD3051"/>
    <w:rsid w:val="00CD3075"/>
    <w:rsid w:val="00CD3173"/>
    <w:rsid w:val="00CD3201"/>
    <w:rsid w:val="00CD3224"/>
    <w:rsid w:val="00CD3252"/>
    <w:rsid w:val="00CD3332"/>
    <w:rsid w:val="00CD347D"/>
    <w:rsid w:val="00CD34E9"/>
    <w:rsid w:val="00CD35B0"/>
    <w:rsid w:val="00CD366F"/>
    <w:rsid w:val="00CD38EF"/>
    <w:rsid w:val="00CD3CD4"/>
    <w:rsid w:val="00CD3D71"/>
    <w:rsid w:val="00CD3F41"/>
    <w:rsid w:val="00CD4033"/>
    <w:rsid w:val="00CD40A2"/>
    <w:rsid w:val="00CD40AF"/>
    <w:rsid w:val="00CD413F"/>
    <w:rsid w:val="00CD4258"/>
    <w:rsid w:val="00CD4262"/>
    <w:rsid w:val="00CD42CC"/>
    <w:rsid w:val="00CD43DB"/>
    <w:rsid w:val="00CD451A"/>
    <w:rsid w:val="00CD452C"/>
    <w:rsid w:val="00CD46A0"/>
    <w:rsid w:val="00CD47A3"/>
    <w:rsid w:val="00CD47D0"/>
    <w:rsid w:val="00CD481D"/>
    <w:rsid w:val="00CD4887"/>
    <w:rsid w:val="00CD4A16"/>
    <w:rsid w:val="00CD4A88"/>
    <w:rsid w:val="00CD4AAC"/>
    <w:rsid w:val="00CD4E41"/>
    <w:rsid w:val="00CD5010"/>
    <w:rsid w:val="00CD520C"/>
    <w:rsid w:val="00CD53DE"/>
    <w:rsid w:val="00CD5603"/>
    <w:rsid w:val="00CD58A4"/>
    <w:rsid w:val="00CD594B"/>
    <w:rsid w:val="00CD5AFD"/>
    <w:rsid w:val="00CD5C0A"/>
    <w:rsid w:val="00CD5C24"/>
    <w:rsid w:val="00CD5C89"/>
    <w:rsid w:val="00CD5C9F"/>
    <w:rsid w:val="00CD5D6D"/>
    <w:rsid w:val="00CD5F9B"/>
    <w:rsid w:val="00CD604B"/>
    <w:rsid w:val="00CD60FA"/>
    <w:rsid w:val="00CD617D"/>
    <w:rsid w:val="00CD61EB"/>
    <w:rsid w:val="00CD6278"/>
    <w:rsid w:val="00CD62A7"/>
    <w:rsid w:val="00CD62AA"/>
    <w:rsid w:val="00CD62E7"/>
    <w:rsid w:val="00CD6342"/>
    <w:rsid w:val="00CD6373"/>
    <w:rsid w:val="00CD6597"/>
    <w:rsid w:val="00CD65BF"/>
    <w:rsid w:val="00CD66B5"/>
    <w:rsid w:val="00CD66E1"/>
    <w:rsid w:val="00CD66F4"/>
    <w:rsid w:val="00CD66FA"/>
    <w:rsid w:val="00CD67F9"/>
    <w:rsid w:val="00CD68BF"/>
    <w:rsid w:val="00CD68D6"/>
    <w:rsid w:val="00CD6926"/>
    <w:rsid w:val="00CD6992"/>
    <w:rsid w:val="00CD6B50"/>
    <w:rsid w:val="00CD6CB0"/>
    <w:rsid w:val="00CD6CEE"/>
    <w:rsid w:val="00CD6D2F"/>
    <w:rsid w:val="00CD6F43"/>
    <w:rsid w:val="00CD6FE3"/>
    <w:rsid w:val="00CD7068"/>
    <w:rsid w:val="00CD7193"/>
    <w:rsid w:val="00CD72AB"/>
    <w:rsid w:val="00CD72D9"/>
    <w:rsid w:val="00CD7367"/>
    <w:rsid w:val="00CD73B6"/>
    <w:rsid w:val="00CD749E"/>
    <w:rsid w:val="00CD74CF"/>
    <w:rsid w:val="00CD7532"/>
    <w:rsid w:val="00CD7842"/>
    <w:rsid w:val="00CD7A5C"/>
    <w:rsid w:val="00CD7BCE"/>
    <w:rsid w:val="00CD7BE7"/>
    <w:rsid w:val="00CD7BE8"/>
    <w:rsid w:val="00CD7C5C"/>
    <w:rsid w:val="00CD7D8C"/>
    <w:rsid w:val="00CD7E67"/>
    <w:rsid w:val="00CD7F8B"/>
    <w:rsid w:val="00CD7FDE"/>
    <w:rsid w:val="00CE0300"/>
    <w:rsid w:val="00CE030F"/>
    <w:rsid w:val="00CE04A2"/>
    <w:rsid w:val="00CE05A9"/>
    <w:rsid w:val="00CE068E"/>
    <w:rsid w:val="00CE07EC"/>
    <w:rsid w:val="00CE08FD"/>
    <w:rsid w:val="00CE0954"/>
    <w:rsid w:val="00CE0A97"/>
    <w:rsid w:val="00CE0AC5"/>
    <w:rsid w:val="00CE0C1E"/>
    <w:rsid w:val="00CE0C9C"/>
    <w:rsid w:val="00CE0CDA"/>
    <w:rsid w:val="00CE0CFA"/>
    <w:rsid w:val="00CE0D57"/>
    <w:rsid w:val="00CE0D8F"/>
    <w:rsid w:val="00CE0DCF"/>
    <w:rsid w:val="00CE0EB2"/>
    <w:rsid w:val="00CE0EFE"/>
    <w:rsid w:val="00CE1016"/>
    <w:rsid w:val="00CE104C"/>
    <w:rsid w:val="00CE108C"/>
    <w:rsid w:val="00CE112A"/>
    <w:rsid w:val="00CE11C6"/>
    <w:rsid w:val="00CE11F6"/>
    <w:rsid w:val="00CE128E"/>
    <w:rsid w:val="00CE12CE"/>
    <w:rsid w:val="00CE132A"/>
    <w:rsid w:val="00CE1342"/>
    <w:rsid w:val="00CE13A0"/>
    <w:rsid w:val="00CE1436"/>
    <w:rsid w:val="00CE14D8"/>
    <w:rsid w:val="00CE1702"/>
    <w:rsid w:val="00CE171C"/>
    <w:rsid w:val="00CE1974"/>
    <w:rsid w:val="00CE1AE0"/>
    <w:rsid w:val="00CE1BDC"/>
    <w:rsid w:val="00CE1C69"/>
    <w:rsid w:val="00CE1DB0"/>
    <w:rsid w:val="00CE1DD5"/>
    <w:rsid w:val="00CE1E1E"/>
    <w:rsid w:val="00CE1F6F"/>
    <w:rsid w:val="00CE1FF3"/>
    <w:rsid w:val="00CE2061"/>
    <w:rsid w:val="00CE2087"/>
    <w:rsid w:val="00CE21DE"/>
    <w:rsid w:val="00CE22D8"/>
    <w:rsid w:val="00CE23B4"/>
    <w:rsid w:val="00CE23C9"/>
    <w:rsid w:val="00CE2528"/>
    <w:rsid w:val="00CE25A2"/>
    <w:rsid w:val="00CE28C1"/>
    <w:rsid w:val="00CE2A63"/>
    <w:rsid w:val="00CE2AAB"/>
    <w:rsid w:val="00CE2CFB"/>
    <w:rsid w:val="00CE2DE0"/>
    <w:rsid w:val="00CE2DF2"/>
    <w:rsid w:val="00CE2F5A"/>
    <w:rsid w:val="00CE2F98"/>
    <w:rsid w:val="00CE2FB1"/>
    <w:rsid w:val="00CE2FE4"/>
    <w:rsid w:val="00CE326D"/>
    <w:rsid w:val="00CE32F8"/>
    <w:rsid w:val="00CE3390"/>
    <w:rsid w:val="00CE3512"/>
    <w:rsid w:val="00CE35A9"/>
    <w:rsid w:val="00CE360E"/>
    <w:rsid w:val="00CE37A8"/>
    <w:rsid w:val="00CE37EE"/>
    <w:rsid w:val="00CE3873"/>
    <w:rsid w:val="00CE3A26"/>
    <w:rsid w:val="00CE3A2D"/>
    <w:rsid w:val="00CE3A40"/>
    <w:rsid w:val="00CE3BB8"/>
    <w:rsid w:val="00CE3CE9"/>
    <w:rsid w:val="00CE3D9B"/>
    <w:rsid w:val="00CE3DC5"/>
    <w:rsid w:val="00CE3E64"/>
    <w:rsid w:val="00CE3FB1"/>
    <w:rsid w:val="00CE403A"/>
    <w:rsid w:val="00CE407A"/>
    <w:rsid w:val="00CE4299"/>
    <w:rsid w:val="00CE42DB"/>
    <w:rsid w:val="00CE42FB"/>
    <w:rsid w:val="00CE4309"/>
    <w:rsid w:val="00CE4411"/>
    <w:rsid w:val="00CE456D"/>
    <w:rsid w:val="00CE4686"/>
    <w:rsid w:val="00CE472D"/>
    <w:rsid w:val="00CE4779"/>
    <w:rsid w:val="00CE47A4"/>
    <w:rsid w:val="00CE48F5"/>
    <w:rsid w:val="00CE495B"/>
    <w:rsid w:val="00CE4998"/>
    <w:rsid w:val="00CE4AF1"/>
    <w:rsid w:val="00CE4AF5"/>
    <w:rsid w:val="00CE4B1B"/>
    <w:rsid w:val="00CE4D01"/>
    <w:rsid w:val="00CE4E9F"/>
    <w:rsid w:val="00CE4ED1"/>
    <w:rsid w:val="00CE4F8B"/>
    <w:rsid w:val="00CE4FE8"/>
    <w:rsid w:val="00CE5125"/>
    <w:rsid w:val="00CE5229"/>
    <w:rsid w:val="00CE5405"/>
    <w:rsid w:val="00CE542C"/>
    <w:rsid w:val="00CE543B"/>
    <w:rsid w:val="00CE54A7"/>
    <w:rsid w:val="00CE5526"/>
    <w:rsid w:val="00CE557E"/>
    <w:rsid w:val="00CE566D"/>
    <w:rsid w:val="00CE5674"/>
    <w:rsid w:val="00CE57BE"/>
    <w:rsid w:val="00CE5B99"/>
    <w:rsid w:val="00CE5D09"/>
    <w:rsid w:val="00CE5E06"/>
    <w:rsid w:val="00CE5E45"/>
    <w:rsid w:val="00CE5FF8"/>
    <w:rsid w:val="00CE600C"/>
    <w:rsid w:val="00CE603D"/>
    <w:rsid w:val="00CE620E"/>
    <w:rsid w:val="00CE6269"/>
    <w:rsid w:val="00CE630B"/>
    <w:rsid w:val="00CE63E5"/>
    <w:rsid w:val="00CE653F"/>
    <w:rsid w:val="00CE656A"/>
    <w:rsid w:val="00CE6795"/>
    <w:rsid w:val="00CE67B6"/>
    <w:rsid w:val="00CE694C"/>
    <w:rsid w:val="00CE69C1"/>
    <w:rsid w:val="00CE6B9E"/>
    <w:rsid w:val="00CE6C9F"/>
    <w:rsid w:val="00CE6E53"/>
    <w:rsid w:val="00CE6E7D"/>
    <w:rsid w:val="00CE6F15"/>
    <w:rsid w:val="00CE7143"/>
    <w:rsid w:val="00CE716E"/>
    <w:rsid w:val="00CE72A9"/>
    <w:rsid w:val="00CE7547"/>
    <w:rsid w:val="00CE768B"/>
    <w:rsid w:val="00CE76C3"/>
    <w:rsid w:val="00CE7711"/>
    <w:rsid w:val="00CE774D"/>
    <w:rsid w:val="00CE783A"/>
    <w:rsid w:val="00CE78E7"/>
    <w:rsid w:val="00CE7C47"/>
    <w:rsid w:val="00CE7C92"/>
    <w:rsid w:val="00CE7CDD"/>
    <w:rsid w:val="00CE7D00"/>
    <w:rsid w:val="00CE7E63"/>
    <w:rsid w:val="00CE7E79"/>
    <w:rsid w:val="00CE7EFE"/>
    <w:rsid w:val="00CE7FD2"/>
    <w:rsid w:val="00CE9472"/>
    <w:rsid w:val="00CF016E"/>
    <w:rsid w:val="00CF0173"/>
    <w:rsid w:val="00CF0181"/>
    <w:rsid w:val="00CF0242"/>
    <w:rsid w:val="00CF02F0"/>
    <w:rsid w:val="00CF041F"/>
    <w:rsid w:val="00CF0670"/>
    <w:rsid w:val="00CF06CC"/>
    <w:rsid w:val="00CF06FF"/>
    <w:rsid w:val="00CF083F"/>
    <w:rsid w:val="00CF08E2"/>
    <w:rsid w:val="00CF08E9"/>
    <w:rsid w:val="00CF0961"/>
    <w:rsid w:val="00CF0A61"/>
    <w:rsid w:val="00CF0B3F"/>
    <w:rsid w:val="00CF0B54"/>
    <w:rsid w:val="00CF0B5E"/>
    <w:rsid w:val="00CF0BAE"/>
    <w:rsid w:val="00CF0CA3"/>
    <w:rsid w:val="00CF0DF8"/>
    <w:rsid w:val="00CF0E87"/>
    <w:rsid w:val="00CF0F1A"/>
    <w:rsid w:val="00CF1083"/>
    <w:rsid w:val="00CF10BE"/>
    <w:rsid w:val="00CF1103"/>
    <w:rsid w:val="00CF11C7"/>
    <w:rsid w:val="00CF1212"/>
    <w:rsid w:val="00CF1307"/>
    <w:rsid w:val="00CF142C"/>
    <w:rsid w:val="00CF1541"/>
    <w:rsid w:val="00CF158F"/>
    <w:rsid w:val="00CF1662"/>
    <w:rsid w:val="00CF16FD"/>
    <w:rsid w:val="00CF1768"/>
    <w:rsid w:val="00CF17B1"/>
    <w:rsid w:val="00CF17E4"/>
    <w:rsid w:val="00CF1932"/>
    <w:rsid w:val="00CF19A2"/>
    <w:rsid w:val="00CF1A08"/>
    <w:rsid w:val="00CF1A90"/>
    <w:rsid w:val="00CF1AC6"/>
    <w:rsid w:val="00CF1CFA"/>
    <w:rsid w:val="00CF1D16"/>
    <w:rsid w:val="00CF1DAA"/>
    <w:rsid w:val="00CF1F39"/>
    <w:rsid w:val="00CF203F"/>
    <w:rsid w:val="00CF216C"/>
    <w:rsid w:val="00CF22C4"/>
    <w:rsid w:val="00CF2338"/>
    <w:rsid w:val="00CF2370"/>
    <w:rsid w:val="00CF24C6"/>
    <w:rsid w:val="00CF25C6"/>
    <w:rsid w:val="00CF2654"/>
    <w:rsid w:val="00CF272F"/>
    <w:rsid w:val="00CF2746"/>
    <w:rsid w:val="00CF278C"/>
    <w:rsid w:val="00CF27A4"/>
    <w:rsid w:val="00CF2903"/>
    <w:rsid w:val="00CF290E"/>
    <w:rsid w:val="00CF29D9"/>
    <w:rsid w:val="00CF2ACA"/>
    <w:rsid w:val="00CF2BA8"/>
    <w:rsid w:val="00CF2C3B"/>
    <w:rsid w:val="00CF2C60"/>
    <w:rsid w:val="00CF3094"/>
    <w:rsid w:val="00CF3162"/>
    <w:rsid w:val="00CF3473"/>
    <w:rsid w:val="00CF349C"/>
    <w:rsid w:val="00CF34B5"/>
    <w:rsid w:val="00CF34FC"/>
    <w:rsid w:val="00CF3666"/>
    <w:rsid w:val="00CF3763"/>
    <w:rsid w:val="00CF391A"/>
    <w:rsid w:val="00CF3940"/>
    <w:rsid w:val="00CF3A59"/>
    <w:rsid w:val="00CF3A73"/>
    <w:rsid w:val="00CF3B17"/>
    <w:rsid w:val="00CF3B4D"/>
    <w:rsid w:val="00CF3D5F"/>
    <w:rsid w:val="00CF3E18"/>
    <w:rsid w:val="00CF3E36"/>
    <w:rsid w:val="00CF3E50"/>
    <w:rsid w:val="00CF3E65"/>
    <w:rsid w:val="00CF3FA7"/>
    <w:rsid w:val="00CF3FF3"/>
    <w:rsid w:val="00CF404B"/>
    <w:rsid w:val="00CF4318"/>
    <w:rsid w:val="00CF4356"/>
    <w:rsid w:val="00CF4385"/>
    <w:rsid w:val="00CF43C5"/>
    <w:rsid w:val="00CF43D4"/>
    <w:rsid w:val="00CF44B0"/>
    <w:rsid w:val="00CF452C"/>
    <w:rsid w:val="00CF469D"/>
    <w:rsid w:val="00CF46F8"/>
    <w:rsid w:val="00CF476E"/>
    <w:rsid w:val="00CF47A0"/>
    <w:rsid w:val="00CF49B3"/>
    <w:rsid w:val="00CF4AF8"/>
    <w:rsid w:val="00CF4C7F"/>
    <w:rsid w:val="00CF4C90"/>
    <w:rsid w:val="00CF4DE2"/>
    <w:rsid w:val="00CF4F77"/>
    <w:rsid w:val="00CF5005"/>
    <w:rsid w:val="00CF50AD"/>
    <w:rsid w:val="00CF5104"/>
    <w:rsid w:val="00CF52C2"/>
    <w:rsid w:val="00CF54EA"/>
    <w:rsid w:val="00CF570A"/>
    <w:rsid w:val="00CF571F"/>
    <w:rsid w:val="00CF57A1"/>
    <w:rsid w:val="00CF5A8E"/>
    <w:rsid w:val="00CF5BDB"/>
    <w:rsid w:val="00CF5BDC"/>
    <w:rsid w:val="00CF5C91"/>
    <w:rsid w:val="00CF5D36"/>
    <w:rsid w:val="00CF5D3F"/>
    <w:rsid w:val="00CF5DB0"/>
    <w:rsid w:val="00CF5DE7"/>
    <w:rsid w:val="00CF5EC6"/>
    <w:rsid w:val="00CF617F"/>
    <w:rsid w:val="00CF62CB"/>
    <w:rsid w:val="00CF6304"/>
    <w:rsid w:val="00CF63DB"/>
    <w:rsid w:val="00CF6495"/>
    <w:rsid w:val="00CF651E"/>
    <w:rsid w:val="00CF6861"/>
    <w:rsid w:val="00CF6AE9"/>
    <w:rsid w:val="00CF6B13"/>
    <w:rsid w:val="00CF6BF0"/>
    <w:rsid w:val="00CF6C34"/>
    <w:rsid w:val="00CF6D75"/>
    <w:rsid w:val="00CF6D92"/>
    <w:rsid w:val="00CF6DAB"/>
    <w:rsid w:val="00CF6E05"/>
    <w:rsid w:val="00CF6F8D"/>
    <w:rsid w:val="00CF70C6"/>
    <w:rsid w:val="00CF7159"/>
    <w:rsid w:val="00CF720D"/>
    <w:rsid w:val="00CF7257"/>
    <w:rsid w:val="00CF74DB"/>
    <w:rsid w:val="00CF769C"/>
    <w:rsid w:val="00CF7823"/>
    <w:rsid w:val="00CF7853"/>
    <w:rsid w:val="00CF79DA"/>
    <w:rsid w:val="00CF7A7D"/>
    <w:rsid w:val="00CF7B2C"/>
    <w:rsid w:val="00CF7C33"/>
    <w:rsid w:val="00CF7C3C"/>
    <w:rsid w:val="00CF7C51"/>
    <w:rsid w:val="00CF7CD4"/>
    <w:rsid w:val="00CF7D9F"/>
    <w:rsid w:val="00CF7E31"/>
    <w:rsid w:val="00D0004C"/>
    <w:rsid w:val="00D00100"/>
    <w:rsid w:val="00D00116"/>
    <w:rsid w:val="00D0012F"/>
    <w:rsid w:val="00D0022C"/>
    <w:rsid w:val="00D0026B"/>
    <w:rsid w:val="00D00283"/>
    <w:rsid w:val="00D0037E"/>
    <w:rsid w:val="00D00431"/>
    <w:rsid w:val="00D00563"/>
    <w:rsid w:val="00D00914"/>
    <w:rsid w:val="00D009AA"/>
    <w:rsid w:val="00D00A85"/>
    <w:rsid w:val="00D00B24"/>
    <w:rsid w:val="00D00B53"/>
    <w:rsid w:val="00D00BBC"/>
    <w:rsid w:val="00D00BCB"/>
    <w:rsid w:val="00D00D4E"/>
    <w:rsid w:val="00D00D7E"/>
    <w:rsid w:val="00D00E99"/>
    <w:rsid w:val="00D00EED"/>
    <w:rsid w:val="00D00F0C"/>
    <w:rsid w:val="00D010A4"/>
    <w:rsid w:val="00D0122C"/>
    <w:rsid w:val="00D012B9"/>
    <w:rsid w:val="00D0156C"/>
    <w:rsid w:val="00D015AB"/>
    <w:rsid w:val="00D015E7"/>
    <w:rsid w:val="00D01608"/>
    <w:rsid w:val="00D016CB"/>
    <w:rsid w:val="00D017FC"/>
    <w:rsid w:val="00D018A8"/>
    <w:rsid w:val="00D018D3"/>
    <w:rsid w:val="00D01CB3"/>
    <w:rsid w:val="00D01D01"/>
    <w:rsid w:val="00D01D8F"/>
    <w:rsid w:val="00D01DF6"/>
    <w:rsid w:val="00D01E7D"/>
    <w:rsid w:val="00D01F81"/>
    <w:rsid w:val="00D0206E"/>
    <w:rsid w:val="00D020D0"/>
    <w:rsid w:val="00D0210D"/>
    <w:rsid w:val="00D0217E"/>
    <w:rsid w:val="00D02226"/>
    <w:rsid w:val="00D022CB"/>
    <w:rsid w:val="00D022E3"/>
    <w:rsid w:val="00D0249C"/>
    <w:rsid w:val="00D024A7"/>
    <w:rsid w:val="00D0251D"/>
    <w:rsid w:val="00D02604"/>
    <w:rsid w:val="00D026C5"/>
    <w:rsid w:val="00D02783"/>
    <w:rsid w:val="00D02789"/>
    <w:rsid w:val="00D02AEA"/>
    <w:rsid w:val="00D02D48"/>
    <w:rsid w:val="00D02E99"/>
    <w:rsid w:val="00D02EAA"/>
    <w:rsid w:val="00D03059"/>
    <w:rsid w:val="00D0305F"/>
    <w:rsid w:val="00D032D0"/>
    <w:rsid w:val="00D033A9"/>
    <w:rsid w:val="00D03403"/>
    <w:rsid w:val="00D0341A"/>
    <w:rsid w:val="00D03427"/>
    <w:rsid w:val="00D03714"/>
    <w:rsid w:val="00D037F1"/>
    <w:rsid w:val="00D03805"/>
    <w:rsid w:val="00D03979"/>
    <w:rsid w:val="00D03B13"/>
    <w:rsid w:val="00D03B7C"/>
    <w:rsid w:val="00D03C38"/>
    <w:rsid w:val="00D03D97"/>
    <w:rsid w:val="00D03E52"/>
    <w:rsid w:val="00D03EBA"/>
    <w:rsid w:val="00D03F59"/>
    <w:rsid w:val="00D03F5E"/>
    <w:rsid w:val="00D0408F"/>
    <w:rsid w:val="00D0424C"/>
    <w:rsid w:val="00D042CE"/>
    <w:rsid w:val="00D04318"/>
    <w:rsid w:val="00D04335"/>
    <w:rsid w:val="00D043F4"/>
    <w:rsid w:val="00D044EF"/>
    <w:rsid w:val="00D045A5"/>
    <w:rsid w:val="00D046C7"/>
    <w:rsid w:val="00D04929"/>
    <w:rsid w:val="00D049B9"/>
    <w:rsid w:val="00D04A47"/>
    <w:rsid w:val="00D04AE9"/>
    <w:rsid w:val="00D04BE6"/>
    <w:rsid w:val="00D04CA9"/>
    <w:rsid w:val="00D04D17"/>
    <w:rsid w:val="00D05192"/>
    <w:rsid w:val="00D0532A"/>
    <w:rsid w:val="00D054FB"/>
    <w:rsid w:val="00D0551C"/>
    <w:rsid w:val="00D05573"/>
    <w:rsid w:val="00D0563F"/>
    <w:rsid w:val="00D057F0"/>
    <w:rsid w:val="00D05888"/>
    <w:rsid w:val="00D058A6"/>
    <w:rsid w:val="00D059A8"/>
    <w:rsid w:val="00D05A7E"/>
    <w:rsid w:val="00D05A9D"/>
    <w:rsid w:val="00D05AB6"/>
    <w:rsid w:val="00D05ABE"/>
    <w:rsid w:val="00D05CC8"/>
    <w:rsid w:val="00D05E7F"/>
    <w:rsid w:val="00D05E8C"/>
    <w:rsid w:val="00D05EE1"/>
    <w:rsid w:val="00D05FA1"/>
    <w:rsid w:val="00D06053"/>
    <w:rsid w:val="00D0612B"/>
    <w:rsid w:val="00D06186"/>
    <w:rsid w:val="00D06227"/>
    <w:rsid w:val="00D062E6"/>
    <w:rsid w:val="00D0631C"/>
    <w:rsid w:val="00D063EC"/>
    <w:rsid w:val="00D06405"/>
    <w:rsid w:val="00D06455"/>
    <w:rsid w:val="00D064E6"/>
    <w:rsid w:val="00D06565"/>
    <w:rsid w:val="00D06661"/>
    <w:rsid w:val="00D06680"/>
    <w:rsid w:val="00D066D8"/>
    <w:rsid w:val="00D06723"/>
    <w:rsid w:val="00D06888"/>
    <w:rsid w:val="00D069AA"/>
    <w:rsid w:val="00D06A24"/>
    <w:rsid w:val="00D06A57"/>
    <w:rsid w:val="00D06A8E"/>
    <w:rsid w:val="00D06A93"/>
    <w:rsid w:val="00D06AE7"/>
    <w:rsid w:val="00D06BC5"/>
    <w:rsid w:val="00D06D43"/>
    <w:rsid w:val="00D06D78"/>
    <w:rsid w:val="00D06E6A"/>
    <w:rsid w:val="00D06F1D"/>
    <w:rsid w:val="00D071D3"/>
    <w:rsid w:val="00D07387"/>
    <w:rsid w:val="00D073BD"/>
    <w:rsid w:val="00D0747B"/>
    <w:rsid w:val="00D074B3"/>
    <w:rsid w:val="00D075CC"/>
    <w:rsid w:val="00D075DD"/>
    <w:rsid w:val="00D07742"/>
    <w:rsid w:val="00D07980"/>
    <w:rsid w:val="00D07A6E"/>
    <w:rsid w:val="00D07A89"/>
    <w:rsid w:val="00D07AD7"/>
    <w:rsid w:val="00D07BBC"/>
    <w:rsid w:val="00D07C78"/>
    <w:rsid w:val="00D07D15"/>
    <w:rsid w:val="00D07D61"/>
    <w:rsid w:val="00D10059"/>
    <w:rsid w:val="00D10214"/>
    <w:rsid w:val="00D103A2"/>
    <w:rsid w:val="00D103D5"/>
    <w:rsid w:val="00D10474"/>
    <w:rsid w:val="00D104A6"/>
    <w:rsid w:val="00D1054F"/>
    <w:rsid w:val="00D105AF"/>
    <w:rsid w:val="00D10747"/>
    <w:rsid w:val="00D10A1E"/>
    <w:rsid w:val="00D10AEE"/>
    <w:rsid w:val="00D10D0D"/>
    <w:rsid w:val="00D10D99"/>
    <w:rsid w:val="00D10D9E"/>
    <w:rsid w:val="00D10EC6"/>
    <w:rsid w:val="00D10EF9"/>
    <w:rsid w:val="00D10F9B"/>
    <w:rsid w:val="00D11124"/>
    <w:rsid w:val="00D1118D"/>
    <w:rsid w:val="00D1119C"/>
    <w:rsid w:val="00D1119D"/>
    <w:rsid w:val="00D114DE"/>
    <w:rsid w:val="00D115B2"/>
    <w:rsid w:val="00D115DB"/>
    <w:rsid w:val="00D11691"/>
    <w:rsid w:val="00D117D6"/>
    <w:rsid w:val="00D11940"/>
    <w:rsid w:val="00D11A2A"/>
    <w:rsid w:val="00D11E1A"/>
    <w:rsid w:val="00D11E8C"/>
    <w:rsid w:val="00D11F4E"/>
    <w:rsid w:val="00D12053"/>
    <w:rsid w:val="00D1210F"/>
    <w:rsid w:val="00D12186"/>
    <w:rsid w:val="00D1223A"/>
    <w:rsid w:val="00D1226B"/>
    <w:rsid w:val="00D12288"/>
    <w:rsid w:val="00D122C5"/>
    <w:rsid w:val="00D1237A"/>
    <w:rsid w:val="00D12427"/>
    <w:rsid w:val="00D12491"/>
    <w:rsid w:val="00D124AD"/>
    <w:rsid w:val="00D12507"/>
    <w:rsid w:val="00D125ED"/>
    <w:rsid w:val="00D128A2"/>
    <w:rsid w:val="00D128EC"/>
    <w:rsid w:val="00D129F1"/>
    <w:rsid w:val="00D12B0E"/>
    <w:rsid w:val="00D12BA3"/>
    <w:rsid w:val="00D12D0F"/>
    <w:rsid w:val="00D12D75"/>
    <w:rsid w:val="00D12D95"/>
    <w:rsid w:val="00D12F95"/>
    <w:rsid w:val="00D1304B"/>
    <w:rsid w:val="00D13096"/>
    <w:rsid w:val="00D1310C"/>
    <w:rsid w:val="00D1317D"/>
    <w:rsid w:val="00D131C7"/>
    <w:rsid w:val="00D131CF"/>
    <w:rsid w:val="00D132BF"/>
    <w:rsid w:val="00D13435"/>
    <w:rsid w:val="00D134A4"/>
    <w:rsid w:val="00D134BB"/>
    <w:rsid w:val="00D1353A"/>
    <w:rsid w:val="00D1356A"/>
    <w:rsid w:val="00D1371E"/>
    <w:rsid w:val="00D13724"/>
    <w:rsid w:val="00D137CA"/>
    <w:rsid w:val="00D1383E"/>
    <w:rsid w:val="00D13873"/>
    <w:rsid w:val="00D1392F"/>
    <w:rsid w:val="00D13B0A"/>
    <w:rsid w:val="00D13B47"/>
    <w:rsid w:val="00D13B4B"/>
    <w:rsid w:val="00D13B97"/>
    <w:rsid w:val="00D13C89"/>
    <w:rsid w:val="00D13DAF"/>
    <w:rsid w:val="00D13DCB"/>
    <w:rsid w:val="00D13DD2"/>
    <w:rsid w:val="00D13DF5"/>
    <w:rsid w:val="00D13F32"/>
    <w:rsid w:val="00D13FC5"/>
    <w:rsid w:val="00D13FD0"/>
    <w:rsid w:val="00D140A1"/>
    <w:rsid w:val="00D141D0"/>
    <w:rsid w:val="00D141FB"/>
    <w:rsid w:val="00D142FF"/>
    <w:rsid w:val="00D14345"/>
    <w:rsid w:val="00D14557"/>
    <w:rsid w:val="00D1456F"/>
    <w:rsid w:val="00D1457B"/>
    <w:rsid w:val="00D1473A"/>
    <w:rsid w:val="00D147DC"/>
    <w:rsid w:val="00D14A4E"/>
    <w:rsid w:val="00D14AE4"/>
    <w:rsid w:val="00D14AF1"/>
    <w:rsid w:val="00D14B7B"/>
    <w:rsid w:val="00D14C0B"/>
    <w:rsid w:val="00D14D29"/>
    <w:rsid w:val="00D14E2F"/>
    <w:rsid w:val="00D1507D"/>
    <w:rsid w:val="00D152E2"/>
    <w:rsid w:val="00D154F2"/>
    <w:rsid w:val="00D1553E"/>
    <w:rsid w:val="00D155A0"/>
    <w:rsid w:val="00D155B6"/>
    <w:rsid w:val="00D15694"/>
    <w:rsid w:val="00D15793"/>
    <w:rsid w:val="00D15965"/>
    <w:rsid w:val="00D15B64"/>
    <w:rsid w:val="00D15C0F"/>
    <w:rsid w:val="00D15DB7"/>
    <w:rsid w:val="00D15E05"/>
    <w:rsid w:val="00D15F96"/>
    <w:rsid w:val="00D15FE4"/>
    <w:rsid w:val="00D16012"/>
    <w:rsid w:val="00D160B6"/>
    <w:rsid w:val="00D16164"/>
    <w:rsid w:val="00D161F5"/>
    <w:rsid w:val="00D16327"/>
    <w:rsid w:val="00D1638F"/>
    <w:rsid w:val="00D16510"/>
    <w:rsid w:val="00D1658C"/>
    <w:rsid w:val="00D165F9"/>
    <w:rsid w:val="00D1661D"/>
    <w:rsid w:val="00D16735"/>
    <w:rsid w:val="00D169C5"/>
    <w:rsid w:val="00D16A4C"/>
    <w:rsid w:val="00D16B90"/>
    <w:rsid w:val="00D16F74"/>
    <w:rsid w:val="00D16FDA"/>
    <w:rsid w:val="00D17016"/>
    <w:rsid w:val="00D170FC"/>
    <w:rsid w:val="00D17162"/>
    <w:rsid w:val="00D17245"/>
    <w:rsid w:val="00D17317"/>
    <w:rsid w:val="00D173A3"/>
    <w:rsid w:val="00D17432"/>
    <w:rsid w:val="00D174A5"/>
    <w:rsid w:val="00D1777E"/>
    <w:rsid w:val="00D177BC"/>
    <w:rsid w:val="00D17813"/>
    <w:rsid w:val="00D17849"/>
    <w:rsid w:val="00D178E4"/>
    <w:rsid w:val="00D17AA0"/>
    <w:rsid w:val="00D17BA2"/>
    <w:rsid w:val="00D17BAC"/>
    <w:rsid w:val="00D17BED"/>
    <w:rsid w:val="00D17BF7"/>
    <w:rsid w:val="00D17C26"/>
    <w:rsid w:val="00D17D45"/>
    <w:rsid w:val="00D17D9C"/>
    <w:rsid w:val="00D17DB5"/>
    <w:rsid w:val="00D17DBB"/>
    <w:rsid w:val="00D17DFB"/>
    <w:rsid w:val="00D17FC9"/>
    <w:rsid w:val="00D2008F"/>
    <w:rsid w:val="00D200B2"/>
    <w:rsid w:val="00D201C7"/>
    <w:rsid w:val="00D202C7"/>
    <w:rsid w:val="00D2036D"/>
    <w:rsid w:val="00D203D3"/>
    <w:rsid w:val="00D205CB"/>
    <w:rsid w:val="00D20725"/>
    <w:rsid w:val="00D20727"/>
    <w:rsid w:val="00D207D0"/>
    <w:rsid w:val="00D207D2"/>
    <w:rsid w:val="00D2092B"/>
    <w:rsid w:val="00D20ACB"/>
    <w:rsid w:val="00D20BC1"/>
    <w:rsid w:val="00D20D27"/>
    <w:rsid w:val="00D20D31"/>
    <w:rsid w:val="00D20D4A"/>
    <w:rsid w:val="00D20E08"/>
    <w:rsid w:val="00D20E86"/>
    <w:rsid w:val="00D2115B"/>
    <w:rsid w:val="00D211D6"/>
    <w:rsid w:val="00D2122C"/>
    <w:rsid w:val="00D212B5"/>
    <w:rsid w:val="00D21339"/>
    <w:rsid w:val="00D21460"/>
    <w:rsid w:val="00D21793"/>
    <w:rsid w:val="00D218DE"/>
    <w:rsid w:val="00D21A31"/>
    <w:rsid w:val="00D21B14"/>
    <w:rsid w:val="00D21B1F"/>
    <w:rsid w:val="00D21BE1"/>
    <w:rsid w:val="00D21E2A"/>
    <w:rsid w:val="00D21E8D"/>
    <w:rsid w:val="00D21F1D"/>
    <w:rsid w:val="00D223C9"/>
    <w:rsid w:val="00D22457"/>
    <w:rsid w:val="00D22574"/>
    <w:rsid w:val="00D22763"/>
    <w:rsid w:val="00D227C1"/>
    <w:rsid w:val="00D22816"/>
    <w:rsid w:val="00D2286D"/>
    <w:rsid w:val="00D228FA"/>
    <w:rsid w:val="00D22901"/>
    <w:rsid w:val="00D2291F"/>
    <w:rsid w:val="00D22A1B"/>
    <w:rsid w:val="00D22B3F"/>
    <w:rsid w:val="00D22B92"/>
    <w:rsid w:val="00D22BB3"/>
    <w:rsid w:val="00D22C35"/>
    <w:rsid w:val="00D22CE3"/>
    <w:rsid w:val="00D22E3D"/>
    <w:rsid w:val="00D22F85"/>
    <w:rsid w:val="00D22F9A"/>
    <w:rsid w:val="00D22FC1"/>
    <w:rsid w:val="00D22FE2"/>
    <w:rsid w:val="00D232B0"/>
    <w:rsid w:val="00D23429"/>
    <w:rsid w:val="00D2368B"/>
    <w:rsid w:val="00D236C3"/>
    <w:rsid w:val="00D236F0"/>
    <w:rsid w:val="00D2371A"/>
    <w:rsid w:val="00D237A6"/>
    <w:rsid w:val="00D2394B"/>
    <w:rsid w:val="00D23A3E"/>
    <w:rsid w:val="00D23A69"/>
    <w:rsid w:val="00D23B5C"/>
    <w:rsid w:val="00D23B5D"/>
    <w:rsid w:val="00D23B68"/>
    <w:rsid w:val="00D23B9E"/>
    <w:rsid w:val="00D23C7A"/>
    <w:rsid w:val="00D23E1B"/>
    <w:rsid w:val="00D23F41"/>
    <w:rsid w:val="00D23FE9"/>
    <w:rsid w:val="00D2404C"/>
    <w:rsid w:val="00D2406F"/>
    <w:rsid w:val="00D2408D"/>
    <w:rsid w:val="00D240AB"/>
    <w:rsid w:val="00D2419F"/>
    <w:rsid w:val="00D241A1"/>
    <w:rsid w:val="00D24236"/>
    <w:rsid w:val="00D243F0"/>
    <w:rsid w:val="00D2442B"/>
    <w:rsid w:val="00D24466"/>
    <w:rsid w:val="00D2454F"/>
    <w:rsid w:val="00D2475B"/>
    <w:rsid w:val="00D24861"/>
    <w:rsid w:val="00D24888"/>
    <w:rsid w:val="00D24A8B"/>
    <w:rsid w:val="00D24AA3"/>
    <w:rsid w:val="00D24B94"/>
    <w:rsid w:val="00D24DD4"/>
    <w:rsid w:val="00D24F2E"/>
    <w:rsid w:val="00D25029"/>
    <w:rsid w:val="00D2504D"/>
    <w:rsid w:val="00D25088"/>
    <w:rsid w:val="00D250AF"/>
    <w:rsid w:val="00D250EC"/>
    <w:rsid w:val="00D25190"/>
    <w:rsid w:val="00D25207"/>
    <w:rsid w:val="00D2522F"/>
    <w:rsid w:val="00D25267"/>
    <w:rsid w:val="00D252C0"/>
    <w:rsid w:val="00D25313"/>
    <w:rsid w:val="00D253EF"/>
    <w:rsid w:val="00D25460"/>
    <w:rsid w:val="00D25525"/>
    <w:rsid w:val="00D255DE"/>
    <w:rsid w:val="00D25724"/>
    <w:rsid w:val="00D257AA"/>
    <w:rsid w:val="00D257BE"/>
    <w:rsid w:val="00D25831"/>
    <w:rsid w:val="00D2593B"/>
    <w:rsid w:val="00D25A5F"/>
    <w:rsid w:val="00D25A60"/>
    <w:rsid w:val="00D25AB9"/>
    <w:rsid w:val="00D25BA7"/>
    <w:rsid w:val="00D25BD2"/>
    <w:rsid w:val="00D25E67"/>
    <w:rsid w:val="00D25EA0"/>
    <w:rsid w:val="00D25F8D"/>
    <w:rsid w:val="00D25FCD"/>
    <w:rsid w:val="00D26034"/>
    <w:rsid w:val="00D26108"/>
    <w:rsid w:val="00D26115"/>
    <w:rsid w:val="00D261D4"/>
    <w:rsid w:val="00D26316"/>
    <w:rsid w:val="00D2659A"/>
    <w:rsid w:val="00D26625"/>
    <w:rsid w:val="00D2669F"/>
    <w:rsid w:val="00D266DD"/>
    <w:rsid w:val="00D267E2"/>
    <w:rsid w:val="00D26806"/>
    <w:rsid w:val="00D26810"/>
    <w:rsid w:val="00D26B66"/>
    <w:rsid w:val="00D26CFD"/>
    <w:rsid w:val="00D26DC9"/>
    <w:rsid w:val="00D26DF7"/>
    <w:rsid w:val="00D26E45"/>
    <w:rsid w:val="00D26E9E"/>
    <w:rsid w:val="00D26EC7"/>
    <w:rsid w:val="00D26F9A"/>
    <w:rsid w:val="00D27052"/>
    <w:rsid w:val="00D27069"/>
    <w:rsid w:val="00D2715F"/>
    <w:rsid w:val="00D27168"/>
    <w:rsid w:val="00D271C1"/>
    <w:rsid w:val="00D271E4"/>
    <w:rsid w:val="00D272B7"/>
    <w:rsid w:val="00D272DF"/>
    <w:rsid w:val="00D2733E"/>
    <w:rsid w:val="00D273EA"/>
    <w:rsid w:val="00D27433"/>
    <w:rsid w:val="00D27877"/>
    <w:rsid w:val="00D278A4"/>
    <w:rsid w:val="00D278CD"/>
    <w:rsid w:val="00D27ABC"/>
    <w:rsid w:val="00D27BC8"/>
    <w:rsid w:val="00D27C37"/>
    <w:rsid w:val="00D27C85"/>
    <w:rsid w:val="00D27CF7"/>
    <w:rsid w:val="00D27D80"/>
    <w:rsid w:val="00D27DE7"/>
    <w:rsid w:val="00D27DF1"/>
    <w:rsid w:val="00D27E73"/>
    <w:rsid w:val="00D27EFF"/>
    <w:rsid w:val="00D27F8F"/>
    <w:rsid w:val="00D27F9D"/>
    <w:rsid w:val="00D27FC7"/>
    <w:rsid w:val="00D30041"/>
    <w:rsid w:val="00D300C9"/>
    <w:rsid w:val="00D3015D"/>
    <w:rsid w:val="00D30162"/>
    <w:rsid w:val="00D30205"/>
    <w:rsid w:val="00D30220"/>
    <w:rsid w:val="00D302D0"/>
    <w:rsid w:val="00D3038C"/>
    <w:rsid w:val="00D3043D"/>
    <w:rsid w:val="00D3054C"/>
    <w:rsid w:val="00D30636"/>
    <w:rsid w:val="00D30690"/>
    <w:rsid w:val="00D30852"/>
    <w:rsid w:val="00D308B7"/>
    <w:rsid w:val="00D30B3A"/>
    <w:rsid w:val="00D30B46"/>
    <w:rsid w:val="00D30BAD"/>
    <w:rsid w:val="00D30D61"/>
    <w:rsid w:val="00D30DC8"/>
    <w:rsid w:val="00D30E9C"/>
    <w:rsid w:val="00D31122"/>
    <w:rsid w:val="00D31394"/>
    <w:rsid w:val="00D3150B"/>
    <w:rsid w:val="00D31528"/>
    <w:rsid w:val="00D3164D"/>
    <w:rsid w:val="00D31780"/>
    <w:rsid w:val="00D317EE"/>
    <w:rsid w:val="00D31900"/>
    <w:rsid w:val="00D31963"/>
    <w:rsid w:val="00D31A1D"/>
    <w:rsid w:val="00D31A65"/>
    <w:rsid w:val="00D31B71"/>
    <w:rsid w:val="00D31D3B"/>
    <w:rsid w:val="00D31D40"/>
    <w:rsid w:val="00D31D5B"/>
    <w:rsid w:val="00D31DE1"/>
    <w:rsid w:val="00D31EF2"/>
    <w:rsid w:val="00D31F31"/>
    <w:rsid w:val="00D31F92"/>
    <w:rsid w:val="00D3207E"/>
    <w:rsid w:val="00D320AF"/>
    <w:rsid w:val="00D32139"/>
    <w:rsid w:val="00D32140"/>
    <w:rsid w:val="00D32283"/>
    <w:rsid w:val="00D3248A"/>
    <w:rsid w:val="00D3255E"/>
    <w:rsid w:val="00D32653"/>
    <w:rsid w:val="00D326D1"/>
    <w:rsid w:val="00D3275C"/>
    <w:rsid w:val="00D328EF"/>
    <w:rsid w:val="00D3293C"/>
    <w:rsid w:val="00D32F1F"/>
    <w:rsid w:val="00D32F3D"/>
    <w:rsid w:val="00D32F4C"/>
    <w:rsid w:val="00D32FC0"/>
    <w:rsid w:val="00D32FF0"/>
    <w:rsid w:val="00D3309A"/>
    <w:rsid w:val="00D33142"/>
    <w:rsid w:val="00D33286"/>
    <w:rsid w:val="00D333D9"/>
    <w:rsid w:val="00D333ED"/>
    <w:rsid w:val="00D33575"/>
    <w:rsid w:val="00D335BE"/>
    <w:rsid w:val="00D335E8"/>
    <w:rsid w:val="00D3368A"/>
    <w:rsid w:val="00D33873"/>
    <w:rsid w:val="00D338B7"/>
    <w:rsid w:val="00D338C1"/>
    <w:rsid w:val="00D3394D"/>
    <w:rsid w:val="00D33A67"/>
    <w:rsid w:val="00D33AE5"/>
    <w:rsid w:val="00D33B7F"/>
    <w:rsid w:val="00D33C6A"/>
    <w:rsid w:val="00D33C71"/>
    <w:rsid w:val="00D33D1F"/>
    <w:rsid w:val="00D33FCC"/>
    <w:rsid w:val="00D3407B"/>
    <w:rsid w:val="00D340F7"/>
    <w:rsid w:val="00D341C0"/>
    <w:rsid w:val="00D34225"/>
    <w:rsid w:val="00D34294"/>
    <w:rsid w:val="00D3430E"/>
    <w:rsid w:val="00D34476"/>
    <w:rsid w:val="00D3449E"/>
    <w:rsid w:val="00D346B8"/>
    <w:rsid w:val="00D34704"/>
    <w:rsid w:val="00D34997"/>
    <w:rsid w:val="00D34A44"/>
    <w:rsid w:val="00D34CB6"/>
    <w:rsid w:val="00D34DB5"/>
    <w:rsid w:val="00D34DC7"/>
    <w:rsid w:val="00D34E11"/>
    <w:rsid w:val="00D34E55"/>
    <w:rsid w:val="00D34F53"/>
    <w:rsid w:val="00D34FE5"/>
    <w:rsid w:val="00D35054"/>
    <w:rsid w:val="00D353A1"/>
    <w:rsid w:val="00D353D4"/>
    <w:rsid w:val="00D35407"/>
    <w:rsid w:val="00D3549B"/>
    <w:rsid w:val="00D355E3"/>
    <w:rsid w:val="00D35619"/>
    <w:rsid w:val="00D3562C"/>
    <w:rsid w:val="00D3570F"/>
    <w:rsid w:val="00D35724"/>
    <w:rsid w:val="00D357B2"/>
    <w:rsid w:val="00D35804"/>
    <w:rsid w:val="00D359BF"/>
    <w:rsid w:val="00D359F0"/>
    <w:rsid w:val="00D35AE2"/>
    <w:rsid w:val="00D35AF9"/>
    <w:rsid w:val="00D35B69"/>
    <w:rsid w:val="00D35BE2"/>
    <w:rsid w:val="00D35CDE"/>
    <w:rsid w:val="00D35D4D"/>
    <w:rsid w:val="00D35D63"/>
    <w:rsid w:val="00D35F00"/>
    <w:rsid w:val="00D35F5F"/>
    <w:rsid w:val="00D35F78"/>
    <w:rsid w:val="00D35FC1"/>
    <w:rsid w:val="00D360ED"/>
    <w:rsid w:val="00D3611B"/>
    <w:rsid w:val="00D3616F"/>
    <w:rsid w:val="00D3617B"/>
    <w:rsid w:val="00D361F0"/>
    <w:rsid w:val="00D36230"/>
    <w:rsid w:val="00D3634F"/>
    <w:rsid w:val="00D36435"/>
    <w:rsid w:val="00D364C7"/>
    <w:rsid w:val="00D36549"/>
    <w:rsid w:val="00D36720"/>
    <w:rsid w:val="00D3676A"/>
    <w:rsid w:val="00D367A7"/>
    <w:rsid w:val="00D36994"/>
    <w:rsid w:val="00D36AD4"/>
    <w:rsid w:val="00D36C5B"/>
    <w:rsid w:val="00D36DAA"/>
    <w:rsid w:val="00D372CB"/>
    <w:rsid w:val="00D373AD"/>
    <w:rsid w:val="00D374EE"/>
    <w:rsid w:val="00D37562"/>
    <w:rsid w:val="00D3760F"/>
    <w:rsid w:val="00D37C21"/>
    <w:rsid w:val="00D37D18"/>
    <w:rsid w:val="00D37D2B"/>
    <w:rsid w:val="00D37D3F"/>
    <w:rsid w:val="00D37DCC"/>
    <w:rsid w:val="00D37F23"/>
    <w:rsid w:val="00D37F75"/>
    <w:rsid w:val="00D4017A"/>
    <w:rsid w:val="00D401CE"/>
    <w:rsid w:val="00D40265"/>
    <w:rsid w:val="00D4032F"/>
    <w:rsid w:val="00D40375"/>
    <w:rsid w:val="00D4043D"/>
    <w:rsid w:val="00D404BE"/>
    <w:rsid w:val="00D405C4"/>
    <w:rsid w:val="00D405C7"/>
    <w:rsid w:val="00D405D9"/>
    <w:rsid w:val="00D40709"/>
    <w:rsid w:val="00D407E2"/>
    <w:rsid w:val="00D4094E"/>
    <w:rsid w:val="00D40961"/>
    <w:rsid w:val="00D40975"/>
    <w:rsid w:val="00D40B27"/>
    <w:rsid w:val="00D40C78"/>
    <w:rsid w:val="00D40CE1"/>
    <w:rsid w:val="00D40E32"/>
    <w:rsid w:val="00D40E49"/>
    <w:rsid w:val="00D40F06"/>
    <w:rsid w:val="00D40F1E"/>
    <w:rsid w:val="00D4103A"/>
    <w:rsid w:val="00D41076"/>
    <w:rsid w:val="00D41132"/>
    <w:rsid w:val="00D41324"/>
    <w:rsid w:val="00D41594"/>
    <w:rsid w:val="00D41651"/>
    <w:rsid w:val="00D416C2"/>
    <w:rsid w:val="00D417A9"/>
    <w:rsid w:val="00D41810"/>
    <w:rsid w:val="00D418C0"/>
    <w:rsid w:val="00D41969"/>
    <w:rsid w:val="00D41BEA"/>
    <w:rsid w:val="00D41D15"/>
    <w:rsid w:val="00D4215D"/>
    <w:rsid w:val="00D4224B"/>
    <w:rsid w:val="00D4237B"/>
    <w:rsid w:val="00D42531"/>
    <w:rsid w:val="00D4262F"/>
    <w:rsid w:val="00D42670"/>
    <w:rsid w:val="00D42744"/>
    <w:rsid w:val="00D427D3"/>
    <w:rsid w:val="00D42939"/>
    <w:rsid w:val="00D429A6"/>
    <w:rsid w:val="00D42BE1"/>
    <w:rsid w:val="00D42BF6"/>
    <w:rsid w:val="00D42D56"/>
    <w:rsid w:val="00D42DDD"/>
    <w:rsid w:val="00D42E38"/>
    <w:rsid w:val="00D42FEB"/>
    <w:rsid w:val="00D430A1"/>
    <w:rsid w:val="00D431C5"/>
    <w:rsid w:val="00D431D9"/>
    <w:rsid w:val="00D431EE"/>
    <w:rsid w:val="00D4353E"/>
    <w:rsid w:val="00D4363E"/>
    <w:rsid w:val="00D4364A"/>
    <w:rsid w:val="00D43667"/>
    <w:rsid w:val="00D43683"/>
    <w:rsid w:val="00D436AD"/>
    <w:rsid w:val="00D436D4"/>
    <w:rsid w:val="00D437CB"/>
    <w:rsid w:val="00D43998"/>
    <w:rsid w:val="00D43ACA"/>
    <w:rsid w:val="00D43AF9"/>
    <w:rsid w:val="00D43B6A"/>
    <w:rsid w:val="00D43C4A"/>
    <w:rsid w:val="00D43C7F"/>
    <w:rsid w:val="00D43CFA"/>
    <w:rsid w:val="00D43FAA"/>
    <w:rsid w:val="00D440EF"/>
    <w:rsid w:val="00D440FF"/>
    <w:rsid w:val="00D4410E"/>
    <w:rsid w:val="00D441C7"/>
    <w:rsid w:val="00D4423C"/>
    <w:rsid w:val="00D4423D"/>
    <w:rsid w:val="00D4431D"/>
    <w:rsid w:val="00D4436C"/>
    <w:rsid w:val="00D44374"/>
    <w:rsid w:val="00D4438A"/>
    <w:rsid w:val="00D443CA"/>
    <w:rsid w:val="00D44401"/>
    <w:rsid w:val="00D4443F"/>
    <w:rsid w:val="00D446B9"/>
    <w:rsid w:val="00D446E6"/>
    <w:rsid w:val="00D44735"/>
    <w:rsid w:val="00D44791"/>
    <w:rsid w:val="00D44904"/>
    <w:rsid w:val="00D44924"/>
    <w:rsid w:val="00D44A78"/>
    <w:rsid w:val="00D44BF5"/>
    <w:rsid w:val="00D44C2D"/>
    <w:rsid w:val="00D44C61"/>
    <w:rsid w:val="00D44D56"/>
    <w:rsid w:val="00D44D63"/>
    <w:rsid w:val="00D44D89"/>
    <w:rsid w:val="00D44DD8"/>
    <w:rsid w:val="00D44DF2"/>
    <w:rsid w:val="00D44DF4"/>
    <w:rsid w:val="00D44E1A"/>
    <w:rsid w:val="00D44EC8"/>
    <w:rsid w:val="00D450B2"/>
    <w:rsid w:val="00D4520B"/>
    <w:rsid w:val="00D452EC"/>
    <w:rsid w:val="00D45451"/>
    <w:rsid w:val="00D45541"/>
    <w:rsid w:val="00D4567E"/>
    <w:rsid w:val="00D4568D"/>
    <w:rsid w:val="00D45693"/>
    <w:rsid w:val="00D456D6"/>
    <w:rsid w:val="00D4574A"/>
    <w:rsid w:val="00D45758"/>
    <w:rsid w:val="00D459A2"/>
    <w:rsid w:val="00D45A43"/>
    <w:rsid w:val="00D45A76"/>
    <w:rsid w:val="00D45AD2"/>
    <w:rsid w:val="00D45AEB"/>
    <w:rsid w:val="00D45B56"/>
    <w:rsid w:val="00D45B80"/>
    <w:rsid w:val="00D45C04"/>
    <w:rsid w:val="00D45C51"/>
    <w:rsid w:val="00D45D76"/>
    <w:rsid w:val="00D45E23"/>
    <w:rsid w:val="00D45EC9"/>
    <w:rsid w:val="00D45F96"/>
    <w:rsid w:val="00D4607E"/>
    <w:rsid w:val="00D46133"/>
    <w:rsid w:val="00D461CC"/>
    <w:rsid w:val="00D463A4"/>
    <w:rsid w:val="00D464F2"/>
    <w:rsid w:val="00D4654D"/>
    <w:rsid w:val="00D46554"/>
    <w:rsid w:val="00D4656D"/>
    <w:rsid w:val="00D465A1"/>
    <w:rsid w:val="00D465D8"/>
    <w:rsid w:val="00D46624"/>
    <w:rsid w:val="00D466B6"/>
    <w:rsid w:val="00D466E9"/>
    <w:rsid w:val="00D46700"/>
    <w:rsid w:val="00D467CB"/>
    <w:rsid w:val="00D4696C"/>
    <w:rsid w:val="00D46B8E"/>
    <w:rsid w:val="00D46C0B"/>
    <w:rsid w:val="00D46C4C"/>
    <w:rsid w:val="00D46C67"/>
    <w:rsid w:val="00D46CD2"/>
    <w:rsid w:val="00D46E84"/>
    <w:rsid w:val="00D46EE0"/>
    <w:rsid w:val="00D46EF7"/>
    <w:rsid w:val="00D46FB0"/>
    <w:rsid w:val="00D4701A"/>
    <w:rsid w:val="00D470F1"/>
    <w:rsid w:val="00D47187"/>
    <w:rsid w:val="00D471DF"/>
    <w:rsid w:val="00D47207"/>
    <w:rsid w:val="00D4727F"/>
    <w:rsid w:val="00D4735A"/>
    <w:rsid w:val="00D473AF"/>
    <w:rsid w:val="00D473CF"/>
    <w:rsid w:val="00D474AF"/>
    <w:rsid w:val="00D4752A"/>
    <w:rsid w:val="00D47587"/>
    <w:rsid w:val="00D476E7"/>
    <w:rsid w:val="00D4777E"/>
    <w:rsid w:val="00D47789"/>
    <w:rsid w:val="00D477EC"/>
    <w:rsid w:val="00D47B2A"/>
    <w:rsid w:val="00D47B9E"/>
    <w:rsid w:val="00D47BD9"/>
    <w:rsid w:val="00D47D0F"/>
    <w:rsid w:val="00D47F33"/>
    <w:rsid w:val="00D5006F"/>
    <w:rsid w:val="00D50131"/>
    <w:rsid w:val="00D501B1"/>
    <w:rsid w:val="00D50416"/>
    <w:rsid w:val="00D50484"/>
    <w:rsid w:val="00D50506"/>
    <w:rsid w:val="00D5058A"/>
    <w:rsid w:val="00D505C8"/>
    <w:rsid w:val="00D505F9"/>
    <w:rsid w:val="00D5064F"/>
    <w:rsid w:val="00D5074A"/>
    <w:rsid w:val="00D50800"/>
    <w:rsid w:val="00D5085A"/>
    <w:rsid w:val="00D5092E"/>
    <w:rsid w:val="00D50AF5"/>
    <w:rsid w:val="00D50B69"/>
    <w:rsid w:val="00D50C71"/>
    <w:rsid w:val="00D50CD6"/>
    <w:rsid w:val="00D50E10"/>
    <w:rsid w:val="00D50E46"/>
    <w:rsid w:val="00D50E62"/>
    <w:rsid w:val="00D50EF7"/>
    <w:rsid w:val="00D50F5E"/>
    <w:rsid w:val="00D5100A"/>
    <w:rsid w:val="00D510C9"/>
    <w:rsid w:val="00D5114A"/>
    <w:rsid w:val="00D51177"/>
    <w:rsid w:val="00D5126B"/>
    <w:rsid w:val="00D514CE"/>
    <w:rsid w:val="00D5154A"/>
    <w:rsid w:val="00D51595"/>
    <w:rsid w:val="00D515A0"/>
    <w:rsid w:val="00D51803"/>
    <w:rsid w:val="00D519D8"/>
    <w:rsid w:val="00D51A04"/>
    <w:rsid w:val="00D51BCD"/>
    <w:rsid w:val="00D51C77"/>
    <w:rsid w:val="00D51CAA"/>
    <w:rsid w:val="00D51D1D"/>
    <w:rsid w:val="00D51FA2"/>
    <w:rsid w:val="00D52318"/>
    <w:rsid w:val="00D52478"/>
    <w:rsid w:val="00D52696"/>
    <w:rsid w:val="00D528D9"/>
    <w:rsid w:val="00D529F5"/>
    <w:rsid w:val="00D52A06"/>
    <w:rsid w:val="00D52C92"/>
    <w:rsid w:val="00D52D37"/>
    <w:rsid w:val="00D52DDC"/>
    <w:rsid w:val="00D52DEE"/>
    <w:rsid w:val="00D52FB0"/>
    <w:rsid w:val="00D52FF7"/>
    <w:rsid w:val="00D530B2"/>
    <w:rsid w:val="00D530E1"/>
    <w:rsid w:val="00D531EB"/>
    <w:rsid w:val="00D5324B"/>
    <w:rsid w:val="00D533B3"/>
    <w:rsid w:val="00D533C7"/>
    <w:rsid w:val="00D53518"/>
    <w:rsid w:val="00D5351D"/>
    <w:rsid w:val="00D53668"/>
    <w:rsid w:val="00D53706"/>
    <w:rsid w:val="00D537B1"/>
    <w:rsid w:val="00D5386D"/>
    <w:rsid w:val="00D5390D"/>
    <w:rsid w:val="00D5395F"/>
    <w:rsid w:val="00D53B87"/>
    <w:rsid w:val="00D53BCF"/>
    <w:rsid w:val="00D53C5A"/>
    <w:rsid w:val="00D53E35"/>
    <w:rsid w:val="00D53E8F"/>
    <w:rsid w:val="00D53E91"/>
    <w:rsid w:val="00D541A4"/>
    <w:rsid w:val="00D5423E"/>
    <w:rsid w:val="00D5435B"/>
    <w:rsid w:val="00D544B8"/>
    <w:rsid w:val="00D54529"/>
    <w:rsid w:val="00D54720"/>
    <w:rsid w:val="00D5474F"/>
    <w:rsid w:val="00D5485B"/>
    <w:rsid w:val="00D548C0"/>
    <w:rsid w:val="00D54987"/>
    <w:rsid w:val="00D54AA9"/>
    <w:rsid w:val="00D54ACF"/>
    <w:rsid w:val="00D54B25"/>
    <w:rsid w:val="00D54B28"/>
    <w:rsid w:val="00D55144"/>
    <w:rsid w:val="00D55184"/>
    <w:rsid w:val="00D5524A"/>
    <w:rsid w:val="00D552D1"/>
    <w:rsid w:val="00D552DC"/>
    <w:rsid w:val="00D55323"/>
    <w:rsid w:val="00D553A8"/>
    <w:rsid w:val="00D55458"/>
    <w:rsid w:val="00D554BE"/>
    <w:rsid w:val="00D55534"/>
    <w:rsid w:val="00D55603"/>
    <w:rsid w:val="00D55748"/>
    <w:rsid w:val="00D558A6"/>
    <w:rsid w:val="00D558A8"/>
    <w:rsid w:val="00D558FE"/>
    <w:rsid w:val="00D55929"/>
    <w:rsid w:val="00D55BD2"/>
    <w:rsid w:val="00D55C79"/>
    <w:rsid w:val="00D55CB2"/>
    <w:rsid w:val="00D55D73"/>
    <w:rsid w:val="00D560E3"/>
    <w:rsid w:val="00D5617A"/>
    <w:rsid w:val="00D5635D"/>
    <w:rsid w:val="00D563CC"/>
    <w:rsid w:val="00D56423"/>
    <w:rsid w:val="00D56517"/>
    <w:rsid w:val="00D5660A"/>
    <w:rsid w:val="00D56633"/>
    <w:rsid w:val="00D56770"/>
    <w:rsid w:val="00D567F6"/>
    <w:rsid w:val="00D56A5D"/>
    <w:rsid w:val="00D56A8D"/>
    <w:rsid w:val="00D56A9D"/>
    <w:rsid w:val="00D56B2D"/>
    <w:rsid w:val="00D56BC0"/>
    <w:rsid w:val="00D56CE3"/>
    <w:rsid w:val="00D56D0B"/>
    <w:rsid w:val="00D56F01"/>
    <w:rsid w:val="00D56F53"/>
    <w:rsid w:val="00D57089"/>
    <w:rsid w:val="00D57144"/>
    <w:rsid w:val="00D571F2"/>
    <w:rsid w:val="00D57501"/>
    <w:rsid w:val="00D575D4"/>
    <w:rsid w:val="00D575F9"/>
    <w:rsid w:val="00D5767A"/>
    <w:rsid w:val="00D5778E"/>
    <w:rsid w:val="00D577C7"/>
    <w:rsid w:val="00D577DD"/>
    <w:rsid w:val="00D5799A"/>
    <w:rsid w:val="00D579D9"/>
    <w:rsid w:val="00D57A53"/>
    <w:rsid w:val="00D57B04"/>
    <w:rsid w:val="00D57BE6"/>
    <w:rsid w:val="00D57E9A"/>
    <w:rsid w:val="00D57EA5"/>
    <w:rsid w:val="00D57F29"/>
    <w:rsid w:val="00D57FD1"/>
    <w:rsid w:val="00D600C1"/>
    <w:rsid w:val="00D600E5"/>
    <w:rsid w:val="00D6015B"/>
    <w:rsid w:val="00D601DA"/>
    <w:rsid w:val="00D60202"/>
    <w:rsid w:val="00D6036A"/>
    <w:rsid w:val="00D6037C"/>
    <w:rsid w:val="00D6038E"/>
    <w:rsid w:val="00D603B0"/>
    <w:rsid w:val="00D604B3"/>
    <w:rsid w:val="00D60574"/>
    <w:rsid w:val="00D60579"/>
    <w:rsid w:val="00D60649"/>
    <w:rsid w:val="00D606CE"/>
    <w:rsid w:val="00D606DA"/>
    <w:rsid w:val="00D60798"/>
    <w:rsid w:val="00D607DF"/>
    <w:rsid w:val="00D60844"/>
    <w:rsid w:val="00D60869"/>
    <w:rsid w:val="00D60997"/>
    <w:rsid w:val="00D60A84"/>
    <w:rsid w:val="00D60AA6"/>
    <w:rsid w:val="00D60ADD"/>
    <w:rsid w:val="00D60B2C"/>
    <w:rsid w:val="00D60C05"/>
    <w:rsid w:val="00D60C39"/>
    <w:rsid w:val="00D60C83"/>
    <w:rsid w:val="00D60C8C"/>
    <w:rsid w:val="00D60CCF"/>
    <w:rsid w:val="00D60CD3"/>
    <w:rsid w:val="00D60D0C"/>
    <w:rsid w:val="00D60D17"/>
    <w:rsid w:val="00D60EE4"/>
    <w:rsid w:val="00D60F9B"/>
    <w:rsid w:val="00D61018"/>
    <w:rsid w:val="00D6106E"/>
    <w:rsid w:val="00D610EF"/>
    <w:rsid w:val="00D611DC"/>
    <w:rsid w:val="00D6126D"/>
    <w:rsid w:val="00D612A9"/>
    <w:rsid w:val="00D612E0"/>
    <w:rsid w:val="00D61345"/>
    <w:rsid w:val="00D6165D"/>
    <w:rsid w:val="00D61671"/>
    <w:rsid w:val="00D61674"/>
    <w:rsid w:val="00D61704"/>
    <w:rsid w:val="00D61840"/>
    <w:rsid w:val="00D61853"/>
    <w:rsid w:val="00D618AC"/>
    <w:rsid w:val="00D6194D"/>
    <w:rsid w:val="00D61A6B"/>
    <w:rsid w:val="00D61AD1"/>
    <w:rsid w:val="00D61B40"/>
    <w:rsid w:val="00D61D9E"/>
    <w:rsid w:val="00D61E11"/>
    <w:rsid w:val="00D61E88"/>
    <w:rsid w:val="00D61F2B"/>
    <w:rsid w:val="00D61FC2"/>
    <w:rsid w:val="00D6212F"/>
    <w:rsid w:val="00D621C2"/>
    <w:rsid w:val="00D62332"/>
    <w:rsid w:val="00D6247B"/>
    <w:rsid w:val="00D624A1"/>
    <w:rsid w:val="00D62541"/>
    <w:rsid w:val="00D625A1"/>
    <w:rsid w:val="00D6281B"/>
    <w:rsid w:val="00D62C17"/>
    <w:rsid w:val="00D62C1E"/>
    <w:rsid w:val="00D62C1F"/>
    <w:rsid w:val="00D62CCC"/>
    <w:rsid w:val="00D62CDE"/>
    <w:rsid w:val="00D62D4E"/>
    <w:rsid w:val="00D62D8D"/>
    <w:rsid w:val="00D62DE2"/>
    <w:rsid w:val="00D62FA2"/>
    <w:rsid w:val="00D631F8"/>
    <w:rsid w:val="00D63283"/>
    <w:rsid w:val="00D633BC"/>
    <w:rsid w:val="00D6355E"/>
    <w:rsid w:val="00D6383C"/>
    <w:rsid w:val="00D639DE"/>
    <w:rsid w:val="00D639E7"/>
    <w:rsid w:val="00D63A4A"/>
    <w:rsid w:val="00D63BAF"/>
    <w:rsid w:val="00D63D6C"/>
    <w:rsid w:val="00D63DB3"/>
    <w:rsid w:val="00D63FFD"/>
    <w:rsid w:val="00D64162"/>
    <w:rsid w:val="00D64202"/>
    <w:rsid w:val="00D642B2"/>
    <w:rsid w:val="00D64355"/>
    <w:rsid w:val="00D64393"/>
    <w:rsid w:val="00D643E0"/>
    <w:rsid w:val="00D6440C"/>
    <w:rsid w:val="00D645CD"/>
    <w:rsid w:val="00D6499A"/>
    <w:rsid w:val="00D64A07"/>
    <w:rsid w:val="00D64CAC"/>
    <w:rsid w:val="00D64CF8"/>
    <w:rsid w:val="00D64DF0"/>
    <w:rsid w:val="00D64E06"/>
    <w:rsid w:val="00D64F62"/>
    <w:rsid w:val="00D64FB8"/>
    <w:rsid w:val="00D64FBF"/>
    <w:rsid w:val="00D64FCA"/>
    <w:rsid w:val="00D65105"/>
    <w:rsid w:val="00D65122"/>
    <w:rsid w:val="00D65293"/>
    <w:rsid w:val="00D6533B"/>
    <w:rsid w:val="00D65348"/>
    <w:rsid w:val="00D6535C"/>
    <w:rsid w:val="00D65450"/>
    <w:rsid w:val="00D65566"/>
    <w:rsid w:val="00D656A3"/>
    <w:rsid w:val="00D658BC"/>
    <w:rsid w:val="00D65914"/>
    <w:rsid w:val="00D6596D"/>
    <w:rsid w:val="00D65A12"/>
    <w:rsid w:val="00D65A4A"/>
    <w:rsid w:val="00D65C19"/>
    <w:rsid w:val="00D65C81"/>
    <w:rsid w:val="00D65F1B"/>
    <w:rsid w:val="00D66037"/>
    <w:rsid w:val="00D6605B"/>
    <w:rsid w:val="00D6610A"/>
    <w:rsid w:val="00D66318"/>
    <w:rsid w:val="00D6640B"/>
    <w:rsid w:val="00D66495"/>
    <w:rsid w:val="00D66525"/>
    <w:rsid w:val="00D66622"/>
    <w:rsid w:val="00D66676"/>
    <w:rsid w:val="00D666CD"/>
    <w:rsid w:val="00D66721"/>
    <w:rsid w:val="00D667B1"/>
    <w:rsid w:val="00D667E2"/>
    <w:rsid w:val="00D6685D"/>
    <w:rsid w:val="00D668E0"/>
    <w:rsid w:val="00D6692F"/>
    <w:rsid w:val="00D66A03"/>
    <w:rsid w:val="00D66BA9"/>
    <w:rsid w:val="00D66BAA"/>
    <w:rsid w:val="00D66C41"/>
    <w:rsid w:val="00D66C52"/>
    <w:rsid w:val="00D66D9D"/>
    <w:rsid w:val="00D66DC6"/>
    <w:rsid w:val="00D66EDE"/>
    <w:rsid w:val="00D66EF4"/>
    <w:rsid w:val="00D66F7E"/>
    <w:rsid w:val="00D66FDF"/>
    <w:rsid w:val="00D67002"/>
    <w:rsid w:val="00D67225"/>
    <w:rsid w:val="00D672A9"/>
    <w:rsid w:val="00D673F8"/>
    <w:rsid w:val="00D675B8"/>
    <w:rsid w:val="00D675D6"/>
    <w:rsid w:val="00D67630"/>
    <w:rsid w:val="00D6767B"/>
    <w:rsid w:val="00D676C3"/>
    <w:rsid w:val="00D6797B"/>
    <w:rsid w:val="00D6798E"/>
    <w:rsid w:val="00D67999"/>
    <w:rsid w:val="00D67C02"/>
    <w:rsid w:val="00D67CF5"/>
    <w:rsid w:val="00D67D2D"/>
    <w:rsid w:val="00D67ECC"/>
    <w:rsid w:val="00D67F8A"/>
    <w:rsid w:val="00D70032"/>
    <w:rsid w:val="00D70043"/>
    <w:rsid w:val="00D70070"/>
    <w:rsid w:val="00D701B2"/>
    <w:rsid w:val="00D704B7"/>
    <w:rsid w:val="00D70549"/>
    <w:rsid w:val="00D7077A"/>
    <w:rsid w:val="00D70875"/>
    <w:rsid w:val="00D7093A"/>
    <w:rsid w:val="00D70AB7"/>
    <w:rsid w:val="00D70F53"/>
    <w:rsid w:val="00D70F59"/>
    <w:rsid w:val="00D70FD3"/>
    <w:rsid w:val="00D710A0"/>
    <w:rsid w:val="00D71109"/>
    <w:rsid w:val="00D7116B"/>
    <w:rsid w:val="00D71186"/>
    <w:rsid w:val="00D71228"/>
    <w:rsid w:val="00D712AC"/>
    <w:rsid w:val="00D7138F"/>
    <w:rsid w:val="00D71468"/>
    <w:rsid w:val="00D71479"/>
    <w:rsid w:val="00D715BE"/>
    <w:rsid w:val="00D716EB"/>
    <w:rsid w:val="00D71774"/>
    <w:rsid w:val="00D717CA"/>
    <w:rsid w:val="00D7181A"/>
    <w:rsid w:val="00D719D1"/>
    <w:rsid w:val="00D71B9A"/>
    <w:rsid w:val="00D71B9B"/>
    <w:rsid w:val="00D71C1C"/>
    <w:rsid w:val="00D71CF1"/>
    <w:rsid w:val="00D71E4C"/>
    <w:rsid w:val="00D71FEB"/>
    <w:rsid w:val="00D720D7"/>
    <w:rsid w:val="00D7210F"/>
    <w:rsid w:val="00D7240E"/>
    <w:rsid w:val="00D72441"/>
    <w:rsid w:val="00D72521"/>
    <w:rsid w:val="00D72565"/>
    <w:rsid w:val="00D72745"/>
    <w:rsid w:val="00D72799"/>
    <w:rsid w:val="00D727F3"/>
    <w:rsid w:val="00D72824"/>
    <w:rsid w:val="00D72A0F"/>
    <w:rsid w:val="00D72EF3"/>
    <w:rsid w:val="00D72F50"/>
    <w:rsid w:val="00D72FCF"/>
    <w:rsid w:val="00D72FE6"/>
    <w:rsid w:val="00D72FFA"/>
    <w:rsid w:val="00D73067"/>
    <w:rsid w:val="00D73109"/>
    <w:rsid w:val="00D7311B"/>
    <w:rsid w:val="00D7313C"/>
    <w:rsid w:val="00D73309"/>
    <w:rsid w:val="00D7346D"/>
    <w:rsid w:val="00D7359E"/>
    <w:rsid w:val="00D735CF"/>
    <w:rsid w:val="00D737E1"/>
    <w:rsid w:val="00D7392B"/>
    <w:rsid w:val="00D7395B"/>
    <w:rsid w:val="00D73A40"/>
    <w:rsid w:val="00D73AA4"/>
    <w:rsid w:val="00D73AAC"/>
    <w:rsid w:val="00D73B45"/>
    <w:rsid w:val="00D73CAA"/>
    <w:rsid w:val="00D73D36"/>
    <w:rsid w:val="00D73D76"/>
    <w:rsid w:val="00D73EEA"/>
    <w:rsid w:val="00D73F13"/>
    <w:rsid w:val="00D73F61"/>
    <w:rsid w:val="00D74059"/>
    <w:rsid w:val="00D740EA"/>
    <w:rsid w:val="00D74207"/>
    <w:rsid w:val="00D7423E"/>
    <w:rsid w:val="00D74312"/>
    <w:rsid w:val="00D74428"/>
    <w:rsid w:val="00D744C4"/>
    <w:rsid w:val="00D74514"/>
    <w:rsid w:val="00D74598"/>
    <w:rsid w:val="00D745DB"/>
    <w:rsid w:val="00D745F8"/>
    <w:rsid w:val="00D7465B"/>
    <w:rsid w:val="00D746AA"/>
    <w:rsid w:val="00D74742"/>
    <w:rsid w:val="00D74785"/>
    <w:rsid w:val="00D74946"/>
    <w:rsid w:val="00D74967"/>
    <w:rsid w:val="00D74AA8"/>
    <w:rsid w:val="00D74BAA"/>
    <w:rsid w:val="00D74DD2"/>
    <w:rsid w:val="00D74E19"/>
    <w:rsid w:val="00D74E63"/>
    <w:rsid w:val="00D74E74"/>
    <w:rsid w:val="00D74E86"/>
    <w:rsid w:val="00D74FEE"/>
    <w:rsid w:val="00D75070"/>
    <w:rsid w:val="00D750AE"/>
    <w:rsid w:val="00D750B3"/>
    <w:rsid w:val="00D753AC"/>
    <w:rsid w:val="00D75406"/>
    <w:rsid w:val="00D7547A"/>
    <w:rsid w:val="00D758CC"/>
    <w:rsid w:val="00D7591B"/>
    <w:rsid w:val="00D75961"/>
    <w:rsid w:val="00D7598B"/>
    <w:rsid w:val="00D759F3"/>
    <w:rsid w:val="00D75B33"/>
    <w:rsid w:val="00D75B5A"/>
    <w:rsid w:val="00D75BC3"/>
    <w:rsid w:val="00D75BDC"/>
    <w:rsid w:val="00D75F0F"/>
    <w:rsid w:val="00D75F85"/>
    <w:rsid w:val="00D76013"/>
    <w:rsid w:val="00D7605E"/>
    <w:rsid w:val="00D761C8"/>
    <w:rsid w:val="00D763C2"/>
    <w:rsid w:val="00D76608"/>
    <w:rsid w:val="00D76695"/>
    <w:rsid w:val="00D76706"/>
    <w:rsid w:val="00D7673A"/>
    <w:rsid w:val="00D76AF1"/>
    <w:rsid w:val="00D76BD7"/>
    <w:rsid w:val="00D76BFF"/>
    <w:rsid w:val="00D76D45"/>
    <w:rsid w:val="00D76F21"/>
    <w:rsid w:val="00D77019"/>
    <w:rsid w:val="00D77057"/>
    <w:rsid w:val="00D7718F"/>
    <w:rsid w:val="00D771A5"/>
    <w:rsid w:val="00D7735E"/>
    <w:rsid w:val="00D77560"/>
    <w:rsid w:val="00D7759A"/>
    <w:rsid w:val="00D775EC"/>
    <w:rsid w:val="00D77A1D"/>
    <w:rsid w:val="00D77A96"/>
    <w:rsid w:val="00D77C72"/>
    <w:rsid w:val="00D77ECA"/>
    <w:rsid w:val="00D800BE"/>
    <w:rsid w:val="00D80186"/>
    <w:rsid w:val="00D801A2"/>
    <w:rsid w:val="00D802B1"/>
    <w:rsid w:val="00D80395"/>
    <w:rsid w:val="00D803C8"/>
    <w:rsid w:val="00D806D4"/>
    <w:rsid w:val="00D807B3"/>
    <w:rsid w:val="00D8082A"/>
    <w:rsid w:val="00D8096D"/>
    <w:rsid w:val="00D809BB"/>
    <w:rsid w:val="00D80C58"/>
    <w:rsid w:val="00D80DA5"/>
    <w:rsid w:val="00D80EDF"/>
    <w:rsid w:val="00D80FE3"/>
    <w:rsid w:val="00D8104A"/>
    <w:rsid w:val="00D810F0"/>
    <w:rsid w:val="00D81130"/>
    <w:rsid w:val="00D81234"/>
    <w:rsid w:val="00D8134F"/>
    <w:rsid w:val="00D81482"/>
    <w:rsid w:val="00D814ED"/>
    <w:rsid w:val="00D8152D"/>
    <w:rsid w:val="00D8154C"/>
    <w:rsid w:val="00D815D0"/>
    <w:rsid w:val="00D8165F"/>
    <w:rsid w:val="00D816A3"/>
    <w:rsid w:val="00D81709"/>
    <w:rsid w:val="00D81745"/>
    <w:rsid w:val="00D81779"/>
    <w:rsid w:val="00D817FD"/>
    <w:rsid w:val="00D81CB8"/>
    <w:rsid w:val="00D81D7E"/>
    <w:rsid w:val="00D81E5F"/>
    <w:rsid w:val="00D82183"/>
    <w:rsid w:val="00D822BD"/>
    <w:rsid w:val="00D823F2"/>
    <w:rsid w:val="00D82403"/>
    <w:rsid w:val="00D824F5"/>
    <w:rsid w:val="00D82810"/>
    <w:rsid w:val="00D82854"/>
    <w:rsid w:val="00D829B2"/>
    <w:rsid w:val="00D82A14"/>
    <w:rsid w:val="00D82C9A"/>
    <w:rsid w:val="00D82EB6"/>
    <w:rsid w:val="00D82FA0"/>
    <w:rsid w:val="00D82FBD"/>
    <w:rsid w:val="00D82FF1"/>
    <w:rsid w:val="00D82FF8"/>
    <w:rsid w:val="00D8301C"/>
    <w:rsid w:val="00D8308F"/>
    <w:rsid w:val="00D831E1"/>
    <w:rsid w:val="00D832E9"/>
    <w:rsid w:val="00D8330A"/>
    <w:rsid w:val="00D83923"/>
    <w:rsid w:val="00D8398F"/>
    <w:rsid w:val="00D83A09"/>
    <w:rsid w:val="00D83A3E"/>
    <w:rsid w:val="00D83A46"/>
    <w:rsid w:val="00D83B51"/>
    <w:rsid w:val="00D83BC9"/>
    <w:rsid w:val="00D83CA9"/>
    <w:rsid w:val="00D83E5D"/>
    <w:rsid w:val="00D83FE8"/>
    <w:rsid w:val="00D84072"/>
    <w:rsid w:val="00D84174"/>
    <w:rsid w:val="00D84293"/>
    <w:rsid w:val="00D84384"/>
    <w:rsid w:val="00D843CB"/>
    <w:rsid w:val="00D84517"/>
    <w:rsid w:val="00D845C6"/>
    <w:rsid w:val="00D846A7"/>
    <w:rsid w:val="00D8475C"/>
    <w:rsid w:val="00D848D3"/>
    <w:rsid w:val="00D84B13"/>
    <w:rsid w:val="00D84B40"/>
    <w:rsid w:val="00D84B52"/>
    <w:rsid w:val="00D84BB3"/>
    <w:rsid w:val="00D84BC3"/>
    <w:rsid w:val="00D84BCC"/>
    <w:rsid w:val="00D84BD2"/>
    <w:rsid w:val="00D84CFC"/>
    <w:rsid w:val="00D84D19"/>
    <w:rsid w:val="00D84F5A"/>
    <w:rsid w:val="00D8510D"/>
    <w:rsid w:val="00D852D9"/>
    <w:rsid w:val="00D85330"/>
    <w:rsid w:val="00D85383"/>
    <w:rsid w:val="00D854A9"/>
    <w:rsid w:val="00D857DB"/>
    <w:rsid w:val="00D858BB"/>
    <w:rsid w:val="00D85AC2"/>
    <w:rsid w:val="00D85AFC"/>
    <w:rsid w:val="00D85B46"/>
    <w:rsid w:val="00D85BF6"/>
    <w:rsid w:val="00D85DE6"/>
    <w:rsid w:val="00D85E2E"/>
    <w:rsid w:val="00D85E44"/>
    <w:rsid w:val="00D85EFB"/>
    <w:rsid w:val="00D85F6C"/>
    <w:rsid w:val="00D8606C"/>
    <w:rsid w:val="00D860E7"/>
    <w:rsid w:val="00D861DA"/>
    <w:rsid w:val="00D864B1"/>
    <w:rsid w:val="00D864EB"/>
    <w:rsid w:val="00D86642"/>
    <w:rsid w:val="00D86670"/>
    <w:rsid w:val="00D867C5"/>
    <w:rsid w:val="00D867D3"/>
    <w:rsid w:val="00D86969"/>
    <w:rsid w:val="00D86A08"/>
    <w:rsid w:val="00D86A1C"/>
    <w:rsid w:val="00D86CF4"/>
    <w:rsid w:val="00D86E80"/>
    <w:rsid w:val="00D86F96"/>
    <w:rsid w:val="00D87142"/>
    <w:rsid w:val="00D871D2"/>
    <w:rsid w:val="00D871F5"/>
    <w:rsid w:val="00D8726B"/>
    <w:rsid w:val="00D87328"/>
    <w:rsid w:val="00D87476"/>
    <w:rsid w:val="00D875EC"/>
    <w:rsid w:val="00D8776E"/>
    <w:rsid w:val="00D8779E"/>
    <w:rsid w:val="00D877BC"/>
    <w:rsid w:val="00D8787F"/>
    <w:rsid w:val="00D879AA"/>
    <w:rsid w:val="00D87A09"/>
    <w:rsid w:val="00D87A14"/>
    <w:rsid w:val="00D87B97"/>
    <w:rsid w:val="00D87C11"/>
    <w:rsid w:val="00D87DBD"/>
    <w:rsid w:val="00D87E7C"/>
    <w:rsid w:val="00D87E94"/>
    <w:rsid w:val="00D87EC9"/>
    <w:rsid w:val="00D9007D"/>
    <w:rsid w:val="00D900C2"/>
    <w:rsid w:val="00D900CC"/>
    <w:rsid w:val="00D90280"/>
    <w:rsid w:val="00D902DF"/>
    <w:rsid w:val="00D90321"/>
    <w:rsid w:val="00D9050A"/>
    <w:rsid w:val="00D90513"/>
    <w:rsid w:val="00D90514"/>
    <w:rsid w:val="00D9051E"/>
    <w:rsid w:val="00D905CE"/>
    <w:rsid w:val="00D9069F"/>
    <w:rsid w:val="00D90838"/>
    <w:rsid w:val="00D9093E"/>
    <w:rsid w:val="00D90949"/>
    <w:rsid w:val="00D90B72"/>
    <w:rsid w:val="00D90B98"/>
    <w:rsid w:val="00D90C48"/>
    <w:rsid w:val="00D90F3E"/>
    <w:rsid w:val="00D91063"/>
    <w:rsid w:val="00D9116A"/>
    <w:rsid w:val="00D912D7"/>
    <w:rsid w:val="00D91353"/>
    <w:rsid w:val="00D91457"/>
    <w:rsid w:val="00D91A26"/>
    <w:rsid w:val="00D91A3D"/>
    <w:rsid w:val="00D91C1D"/>
    <w:rsid w:val="00D91C65"/>
    <w:rsid w:val="00D9200D"/>
    <w:rsid w:val="00D92059"/>
    <w:rsid w:val="00D920C3"/>
    <w:rsid w:val="00D92117"/>
    <w:rsid w:val="00D921A4"/>
    <w:rsid w:val="00D92299"/>
    <w:rsid w:val="00D923DB"/>
    <w:rsid w:val="00D9259B"/>
    <w:rsid w:val="00D9268A"/>
    <w:rsid w:val="00D9279C"/>
    <w:rsid w:val="00D928A4"/>
    <w:rsid w:val="00D928A7"/>
    <w:rsid w:val="00D92AE2"/>
    <w:rsid w:val="00D92B21"/>
    <w:rsid w:val="00D92C3A"/>
    <w:rsid w:val="00D92E16"/>
    <w:rsid w:val="00D92E1D"/>
    <w:rsid w:val="00D92E36"/>
    <w:rsid w:val="00D92E5D"/>
    <w:rsid w:val="00D92E7E"/>
    <w:rsid w:val="00D9305A"/>
    <w:rsid w:val="00D930C2"/>
    <w:rsid w:val="00D93208"/>
    <w:rsid w:val="00D933CB"/>
    <w:rsid w:val="00D934F7"/>
    <w:rsid w:val="00D93531"/>
    <w:rsid w:val="00D9355A"/>
    <w:rsid w:val="00D93614"/>
    <w:rsid w:val="00D93674"/>
    <w:rsid w:val="00D936B2"/>
    <w:rsid w:val="00D93760"/>
    <w:rsid w:val="00D9377A"/>
    <w:rsid w:val="00D93A4B"/>
    <w:rsid w:val="00D93AAB"/>
    <w:rsid w:val="00D93B63"/>
    <w:rsid w:val="00D93C0A"/>
    <w:rsid w:val="00D93C45"/>
    <w:rsid w:val="00D93CCF"/>
    <w:rsid w:val="00D93D3C"/>
    <w:rsid w:val="00D93DFD"/>
    <w:rsid w:val="00D93E3A"/>
    <w:rsid w:val="00D93F48"/>
    <w:rsid w:val="00D93F76"/>
    <w:rsid w:val="00D94006"/>
    <w:rsid w:val="00D94016"/>
    <w:rsid w:val="00D94092"/>
    <w:rsid w:val="00D94093"/>
    <w:rsid w:val="00D940B7"/>
    <w:rsid w:val="00D940E7"/>
    <w:rsid w:val="00D9419D"/>
    <w:rsid w:val="00D9440F"/>
    <w:rsid w:val="00D94470"/>
    <w:rsid w:val="00D9454E"/>
    <w:rsid w:val="00D94562"/>
    <w:rsid w:val="00D94679"/>
    <w:rsid w:val="00D94688"/>
    <w:rsid w:val="00D94702"/>
    <w:rsid w:val="00D947A5"/>
    <w:rsid w:val="00D94870"/>
    <w:rsid w:val="00D948BD"/>
    <w:rsid w:val="00D94992"/>
    <w:rsid w:val="00D949E9"/>
    <w:rsid w:val="00D949F2"/>
    <w:rsid w:val="00D94B5F"/>
    <w:rsid w:val="00D94B95"/>
    <w:rsid w:val="00D94C3C"/>
    <w:rsid w:val="00D94D1B"/>
    <w:rsid w:val="00D94F65"/>
    <w:rsid w:val="00D95212"/>
    <w:rsid w:val="00D95364"/>
    <w:rsid w:val="00D958C6"/>
    <w:rsid w:val="00D95963"/>
    <w:rsid w:val="00D959F1"/>
    <w:rsid w:val="00D95BB1"/>
    <w:rsid w:val="00D95C85"/>
    <w:rsid w:val="00D95D0E"/>
    <w:rsid w:val="00D95E03"/>
    <w:rsid w:val="00D95EF1"/>
    <w:rsid w:val="00D95FE4"/>
    <w:rsid w:val="00D960F0"/>
    <w:rsid w:val="00D961BE"/>
    <w:rsid w:val="00D961E0"/>
    <w:rsid w:val="00D9631A"/>
    <w:rsid w:val="00D963DB"/>
    <w:rsid w:val="00D963EB"/>
    <w:rsid w:val="00D9647A"/>
    <w:rsid w:val="00D96482"/>
    <w:rsid w:val="00D96767"/>
    <w:rsid w:val="00D96782"/>
    <w:rsid w:val="00D96952"/>
    <w:rsid w:val="00D969DB"/>
    <w:rsid w:val="00D96A46"/>
    <w:rsid w:val="00D96C43"/>
    <w:rsid w:val="00D96C66"/>
    <w:rsid w:val="00D96D58"/>
    <w:rsid w:val="00D96D59"/>
    <w:rsid w:val="00D96F0C"/>
    <w:rsid w:val="00D96F71"/>
    <w:rsid w:val="00D972D9"/>
    <w:rsid w:val="00D9749A"/>
    <w:rsid w:val="00D9756F"/>
    <w:rsid w:val="00D9763E"/>
    <w:rsid w:val="00D97645"/>
    <w:rsid w:val="00D976A0"/>
    <w:rsid w:val="00D9776A"/>
    <w:rsid w:val="00D97770"/>
    <w:rsid w:val="00D9779B"/>
    <w:rsid w:val="00D979EF"/>
    <w:rsid w:val="00D97AFF"/>
    <w:rsid w:val="00D97B96"/>
    <w:rsid w:val="00D97C04"/>
    <w:rsid w:val="00D97C38"/>
    <w:rsid w:val="00D97ED4"/>
    <w:rsid w:val="00D97FC2"/>
    <w:rsid w:val="00DA003B"/>
    <w:rsid w:val="00DA01A7"/>
    <w:rsid w:val="00DA02C8"/>
    <w:rsid w:val="00DA0346"/>
    <w:rsid w:val="00DA0468"/>
    <w:rsid w:val="00DA06D0"/>
    <w:rsid w:val="00DA0730"/>
    <w:rsid w:val="00DA0735"/>
    <w:rsid w:val="00DA076F"/>
    <w:rsid w:val="00DA09CF"/>
    <w:rsid w:val="00DA0A48"/>
    <w:rsid w:val="00DA0C06"/>
    <w:rsid w:val="00DA0C0F"/>
    <w:rsid w:val="00DA0ED5"/>
    <w:rsid w:val="00DA0ED9"/>
    <w:rsid w:val="00DA0EF1"/>
    <w:rsid w:val="00DA0FBC"/>
    <w:rsid w:val="00DA10B7"/>
    <w:rsid w:val="00DA10C0"/>
    <w:rsid w:val="00DA10F1"/>
    <w:rsid w:val="00DA139E"/>
    <w:rsid w:val="00DA1488"/>
    <w:rsid w:val="00DA16A6"/>
    <w:rsid w:val="00DA16C5"/>
    <w:rsid w:val="00DA16DA"/>
    <w:rsid w:val="00DA1823"/>
    <w:rsid w:val="00DA1853"/>
    <w:rsid w:val="00DA1C4A"/>
    <w:rsid w:val="00DA1CA7"/>
    <w:rsid w:val="00DA1CA8"/>
    <w:rsid w:val="00DA1D1C"/>
    <w:rsid w:val="00DA1DD2"/>
    <w:rsid w:val="00DA1F3D"/>
    <w:rsid w:val="00DA218B"/>
    <w:rsid w:val="00DA223F"/>
    <w:rsid w:val="00DA246B"/>
    <w:rsid w:val="00DA2475"/>
    <w:rsid w:val="00DA25CE"/>
    <w:rsid w:val="00DA260B"/>
    <w:rsid w:val="00DA2738"/>
    <w:rsid w:val="00DA27F1"/>
    <w:rsid w:val="00DA281A"/>
    <w:rsid w:val="00DA2849"/>
    <w:rsid w:val="00DA2858"/>
    <w:rsid w:val="00DA2A4C"/>
    <w:rsid w:val="00DA2B14"/>
    <w:rsid w:val="00DA2BF1"/>
    <w:rsid w:val="00DA2C72"/>
    <w:rsid w:val="00DA2DE1"/>
    <w:rsid w:val="00DA2F4E"/>
    <w:rsid w:val="00DA2FB9"/>
    <w:rsid w:val="00DA30E1"/>
    <w:rsid w:val="00DA31E2"/>
    <w:rsid w:val="00DA3341"/>
    <w:rsid w:val="00DA346C"/>
    <w:rsid w:val="00DA371B"/>
    <w:rsid w:val="00DA3754"/>
    <w:rsid w:val="00DA390D"/>
    <w:rsid w:val="00DA39C3"/>
    <w:rsid w:val="00DA3C2B"/>
    <w:rsid w:val="00DA3C2D"/>
    <w:rsid w:val="00DA3C7D"/>
    <w:rsid w:val="00DA3CD4"/>
    <w:rsid w:val="00DA3E36"/>
    <w:rsid w:val="00DA3EE7"/>
    <w:rsid w:val="00DA3F58"/>
    <w:rsid w:val="00DA4004"/>
    <w:rsid w:val="00DA4031"/>
    <w:rsid w:val="00DA41B5"/>
    <w:rsid w:val="00DA4234"/>
    <w:rsid w:val="00DA429A"/>
    <w:rsid w:val="00DA4447"/>
    <w:rsid w:val="00DA461B"/>
    <w:rsid w:val="00DA471F"/>
    <w:rsid w:val="00DA4886"/>
    <w:rsid w:val="00DA4950"/>
    <w:rsid w:val="00DA49AC"/>
    <w:rsid w:val="00DA4A61"/>
    <w:rsid w:val="00DA4A7F"/>
    <w:rsid w:val="00DA4ADB"/>
    <w:rsid w:val="00DA4B9D"/>
    <w:rsid w:val="00DA4E0A"/>
    <w:rsid w:val="00DA4E11"/>
    <w:rsid w:val="00DA4EF8"/>
    <w:rsid w:val="00DA501D"/>
    <w:rsid w:val="00DA5116"/>
    <w:rsid w:val="00DA51A6"/>
    <w:rsid w:val="00DA5344"/>
    <w:rsid w:val="00DA5345"/>
    <w:rsid w:val="00DA555E"/>
    <w:rsid w:val="00DA5598"/>
    <w:rsid w:val="00DA55AC"/>
    <w:rsid w:val="00DA587F"/>
    <w:rsid w:val="00DA5AA0"/>
    <w:rsid w:val="00DA5B0B"/>
    <w:rsid w:val="00DA5BE8"/>
    <w:rsid w:val="00DA5C60"/>
    <w:rsid w:val="00DA5C93"/>
    <w:rsid w:val="00DA5CB6"/>
    <w:rsid w:val="00DA5DED"/>
    <w:rsid w:val="00DA5E59"/>
    <w:rsid w:val="00DA5E82"/>
    <w:rsid w:val="00DA5F46"/>
    <w:rsid w:val="00DA6554"/>
    <w:rsid w:val="00DA6655"/>
    <w:rsid w:val="00DA66D0"/>
    <w:rsid w:val="00DA67E5"/>
    <w:rsid w:val="00DA67EA"/>
    <w:rsid w:val="00DA684C"/>
    <w:rsid w:val="00DA6BDF"/>
    <w:rsid w:val="00DA6C2C"/>
    <w:rsid w:val="00DA6C47"/>
    <w:rsid w:val="00DA6C8E"/>
    <w:rsid w:val="00DA6D33"/>
    <w:rsid w:val="00DA6F88"/>
    <w:rsid w:val="00DA70B9"/>
    <w:rsid w:val="00DA7254"/>
    <w:rsid w:val="00DA733B"/>
    <w:rsid w:val="00DA73C8"/>
    <w:rsid w:val="00DA76A8"/>
    <w:rsid w:val="00DA7807"/>
    <w:rsid w:val="00DA784D"/>
    <w:rsid w:val="00DA7916"/>
    <w:rsid w:val="00DA7936"/>
    <w:rsid w:val="00DA7A62"/>
    <w:rsid w:val="00DA7C4C"/>
    <w:rsid w:val="00DA7CD9"/>
    <w:rsid w:val="00DA7D25"/>
    <w:rsid w:val="00DA7D4A"/>
    <w:rsid w:val="00DA7FA6"/>
    <w:rsid w:val="00DB003F"/>
    <w:rsid w:val="00DB0207"/>
    <w:rsid w:val="00DB02F9"/>
    <w:rsid w:val="00DB0486"/>
    <w:rsid w:val="00DB066A"/>
    <w:rsid w:val="00DB0734"/>
    <w:rsid w:val="00DB07E6"/>
    <w:rsid w:val="00DB0809"/>
    <w:rsid w:val="00DB08E8"/>
    <w:rsid w:val="00DB08EB"/>
    <w:rsid w:val="00DB0951"/>
    <w:rsid w:val="00DB0D6D"/>
    <w:rsid w:val="00DB0D9D"/>
    <w:rsid w:val="00DB0E2C"/>
    <w:rsid w:val="00DB1082"/>
    <w:rsid w:val="00DB1275"/>
    <w:rsid w:val="00DB129B"/>
    <w:rsid w:val="00DB12B2"/>
    <w:rsid w:val="00DB12D2"/>
    <w:rsid w:val="00DB13BA"/>
    <w:rsid w:val="00DB176E"/>
    <w:rsid w:val="00DB17C1"/>
    <w:rsid w:val="00DB1876"/>
    <w:rsid w:val="00DB197F"/>
    <w:rsid w:val="00DB19CA"/>
    <w:rsid w:val="00DB1A66"/>
    <w:rsid w:val="00DB1B36"/>
    <w:rsid w:val="00DB1B4E"/>
    <w:rsid w:val="00DB1B7D"/>
    <w:rsid w:val="00DB1CEA"/>
    <w:rsid w:val="00DB1D5D"/>
    <w:rsid w:val="00DB1D8F"/>
    <w:rsid w:val="00DB1DAE"/>
    <w:rsid w:val="00DB2150"/>
    <w:rsid w:val="00DB2211"/>
    <w:rsid w:val="00DB2352"/>
    <w:rsid w:val="00DB2363"/>
    <w:rsid w:val="00DB25E1"/>
    <w:rsid w:val="00DB2727"/>
    <w:rsid w:val="00DB288E"/>
    <w:rsid w:val="00DB28AE"/>
    <w:rsid w:val="00DB29F3"/>
    <w:rsid w:val="00DB2B16"/>
    <w:rsid w:val="00DB2D1C"/>
    <w:rsid w:val="00DB2DC3"/>
    <w:rsid w:val="00DB2E15"/>
    <w:rsid w:val="00DB2F2A"/>
    <w:rsid w:val="00DB303E"/>
    <w:rsid w:val="00DB308C"/>
    <w:rsid w:val="00DB31E3"/>
    <w:rsid w:val="00DB324F"/>
    <w:rsid w:val="00DB3279"/>
    <w:rsid w:val="00DB3431"/>
    <w:rsid w:val="00DB3469"/>
    <w:rsid w:val="00DB352B"/>
    <w:rsid w:val="00DB35A5"/>
    <w:rsid w:val="00DB360C"/>
    <w:rsid w:val="00DB364A"/>
    <w:rsid w:val="00DB36B4"/>
    <w:rsid w:val="00DB3948"/>
    <w:rsid w:val="00DB3A37"/>
    <w:rsid w:val="00DB3B6E"/>
    <w:rsid w:val="00DB3CD5"/>
    <w:rsid w:val="00DB3DB4"/>
    <w:rsid w:val="00DB3ED8"/>
    <w:rsid w:val="00DB3F5E"/>
    <w:rsid w:val="00DB3F9A"/>
    <w:rsid w:val="00DB404F"/>
    <w:rsid w:val="00DB4067"/>
    <w:rsid w:val="00DB40BD"/>
    <w:rsid w:val="00DB414A"/>
    <w:rsid w:val="00DB416D"/>
    <w:rsid w:val="00DB41AD"/>
    <w:rsid w:val="00DB4365"/>
    <w:rsid w:val="00DB43CD"/>
    <w:rsid w:val="00DB440D"/>
    <w:rsid w:val="00DB4410"/>
    <w:rsid w:val="00DB446B"/>
    <w:rsid w:val="00DB44B7"/>
    <w:rsid w:val="00DB451C"/>
    <w:rsid w:val="00DB45C9"/>
    <w:rsid w:val="00DB46E1"/>
    <w:rsid w:val="00DB4762"/>
    <w:rsid w:val="00DB47C0"/>
    <w:rsid w:val="00DB4837"/>
    <w:rsid w:val="00DB4855"/>
    <w:rsid w:val="00DB4888"/>
    <w:rsid w:val="00DB488C"/>
    <w:rsid w:val="00DB48AE"/>
    <w:rsid w:val="00DB48FC"/>
    <w:rsid w:val="00DB4929"/>
    <w:rsid w:val="00DB493B"/>
    <w:rsid w:val="00DB4B37"/>
    <w:rsid w:val="00DB4CE3"/>
    <w:rsid w:val="00DB4D85"/>
    <w:rsid w:val="00DB4F24"/>
    <w:rsid w:val="00DB4F5A"/>
    <w:rsid w:val="00DB502F"/>
    <w:rsid w:val="00DB5181"/>
    <w:rsid w:val="00DB51C1"/>
    <w:rsid w:val="00DB55A0"/>
    <w:rsid w:val="00DB5609"/>
    <w:rsid w:val="00DB567B"/>
    <w:rsid w:val="00DB56AE"/>
    <w:rsid w:val="00DB57B4"/>
    <w:rsid w:val="00DB58DB"/>
    <w:rsid w:val="00DB58EA"/>
    <w:rsid w:val="00DB58F9"/>
    <w:rsid w:val="00DB5A28"/>
    <w:rsid w:val="00DB5CCF"/>
    <w:rsid w:val="00DB5F18"/>
    <w:rsid w:val="00DB5F65"/>
    <w:rsid w:val="00DB60F3"/>
    <w:rsid w:val="00DB6160"/>
    <w:rsid w:val="00DB61F9"/>
    <w:rsid w:val="00DB62D3"/>
    <w:rsid w:val="00DB6306"/>
    <w:rsid w:val="00DB63D5"/>
    <w:rsid w:val="00DB6411"/>
    <w:rsid w:val="00DB642B"/>
    <w:rsid w:val="00DB6443"/>
    <w:rsid w:val="00DB67A0"/>
    <w:rsid w:val="00DB67C5"/>
    <w:rsid w:val="00DB6935"/>
    <w:rsid w:val="00DB698A"/>
    <w:rsid w:val="00DB6AE3"/>
    <w:rsid w:val="00DB6B34"/>
    <w:rsid w:val="00DB6BA4"/>
    <w:rsid w:val="00DB6D4D"/>
    <w:rsid w:val="00DB6E1E"/>
    <w:rsid w:val="00DB6EAC"/>
    <w:rsid w:val="00DB6ED7"/>
    <w:rsid w:val="00DB6F97"/>
    <w:rsid w:val="00DB70BA"/>
    <w:rsid w:val="00DB71EA"/>
    <w:rsid w:val="00DB7200"/>
    <w:rsid w:val="00DB72D5"/>
    <w:rsid w:val="00DB7351"/>
    <w:rsid w:val="00DB7362"/>
    <w:rsid w:val="00DB7428"/>
    <w:rsid w:val="00DB7429"/>
    <w:rsid w:val="00DB758E"/>
    <w:rsid w:val="00DB7673"/>
    <w:rsid w:val="00DB76D5"/>
    <w:rsid w:val="00DB7819"/>
    <w:rsid w:val="00DB7AC7"/>
    <w:rsid w:val="00DB7BDC"/>
    <w:rsid w:val="00DB7CB2"/>
    <w:rsid w:val="00DB7D90"/>
    <w:rsid w:val="00DB7E44"/>
    <w:rsid w:val="00DB7E51"/>
    <w:rsid w:val="00DC0000"/>
    <w:rsid w:val="00DC003C"/>
    <w:rsid w:val="00DC00C5"/>
    <w:rsid w:val="00DC01F6"/>
    <w:rsid w:val="00DC02B3"/>
    <w:rsid w:val="00DC02C4"/>
    <w:rsid w:val="00DC03B3"/>
    <w:rsid w:val="00DC0636"/>
    <w:rsid w:val="00DC06FF"/>
    <w:rsid w:val="00DC0705"/>
    <w:rsid w:val="00DC0816"/>
    <w:rsid w:val="00DC0920"/>
    <w:rsid w:val="00DC0952"/>
    <w:rsid w:val="00DC0A56"/>
    <w:rsid w:val="00DC0AAC"/>
    <w:rsid w:val="00DC0ACF"/>
    <w:rsid w:val="00DC0B27"/>
    <w:rsid w:val="00DC0C71"/>
    <w:rsid w:val="00DC0D9F"/>
    <w:rsid w:val="00DC0E02"/>
    <w:rsid w:val="00DC1316"/>
    <w:rsid w:val="00DC1338"/>
    <w:rsid w:val="00DC150E"/>
    <w:rsid w:val="00DC15F5"/>
    <w:rsid w:val="00DC167D"/>
    <w:rsid w:val="00DC189D"/>
    <w:rsid w:val="00DC1961"/>
    <w:rsid w:val="00DC1985"/>
    <w:rsid w:val="00DC1996"/>
    <w:rsid w:val="00DC1997"/>
    <w:rsid w:val="00DC1A1D"/>
    <w:rsid w:val="00DC1ADF"/>
    <w:rsid w:val="00DC1B9A"/>
    <w:rsid w:val="00DC1C10"/>
    <w:rsid w:val="00DC1D30"/>
    <w:rsid w:val="00DC1DBF"/>
    <w:rsid w:val="00DC1E68"/>
    <w:rsid w:val="00DC20E0"/>
    <w:rsid w:val="00DC20E3"/>
    <w:rsid w:val="00DC2173"/>
    <w:rsid w:val="00DC24D6"/>
    <w:rsid w:val="00DC286B"/>
    <w:rsid w:val="00DC2873"/>
    <w:rsid w:val="00DC28AD"/>
    <w:rsid w:val="00DC28E2"/>
    <w:rsid w:val="00DC29AE"/>
    <w:rsid w:val="00DC29D3"/>
    <w:rsid w:val="00DC2A36"/>
    <w:rsid w:val="00DC2A46"/>
    <w:rsid w:val="00DC2AC7"/>
    <w:rsid w:val="00DC2BBC"/>
    <w:rsid w:val="00DC2C17"/>
    <w:rsid w:val="00DC2CA8"/>
    <w:rsid w:val="00DC2CAA"/>
    <w:rsid w:val="00DC2EE8"/>
    <w:rsid w:val="00DC2F11"/>
    <w:rsid w:val="00DC2F9D"/>
    <w:rsid w:val="00DC3066"/>
    <w:rsid w:val="00DC338F"/>
    <w:rsid w:val="00DC34C0"/>
    <w:rsid w:val="00DC3512"/>
    <w:rsid w:val="00DC3584"/>
    <w:rsid w:val="00DC3608"/>
    <w:rsid w:val="00DC3663"/>
    <w:rsid w:val="00DC36D4"/>
    <w:rsid w:val="00DC36D5"/>
    <w:rsid w:val="00DC373F"/>
    <w:rsid w:val="00DC392E"/>
    <w:rsid w:val="00DC3945"/>
    <w:rsid w:val="00DC396C"/>
    <w:rsid w:val="00DC3AA4"/>
    <w:rsid w:val="00DC3BDB"/>
    <w:rsid w:val="00DC3C73"/>
    <w:rsid w:val="00DC3D4A"/>
    <w:rsid w:val="00DC3D60"/>
    <w:rsid w:val="00DC3E67"/>
    <w:rsid w:val="00DC4056"/>
    <w:rsid w:val="00DC40FA"/>
    <w:rsid w:val="00DC4535"/>
    <w:rsid w:val="00DC466C"/>
    <w:rsid w:val="00DC46DA"/>
    <w:rsid w:val="00DC473B"/>
    <w:rsid w:val="00DC476B"/>
    <w:rsid w:val="00DC47FF"/>
    <w:rsid w:val="00DC480A"/>
    <w:rsid w:val="00DC497B"/>
    <w:rsid w:val="00DC497D"/>
    <w:rsid w:val="00DC4A1A"/>
    <w:rsid w:val="00DC4A56"/>
    <w:rsid w:val="00DC4B82"/>
    <w:rsid w:val="00DC4D28"/>
    <w:rsid w:val="00DC4DFF"/>
    <w:rsid w:val="00DC4F42"/>
    <w:rsid w:val="00DC526B"/>
    <w:rsid w:val="00DC5547"/>
    <w:rsid w:val="00DC5611"/>
    <w:rsid w:val="00DC565D"/>
    <w:rsid w:val="00DC566E"/>
    <w:rsid w:val="00DC570D"/>
    <w:rsid w:val="00DC571C"/>
    <w:rsid w:val="00DC5A8F"/>
    <w:rsid w:val="00DC5E49"/>
    <w:rsid w:val="00DC5E7B"/>
    <w:rsid w:val="00DC5EC2"/>
    <w:rsid w:val="00DC6031"/>
    <w:rsid w:val="00DC6096"/>
    <w:rsid w:val="00DC60B0"/>
    <w:rsid w:val="00DC611E"/>
    <w:rsid w:val="00DC62AE"/>
    <w:rsid w:val="00DC62C5"/>
    <w:rsid w:val="00DC62D5"/>
    <w:rsid w:val="00DC636B"/>
    <w:rsid w:val="00DC641D"/>
    <w:rsid w:val="00DC6552"/>
    <w:rsid w:val="00DC65CE"/>
    <w:rsid w:val="00DC65D1"/>
    <w:rsid w:val="00DC67EA"/>
    <w:rsid w:val="00DC6810"/>
    <w:rsid w:val="00DC684D"/>
    <w:rsid w:val="00DC689E"/>
    <w:rsid w:val="00DC692A"/>
    <w:rsid w:val="00DC696A"/>
    <w:rsid w:val="00DC6A76"/>
    <w:rsid w:val="00DC6B36"/>
    <w:rsid w:val="00DC6B46"/>
    <w:rsid w:val="00DC6B5A"/>
    <w:rsid w:val="00DC6B68"/>
    <w:rsid w:val="00DC6C55"/>
    <w:rsid w:val="00DC6D59"/>
    <w:rsid w:val="00DC6DE1"/>
    <w:rsid w:val="00DC6E6C"/>
    <w:rsid w:val="00DC6E77"/>
    <w:rsid w:val="00DC6E89"/>
    <w:rsid w:val="00DC6ECA"/>
    <w:rsid w:val="00DC7083"/>
    <w:rsid w:val="00DC7086"/>
    <w:rsid w:val="00DC70E6"/>
    <w:rsid w:val="00DC7117"/>
    <w:rsid w:val="00DC73E4"/>
    <w:rsid w:val="00DC7474"/>
    <w:rsid w:val="00DC7555"/>
    <w:rsid w:val="00DC7590"/>
    <w:rsid w:val="00DC7622"/>
    <w:rsid w:val="00DC76CC"/>
    <w:rsid w:val="00DC778A"/>
    <w:rsid w:val="00DC77F7"/>
    <w:rsid w:val="00DC7802"/>
    <w:rsid w:val="00DC7809"/>
    <w:rsid w:val="00DC791C"/>
    <w:rsid w:val="00DC79DC"/>
    <w:rsid w:val="00DC79E4"/>
    <w:rsid w:val="00DC7A4D"/>
    <w:rsid w:val="00DC7BFE"/>
    <w:rsid w:val="00DC7EB3"/>
    <w:rsid w:val="00DC7F19"/>
    <w:rsid w:val="00DC7FEA"/>
    <w:rsid w:val="00DD00EE"/>
    <w:rsid w:val="00DD01A4"/>
    <w:rsid w:val="00DD0214"/>
    <w:rsid w:val="00DD0327"/>
    <w:rsid w:val="00DD0370"/>
    <w:rsid w:val="00DD03A2"/>
    <w:rsid w:val="00DD0599"/>
    <w:rsid w:val="00DD05BD"/>
    <w:rsid w:val="00DD05CA"/>
    <w:rsid w:val="00DD05FD"/>
    <w:rsid w:val="00DD0662"/>
    <w:rsid w:val="00DD0734"/>
    <w:rsid w:val="00DD074A"/>
    <w:rsid w:val="00DD07D3"/>
    <w:rsid w:val="00DD07FB"/>
    <w:rsid w:val="00DD0959"/>
    <w:rsid w:val="00DD09C7"/>
    <w:rsid w:val="00DD0C3C"/>
    <w:rsid w:val="00DD0C6C"/>
    <w:rsid w:val="00DD0D9B"/>
    <w:rsid w:val="00DD0F8C"/>
    <w:rsid w:val="00DD10BA"/>
    <w:rsid w:val="00DD10C6"/>
    <w:rsid w:val="00DD111A"/>
    <w:rsid w:val="00DD1184"/>
    <w:rsid w:val="00DD11AC"/>
    <w:rsid w:val="00DD11D2"/>
    <w:rsid w:val="00DD1390"/>
    <w:rsid w:val="00DD1431"/>
    <w:rsid w:val="00DD14B9"/>
    <w:rsid w:val="00DD14F1"/>
    <w:rsid w:val="00DD15F1"/>
    <w:rsid w:val="00DD15FF"/>
    <w:rsid w:val="00DD16BB"/>
    <w:rsid w:val="00DD1738"/>
    <w:rsid w:val="00DD17AD"/>
    <w:rsid w:val="00DD17E8"/>
    <w:rsid w:val="00DD198E"/>
    <w:rsid w:val="00DD1C95"/>
    <w:rsid w:val="00DD1DC3"/>
    <w:rsid w:val="00DD1DCD"/>
    <w:rsid w:val="00DD1EC8"/>
    <w:rsid w:val="00DD2024"/>
    <w:rsid w:val="00DD20DA"/>
    <w:rsid w:val="00DD20EA"/>
    <w:rsid w:val="00DD23C1"/>
    <w:rsid w:val="00DD2526"/>
    <w:rsid w:val="00DD2554"/>
    <w:rsid w:val="00DD266A"/>
    <w:rsid w:val="00DD27F3"/>
    <w:rsid w:val="00DD286A"/>
    <w:rsid w:val="00DD287E"/>
    <w:rsid w:val="00DD28D7"/>
    <w:rsid w:val="00DD29C6"/>
    <w:rsid w:val="00DD2BA5"/>
    <w:rsid w:val="00DD2D1D"/>
    <w:rsid w:val="00DD2D2B"/>
    <w:rsid w:val="00DD2D5A"/>
    <w:rsid w:val="00DD2DAC"/>
    <w:rsid w:val="00DD2DEE"/>
    <w:rsid w:val="00DD2FB2"/>
    <w:rsid w:val="00DD3070"/>
    <w:rsid w:val="00DD3402"/>
    <w:rsid w:val="00DD343D"/>
    <w:rsid w:val="00DD3488"/>
    <w:rsid w:val="00DD34DB"/>
    <w:rsid w:val="00DD362A"/>
    <w:rsid w:val="00DD3683"/>
    <w:rsid w:val="00DD3692"/>
    <w:rsid w:val="00DD3896"/>
    <w:rsid w:val="00DD3A64"/>
    <w:rsid w:val="00DD3ABD"/>
    <w:rsid w:val="00DD3C62"/>
    <w:rsid w:val="00DD3D3D"/>
    <w:rsid w:val="00DD3E14"/>
    <w:rsid w:val="00DD3E6D"/>
    <w:rsid w:val="00DD3E7A"/>
    <w:rsid w:val="00DD3EB9"/>
    <w:rsid w:val="00DD3EE4"/>
    <w:rsid w:val="00DD3EE5"/>
    <w:rsid w:val="00DD405E"/>
    <w:rsid w:val="00DD40DF"/>
    <w:rsid w:val="00DD41A5"/>
    <w:rsid w:val="00DD4385"/>
    <w:rsid w:val="00DD444F"/>
    <w:rsid w:val="00DD4568"/>
    <w:rsid w:val="00DD46A5"/>
    <w:rsid w:val="00DD4956"/>
    <w:rsid w:val="00DD495F"/>
    <w:rsid w:val="00DD4A48"/>
    <w:rsid w:val="00DD4AFD"/>
    <w:rsid w:val="00DD4C4E"/>
    <w:rsid w:val="00DD4C55"/>
    <w:rsid w:val="00DD4D05"/>
    <w:rsid w:val="00DD4D45"/>
    <w:rsid w:val="00DD4D7E"/>
    <w:rsid w:val="00DD4EC6"/>
    <w:rsid w:val="00DD5024"/>
    <w:rsid w:val="00DD50B1"/>
    <w:rsid w:val="00DD5449"/>
    <w:rsid w:val="00DD5768"/>
    <w:rsid w:val="00DD58ED"/>
    <w:rsid w:val="00DD58FD"/>
    <w:rsid w:val="00DD58FE"/>
    <w:rsid w:val="00DD59EA"/>
    <w:rsid w:val="00DD5BEE"/>
    <w:rsid w:val="00DD5C34"/>
    <w:rsid w:val="00DD5CCC"/>
    <w:rsid w:val="00DD5E49"/>
    <w:rsid w:val="00DD5F7E"/>
    <w:rsid w:val="00DD6020"/>
    <w:rsid w:val="00DD603C"/>
    <w:rsid w:val="00DD63B1"/>
    <w:rsid w:val="00DD6423"/>
    <w:rsid w:val="00DD65CE"/>
    <w:rsid w:val="00DD666D"/>
    <w:rsid w:val="00DD678A"/>
    <w:rsid w:val="00DD6958"/>
    <w:rsid w:val="00DD6983"/>
    <w:rsid w:val="00DD6AEB"/>
    <w:rsid w:val="00DD6BCE"/>
    <w:rsid w:val="00DD6C2A"/>
    <w:rsid w:val="00DD6D4F"/>
    <w:rsid w:val="00DD6D72"/>
    <w:rsid w:val="00DD6E59"/>
    <w:rsid w:val="00DD6E73"/>
    <w:rsid w:val="00DD6FB5"/>
    <w:rsid w:val="00DD7108"/>
    <w:rsid w:val="00DD7133"/>
    <w:rsid w:val="00DD7177"/>
    <w:rsid w:val="00DD7302"/>
    <w:rsid w:val="00DD7345"/>
    <w:rsid w:val="00DD74CD"/>
    <w:rsid w:val="00DD7521"/>
    <w:rsid w:val="00DD76A2"/>
    <w:rsid w:val="00DD77BC"/>
    <w:rsid w:val="00DD789D"/>
    <w:rsid w:val="00DD7922"/>
    <w:rsid w:val="00DD79AD"/>
    <w:rsid w:val="00DD7B04"/>
    <w:rsid w:val="00DD7B3B"/>
    <w:rsid w:val="00DD7BC7"/>
    <w:rsid w:val="00DD7C10"/>
    <w:rsid w:val="00DD7DB4"/>
    <w:rsid w:val="00DD7E11"/>
    <w:rsid w:val="00DDC594"/>
    <w:rsid w:val="00DE0110"/>
    <w:rsid w:val="00DE0384"/>
    <w:rsid w:val="00DE038A"/>
    <w:rsid w:val="00DE0422"/>
    <w:rsid w:val="00DE068C"/>
    <w:rsid w:val="00DE0838"/>
    <w:rsid w:val="00DE085B"/>
    <w:rsid w:val="00DE0889"/>
    <w:rsid w:val="00DE0A6E"/>
    <w:rsid w:val="00DE0D63"/>
    <w:rsid w:val="00DE0EE4"/>
    <w:rsid w:val="00DE0F1C"/>
    <w:rsid w:val="00DE0F2B"/>
    <w:rsid w:val="00DE1158"/>
    <w:rsid w:val="00DE1204"/>
    <w:rsid w:val="00DE1381"/>
    <w:rsid w:val="00DE144D"/>
    <w:rsid w:val="00DE15DF"/>
    <w:rsid w:val="00DE16A7"/>
    <w:rsid w:val="00DE16BC"/>
    <w:rsid w:val="00DE1770"/>
    <w:rsid w:val="00DE179E"/>
    <w:rsid w:val="00DE1855"/>
    <w:rsid w:val="00DE1908"/>
    <w:rsid w:val="00DE19D5"/>
    <w:rsid w:val="00DE1AB5"/>
    <w:rsid w:val="00DE1B98"/>
    <w:rsid w:val="00DE1D13"/>
    <w:rsid w:val="00DE1D77"/>
    <w:rsid w:val="00DE1DB6"/>
    <w:rsid w:val="00DE1E2B"/>
    <w:rsid w:val="00DE1E5F"/>
    <w:rsid w:val="00DE203F"/>
    <w:rsid w:val="00DE20CD"/>
    <w:rsid w:val="00DE20D2"/>
    <w:rsid w:val="00DE218D"/>
    <w:rsid w:val="00DE2233"/>
    <w:rsid w:val="00DE2283"/>
    <w:rsid w:val="00DE22CF"/>
    <w:rsid w:val="00DE22E1"/>
    <w:rsid w:val="00DE2395"/>
    <w:rsid w:val="00DE23B4"/>
    <w:rsid w:val="00DE259E"/>
    <w:rsid w:val="00DE2627"/>
    <w:rsid w:val="00DE26A4"/>
    <w:rsid w:val="00DE271B"/>
    <w:rsid w:val="00DE289A"/>
    <w:rsid w:val="00DE2955"/>
    <w:rsid w:val="00DE2A2C"/>
    <w:rsid w:val="00DE2A52"/>
    <w:rsid w:val="00DE2A93"/>
    <w:rsid w:val="00DE2AA6"/>
    <w:rsid w:val="00DE2C15"/>
    <w:rsid w:val="00DE2D75"/>
    <w:rsid w:val="00DE2DB2"/>
    <w:rsid w:val="00DE2E45"/>
    <w:rsid w:val="00DE2E6B"/>
    <w:rsid w:val="00DE2EB8"/>
    <w:rsid w:val="00DE2FFA"/>
    <w:rsid w:val="00DE3035"/>
    <w:rsid w:val="00DE305B"/>
    <w:rsid w:val="00DE3289"/>
    <w:rsid w:val="00DE33EA"/>
    <w:rsid w:val="00DE3463"/>
    <w:rsid w:val="00DE35B5"/>
    <w:rsid w:val="00DE3748"/>
    <w:rsid w:val="00DE3A1E"/>
    <w:rsid w:val="00DE3A36"/>
    <w:rsid w:val="00DE3C29"/>
    <w:rsid w:val="00DE3CC4"/>
    <w:rsid w:val="00DE3D16"/>
    <w:rsid w:val="00DE3D21"/>
    <w:rsid w:val="00DE3DD0"/>
    <w:rsid w:val="00DE3E06"/>
    <w:rsid w:val="00DE3E41"/>
    <w:rsid w:val="00DE3E50"/>
    <w:rsid w:val="00DE3F64"/>
    <w:rsid w:val="00DE3FA7"/>
    <w:rsid w:val="00DE4093"/>
    <w:rsid w:val="00DE4098"/>
    <w:rsid w:val="00DE40FF"/>
    <w:rsid w:val="00DE411A"/>
    <w:rsid w:val="00DE42CE"/>
    <w:rsid w:val="00DE431A"/>
    <w:rsid w:val="00DE4326"/>
    <w:rsid w:val="00DE4383"/>
    <w:rsid w:val="00DE4403"/>
    <w:rsid w:val="00DE440B"/>
    <w:rsid w:val="00DE441B"/>
    <w:rsid w:val="00DE443C"/>
    <w:rsid w:val="00DE45D8"/>
    <w:rsid w:val="00DE4739"/>
    <w:rsid w:val="00DE47B5"/>
    <w:rsid w:val="00DE484F"/>
    <w:rsid w:val="00DE490E"/>
    <w:rsid w:val="00DE4BB9"/>
    <w:rsid w:val="00DE4BC0"/>
    <w:rsid w:val="00DE4C03"/>
    <w:rsid w:val="00DE4C85"/>
    <w:rsid w:val="00DE4D8B"/>
    <w:rsid w:val="00DE4DA5"/>
    <w:rsid w:val="00DE4DAA"/>
    <w:rsid w:val="00DE4E61"/>
    <w:rsid w:val="00DE4F15"/>
    <w:rsid w:val="00DE507E"/>
    <w:rsid w:val="00DE5110"/>
    <w:rsid w:val="00DE5165"/>
    <w:rsid w:val="00DE5282"/>
    <w:rsid w:val="00DE52DB"/>
    <w:rsid w:val="00DE52F4"/>
    <w:rsid w:val="00DE538A"/>
    <w:rsid w:val="00DE5487"/>
    <w:rsid w:val="00DE54BB"/>
    <w:rsid w:val="00DE5509"/>
    <w:rsid w:val="00DE552A"/>
    <w:rsid w:val="00DE55E0"/>
    <w:rsid w:val="00DE562C"/>
    <w:rsid w:val="00DE573A"/>
    <w:rsid w:val="00DE57F8"/>
    <w:rsid w:val="00DE58CD"/>
    <w:rsid w:val="00DE5B1C"/>
    <w:rsid w:val="00DE5C0B"/>
    <w:rsid w:val="00DE5CEE"/>
    <w:rsid w:val="00DE5D15"/>
    <w:rsid w:val="00DE5DC7"/>
    <w:rsid w:val="00DE5DED"/>
    <w:rsid w:val="00DE5E2F"/>
    <w:rsid w:val="00DE5E82"/>
    <w:rsid w:val="00DE5F89"/>
    <w:rsid w:val="00DE6033"/>
    <w:rsid w:val="00DE60CB"/>
    <w:rsid w:val="00DE61BD"/>
    <w:rsid w:val="00DE62B2"/>
    <w:rsid w:val="00DE642C"/>
    <w:rsid w:val="00DE6449"/>
    <w:rsid w:val="00DE659A"/>
    <w:rsid w:val="00DE666C"/>
    <w:rsid w:val="00DE6827"/>
    <w:rsid w:val="00DE6880"/>
    <w:rsid w:val="00DE688B"/>
    <w:rsid w:val="00DE694B"/>
    <w:rsid w:val="00DE6987"/>
    <w:rsid w:val="00DE6AF4"/>
    <w:rsid w:val="00DE6B56"/>
    <w:rsid w:val="00DE6BA2"/>
    <w:rsid w:val="00DE6C7F"/>
    <w:rsid w:val="00DE6CBA"/>
    <w:rsid w:val="00DE6DF4"/>
    <w:rsid w:val="00DE6DF6"/>
    <w:rsid w:val="00DE6E11"/>
    <w:rsid w:val="00DE6FAF"/>
    <w:rsid w:val="00DE703A"/>
    <w:rsid w:val="00DE7101"/>
    <w:rsid w:val="00DE7179"/>
    <w:rsid w:val="00DE7269"/>
    <w:rsid w:val="00DE7389"/>
    <w:rsid w:val="00DE756D"/>
    <w:rsid w:val="00DE769B"/>
    <w:rsid w:val="00DE76EB"/>
    <w:rsid w:val="00DE780C"/>
    <w:rsid w:val="00DE7A3F"/>
    <w:rsid w:val="00DE7D48"/>
    <w:rsid w:val="00DE7DCF"/>
    <w:rsid w:val="00DE7E0F"/>
    <w:rsid w:val="00DE7ECC"/>
    <w:rsid w:val="00DE7F37"/>
    <w:rsid w:val="00DE7F4F"/>
    <w:rsid w:val="00DF01BE"/>
    <w:rsid w:val="00DF01E2"/>
    <w:rsid w:val="00DF042B"/>
    <w:rsid w:val="00DF045C"/>
    <w:rsid w:val="00DF0508"/>
    <w:rsid w:val="00DF0549"/>
    <w:rsid w:val="00DF078A"/>
    <w:rsid w:val="00DF07CF"/>
    <w:rsid w:val="00DF08D8"/>
    <w:rsid w:val="00DF08ED"/>
    <w:rsid w:val="00DF09EB"/>
    <w:rsid w:val="00DF0A35"/>
    <w:rsid w:val="00DF0AAB"/>
    <w:rsid w:val="00DF0AD1"/>
    <w:rsid w:val="00DF0BF8"/>
    <w:rsid w:val="00DF0DDE"/>
    <w:rsid w:val="00DF0EAB"/>
    <w:rsid w:val="00DF10A7"/>
    <w:rsid w:val="00DF11A8"/>
    <w:rsid w:val="00DF12E4"/>
    <w:rsid w:val="00DF1471"/>
    <w:rsid w:val="00DF14A3"/>
    <w:rsid w:val="00DF1558"/>
    <w:rsid w:val="00DF15B4"/>
    <w:rsid w:val="00DF15BA"/>
    <w:rsid w:val="00DF15BE"/>
    <w:rsid w:val="00DF1694"/>
    <w:rsid w:val="00DF16FF"/>
    <w:rsid w:val="00DF1864"/>
    <w:rsid w:val="00DF1D1D"/>
    <w:rsid w:val="00DF1D78"/>
    <w:rsid w:val="00DF1DA0"/>
    <w:rsid w:val="00DF1DF1"/>
    <w:rsid w:val="00DF1EA0"/>
    <w:rsid w:val="00DF1ED9"/>
    <w:rsid w:val="00DF1F2D"/>
    <w:rsid w:val="00DF1FE8"/>
    <w:rsid w:val="00DF20A6"/>
    <w:rsid w:val="00DF2159"/>
    <w:rsid w:val="00DF232B"/>
    <w:rsid w:val="00DF2356"/>
    <w:rsid w:val="00DF239B"/>
    <w:rsid w:val="00DF243E"/>
    <w:rsid w:val="00DF2560"/>
    <w:rsid w:val="00DF2635"/>
    <w:rsid w:val="00DF26FA"/>
    <w:rsid w:val="00DF27CD"/>
    <w:rsid w:val="00DF27EE"/>
    <w:rsid w:val="00DF2843"/>
    <w:rsid w:val="00DF2846"/>
    <w:rsid w:val="00DF28A7"/>
    <w:rsid w:val="00DF2916"/>
    <w:rsid w:val="00DF29D2"/>
    <w:rsid w:val="00DF2AD6"/>
    <w:rsid w:val="00DF2B3E"/>
    <w:rsid w:val="00DF2C58"/>
    <w:rsid w:val="00DF2D10"/>
    <w:rsid w:val="00DF2D82"/>
    <w:rsid w:val="00DF2E22"/>
    <w:rsid w:val="00DF2EB4"/>
    <w:rsid w:val="00DF2FF1"/>
    <w:rsid w:val="00DF3144"/>
    <w:rsid w:val="00DF318A"/>
    <w:rsid w:val="00DF36F6"/>
    <w:rsid w:val="00DF3701"/>
    <w:rsid w:val="00DF387D"/>
    <w:rsid w:val="00DF38B6"/>
    <w:rsid w:val="00DF3A7B"/>
    <w:rsid w:val="00DF3AD1"/>
    <w:rsid w:val="00DF3C2A"/>
    <w:rsid w:val="00DF3C2E"/>
    <w:rsid w:val="00DF3CB8"/>
    <w:rsid w:val="00DF3D7F"/>
    <w:rsid w:val="00DF3E87"/>
    <w:rsid w:val="00DF3F0E"/>
    <w:rsid w:val="00DF4043"/>
    <w:rsid w:val="00DF4162"/>
    <w:rsid w:val="00DF4263"/>
    <w:rsid w:val="00DF42CE"/>
    <w:rsid w:val="00DF43A8"/>
    <w:rsid w:val="00DF43DF"/>
    <w:rsid w:val="00DF44E8"/>
    <w:rsid w:val="00DF455C"/>
    <w:rsid w:val="00DF45EC"/>
    <w:rsid w:val="00DF4619"/>
    <w:rsid w:val="00DF46E5"/>
    <w:rsid w:val="00DF4710"/>
    <w:rsid w:val="00DF4792"/>
    <w:rsid w:val="00DF47A6"/>
    <w:rsid w:val="00DF48F2"/>
    <w:rsid w:val="00DF4938"/>
    <w:rsid w:val="00DF49BC"/>
    <w:rsid w:val="00DF4A51"/>
    <w:rsid w:val="00DF4ACC"/>
    <w:rsid w:val="00DF4AE2"/>
    <w:rsid w:val="00DF4BA5"/>
    <w:rsid w:val="00DF4DC3"/>
    <w:rsid w:val="00DF4E2D"/>
    <w:rsid w:val="00DF4E3E"/>
    <w:rsid w:val="00DF503F"/>
    <w:rsid w:val="00DF5041"/>
    <w:rsid w:val="00DF50ED"/>
    <w:rsid w:val="00DF5194"/>
    <w:rsid w:val="00DF51E9"/>
    <w:rsid w:val="00DF5228"/>
    <w:rsid w:val="00DF54A6"/>
    <w:rsid w:val="00DF54DE"/>
    <w:rsid w:val="00DF5575"/>
    <w:rsid w:val="00DF557B"/>
    <w:rsid w:val="00DF5598"/>
    <w:rsid w:val="00DF58A3"/>
    <w:rsid w:val="00DF5A75"/>
    <w:rsid w:val="00DF5C9F"/>
    <w:rsid w:val="00DF5FC4"/>
    <w:rsid w:val="00DF5FE7"/>
    <w:rsid w:val="00DF6174"/>
    <w:rsid w:val="00DF61B3"/>
    <w:rsid w:val="00DF631A"/>
    <w:rsid w:val="00DF633D"/>
    <w:rsid w:val="00DF6453"/>
    <w:rsid w:val="00DF6679"/>
    <w:rsid w:val="00DF66B4"/>
    <w:rsid w:val="00DF6744"/>
    <w:rsid w:val="00DF692A"/>
    <w:rsid w:val="00DF69E7"/>
    <w:rsid w:val="00DF6A85"/>
    <w:rsid w:val="00DF6B55"/>
    <w:rsid w:val="00DF6B5D"/>
    <w:rsid w:val="00DF6B76"/>
    <w:rsid w:val="00DF6BF3"/>
    <w:rsid w:val="00DF6C44"/>
    <w:rsid w:val="00DF6CD2"/>
    <w:rsid w:val="00DF6D67"/>
    <w:rsid w:val="00DF70BB"/>
    <w:rsid w:val="00DF70F0"/>
    <w:rsid w:val="00DF70F9"/>
    <w:rsid w:val="00DF711E"/>
    <w:rsid w:val="00DF72A9"/>
    <w:rsid w:val="00DF72B2"/>
    <w:rsid w:val="00DF72DD"/>
    <w:rsid w:val="00DF731A"/>
    <w:rsid w:val="00DF73F5"/>
    <w:rsid w:val="00DF74E2"/>
    <w:rsid w:val="00DF78C5"/>
    <w:rsid w:val="00DF79E0"/>
    <w:rsid w:val="00DF79E4"/>
    <w:rsid w:val="00DF7B39"/>
    <w:rsid w:val="00DF7B83"/>
    <w:rsid w:val="00DF7C08"/>
    <w:rsid w:val="00DF7E92"/>
    <w:rsid w:val="00DF7EF9"/>
    <w:rsid w:val="00DF7F35"/>
    <w:rsid w:val="00DF7FBE"/>
    <w:rsid w:val="00DF7FF2"/>
    <w:rsid w:val="00E0008E"/>
    <w:rsid w:val="00E000CB"/>
    <w:rsid w:val="00E000FD"/>
    <w:rsid w:val="00E00210"/>
    <w:rsid w:val="00E0024E"/>
    <w:rsid w:val="00E0033A"/>
    <w:rsid w:val="00E004F7"/>
    <w:rsid w:val="00E0065F"/>
    <w:rsid w:val="00E00684"/>
    <w:rsid w:val="00E006B8"/>
    <w:rsid w:val="00E006C2"/>
    <w:rsid w:val="00E006CB"/>
    <w:rsid w:val="00E0073E"/>
    <w:rsid w:val="00E00780"/>
    <w:rsid w:val="00E00D2F"/>
    <w:rsid w:val="00E00D76"/>
    <w:rsid w:val="00E00D85"/>
    <w:rsid w:val="00E00E2F"/>
    <w:rsid w:val="00E01015"/>
    <w:rsid w:val="00E010C3"/>
    <w:rsid w:val="00E01398"/>
    <w:rsid w:val="00E01566"/>
    <w:rsid w:val="00E015A4"/>
    <w:rsid w:val="00E015F8"/>
    <w:rsid w:val="00E01616"/>
    <w:rsid w:val="00E0178D"/>
    <w:rsid w:val="00E017EF"/>
    <w:rsid w:val="00E017F4"/>
    <w:rsid w:val="00E01807"/>
    <w:rsid w:val="00E0180C"/>
    <w:rsid w:val="00E01903"/>
    <w:rsid w:val="00E01949"/>
    <w:rsid w:val="00E01968"/>
    <w:rsid w:val="00E01A0A"/>
    <w:rsid w:val="00E01A8A"/>
    <w:rsid w:val="00E01AF8"/>
    <w:rsid w:val="00E01BAC"/>
    <w:rsid w:val="00E01BDB"/>
    <w:rsid w:val="00E01CA3"/>
    <w:rsid w:val="00E01D4E"/>
    <w:rsid w:val="00E01E25"/>
    <w:rsid w:val="00E01E33"/>
    <w:rsid w:val="00E01F3D"/>
    <w:rsid w:val="00E01FBA"/>
    <w:rsid w:val="00E01FBD"/>
    <w:rsid w:val="00E01FBE"/>
    <w:rsid w:val="00E01FD6"/>
    <w:rsid w:val="00E01FF3"/>
    <w:rsid w:val="00E02038"/>
    <w:rsid w:val="00E0203B"/>
    <w:rsid w:val="00E02400"/>
    <w:rsid w:val="00E025AC"/>
    <w:rsid w:val="00E025B2"/>
    <w:rsid w:val="00E0270D"/>
    <w:rsid w:val="00E02796"/>
    <w:rsid w:val="00E02803"/>
    <w:rsid w:val="00E0288A"/>
    <w:rsid w:val="00E02936"/>
    <w:rsid w:val="00E029BC"/>
    <w:rsid w:val="00E029E2"/>
    <w:rsid w:val="00E029FC"/>
    <w:rsid w:val="00E02A5E"/>
    <w:rsid w:val="00E02BD2"/>
    <w:rsid w:val="00E02BF8"/>
    <w:rsid w:val="00E02C23"/>
    <w:rsid w:val="00E02DCF"/>
    <w:rsid w:val="00E02F08"/>
    <w:rsid w:val="00E02F90"/>
    <w:rsid w:val="00E0302B"/>
    <w:rsid w:val="00E03045"/>
    <w:rsid w:val="00E030A1"/>
    <w:rsid w:val="00E031A5"/>
    <w:rsid w:val="00E03215"/>
    <w:rsid w:val="00E03242"/>
    <w:rsid w:val="00E033A8"/>
    <w:rsid w:val="00E0379E"/>
    <w:rsid w:val="00E037A5"/>
    <w:rsid w:val="00E03967"/>
    <w:rsid w:val="00E03A60"/>
    <w:rsid w:val="00E03B15"/>
    <w:rsid w:val="00E03C85"/>
    <w:rsid w:val="00E03D27"/>
    <w:rsid w:val="00E03D46"/>
    <w:rsid w:val="00E03D87"/>
    <w:rsid w:val="00E03E16"/>
    <w:rsid w:val="00E03E7D"/>
    <w:rsid w:val="00E03E7F"/>
    <w:rsid w:val="00E03ED5"/>
    <w:rsid w:val="00E03FDE"/>
    <w:rsid w:val="00E04053"/>
    <w:rsid w:val="00E0406E"/>
    <w:rsid w:val="00E0415E"/>
    <w:rsid w:val="00E04265"/>
    <w:rsid w:val="00E04330"/>
    <w:rsid w:val="00E044D8"/>
    <w:rsid w:val="00E04523"/>
    <w:rsid w:val="00E0453D"/>
    <w:rsid w:val="00E047D7"/>
    <w:rsid w:val="00E0499B"/>
    <w:rsid w:val="00E049AA"/>
    <w:rsid w:val="00E04AB8"/>
    <w:rsid w:val="00E04B8D"/>
    <w:rsid w:val="00E04BCA"/>
    <w:rsid w:val="00E04CF7"/>
    <w:rsid w:val="00E04D28"/>
    <w:rsid w:val="00E04DE0"/>
    <w:rsid w:val="00E04F0B"/>
    <w:rsid w:val="00E04FE9"/>
    <w:rsid w:val="00E04FEB"/>
    <w:rsid w:val="00E050A8"/>
    <w:rsid w:val="00E0515A"/>
    <w:rsid w:val="00E051BC"/>
    <w:rsid w:val="00E05293"/>
    <w:rsid w:val="00E053D5"/>
    <w:rsid w:val="00E0586C"/>
    <w:rsid w:val="00E058A5"/>
    <w:rsid w:val="00E058B2"/>
    <w:rsid w:val="00E05950"/>
    <w:rsid w:val="00E05A40"/>
    <w:rsid w:val="00E05A64"/>
    <w:rsid w:val="00E05B14"/>
    <w:rsid w:val="00E05B67"/>
    <w:rsid w:val="00E05DEC"/>
    <w:rsid w:val="00E05E8D"/>
    <w:rsid w:val="00E05F25"/>
    <w:rsid w:val="00E05FA6"/>
    <w:rsid w:val="00E0636F"/>
    <w:rsid w:val="00E0639C"/>
    <w:rsid w:val="00E063C0"/>
    <w:rsid w:val="00E063CF"/>
    <w:rsid w:val="00E06403"/>
    <w:rsid w:val="00E06466"/>
    <w:rsid w:val="00E064B1"/>
    <w:rsid w:val="00E064FB"/>
    <w:rsid w:val="00E065CB"/>
    <w:rsid w:val="00E0662A"/>
    <w:rsid w:val="00E06740"/>
    <w:rsid w:val="00E067BA"/>
    <w:rsid w:val="00E0686E"/>
    <w:rsid w:val="00E0696C"/>
    <w:rsid w:val="00E06B29"/>
    <w:rsid w:val="00E06BA1"/>
    <w:rsid w:val="00E06D16"/>
    <w:rsid w:val="00E06D86"/>
    <w:rsid w:val="00E06E80"/>
    <w:rsid w:val="00E06E85"/>
    <w:rsid w:val="00E07105"/>
    <w:rsid w:val="00E07315"/>
    <w:rsid w:val="00E074B0"/>
    <w:rsid w:val="00E07635"/>
    <w:rsid w:val="00E07706"/>
    <w:rsid w:val="00E0779A"/>
    <w:rsid w:val="00E07A12"/>
    <w:rsid w:val="00E07B23"/>
    <w:rsid w:val="00E07CAF"/>
    <w:rsid w:val="00E07E49"/>
    <w:rsid w:val="00E07ECF"/>
    <w:rsid w:val="00E07F04"/>
    <w:rsid w:val="00E1001B"/>
    <w:rsid w:val="00E10039"/>
    <w:rsid w:val="00E10094"/>
    <w:rsid w:val="00E100EC"/>
    <w:rsid w:val="00E101E6"/>
    <w:rsid w:val="00E101F0"/>
    <w:rsid w:val="00E10277"/>
    <w:rsid w:val="00E102BC"/>
    <w:rsid w:val="00E1030A"/>
    <w:rsid w:val="00E106FA"/>
    <w:rsid w:val="00E10738"/>
    <w:rsid w:val="00E1078B"/>
    <w:rsid w:val="00E107C6"/>
    <w:rsid w:val="00E108E5"/>
    <w:rsid w:val="00E10999"/>
    <w:rsid w:val="00E1099A"/>
    <w:rsid w:val="00E109FD"/>
    <w:rsid w:val="00E10A00"/>
    <w:rsid w:val="00E10A44"/>
    <w:rsid w:val="00E10B68"/>
    <w:rsid w:val="00E10B6C"/>
    <w:rsid w:val="00E10BD0"/>
    <w:rsid w:val="00E10D28"/>
    <w:rsid w:val="00E10D67"/>
    <w:rsid w:val="00E10E07"/>
    <w:rsid w:val="00E10E31"/>
    <w:rsid w:val="00E10E79"/>
    <w:rsid w:val="00E10EDF"/>
    <w:rsid w:val="00E10F24"/>
    <w:rsid w:val="00E10F30"/>
    <w:rsid w:val="00E110DD"/>
    <w:rsid w:val="00E110EB"/>
    <w:rsid w:val="00E11253"/>
    <w:rsid w:val="00E11281"/>
    <w:rsid w:val="00E1134D"/>
    <w:rsid w:val="00E11455"/>
    <w:rsid w:val="00E11630"/>
    <w:rsid w:val="00E11866"/>
    <w:rsid w:val="00E11907"/>
    <w:rsid w:val="00E11C57"/>
    <w:rsid w:val="00E11D8E"/>
    <w:rsid w:val="00E11E3E"/>
    <w:rsid w:val="00E11E46"/>
    <w:rsid w:val="00E11F30"/>
    <w:rsid w:val="00E11F5D"/>
    <w:rsid w:val="00E11F61"/>
    <w:rsid w:val="00E11F78"/>
    <w:rsid w:val="00E11FB3"/>
    <w:rsid w:val="00E120D4"/>
    <w:rsid w:val="00E12251"/>
    <w:rsid w:val="00E12291"/>
    <w:rsid w:val="00E123BA"/>
    <w:rsid w:val="00E123CB"/>
    <w:rsid w:val="00E12433"/>
    <w:rsid w:val="00E12445"/>
    <w:rsid w:val="00E12560"/>
    <w:rsid w:val="00E125F9"/>
    <w:rsid w:val="00E12685"/>
    <w:rsid w:val="00E12877"/>
    <w:rsid w:val="00E128BE"/>
    <w:rsid w:val="00E12960"/>
    <w:rsid w:val="00E12998"/>
    <w:rsid w:val="00E12A73"/>
    <w:rsid w:val="00E12A93"/>
    <w:rsid w:val="00E12A9B"/>
    <w:rsid w:val="00E12C87"/>
    <w:rsid w:val="00E12CC3"/>
    <w:rsid w:val="00E12D05"/>
    <w:rsid w:val="00E12D6E"/>
    <w:rsid w:val="00E12D70"/>
    <w:rsid w:val="00E12DA5"/>
    <w:rsid w:val="00E12E7E"/>
    <w:rsid w:val="00E12E95"/>
    <w:rsid w:val="00E12FF5"/>
    <w:rsid w:val="00E12FFC"/>
    <w:rsid w:val="00E131F9"/>
    <w:rsid w:val="00E132D6"/>
    <w:rsid w:val="00E133CB"/>
    <w:rsid w:val="00E133CE"/>
    <w:rsid w:val="00E135A7"/>
    <w:rsid w:val="00E13639"/>
    <w:rsid w:val="00E13655"/>
    <w:rsid w:val="00E13671"/>
    <w:rsid w:val="00E137FE"/>
    <w:rsid w:val="00E138A2"/>
    <w:rsid w:val="00E138FA"/>
    <w:rsid w:val="00E13967"/>
    <w:rsid w:val="00E13E5D"/>
    <w:rsid w:val="00E14134"/>
    <w:rsid w:val="00E14398"/>
    <w:rsid w:val="00E1444D"/>
    <w:rsid w:val="00E144C7"/>
    <w:rsid w:val="00E1455F"/>
    <w:rsid w:val="00E14841"/>
    <w:rsid w:val="00E1484D"/>
    <w:rsid w:val="00E14A5D"/>
    <w:rsid w:val="00E14AF4"/>
    <w:rsid w:val="00E14B7A"/>
    <w:rsid w:val="00E14B86"/>
    <w:rsid w:val="00E14BAC"/>
    <w:rsid w:val="00E14C73"/>
    <w:rsid w:val="00E14E70"/>
    <w:rsid w:val="00E14E82"/>
    <w:rsid w:val="00E14E96"/>
    <w:rsid w:val="00E14F0B"/>
    <w:rsid w:val="00E14FB2"/>
    <w:rsid w:val="00E1511B"/>
    <w:rsid w:val="00E151E6"/>
    <w:rsid w:val="00E15513"/>
    <w:rsid w:val="00E155FC"/>
    <w:rsid w:val="00E15AE9"/>
    <w:rsid w:val="00E15B83"/>
    <w:rsid w:val="00E15C2E"/>
    <w:rsid w:val="00E15C4F"/>
    <w:rsid w:val="00E15D07"/>
    <w:rsid w:val="00E15D10"/>
    <w:rsid w:val="00E15D74"/>
    <w:rsid w:val="00E15DC6"/>
    <w:rsid w:val="00E15E09"/>
    <w:rsid w:val="00E15E76"/>
    <w:rsid w:val="00E15F4E"/>
    <w:rsid w:val="00E15F6E"/>
    <w:rsid w:val="00E1606F"/>
    <w:rsid w:val="00E160DD"/>
    <w:rsid w:val="00E16119"/>
    <w:rsid w:val="00E161CA"/>
    <w:rsid w:val="00E161D4"/>
    <w:rsid w:val="00E16370"/>
    <w:rsid w:val="00E16402"/>
    <w:rsid w:val="00E165E9"/>
    <w:rsid w:val="00E16606"/>
    <w:rsid w:val="00E16643"/>
    <w:rsid w:val="00E16660"/>
    <w:rsid w:val="00E16750"/>
    <w:rsid w:val="00E167FB"/>
    <w:rsid w:val="00E16A82"/>
    <w:rsid w:val="00E16B19"/>
    <w:rsid w:val="00E16E33"/>
    <w:rsid w:val="00E16EE5"/>
    <w:rsid w:val="00E16EFE"/>
    <w:rsid w:val="00E16F08"/>
    <w:rsid w:val="00E16F13"/>
    <w:rsid w:val="00E17088"/>
    <w:rsid w:val="00E170BD"/>
    <w:rsid w:val="00E170E4"/>
    <w:rsid w:val="00E171F2"/>
    <w:rsid w:val="00E172DA"/>
    <w:rsid w:val="00E1731C"/>
    <w:rsid w:val="00E1732F"/>
    <w:rsid w:val="00E17339"/>
    <w:rsid w:val="00E173A1"/>
    <w:rsid w:val="00E174F7"/>
    <w:rsid w:val="00E175D8"/>
    <w:rsid w:val="00E175FC"/>
    <w:rsid w:val="00E17689"/>
    <w:rsid w:val="00E17690"/>
    <w:rsid w:val="00E176EB"/>
    <w:rsid w:val="00E17779"/>
    <w:rsid w:val="00E178D1"/>
    <w:rsid w:val="00E178D5"/>
    <w:rsid w:val="00E17982"/>
    <w:rsid w:val="00E17A12"/>
    <w:rsid w:val="00E17AA5"/>
    <w:rsid w:val="00E17B73"/>
    <w:rsid w:val="00E17E22"/>
    <w:rsid w:val="00E2022E"/>
    <w:rsid w:val="00E20247"/>
    <w:rsid w:val="00E20262"/>
    <w:rsid w:val="00E20268"/>
    <w:rsid w:val="00E2027A"/>
    <w:rsid w:val="00E20280"/>
    <w:rsid w:val="00E2038C"/>
    <w:rsid w:val="00E20488"/>
    <w:rsid w:val="00E204C6"/>
    <w:rsid w:val="00E20596"/>
    <w:rsid w:val="00E20601"/>
    <w:rsid w:val="00E206EF"/>
    <w:rsid w:val="00E2077D"/>
    <w:rsid w:val="00E207C6"/>
    <w:rsid w:val="00E207E2"/>
    <w:rsid w:val="00E207E9"/>
    <w:rsid w:val="00E2090A"/>
    <w:rsid w:val="00E20958"/>
    <w:rsid w:val="00E20D0E"/>
    <w:rsid w:val="00E20DB4"/>
    <w:rsid w:val="00E20EBC"/>
    <w:rsid w:val="00E20ED6"/>
    <w:rsid w:val="00E20F4C"/>
    <w:rsid w:val="00E20FB4"/>
    <w:rsid w:val="00E20FBE"/>
    <w:rsid w:val="00E213BE"/>
    <w:rsid w:val="00E213C0"/>
    <w:rsid w:val="00E21453"/>
    <w:rsid w:val="00E214F3"/>
    <w:rsid w:val="00E214F5"/>
    <w:rsid w:val="00E21501"/>
    <w:rsid w:val="00E215CF"/>
    <w:rsid w:val="00E216A7"/>
    <w:rsid w:val="00E21729"/>
    <w:rsid w:val="00E217DC"/>
    <w:rsid w:val="00E2182C"/>
    <w:rsid w:val="00E21B25"/>
    <w:rsid w:val="00E21D7C"/>
    <w:rsid w:val="00E21F8F"/>
    <w:rsid w:val="00E22061"/>
    <w:rsid w:val="00E22080"/>
    <w:rsid w:val="00E2208E"/>
    <w:rsid w:val="00E22098"/>
    <w:rsid w:val="00E220EE"/>
    <w:rsid w:val="00E222BF"/>
    <w:rsid w:val="00E222F6"/>
    <w:rsid w:val="00E22459"/>
    <w:rsid w:val="00E2247D"/>
    <w:rsid w:val="00E224D0"/>
    <w:rsid w:val="00E225EE"/>
    <w:rsid w:val="00E229F4"/>
    <w:rsid w:val="00E22A81"/>
    <w:rsid w:val="00E22AF6"/>
    <w:rsid w:val="00E22CE5"/>
    <w:rsid w:val="00E22E27"/>
    <w:rsid w:val="00E22E5E"/>
    <w:rsid w:val="00E22F26"/>
    <w:rsid w:val="00E22F5F"/>
    <w:rsid w:val="00E23028"/>
    <w:rsid w:val="00E2310A"/>
    <w:rsid w:val="00E23123"/>
    <w:rsid w:val="00E2312C"/>
    <w:rsid w:val="00E23147"/>
    <w:rsid w:val="00E2329E"/>
    <w:rsid w:val="00E233AE"/>
    <w:rsid w:val="00E2347E"/>
    <w:rsid w:val="00E23501"/>
    <w:rsid w:val="00E23595"/>
    <w:rsid w:val="00E2360E"/>
    <w:rsid w:val="00E2380E"/>
    <w:rsid w:val="00E2382B"/>
    <w:rsid w:val="00E2386B"/>
    <w:rsid w:val="00E2387B"/>
    <w:rsid w:val="00E23952"/>
    <w:rsid w:val="00E23A05"/>
    <w:rsid w:val="00E23AFF"/>
    <w:rsid w:val="00E23B80"/>
    <w:rsid w:val="00E23B93"/>
    <w:rsid w:val="00E23C72"/>
    <w:rsid w:val="00E23DB8"/>
    <w:rsid w:val="00E23EC8"/>
    <w:rsid w:val="00E23EFA"/>
    <w:rsid w:val="00E23FE8"/>
    <w:rsid w:val="00E242E6"/>
    <w:rsid w:val="00E2430F"/>
    <w:rsid w:val="00E24318"/>
    <w:rsid w:val="00E2439D"/>
    <w:rsid w:val="00E2442F"/>
    <w:rsid w:val="00E24444"/>
    <w:rsid w:val="00E244A4"/>
    <w:rsid w:val="00E24598"/>
    <w:rsid w:val="00E2466E"/>
    <w:rsid w:val="00E24817"/>
    <w:rsid w:val="00E24843"/>
    <w:rsid w:val="00E2493D"/>
    <w:rsid w:val="00E24A10"/>
    <w:rsid w:val="00E24A73"/>
    <w:rsid w:val="00E24A97"/>
    <w:rsid w:val="00E24A99"/>
    <w:rsid w:val="00E24B92"/>
    <w:rsid w:val="00E24D0F"/>
    <w:rsid w:val="00E24D29"/>
    <w:rsid w:val="00E24EAB"/>
    <w:rsid w:val="00E2507E"/>
    <w:rsid w:val="00E252DC"/>
    <w:rsid w:val="00E25384"/>
    <w:rsid w:val="00E25460"/>
    <w:rsid w:val="00E25474"/>
    <w:rsid w:val="00E25476"/>
    <w:rsid w:val="00E254D5"/>
    <w:rsid w:val="00E254FE"/>
    <w:rsid w:val="00E255D6"/>
    <w:rsid w:val="00E256A5"/>
    <w:rsid w:val="00E257D5"/>
    <w:rsid w:val="00E2591D"/>
    <w:rsid w:val="00E259E4"/>
    <w:rsid w:val="00E25B3E"/>
    <w:rsid w:val="00E25B89"/>
    <w:rsid w:val="00E25B8D"/>
    <w:rsid w:val="00E25E1F"/>
    <w:rsid w:val="00E26155"/>
    <w:rsid w:val="00E261C1"/>
    <w:rsid w:val="00E261C8"/>
    <w:rsid w:val="00E2627D"/>
    <w:rsid w:val="00E26351"/>
    <w:rsid w:val="00E26480"/>
    <w:rsid w:val="00E2655F"/>
    <w:rsid w:val="00E267CB"/>
    <w:rsid w:val="00E2689E"/>
    <w:rsid w:val="00E26957"/>
    <w:rsid w:val="00E269CC"/>
    <w:rsid w:val="00E26A94"/>
    <w:rsid w:val="00E26BA4"/>
    <w:rsid w:val="00E26C38"/>
    <w:rsid w:val="00E26C45"/>
    <w:rsid w:val="00E26D7D"/>
    <w:rsid w:val="00E270C1"/>
    <w:rsid w:val="00E270C6"/>
    <w:rsid w:val="00E272CE"/>
    <w:rsid w:val="00E273B8"/>
    <w:rsid w:val="00E2743D"/>
    <w:rsid w:val="00E274CE"/>
    <w:rsid w:val="00E2757A"/>
    <w:rsid w:val="00E2758D"/>
    <w:rsid w:val="00E27654"/>
    <w:rsid w:val="00E2780D"/>
    <w:rsid w:val="00E27A8C"/>
    <w:rsid w:val="00E27BCF"/>
    <w:rsid w:val="00E27C90"/>
    <w:rsid w:val="00E27EBF"/>
    <w:rsid w:val="00E27F64"/>
    <w:rsid w:val="00E27F84"/>
    <w:rsid w:val="00E27FDE"/>
    <w:rsid w:val="00E300E3"/>
    <w:rsid w:val="00E301D4"/>
    <w:rsid w:val="00E3029F"/>
    <w:rsid w:val="00E3032D"/>
    <w:rsid w:val="00E30348"/>
    <w:rsid w:val="00E30369"/>
    <w:rsid w:val="00E303C2"/>
    <w:rsid w:val="00E303E1"/>
    <w:rsid w:val="00E30425"/>
    <w:rsid w:val="00E304CB"/>
    <w:rsid w:val="00E30577"/>
    <w:rsid w:val="00E3057F"/>
    <w:rsid w:val="00E30647"/>
    <w:rsid w:val="00E30716"/>
    <w:rsid w:val="00E3078C"/>
    <w:rsid w:val="00E30802"/>
    <w:rsid w:val="00E30872"/>
    <w:rsid w:val="00E30978"/>
    <w:rsid w:val="00E30C0F"/>
    <w:rsid w:val="00E30DD1"/>
    <w:rsid w:val="00E30DE4"/>
    <w:rsid w:val="00E30F75"/>
    <w:rsid w:val="00E3129C"/>
    <w:rsid w:val="00E31381"/>
    <w:rsid w:val="00E313AF"/>
    <w:rsid w:val="00E3142E"/>
    <w:rsid w:val="00E31482"/>
    <w:rsid w:val="00E31495"/>
    <w:rsid w:val="00E31623"/>
    <w:rsid w:val="00E316A4"/>
    <w:rsid w:val="00E3186E"/>
    <w:rsid w:val="00E3189E"/>
    <w:rsid w:val="00E31A11"/>
    <w:rsid w:val="00E31A6C"/>
    <w:rsid w:val="00E31C6D"/>
    <w:rsid w:val="00E31E51"/>
    <w:rsid w:val="00E31F36"/>
    <w:rsid w:val="00E31FC3"/>
    <w:rsid w:val="00E32129"/>
    <w:rsid w:val="00E32192"/>
    <w:rsid w:val="00E323AC"/>
    <w:rsid w:val="00E324DD"/>
    <w:rsid w:val="00E325A6"/>
    <w:rsid w:val="00E3263B"/>
    <w:rsid w:val="00E3264E"/>
    <w:rsid w:val="00E326D5"/>
    <w:rsid w:val="00E32735"/>
    <w:rsid w:val="00E3273C"/>
    <w:rsid w:val="00E3273F"/>
    <w:rsid w:val="00E327FD"/>
    <w:rsid w:val="00E329C8"/>
    <w:rsid w:val="00E32AF4"/>
    <w:rsid w:val="00E32B5E"/>
    <w:rsid w:val="00E32C25"/>
    <w:rsid w:val="00E32C4D"/>
    <w:rsid w:val="00E32D10"/>
    <w:rsid w:val="00E32DAD"/>
    <w:rsid w:val="00E32F14"/>
    <w:rsid w:val="00E32F2F"/>
    <w:rsid w:val="00E32F93"/>
    <w:rsid w:val="00E32FC6"/>
    <w:rsid w:val="00E32FE7"/>
    <w:rsid w:val="00E33071"/>
    <w:rsid w:val="00E330B8"/>
    <w:rsid w:val="00E331D1"/>
    <w:rsid w:val="00E33223"/>
    <w:rsid w:val="00E3323C"/>
    <w:rsid w:val="00E33320"/>
    <w:rsid w:val="00E3340A"/>
    <w:rsid w:val="00E33645"/>
    <w:rsid w:val="00E33652"/>
    <w:rsid w:val="00E3378A"/>
    <w:rsid w:val="00E33830"/>
    <w:rsid w:val="00E33897"/>
    <w:rsid w:val="00E3391D"/>
    <w:rsid w:val="00E33A84"/>
    <w:rsid w:val="00E33B71"/>
    <w:rsid w:val="00E33D78"/>
    <w:rsid w:val="00E33E11"/>
    <w:rsid w:val="00E33E71"/>
    <w:rsid w:val="00E33EC2"/>
    <w:rsid w:val="00E340B1"/>
    <w:rsid w:val="00E340B5"/>
    <w:rsid w:val="00E340D1"/>
    <w:rsid w:val="00E340EA"/>
    <w:rsid w:val="00E34301"/>
    <w:rsid w:val="00E3432F"/>
    <w:rsid w:val="00E34372"/>
    <w:rsid w:val="00E343AE"/>
    <w:rsid w:val="00E3441D"/>
    <w:rsid w:val="00E34459"/>
    <w:rsid w:val="00E34472"/>
    <w:rsid w:val="00E34592"/>
    <w:rsid w:val="00E345BC"/>
    <w:rsid w:val="00E3460B"/>
    <w:rsid w:val="00E34821"/>
    <w:rsid w:val="00E3495E"/>
    <w:rsid w:val="00E349D4"/>
    <w:rsid w:val="00E34A0C"/>
    <w:rsid w:val="00E34BB1"/>
    <w:rsid w:val="00E34CB4"/>
    <w:rsid w:val="00E34DDF"/>
    <w:rsid w:val="00E351EF"/>
    <w:rsid w:val="00E352AB"/>
    <w:rsid w:val="00E35372"/>
    <w:rsid w:val="00E353A0"/>
    <w:rsid w:val="00E35568"/>
    <w:rsid w:val="00E357DF"/>
    <w:rsid w:val="00E357E8"/>
    <w:rsid w:val="00E357EF"/>
    <w:rsid w:val="00E35B1A"/>
    <w:rsid w:val="00E35B96"/>
    <w:rsid w:val="00E35C86"/>
    <w:rsid w:val="00E35E7A"/>
    <w:rsid w:val="00E360D5"/>
    <w:rsid w:val="00E361C2"/>
    <w:rsid w:val="00E363F8"/>
    <w:rsid w:val="00E36545"/>
    <w:rsid w:val="00E3654A"/>
    <w:rsid w:val="00E3661B"/>
    <w:rsid w:val="00E36647"/>
    <w:rsid w:val="00E366AF"/>
    <w:rsid w:val="00E367C6"/>
    <w:rsid w:val="00E367DD"/>
    <w:rsid w:val="00E368C9"/>
    <w:rsid w:val="00E36A58"/>
    <w:rsid w:val="00E36AB9"/>
    <w:rsid w:val="00E36DFB"/>
    <w:rsid w:val="00E36E3B"/>
    <w:rsid w:val="00E36EB3"/>
    <w:rsid w:val="00E37147"/>
    <w:rsid w:val="00E373EE"/>
    <w:rsid w:val="00E37495"/>
    <w:rsid w:val="00E37831"/>
    <w:rsid w:val="00E37909"/>
    <w:rsid w:val="00E37AB7"/>
    <w:rsid w:val="00E37B2A"/>
    <w:rsid w:val="00E37C49"/>
    <w:rsid w:val="00E37CB2"/>
    <w:rsid w:val="00E37E82"/>
    <w:rsid w:val="00E37F44"/>
    <w:rsid w:val="00E37F4D"/>
    <w:rsid w:val="00E37FE7"/>
    <w:rsid w:val="00E4012D"/>
    <w:rsid w:val="00E40179"/>
    <w:rsid w:val="00E40207"/>
    <w:rsid w:val="00E402C8"/>
    <w:rsid w:val="00E40410"/>
    <w:rsid w:val="00E4044F"/>
    <w:rsid w:val="00E40474"/>
    <w:rsid w:val="00E404D8"/>
    <w:rsid w:val="00E404F2"/>
    <w:rsid w:val="00E4053B"/>
    <w:rsid w:val="00E40594"/>
    <w:rsid w:val="00E40658"/>
    <w:rsid w:val="00E40860"/>
    <w:rsid w:val="00E4088B"/>
    <w:rsid w:val="00E408EC"/>
    <w:rsid w:val="00E40919"/>
    <w:rsid w:val="00E40A6B"/>
    <w:rsid w:val="00E40C6F"/>
    <w:rsid w:val="00E40D53"/>
    <w:rsid w:val="00E40EEF"/>
    <w:rsid w:val="00E40F82"/>
    <w:rsid w:val="00E40FA7"/>
    <w:rsid w:val="00E40FF4"/>
    <w:rsid w:val="00E412B7"/>
    <w:rsid w:val="00E415D8"/>
    <w:rsid w:val="00E415DF"/>
    <w:rsid w:val="00E415E0"/>
    <w:rsid w:val="00E4168C"/>
    <w:rsid w:val="00E4170B"/>
    <w:rsid w:val="00E41777"/>
    <w:rsid w:val="00E41856"/>
    <w:rsid w:val="00E41944"/>
    <w:rsid w:val="00E41A3D"/>
    <w:rsid w:val="00E41AD5"/>
    <w:rsid w:val="00E41AEF"/>
    <w:rsid w:val="00E41C41"/>
    <w:rsid w:val="00E41CAC"/>
    <w:rsid w:val="00E41E0E"/>
    <w:rsid w:val="00E41E31"/>
    <w:rsid w:val="00E41EAB"/>
    <w:rsid w:val="00E41F68"/>
    <w:rsid w:val="00E41F6D"/>
    <w:rsid w:val="00E42145"/>
    <w:rsid w:val="00E42213"/>
    <w:rsid w:val="00E4226E"/>
    <w:rsid w:val="00E422FE"/>
    <w:rsid w:val="00E424CD"/>
    <w:rsid w:val="00E42743"/>
    <w:rsid w:val="00E42952"/>
    <w:rsid w:val="00E42A85"/>
    <w:rsid w:val="00E42A8B"/>
    <w:rsid w:val="00E42B2B"/>
    <w:rsid w:val="00E42D27"/>
    <w:rsid w:val="00E42EFE"/>
    <w:rsid w:val="00E43041"/>
    <w:rsid w:val="00E4318F"/>
    <w:rsid w:val="00E43343"/>
    <w:rsid w:val="00E43499"/>
    <w:rsid w:val="00E435A7"/>
    <w:rsid w:val="00E435BF"/>
    <w:rsid w:val="00E435D1"/>
    <w:rsid w:val="00E435D2"/>
    <w:rsid w:val="00E438D0"/>
    <w:rsid w:val="00E438D9"/>
    <w:rsid w:val="00E43A23"/>
    <w:rsid w:val="00E43C3A"/>
    <w:rsid w:val="00E43E67"/>
    <w:rsid w:val="00E440F0"/>
    <w:rsid w:val="00E44114"/>
    <w:rsid w:val="00E441B7"/>
    <w:rsid w:val="00E44304"/>
    <w:rsid w:val="00E4454C"/>
    <w:rsid w:val="00E4467B"/>
    <w:rsid w:val="00E446D4"/>
    <w:rsid w:val="00E449CC"/>
    <w:rsid w:val="00E44A23"/>
    <w:rsid w:val="00E44A2B"/>
    <w:rsid w:val="00E44A2F"/>
    <w:rsid w:val="00E44B53"/>
    <w:rsid w:val="00E44C18"/>
    <w:rsid w:val="00E44CC4"/>
    <w:rsid w:val="00E44D1D"/>
    <w:rsid w:val="00E44E83"/>
    <w:rsid w:val="00E44E89"/>
    <w:rsid w:val="00E44F0E"/>
    <w:rsid w:val="00E44FC1"/>
    <w:rsid w:val="00E44FF3"/>
    <w:rsid w:val="00E450E9"/>
    <w:rsid w:val="00E451E8"/>
    <w:rsid w:val="00E451EC"/>
    <w:rsid w:val="00E452DD"/>
    <w:rsid w:val="00E4548D"/>
    <w:rsid w:val="00E454BA"/>
    <w:rsid w:val="00E45795"/>
    <w:rsid w:val="00E457BD"/>
    <w:rsid w:val="00E4583D"/>
    <w:rsid w:val="00E45936"/>
    <w:rsid w:val="00E4595C"/>
    <w:rsid w:val="00E45AAC"/>
    <w:rsid w:val="00E45D8C"/>
    <w:rsid w:val="00E45DA3"/>
    <w:rsid w:val="00E45DFA"/>
    <w:rsid w:val="00E45E4B"/>
    <w:rsid w:val="00E4600B"/>
    <w:rsid w:val="00E4613D"/>
    <w:rsid w:val="00E46272"/>
    <w:rsid w:val="00E46327"/>
    <w:rsid w:val="00E46459"/>
    <w:rsid w:val="00E46660"/>
    <w:rsid w:val="00E468AF"/>
    <w:rsid w:val="00E4695B"/>
    <w:rsid w:val="00E4699E"/>
    <w:rsid w:val="00E46A0B"/>
    <w:rsid w:val="00E46A6A"/>
    <w:rsid w:val="00E46CB3"/>
    <w:rsid w:val="00E46D3C"/>
    <w:rsid w:val="00E46D4D"/>
    <w:rsid w:val="00E46D92"/>
    <w:rsid w:val="00E46DF9"/>
    <w:rsid w:val="00E46DFC"/>
    <w:rsid w:val="00E46E73"/>
    <w:rsid w:val="00E46F98"/>
    <w:rsid w:val="00E4726A"/>
    <w:rsid w:val="00E47297"/>
    <w:rsid w:val="00E474D5"/>
    <w:rsid w:val="00E475A9"/>
    <w:rsid w:val="00E47655"/>
    <w:rsid w:val="00E47662"/>
    <w:rsid w:val="00E47780"/>
    <w:rsid w:val="00E477EC"/>
    <w:rsid w:val="00E47B0F"/>
    <w:rsid w:val="00E47C50"/>
    <w:rsid w:val="00E47E32"/>
    <w:rsid w:val="00E47EF4"/>
    <w:rsid w:val="00E47F4A"/>
    <w:rsid w:val="00E5021A"/>
    <w:rsid w:val="00E502F7"/>
    <w:rsid w:val="00E502FD"/>
    <w:rsid w:val="00E50392"/>
    <w:rsid w:val="00E504E4"/>
    <w:rsid w:val="00E50568"/>
    <w:rsid w:val="00E505AC"/>
    <w:rsid w:val="00E505B9"/>
    <w:rsid w:val="00E50688"/>
    <w:rsid w:val="00E506DF"/>
    <w:rsid w:val="00E5075A"/>
    <w:rsid w:val="00E507B7"/>
    <w:rsid w:val="00E508A7"/>
    <w:rsid w:val="00E5097D"/>
    <w:rsid w:val="00E50A08"/>
    <w:rsid w:val="00E50A4B"/>
    <w:rsid w:val="00E50A97"/>
    <w:rsid w:val="00E50B14"/>
    <w:rsid w:val="00E50B35"/>
    <w:rsid w:val="00E50BD5"/>
    <w:rsid w:val="00E50C21"/>
    <w:rsid w:val="00E50FC0"/>
    <w:rsid w:val="00E510DF"/>
    <w:rsid w:val="00E51151"/>
    <w:rsid w:val="00E51204"/>
    <w:rsid w:val="00E51243"/>
    <w:rsid w:val="00E513ED"/>
    <w:rsid w:val="00E5141C"/>
    <w:rsid w:val="00E51501"/>
    <w:rsid w:val="00E515BD"/>
    <w:rsid w:val="00E517E3"/>
    <w:rsid w:val="00E5195D"/>
    <w:rsid w:val="00E51964"/>
    <w:rsid w:val="00E51A13"/>
    <w:rsid w:val="00E51A70"/>
    <w:rsid w:val="00E51A77"/>
    <w:rsid w:val="00E51C44"/>
    <w:rsid w:val="00E51DFD"/>
    <w:rsid w:val="00E51E5E"/>
    <w:rsid w:val="00E51FD9"/>
    <w:rsid w:val="00E520CA"/>
    <w:rsid w:val="00E520D9"/>
    <w:rsid w:val="00E52444"/>
    <w:rsid w:val="00E524E4"/>
    <w:rsid w:val="00E5261A"/>
    <w:rsid w:val="00E527F4"/>
    <w:rsid w:val="00E52840"/>
    <w:rsid w:val="00E52984"/>
    <w:rsid w:val="00E52A2F"/>
    <w:rsid w:val="00E52A47"/>
    <w:rsid w:val="00E52A68"/>
    <w:rsid w:val="00E52BF0"/>
    <w:rsid w:val="00E52CCE"/>
    <w:rsid w:val="00E52E16"/>
    <w:rsid w:val="00E52F06"/>
    <w:rsid w:val="00E52F9A"/>
    <w:rsid w:val="00E53037"/>
    <w:rsid w:val="00E53508"/>
    <w:rsid w:val="00E5352F"/>
    <w:rsid w:val="00E5353F"/>
    <w:rsid w:val="00E535B0"/>
    <w:rsid w:val="00E535C4"/>
    <w:rsid w:val="00E53766"/>
    <w:rsid w:val="00E537AB"/>
    <w:rsid w:val="00E53A24"/>
    <w:rsid w:val="00E53A53"/>
    <w:rsid w:val="00E53E0D"/>
    <w:rsid w:val="00E53F0D"/>
    <w:rsid w:val="00E5407E"/>
    <w:rsid w:val="00E540A6"/>
    <w:rsid w:val="00E54284"/>
    <w:rsid w:val="00E542D6"/>
    <w:rsid w:val="00E542E8"/>
    <w:rsid w:val="00E542F4"/>
    <w:rsid w:val="00E544DC"/>
    <w:rsid w:val="00E54550"/>
    <w:rsid w:val="00E545D6"/>
    <w:rsid w:val="00E54653"/>
    <w:rsid w:val="00E5466F"/>
    <w:rsid w:val="00E54678"/>
    <w:rsid w:val="00E54818"/>
    <w:rsid w:val="00E549D0"/>
    <w:rsid w:val="00E54B14"/>
    <w:rsid w:val="00E54B2B"/>
    <w:rsid w:val="00E54BF3"/>
    <w:rsid w:val="00E54C67"/>
    <w:rsid w:val="00E54C71"/>
    <w:rsid w:val="00E54D80"/>
    <w:rsid w:val="00E54DC7"/>
    <w:rsid w:val="00E54E8B"/>
    <w:rsid w:val="00E54EFF"/>
    <w:rsid w:val="00E55194"/>
    <w:rsid w:val="00E5527D"/>
    <w:rsid w:val="00E5538A"/>
    <w:rsid w:val="00E55490"/>
    <w:rsid w:val="00E554A8"/>
    <w:rsid w:val="00E5551B"/>
    <w:rsid w:val="00E555D3"/>
    <w:rsid w:val="00E55849"/>
    <w:rsid w:val="00E5586A"/>
    <w:rsid w:val="00E5591A"/>
    <w:rsid w:val="00E55944"/>
    <w:rsid w:val="00E55A4B"/>
    <w:rsid w:val="00E55AD0"/>
    <w:rsid w:val="00E55AFC"/>
    <w:rsid w:val="00E55B7A"/>
    <w:rsid w:val="00E55C85"/>
    <w:rsid w:val="00E55DE0"/>
    <w:rsid w:val="00E55E14"/>
    <w:rsid w:val="00E55ED9"/>
    <w:rsid w:val="00E5604F"/>
    <w:rsid w:val="00E56076"/>
    <w:rsid w:val="00E5607E"/>
    <w:rsid w:val="00E56113"/>
    <w:rsid w:val="00E56208"/>
    <w:rsid w:val="00E56326"/>
    <w:rsid w:val="00E563A7"/>
    <w:rsid w:val="00E56513"/>
    <w:rsid w:val="00E56622"/>
    <w:rsid w:val="00E5684A"/>
    <w:rsid w:val="00E56859"/>
    <w:rsid w:val="00E56969"/>
    <w:rsid w:val="00E56A5E"/>
    <w:rsid w:val="00E56C39"/>
    <w:rsid w:val="00E56C84"/>
    <w:rsid w:val="00E56C9D"/>
    <w:rsid w:val="00E56CF6"/>
    <w:rsid w:val="00E56E84"/>
    <w:rsid w:val="00E57062"/>
    <w:rsid w:val="00E57273"/>
    <w:rsid w:val="00E57282"/>
    <w:rsid w:val="00E57344"/>
    <w:rsid w:val="00E57364"/>
    <w:rsid w:val="00E573E3"/>
    <w:rsid w:val="00E57440"/>
    <w:rsid w:val="00E57471"/>
    <w:rsid w:val="00E574B1"/>
    <w:rsid w:val="00E57547"/>
    <w:rsid w:val="00E575D1"/>
    <w:rsid w:val="00E57708"/>
    <w:rsid w:val="00E57730"/>
    <w:rsid w:val="00E57862"/>
    <w:rsid w:val="00E5791A"/>
    <w:rsid w:val="00E5796E"/>
    <w:rsid w:val="00E579E5"/>
    <w:rsid w:val="00E57A15"/>
    <w:rsid w:val="00E57B9E"/>
    <w:rsid w:val="00E57F6A"/>
    <w:rsid w:val="00E57F9D"/>
    <w:rsid w:val="00E57FFE"/>
    <w:rsid w:val="00E600A1"/>
    <w:rsid w:val="00E600FB"/>
    <w:rsid w:val="00E60246"/>
    <w:rsid w:val="00E60311"/>
    <w:rsid w:val="00E603A8"/>
    <w:rsid w:val="00E603D1"/>
    <w:rsid w:val="00E603DA"/>
    <w:rsid w:val="00E60404"/>
    <w:rsid w:val="00E604A9"/>
    <w:rsid w:val="00E6050E"/>
    <w:rsid w:val="00E607C7"/>
    <w:rsid w:val="00E60A04"/>
    <w:rsid w:val="00E60A33"/>
    <w:rsid w:val="00E60A57"/>
    <w:rsid w:val="00E60B51"/>
    <w:rsid w:val="00E60B62"/>
    <w:rsid w:val="00E610BB"/>
    <w:rsid w:val="00E611D2"/>
    <w:rsid w:val="00E611FC"/>
    <w:rsid w:val="00E61252"/>
    <w:rsid w:val="00E61300"/>
    <w:rsid w:val="00E6153C"/>
    <w:rsid w:val="00E615F3"/>
    <w:rsid w:val="00E6191C"/>
    <w:rsid w:val="00E619F9"/>
    <w:rsid w:val="00E61A43"/>
    <w:rsid w:val="00E61A76"/>
    <w:rsid w:val="00E61C6A"/>
    <w:rsid w:val="00E6211E"/>
    <w:rsid w:val="00E6216D"/>
    <w:rsid w:val="00E622E4"/>
    <w:rsid w:val="00E622F5"/>
    <w:rsid w:val="00E62443"/>
    <w:rsid w:val="00E625D6"/>
    <w:rsid w:val="00E626EB"/>
    <w:rsid w:val="00E62730"/>
    <w:rsid w:val="00E62740"/>
    <w:rsid w:val="00E62801"/>
    <w:rsid w:val="00E6285E"/>
    <w:rsid w:val="00E62D22"/>
    <w:rsid w:val="00E62D4B"/>
    <w:rsid w:val="00E62D5C"/>
    <w:rsid w:val="00E62EA8"/>
    <w:rsid w:val="00E62FA6"/>
    <w:rsid w:val="00E62FF1"/>
    <w:rsid w:val="00E6309B"/>
    <w:rsid w:val="00E630BB"/>
    <w:rsid w:val="00E630F4"/>
    <w:rsid w:val="00E63101"/>
    <w:rsid w:val="00E63173"/>
    <w:rsid w:val="00E631AD"/>
    <w:rsid w:val="00E6354D"/>
    <w:rsid w:val="00E63577"/>
    <w:rsid w:val="00E6371F"/>
    <w:rsid w:val="00E63727"/>
    <w:rsid w:val="00E63877"/>
    <w:rsid w:val="00E63B30"/>
    <w:rsid w:val="00E63BC0"/>
    <w:rsid w:val="00E63D50"/>
    <w:rsid w:val="00E63E95"/>
    <w:rsid w:val="00E63EB0"/>
    <w:rsid w:val="00E63EF2"/>
    <w:rsid w:val="00E63FC7"/>
    <w:rsid w:val="00E64120"/>
    <w:rsid w:val="00E6412B"/>
    <w:rsid w:val="00E641C7"/>
    <w:rsid w:val="00E6422F"/>
    <w:rsid w:val="00E64241"/>
    <w:rsid w:val="00E6439E"/>
    <w:rsid w:val="00E64753"/>
    <w:rsid w:val="00E64778"/>
    <w:rsid w:val="00E6483F"/>
    <w:rsid w:val="00E64B8C"/>
    <w:rsid w:val="00E64BAE"/>
    <w:rsid w:val="00E64BC4"/>
    <w:rsid w:val="00E64C14"/>
    <w:rsid w:val="00E64C74"/>
    <w:rsid w:val="00E64D42"/>
    <w:rsid w:val="00E64DB5"/>
    <w:rsid w:val="00E64DE7"/>
    <w:rsid w:val="00E64E74"/>
    <w:rsid w:val="00E64EB0"/>
    <w:rsid w:val="00E64F0F"/>
    <w:rsid w:val="00E64F7C"/>
    <w:rsid w:val="00E64FBC"/>
    <w:rsid w:val="00E650E5"/>
    <w:rsid w:val="00E65162"/>
    <w:rsid w:val="00E65268"/>
    <w:rsid w:val="00E65379"/>
    <w:rsid w:val="00E653BA"/>
    <w:rsid w:val="00E65502"/>
    <w:rsid w:val="00E65575"/>
    <w:rsid w:val="00E656AF"/>
    <w:rsid w:val="00E6571F"/>
    <w:rsid w:val="00E65798"/>
    <w:rsid w:val="00E657C6"/>
    <w:rsid w:val="00E6590D"/>
    <w:rsid w:val="00E65C40"/>
    <w:rsid w:val="00E65DC9"/>
    <w:rsid w:val="00E65DEE"/>
    <w:rsid w:val="00E65E06"/>
    <w:rsid w:val="00E65E62"/>
    <w:rsid w:val="00E65F31"/>
    <w:rsid w:val="00E6609D"/>
    <w:rsid w:val="00E66229"/>
    <w:rsid w:val="00E662DA"/>
    <w:rsid w:val="00E66837"/>
    <w:rsid w:val="00E668B2"/>
    <w:rsid w:val="00E66920"/>
    <w:rsid w:val="00E66AAD"/>
    <w:rsid w:val="00E66B3A"/>
    <w:rsid w:val="00E66B44"/>
    <w:rsid w:val="00E66C3D"/>
    <w:rsid w:val="00E66C40"/>
    <w:rsid w:val="00E66CDA"/>
    <w:rsid w:val="00E66D99"/>
    <w:rsid w:val="00E66E7D"/>
    <w:rsid w:val="00E66FE9"/>
    <w:rsid w:val="00E67187"/>
    <w:rsid w:val="00E672CB"/>
    <w:rsid w:val="00E67392"/>
    <w:rsid w:val="00E673D6"/>
    <w:rsid w:val="00E67464"/>
    <w:rsid w:val="00E67531"/>
    <w:rsid w:val="00E675A4"/>
    <w:rsid w:val="00E675C4"/>
    <w:rsid w:val="00E67656"/>
    <w:rsid w:val="00E676FE"/>
    <w:rsid w:val="00E67766"/>
    <w:rsid w:val="00E67905"/>
    <w:rsid w:val="00E6798C"/>
    <w:rsid w:val="00E67AC5"/>
    <w:rsid w:val="00E67B5C"/>
    <w:rsid w:val="00E67C3A"/>
    <w:rsid w:val="00E67D4A"/>
    <w:rsid w:val="00E67F7C"/>
    <w:rsid w:val="00E67F9F"/>
    <w:rsid w:val="00E70052"/>
    <w:rsid w:val="00E70118"/>
    <w:rsid w:val="00E7024D"/>
    <w:rsid w:val="00E70292"/>
    <w:rsid w:val="00E70325"/>
    <w:rsid w:val="00E70414"/>
    <w:rsid w:val="00E70486"/>
    <w:rsid w:val="00E7056B"/>
    <w:rsid w:val="00E70589"/>
    <w:rsid w:val="00E707AC"/>
    <w:rsid w:val="00E707E7"/>
    <w:rsid w:val="00E707EB"/>
    <w:rsid w:val="00E7081A"/>
    <w:rsid w:val="00E7085A"/>
    <w:rsid w:val="00E7088F"/>
    <w:rsid w:val="00E7089F"/>
    <w:rsid w:val="00E709E3"/>
    <w:rsid w:val="00E70B90"/>
    <w:rsid w:val="00E70C8C"/>
    <w:rsid w:val="00E70E76"/>
    <w:rsid w:val="00E70ECC"/>
    <w:rsid w:val="00E70F07"/>
    <w:rsid w:val="00E70F8E"/>
    <w:rsid w:val="00E71003"/>
    <w:rsid w:val="00E71071"/>
    <w:rsid w:val="00E710AD"/>
    <w:rsid w:val="00E71116"/>
    <w:rsid w:val="00E711FA"/>
    <w:rsid w:val="00E7130D"/>
    <w:rsid w:val="00E7132E"/>
    <w:rsid w:val="00E71449"/>
    <w:rsid w:val="00E714EB"/>
    <w:rsid w:val="00E715F2"/>
    <w:rsid w:val="00E716FB"/>
    <w:rsid w:val="00E7189B"/>
    <w:rsid w:val="00E719A2"/>
    <w:rsid w:val="00E719D2"/>
    <w:rsid w:val="00E71A4E"/>
    <w:rsid w:val="00E71BC0"/>
    <w:rsid w:val="00E71D56"/>
    <w:rsid w:val="00E71D75"/>
    <w:rsid w:val="00E71EF4"/>
    <w:rsid w:val="00E72165"/>
    <w:rsid w:val="00E72287"/>
    <w:rsid w:val="00E72383"/>
    <w:rsid w:val="00E7238E"/>
    <w:rsid w:val="00E723F8"/>
    <w:rsid w:val="00E72432"/>
    <w:rsid w:val="00E72530"/>
    <w:rsid w:val="00E72549"/>
    <w:rsid w:val="00E7256D"/>
    <w:rsid w:val="00E72809"/>
    <w:rsid w:val="00E72836"/>
    <w:rsid w:val="00E72AE5"/>
    <w:rsid w:val="00E72B96"/>
    <w:rsid w:val="00E72BC6"/>
    <w:rsid w:val="00E72D6B"/>
    <w:rsid w:val="00E72E5F"/>
    <w:rsid w:val="00E72F4E"/>
    <w:rsid w:val="00E73001"/>
    <w:rsid w:val="00E732C9"/>
    <w:rsid w:val="00E732CA"/>
    <w:rsid w:val="00E7334B"/>
    <w:rsid w:val="00E734FD"/>
    <w:rsid w:val="00E73565"/>
    <w:rsid w:val="00E73577"/>
    <w:rsid w:val="00E7367A"/>
    <w:rsid w:val="00E737DD"/>
    <w:rsid w:val="00E73998"/>
    <w:rsid w:val="00E73ABD"/>
    <w:rsid w:val="00E73BA0"/>
    <w:rsid w:val="00E73BB4"/>
    <w:rsid w:val="00E73C2B"/>
    <w:rsid w:val="00E73CA3"/>
    <w:rsid w:val="00E73E1E"/>
    <w:rsid w:val="00E73EFF"/>
    <w:rsid w:val="00E74104"/>
    <w:rsid w:val="00E742A6"/>
    <w:rsid w:val="00E742AC"/>
    <w:rsid w:val="00E742C1"/>
    <w:rsid w:val="00E743BE"/>
    <w:rsid w:val="00E743CF"/>
    <w:rsid w:val="00E74932"/>
    <w:rsid w:val="00E74B6A"/>
    <w:rsid w:val="00E74C94"/>
    <w:rsid w:val="00E74CEB"/>
    <w:rsid w:val="00E74D8B"/>
    <w:rsid w:val="00E74DB1"/>
    <w:rsid w:val="00E74DDA"/>
    <w:rsid w:val="00E74F62"/>
    <w:rsid w:val="00E74F71"/>
    <w:rsid w:val="00E75090"/>
    <w:rsid w:val="00E752F9"/>
    <w:rsid w:val="00E75357"/>
    <w:rsid w:val="00E753AE"/>
    <w:rsid w:val="00E753EF"/>
    <w:rsid w:val="00E75401"/>
    <w:rsid w:val="00E7541C"/>
    <w:rsid w:val="00E75433"/>
    <w:rsid w:val="00E7559A"/>
    <w:rsid w:val="00E755DE"/>
    <w:rsid w:val="00E7563B"/>
    <w:rsid w:val="00E756C0"/>
    <w:rsid w:val="00E75AA1"/>
    <w:rsid w:val="00E75ACB"/>
    <w:rsid w:val="00E75C15"/>
    <w:rsid w:val="00E75CCB"/>
    <w:rsid w:val="00E75D4E"/>
    <w:rsid w:val="00E75DA8"/>
    <w:rsid w:val="00E75DD6"/>
    <w:rsid w:val="00E75E12"/>
    <w:rsid w:val="00E76022"/>
    <w:rsid w:val="00E76084"/>
    <w:rsid w:val="00E762D8"/>
    <w:rsid w:val="00E76436"/>
    <w:rsid w:val="00E765BD"/>
    <w:rsid w:val="00E765C5"/>
    <w:rsid w:val="00E76656"/>
    <w:rsid w:val="00E7667B"/>
    <w:rsid w:val="00E76757"/>
    <w:rsid w:val="00E76815"/>
    <w:rsid w:val="00E7684F"/>
    <w:rsid w:val="00E76905"/>
    <w:rsid w:val="00E7690B"/>
    <w:rsid w:val="00E76930"/>
    <w:rsid w:val="00E769BD"/>
    <w:rsid w:val="00E76A8B"/>
    <w:rsid w:val="00E76ADE"/>
    <w:rsid w:val="00E76B68"/>
    <w:rsid w:val="00E76C11"/>
    <w:rsid w:val="00E76C4E"/>
    <w:rsid w:val="00E76D3F"/>
    <w:rsid w:val="00E76DC5"/>
    <w:rsid w:val="00E76EC8"/>
    <w:rsid w:val="00E76F6C"/>
    <w:rsid w:val="00E7711B"/>
    <w:rsid w:val="00E77133"/>
    <w:rsid w:val="00E771F8"/>
    <w:rsid w:val="00E77234"/>
    <w:rsid w:val="00E77341"/>
    <w:rsid w:val="00E77382"/>
    <w:rsid w:val="00E7746E"/>
    <w:rsid w:val="00E77567"/>
    <w:rsid w:val="00E775E7"/>
    <w:rsid w:val="00E776C7"/>
    <w:rsid w:val="00E7773F"/>
    <w:rsid w:val="00E779B4"/>
    <w:rsid w:val="00E779BD"/>
    <w:rsid w:val="00E77AAF"/>
    <w:rsid w:val="00E77C9C"/>
    <w:rsid w:val="00E77D1F"/>
    <w:rsid w:val="00E77E34"/>
    <w:rsid w:val="00E77E84"/>
    <w:rsid w:val="00E77ECA"/>
    <w:rsid w:val="00E77FB2"/>
    <w:rsid w:val="00E77FC3"/>
    <w:rsid w:val="00E77FED"/>
    <w:rsid w:val="00E8009E"/>
    <w:rsid w:val="00E800A1"/>
    <w:rsid w:val="00E80121"/>
    <w:rsid w:val="00E801FD"/>
    <w:rsid w:val="00E803AF"/>
    <w:rsid w:val="00E804BB"/>
    <w:rsid w:val="00E804F5"/>
    <w:rsid w:val="00E80532"/>
    <w:rsid w:val="00E80540"/>
    <w:rsid w:val="00E80545"/>
    <w:rsid w:val="00E805DA"/>
    <w:rsid w:val="00E8062C"/>
    <w:rsid w:val="00E80636"/>
    <w:rsid w:val="00E8074E"/>
    <w:rsid w:val="00E80856"/>
    <w:rsid w:val="00E808EE"/>
    <w:rsid w:val="00E8095D"/>
    <w:rsid w:val="00E80B88"/>
    <w:rsid w:val="00E80CB1"/>
    <w:rsid w:val="00E80CFA"/>
    <w:rsid w:val="00E80DB8"/>
    <w:rsid w:val="00E80E97"/>
    <w:rsid w:val="00E80F31"/>
    <w:rsid w:val="00E80F79"/>
    <w:rsid w:val="00E8132B"/>
    <w:rsid w:val="00E813D5"/>
    <w:rsid w:val="00E81564"/>
    <w:rsid w:val="00E81755"/>
    <w:rsid w:val="00E817D8"/>
    <w:rsid w:val="00E81841"/>
    <w:rsid w:val="00E8184F"/>
    <w:rsid w:val="00E81956"/>
    <w:rsid w:val="00E819B0"/>
    <w:rsid w:val="00E81A78"/>
    <w:rsid w:val="00E81B33"/>
    <w:rsid w:val="00E81D17"/>
    <w:rsid w:val="00E81EF4"/>
    <w:rsid w:val="00E81FF3"/>
    <w:rsid w:val="00E820A2"/>
    <w:rsid w:val="00E820EC"/>
    <w:rsid w:val="00E821E8"/>
    <w:rsid w:val="00E82221"/>
    <w:rsid w:val="00E8228B"/>
    <w:rsid w:val="00E82320"/>
    <w:rsid w:val="00E8244E"/>
    <w:rsid w:val="00E825E6"/>
    <w:rsid w:val="00E82795"/>
    <w:rsid w:val="00E8281A"/>
    <w:rsid w:val="00E82878"/>
    <w:rsid w:val="00E82A1F"/>
    <w:rsid w:val="00E82AB8"/>
    <w:rsid w:val="00E82BE5"/>
    <w:rsid w:val="00E82C96"/>
    <w:rsid w:val="00E82D1A"/>
    <w:rsid w:val="00E82D55"/>
    <w:rsid w:val="00E83095"/>
    <w:rsid w:val="00E83109"/>
    <w:rsid w:val="00E83160"/>
    <w:rsid w:val="00E8316B"/>
    <w:rsid w:val="00E83225"/>
    <w:rsid w:val="00E8325F"/>
    <w:rsid w:val="00E832B4"/>
    <w:rsid w:val="00E833D9"/>
    <w:rsid w:val="00E833FA"/>
    <w:rsid w:val="00E83438"/>
    <w:rsid w:val="00E834F9"/>
    <w:rsid w:val="00E83647"/>
    <w:rsid w:val="00E83667"/>
    <w:rsid w:val="00E83755"/>
    <w:rsid w:val="00E837D4"/>
    <w:rsid w:val="00E837E0"/>
    <w:rsid w:val="00E8385F"/>
    <w:rsid w:val="00E838C9"/>
    <w:rsid w:val="00E838EF"/>
    <w:rsid w:val="00E8396A"/>
    <w:rsid w:val="00E83974"/>
    <w:rsid w:val="00E83993"/>
    <w:rsid w:val="00E839B6"/>
    <w:rsid w:val="00E839B9"/>
    <w:rsid w:val="00E83A10"/>
    <w:rsid w:val="00E83A3F"/>
    <w:rsid w:val="00E83ACB"/>
    <w:rsid w:val="00E83BA2"/>
    <w:rsid w:val="00E83C81"/>
    <w:rsid w:val="00E83D24"/>
    <w:rsid w:val="00E83D48"/>
    <w:rsid w:val="00E83F9F"/>
    <w:rsid w:val="00E840AE"/>
    <w:rsid w:val="00E840BC"/>
    <w:rsid w:val="00E8411F"/>
    <w:rsid w:val="00E84193"/>
    <w:rsid w:val="00E84253"/>
    <w:rsid w:val="00E843C9"/>
    <w:rsid w:val="00E84442"/>
    <w:rsid w:val="00E844A1"/>
    <w:rsid w:val="00E84512"/>
    <w:rsid w:val="00E84569"/>
    <w:rsid w:val="00E846DC"/>
    <w:rsid w:val="00E847E9"/>
    <w:rsid w:val="00E8486C"/>
    <w:rsid w:val="00E84878"/>
    <w:rsid w:val="00E8489C"/>
    <w:rsid w:val="00E84A9F"/>
    <w:rsid w:val="00E84AE9"/>
    <w:rsid w:val="00E84B0F"/>
    <w:rsid w:val="00E84B92"/>
    <w:rsid w:val="00E84D8F"/>
    <w:rsid w:val="00E84DBF"/>
    <w:rsid w:val="00E84E38"/>
    <w:rsid w:val="00E84F40"/>
    <w:rsid w:val="00E84F56"/>
    <w:rsid w:val="00E85095"/>
    <w:rsid w:val="00E85257"/>
    <w:rsid w:val="00E8540A"/>
    <w:rsid w:val="00E85456"/>
    <w:rsid w:val="00E8564A"/>
    <w:rsid w:val="00E8577E"/>
    <w:rsid w:val="00E8588C"/>
    <w:rsid w:val="00E858C2"/>
    <w:rsid w:val="00E858FE"/>
    <w:rsid w:val="00E859A8"/>
    <w:rsid w:val="00E85A31"/>
    <w:rsid w:val="00E85A96"/>
    <w:rsid w:val="00E85B74"/>
    <w:rsid w:val="00E85BA0"/>
    <w:rsid w:val="00E85BAF"/>
    <w:rsid w:val="00E85C7B"/>
    <w:rsid w:val="00E85F72"/>
    <w:rsid w:val="00E8628E"/>
    <w:rsid w:val="00E866B2"/>
    <w:rsid w:val="00E866DA"/>
    <w:rsid w:val="00E8677D"/>
    <w:rsid w:val="00E86798"/>
    <w:rsid w:val="00E86871"/>
    <w:rsid w:val="00E868A4"/>
    <w:rsid w:val="00E86956"/>
    <w:rsid w:val="00E869B8"/>
    <w:rsid w:val="00E87055"/>
    <w:rsid w:val="00E870EA"/>
    <w:rsid w:val="00E8714F"/>
    <w:rsid w:val="00E8716C"/>
    <w:rsid w:val="00E871CE"/>
    <w:rsid w:val="00E87237"/>
    <w:rsid w:val="00E87281"/>
    <w:rsid w:val="00E87284"/>
    <w:rsid w:val="00E87324"/>
    <w:rsid w:val="00E873D9"/>
    <w:rsid w:val="00E874A1"/>
    <w:rsid w:val="00E87B0E"/>
    <w:rsid w:val="00E87D6A"/>
    <w:rsid w:val="00E87D88"/>
    <w:rsid w:val="00E87DBB"/>
    <w:rsid w:val="00E87EB9"/>
    <w:rsid w:val="00E87F2B"/>
    <w:rsid w:val="00E87FBA"/>
    <w:rsid w:val="00E900D0"/>
    <w:rsid w:val="00E90138"/>
    <w:rsid w:val="00E9018E"/>
    <w:rsid w:val="00E9020D"/>
    <w:rsid w:val="00E90357"/>
    <w:rsid w:val="00E904D5"/>
    <w:rsid w:val="00E9055C"/>
    <w:rsid w:val="00E905FB"/>
    <w:rsid w:val="00E906E3"/>
    <w:rsid w:val="00E90753"/>
    <w:rsid w:val="00E9075F"/>
    <w:rsid w:val="00E9084C"/>
    <w:rsid w:val="00E90A3D"/>
    <w:rsid w:val="00E90A99"/>
    <w:rsid w:val="00E90B86"/>
    <w:rsid w:val="00E90BF8"/>
    <w:rsid w:val="00E90C06"/>
    <w:rsid w:val="00E90C0F"/>
    <w:rsid w:val="00E90C5F"/>
    <w:rsid w:val="00E90C8E"/>
    <w:rsid w:val="00E90D21"/>
    <w:rsid w:val="00E90D92"/>
    <w:rsid w:val="00E90F0D"/>
    <w:rsid w:val="00E91009"/>
    <w:rsid w:val="00E912B5"/>
    <w:rsid w:val="00E9170B"/>
    <w:rsid w:val="00E91861"/>
    <w:rsid w:val="00E9186A"/>
    <w:rsid w:val="00E918EB"/>
    <w:rsid w:val="00E91B04"/>
    <w:rsid w:val="00E91BA7"/>
    <w:rsid w:val="00E91C58"/>
    <w:rsid w:val="00E91DC5"/>
    <w:rsid w:val="00E91E60"/>
    <w:rsid w:val="00E91F12"/>
    <w:rsid w:val="00E91F40"/>
    <w:rsid w:val="00E92031"/>
    <w:rsid w:val="00E92230"/>
    <w:rsid w:val="00E92239"/>
    <w:rsid w:val="00E9224F"/>
    <w:rsid w:val="00E922A0"/>
    <w:rsid w:val="00E922D2"/>
    <w:rsid w:val="00E922F2"/>
    <w:rsid w:val="00E92310"/>
    <w:rsid w:val="00E923DB"/>
    <w:rsid w:val="00E923DC"/>
    <w:rsid w:val="00E9254D"/>
    <w:rsid w:val="00E9259C"/>
    <w:rsid w:val="00E92717"/>
    <w:rsid w:val="00E9296D"/>
    <w:rsid w:val="00E92970"/>
    <w:rsid w:val="00E929E3"/>
    <w:rsid w:val="00E92A70"/>
    <w:rsid w:val="00E92A97"/>
    <w:rsid w:val="00E92AAC"/>
    <w:rsid w:val="00E92D03"/>
    <w:rsid w:val="00E92D5C"/>
    <w:rsid w:val="00E92DD7"/>
    <w:rsid w:val="00E92E30"/>
    <w:rsid w:val="00E930B5"/>
    <w:rsid w:val="00E930BA"/>
    <w:rsid w:val="00E93138"/>
    <w:rsid w:val="00E9319B"/>
    <w:rsid w:val="00E931C2"/>
    <w:rsid w:val="00E9327E"/>
    <w:rsid w:val="00E933DB"/>
    <w:rsid w:val="00E93578"/>
    <w:rsid w:val="00E935D9"/>
    <w:rsid w:val="00E9363C"/>
    <w:rsid w:val="00E93657"/>
    <w:rsid w:val="00E93733"/>
    <w:rsid w:val="00E937FE"/>
    <w:rsid w:val="00E93890"/>
    <w:rsid w:val="00E938C0"/>
    <w:rsid w:val="00E938C5"/>
    <w:rsid w:val="00E939A2"/>
    <w:rsid w:val="00E939C5"/>
    <w:rsid w:val="00E939EA"/>
    <w:rsid w:val="00E93A0F"/>
    <w:rsid w:val="00E93C01"/>
    <w:rsid w:val="00E93C0B"/>
    <w:rsid w:val="00E93CF0"/>
    <w:rsid w:val="00E93DBB"/>
    <w:rsid w:val="00E93E51"/>
    <w:rsid w:val="00E93EF4"/>
    <w:rsid w:val="00E9400C"/>
    <w:rsid w:val="00E940B8"/>
    <w:rsid w:val="00E940CA"/>
    <w:rsid w:val="00E940F8"/>
    <w:rsid w:val="00E94107"/>
    <w:rsid w:val="00E941B5"/>
    <w:rsid w:val="00E94269"/>
    <w:rsid w:val="00E942A0"/>
    <w:rsid w:val="00E94337"/>
    <w:rsid w:val="00E943C3"/>
    <w:rsid w:val="00E94448"/>
    <w:rsid w:val="00E944FB"/>
    <w:rsid w:val="00E94559"/>
    <w:rsid w:val="00E94725"/>
    <w:rsid w:val="00E948F0"/>
    <w:rsid w:val="00E94999"/>
    <w:rsid w:val="00E949C2"/>
    <w:rsid w:val="00E949F1"/>
    <w:rsid w:val="00E94B32"/>
    <w:rsid w:val="00E94B64"/>
    <w:rsid w:val="00E94C06"/>
    <w:rsid w:val="00E94C56"/>
    <w:rsid w:val="00E94C70"/>
    <w:rsid w:val="00E94D0B"/>
    <w:rsid w:val="00E94F0C"/>
    <w:rsid w:val="00E94F4D"/>
    <w:rsid w:val="00E94F9C"/>
    <w:rsid w:val="00E94FAA"/>
    <w:rsid w:val="00E950CB"/>
    <w:rsid w:val="00E95339"/>
    <w:rsid w:val="00E9541A"/>
    <w:rsid w:val="00E95577"/>
    <w:rsid w:val="00E955D5"/>
    <w:rsid w:val="00E9560C"/>
    <w:rsid w:val="00E956C0"/>
    <w:rsid w:val="00E95714"/>
    <w:rsid w:val="00E95794"/>
    <w:rsid w:val="00E95799"/>
    <w:rsid w:val="00E95870"/>
    <w:rsid w:val="00E95972"/>
    <w:rsid w:val="00E95A23"/>
    <w:rsid w:val="00E95A6B"/>
    <w:rsid w:val="00E95ABF"/>
    <w:rsid w:val="00E95C9B"/>
    <w:rsid w:val="00E95CD8"/>
    <w:rsid w:val="00E95D72"/>
    <w:rsid w:val="00E95DC2"/>
    <w:rsid w:val="00E95E04"/>
    <w:rsid w:val="00E95E2F"/>
    <w:rsid w:val="00E95E7B"/>
    <w:rsid w:val="00E95EFA"/>
    <w:rsid w:val="00E95F4F"/>
    <w:rsid w:val="00E95F62"/>
    <w:rsid w:val="00E96227"/>
    <w:rsid w:val="00E9629C"/>
    <w:rsid w:val="00E96493"/>
    <w:rsid w:val="00E96497"/>
    <w:rsid w:val="00E965AA"/>
    <w:rsid w:val="00E96831"/>
    <w:rsid w:val="00E96B56"/>
    <w:rsid w:val="00E96C66"/>
    <w:rsid w:val="00E96D45"/>
    <w:rsid w:val="00E96ED2"/>
    <w:rsid w:val="00E97194"/>
    <w:rsid w:val="00E971B2"/>
    <w:rsid w:val="00E971BB"/>
    <w:rsid w:val="00E971BE"/>
    <w:rsid w:val="00E975A9"/>
    <w:rsid w:val="00E9764A"/>
    <w:rsid w:val="00E97699"/>
    <w:rsid w:val="00E977F1"/>
    <w:rsid w:val="00E978CB"/>
    <w:rsid w:val="00E978FC"/>
    <w:rsid w:val="00E979C7"/>
    <w:rsid w:val="00E97B3B"/>
    <w:rsid w:val="00E97BEB"/>
    <w:rsid w:val="00E97C00"/>
    <w:rsid w:val="00E97D5A"/>
    <w:rsid w:val="00E97D99"/>
    <w:rsid w:val="00E97E75"/>
    <w:rsid w:val="00E97E9B"/>
    <w:rsid w:val="00E97EB1"/>
    <w:rsid w:val="00E97ED1"/>
    <w:rsid w:val="00E97FC1"/>
    <w:rsid w:val="00EA0138"/>
    <w:rsid w:val="00EA015F"/>
    <w:rsid w:val="00EA0292"/>
    <w:rsid w:val="00EA02CF"/>
    <w:rsid w:val="00EA0305"/>
    <w:rsid w:val="00EA0388"/>
    <w:rsid w:val="00EA0545"/>
    <w:rsid w:val="00EA0668"/>
    <w:rsid w:val="00EA0699"/>
    <w:rsid w:val="00EA081F"/>
    <w:rsid w:val="00EA0912"/>
    <w:rsid w:val="00EA0963"/>
    <w:rsid w:val="00EA09AC"/>
    <w:rsid w:val="00EA09DB"/>
    <w:rsid w:val="00EA0A3C"/>
    <w:rsid w:val="00EA0AC0"/>
    <w:rsid w:val="00EA0B91"/>
    <w:rsid w:val="00EA0C3E"/>
    <w:rsid w:val="00EA0CF3"/>
    <w:rsid w:val="00EA0DB0"/>
    <w:rsid w:val="00EA0FDE"/>
    <w:rsid w:val="00EA1074"/>
    <w:rsid w:val="00EA1078"/>
    <w:rsid w:val="00EA13A8"/>
    <w:rsid w:val="00EA1408"/>
    <w:rsid w:val="00EA1561"/>
    <w:rsid w:val="00EA158C"/>
    <w:rsid w:val="00EA1716"/>
    <w:rsid w:val="00EA1742"/>
    <w:rsid w:val="00EA1808"/>
    <w:rsid w:val="00EA18DD"/>
    <w:rsid w:val="00EA18FA"/>
    <w:rsid w:val="00EA193D"/>
    <w:rsid w:val="00EA1943"/>
    <w:rsid w:val="00EA1956"/>
    <w:rsid w:val="00EA1D4B"/>
    <w:rsid w:val="00EA1E3D"/>
    <w:rsid w:val="00EA1E91"/>
    <w:rsid w:val="00EA1EB0"/>
    <w:rsid w:val="00EA1ECB"/>
    <w:rsid w:val="00EA1F9D"/>
    <w:rsid w:val="00EA22B9"/>
    <w:rsid w:val="00EA23BD"/>
    <w:rsid w:val="00EA23E5"/>
    <w:rsid w:val="00EA244C"/>
    <w:rsid w:val="00EA2474"/>
    <w:rsid w:val="00EA2533"/>
    <w:rsid w:val="00EA25AE"/>
    <w:rsid w:val="00EA26F9"/>
    <w:rsid w:val="00EA26FF"/>
    <w:rsid w:val="00EA273C"/>
    <w:rsid w:val="00EA27D7"/>
    <w:rsid w:val="00EA2A92"/>
    <w:rsid w:val="00EA2ACC"/>
    <w:rsid w:val="00EA2AFB"/>
    <w:rsid w:val="00EA2B5B"/>
    <w:rsid w:val="00EA2C2C"/>
    <w:rsid w:val="00EA2C44"/>
    <w:rsid w:val="00EA2C9B"/>
    <w:rsid w:val="00EA2D62"/>
    <w:rsid w:val="00EA2E30"/>
    <w:rsid w:val="00EA310A"/>
    <w:rsid w:val="00EA31F1"/>
    <w:rsid w:val="00EA321A"/>
    <w:rsid w:val="00EA32D8"/>
    <w:rsid w:val="00EA3333"/>
    <w:rsid w:val="00EA33DA"/>
    <w:rsid w:val="00EA3757"/>
    <w:rsid w:val="00EA37EC"/>
    <w:rsid w:val="00EA3851"/>
    <w:rsid w:val="00EA385C"/>
    <w:rsid w:val="00EA385F"/>
    <w:rsid w:val="00EA38A2"/>
    <w:rsid w:val="00EA395A"/>
    <w:rsid w:val="00EA399B"/>
    <w:rsid w:val="00EA3B08"/>
    <w:rsid w:val="00EA3BDD"/>
    <w:rsid w:val="00EA3DA0"/>
    <w:rsid w:val="00EA3DAE"/>
    <w:rsid w:val="00EA3E45"/>
    <w:rsid w:val="00EA3E86"/>
    <w:rsid w:val="00EA3EA4"/>
    <w:rsid w:val="00EA3F0F"/>
    <w:rsid w:val="00EA4008"/>
    <w:rsid w:val="00EA402C"/>
    <w:rsid w:val="00EA40AA"/>
    <w:rsid w:val="00EA4171"/>
    <w:rsid w:val="00EA421D"/>
    <w:rsid w:val="00EA4472"/>
    <w:rsid w:val="00EA46CD"/>
    <w:rsid w:val="00EA47B1"/>
    <w:rsid w:val="00EA4844"/>
    <w:rsid w:val="00EA4873"/>
    <w:rsid w:val="00EA4EAD"/>
    <w:rsid w:val="00EA5265"/>
    <w:rsid w:val="00EA526E"/>
    <w:rsid w:val="00EA553B"/>
    <w:rsid w:val="00EA5564"/>
    <w:rsid w:val="00EA556C"/>
    <w:rsid w:val="00EA57EA"/>
    <w:rsid w:val="00EA5852"/>
    <w:rsid w:val="00EA58B2"/>
    <w:rsid w:val="00EA5992"/>
    <w:rsid w:val="00EA5A88"/>
    <w:rsid w:val="00EA5B91"/>
    <w:rsid w:val="00EA5C31"/>
    <w:rsid w:val="00EA5F08"/>
    <w:rsid w:val="00EA5F1B"/>
    <w:rsid w:val="00EA60C4"/>
    <w:rsid w:val="00EA617C"/>
    <w:rsid w:val="00EA61A9"/>
    <w:rsid w:val="00EA623B"/>
    <w:rsid w:val="00EA6247"/>
    <w:rsid w:val="00EA62C8"/>
    <w:rsid w:val="00EA6485"/>
    <w:rsid w:val="00EA652C"/>
    <w:rsid w:val="00EA6579"/>
    <w:rsid w:val="00EA65C2"/>
    <w:rsid w:val="00EA667B"/>
    <w:rsid w:val="00EA668E"/>
    <w:rsid w:val="00EA66A6"/>
    <w:rsid w:val="00EA693B"/>
    <w:rsid w:val="00EA6B62"/>
    <w:rsid w:val="00EA6B75"/>
    <w:rsid w:val="00EA6BC2"/>
    <w:rsid w:val="00EA6C41"/>
    <w:rsid w:val="00EA6C54"/>
    <w:rsid w:val="00EA6C85"/>
    <w:rsid w:val="00EA6D73"/>
    <w:rsid w:val="00EA6E33"/>
    <w:rsid w:val="00EA6E5F"/>
    <w:rsid w:val="00EA6F07"/>
    <w:rsid w:val="00EA6FA7"/>
    <w:rsid w:val="00EA6FDA"/>
    <w:rsid w:val="00EA7059"/>
    <w:rsid w:val="00EA70BE"/>
    <w:rsid w:val="00EA70C8"/>
    <w:rsid w:val="00EA7171"/>
    <w:rsid w:val="00EA719A"/>
    <w:rsid w:val="00EA71E2"/>
    <w:rsid w:val="00EA7239"/>
    <w:rsid w:val="00EA739D"/>
    <w:rsid w:val="00EA7691"/>
    <w:rsid w:val="00EA76CF"/>
    <w:rsid w:val="00EA77B9"/>
    <w:rsid w:val="00EA787C"/>
    <w:rsid w:val="00EA78A6"/>
    <w:rsid w:val="00EA78AA"/>
    <w:rsid w:val="00EA78D0"/>
    <w:rsid w:val="00EA792E"/>
    <w:rsid w:val="00EA7A32"/>
    <w:rsid w:val="00EA7AB6"/>
    <w:rsid w:val="00EA7C0A"/>
    <w:rsid w:val="00EA7C76"/>
    <w:rsid w:val="00EA7C7B"/>
    <w:rsid w:val="00EA7CA6"/>
    <w:rsid w:val="00EA7CDB"/>
    <w:rsid w:val="00EA7E20"/>
    <w:rsid w:val="00EA7E26"/>
    <w:rsid w:val="00EA7ECA"/>
    <w:rsid w:val="00EA7F27"/>
    <w:rsid w:val="00EB0242"/>
    <w:rsid w:val="00EB03E1"/>
    <w:rsid w:val="00EB040D"/>
    <w:rsid w:val="00EB0464"/>
    <w:rsid w:val="00EB0513"/>
    <w:rsid w:val="00EB0557"/>
    <w:rsid w:val="00EB0656"/>
    <w:rsid w:val="00EB06F9"/>
    <w:rsid w:val="00EB085A"/>
    <w:rsid w:val="00EB08D0"/>
    <w:rsid w:val="00EB0A34"/>
    <w:rsid w:val="00EB0B7D"/>
    <w:rsid w:val="00EB0D0B"/>
    <w:rsid w:val="00EB0D62"/>
    <w:rsid w:val="00EB0D90"/>
    <w:rsid w:val="00EB0D92"/>
    <w:rsid w:val="00EB0E6B"/>
    <w:rsid w:val="00EB0FA2"/>
    <w:rsid w:val="00EB1120"/>
    <w:rsid w:val="00EB11AB"/>
    <w:rsid w:val="00EB13BC"/>
    <w:rsid w:val="00EB1437"/>
    <w:rsid w:val="00EB1452"/>
    <w:rsid w:val="00EB1535"/>
    <w:rsid w:val="00EB1609"/>
    <w:rsid w:val="00EB160E"/>
    <w:rsid w:val="00EB163B"/>
    <w:rsid w:val="00EB168C"/>
    <w:rsid w:val="00EB16BD"/>
    <w:rsid w:val="00EB1843"/>
    <w:rsid w:val="00EB18F8"/>
    <w:rsid w:val="00EB1A80"/>
    <w:rsid w:val="00EB1A98"/>
    <w:rsid w:val="00EB1C08"/>
    <w:rsid w:val="00EB1CFF"/>
    <w:rsid w:val="00EB1D0F"/>
    <w:rsid w:val="00EB2189"/>
    <w:rsid w:val="00EB244F"/>
    <w:rsid w:val="00EB24FA"/>
    <w:rsid w:val="00EB2527"/>
    <w:rsid w:val="00EB25EB"/>
    <w:rsid w:val="00EB25ED"/>
    <w:rsid w:val="00EB260A"/>
    <w:rsid w:val="00EB2642"/>
    <w:rsid w:val="00EB26DD"/>
    <w:rsid w:val="00EB26F4"/>
    <w:rsid w:val="00EB2774"/>
    <w:rsid w:val="00EB2945"/>
    <w:rsid w:val="00EB2A12"/>
    <w:rsid w:val="00EB2DB3"/>
    <w:rsid w:val="00EB2DDF"/>
    <w:rsid w:val="00EB2DFD"/>
    <w:rsid w:val="00EB2E8B"/>
    <w:rsid w:val="00EB2EE0"/>
    <w:rsid w:val="00EB3035"/>
    <w:rsid w:val="00EB3088"/>
    <w:rsid w:val="00EB312F"/>
    <w:rsid w:val="00EB316B"/>
    <w:rsid w:val="00EB324F"/>
    <w:rsid w:val="00EB32CE"/>
    <w:rsid w:val="00EB33F0"/>
    <w:rsid w:val="00EB3411"/>
    <w:rsid w:val="00EB3564"/>
    <w:rsid w:val="00EB35A3"/>
    <w:rsid w:val="00EB35AA"/>
    <w:rsid w:val="00EB35AE"/>
    <w:rsid w:val="00EB3616"/>
    <w:rsid w:val="00EB366B"/>
    <w:rsid w:val="00EB37D7"/>
    <w:rsid w:val="00EB3B74"/>
    <w:rsid w:val="00EB3B7E"/>
    <w:rsid w:val="00EB4063"/>
    <w:rsid w:val="00EB4080"/>
    <w:rsid w:val="00EB4095"/>
    <w:rsid w:val="00EB40F1"/>
    <w:rsid w:val="00EB4311"/>
    <w:rsid w:val="00EB43F3"/>
    <w:rsid w:val="00EB442A"/>
    <w:rsid w:val="00EB454A"/>
    <w:rsid w:val="00EB457F"/>
    <w:rsid w:val="00EB4806"/>
    <w:rsid w:val="00EB4810"/>
    <w:rsid w:val="00EB4817"/>
    <w:rsid w:val="00EB48BF"/>
    <w:rsid w:val="00EB4957"/>
    <w:rsid w:val="00EB4A9F"/>
    <w:rsid w:val="00EB4CC1"/>
    <w:rsid w:val="00EB4CD9"/>
    <w:rsid w:val="00EB4F1C"/>
    <w:rsid w:val="00EB4F31"/>
    <w:rsid w:val="00EB5147"/>
    <w:rsid w:val="00EB5235"/>
    <w:rsid w:val="00EB52AB"/>
    <w:rsid w:val="00EB5305"/>
    <w:rsid w:val="00EB53D6"/>
    <w:rsid w:val="00EB5484"/>
    <w:rsid w:val="00EB54F3"/>
    <w:rsid w:val="00EB557F"/>
    <w:rsid w:val="00EB5626"/>
    <w:rsid w:val="00EB5712"/>
    <w:rsid w:val="00EB57BC"/>
    <w:rsid w:val="00EB58A2"/>
    <w:rsid w:val="00EB5B27"/>
    <w:rsid w:val="00EB5BC8"/>
    <w:rsid w:val="00EB5D3E"/>
    <w:rsid w:val="00EB5E3D"/>
    <w:rsid w:val="00EB5E5D"/>
    <w:rsid w:val="00EB5F64"/>
    <w:rsid w:val="00EB61D2"/>
    <w:rsid w:val="00EB6235"/>
    <w:rsid w:val="00EB62B2"/>
    <w:rsid w:val="00EB636D"/>
    <w:rsid w:val="00EB63B7"/>
    <w:rsid w:val="00EB6481"/>
    <w:rsid w:val="00EB6483"/>
    <w:rsid w:val="00EB64C6"/>
    <w:rsid w:val="00EB6545"/>
    <w:rsid w:val="00EB6594"/>
    <w:rsid w:val="00EB66EF"/>
    <w:rsid w:val="00EB67D7"/>
    <w:rsid w:val="00EB67E4"/>
    <w:rsid w:val="00EB686E"/>
    <w:rsid w:val="00EB692A"/>
    <w:rsid w:val="00EB6957"/>
    <w:rsid w:val="00EB6976"/>
    <w:rsid w:val="00EB69BC"/>
    <w:rsid w:val="00EB6AE8"/>
    <w:rsid w:val="00EB6BDE"/>
    <w:rsid w:val="00EB6BE4"/>
    <w:rsid w:val="00EB6D1B"/>
    <w:rsid w:val="00EB6D3F"/>
    <w:rsid w:val="00EB715A"/>
    <w:rsid w:val="00EB71DB"/>
    <w:rsid w:val="00EB7241"/>
    <w:rsid w:val="00EB747E"/>
    <w:rsid w:val="00EB7496"/>
    <w:rsid w:val="00EB7539"/>
    <w:rsid w:val="00EB7590"/>
    <w:rsid w:val="00EB78BF"/>
    <w:rsid w:val="00EB7AB6"/>
    <w:rsid w:val="00EB7C12"/>
    <w:rsid w:val="00EB7CDD"/>
    <w:rsid w:val="00EB7E65"/>
    <w:rsid w:val="00EB7EC2"/>
    <w:rsid w:val="00EB7FC8"/>
    <w:rsid w:val="00EC0035"/>
    <w:rsid w:val="00EC012E"/>
    <w:rsid w:val="00EC0163"/>
    <w:rsid w:val="00EC01A2"/>
    <w:rsid w:val="00EC01A7"/>
    <w:rsid w:val="00EC01BC"/>
    <w:rsid w:val="00EC01CE"/>
    <w:rsid w:val="00EC0314"/>
    <w:rsid w:val="00EC034B"/>
    <w:rsid w:val="00EC0454"/>
    <w:rsid w:val="00EC05F0"/>
    <w:rsid w:val="00EC0721"/>
    <w:rsid w:val="00EC0728"/>
    <w:rsid w:val="00EC07A6"/>
    <w:rsid w:val="00EC08B2"/>
    <w:rsid w:val="00EC08EF"/>
    <w:rsid w:val="00EC0A1C"/>
    <w:rsid w:val="00EC0A3F"/>
    <w:rsid w:val="00EC0DBD"/>
    <w:rsid w:val="00EC0E00"/>
    <w:rsid w:val="00EC0F07"/>
    <w:rsid w:val="00EC107D"/>
    <w:rsid w:val="00EC1092"/>
    <w:rsid w:val="00EC10CA"/>
    <w:rsid w:val="00EC10ED"/>
    <w:rsid w:val="00EC110B"/>
    <w:rsid w:val="00EC1293"/>
    <w:rsid w:val="00EC12DD"/>
    <w:rsid w:val="00EC1341"/>
    <w:rsid w:val="00EC1350"/>
    <w:rsid w:val="00EC138B"/>
    <w:rsid w:val="00EC1528"/>
    <w:rsid w:val="00EC153F"/>
    <w:rsid w:val="00EC1730"/>
    <w:rsid w:val="00EC1903"/>
    <w:rsid w:val="00EC191F"/>
    <w:rsid w:val="00EC1A5B"/>
    <w:rsid w:val="00EC1ACF"/>
    <w:rsid w:val="00EC1B01"/>
    <w:rsid w:val="00EC1B2B"/>
    <w:rsid w:val="00EC1B54"/>
    <w:rsid w:val="00EC1CFF"/>
    <w:rsid w:val="00EC2054"/>
    <w:rsid w:val="00EC2157"/>
    <w:rsid w:val="00EC2218"/>
    <w:rsid w:val="00EC230B"/>
    <w:rsid w:val="00EC23DE"/>
    <w:rsid w:val="00EC2492"/>
    <w:rsid w:val="00EC262B"/>
    <w:rsid w:val="00EC26F3"/>
    <w:rsid w:val="00EC279E"/>
    <w:rsid w:val="00EC27E5"/>
    <w:rsid w:val="00EC28DF"/>
    <w:rsid w:val="00EC2936"/>
    <w:rsid w:val="00EC2A00"/>
    <w:rsid w:val="00EC2AE2"/>
    <w:rsid w:val="00EC2B1B"/>
    <w:rsid w:val="00EC2BEB"/>
    <w:rsid w:val="00EC2BF7"/>
    <w:rsid w:val="00EC2D29"/>
    <w:rsid w:val="00EC2E04"/>
    <w:rsid w:val="00EC2E09"/>
    <w:rsid w:val="00EC2E3D"/>
    <w:rsid w:val="00EC2E81"/>
    <w:rsid w:val="00EC2E9E"/>
    <w:rsid w:val="00EC2EB4"/>
    <w:rsid w:val="00EC2F83"/>
    <w:rsid w:val="00EC33C6"/>
    <w:rsid w:val="00EC3455"/>
    <w:rsid w:val="00EC3599"/>
    <w:rsid w:val="00EC35FD"/>
    <w:rsid w:val="00EC36FB"/>
    <w:rsid w:val="00EC3700"/>
    <w:rsid w:val="00EC3753"/>
    <w:rsid w:val="00EC3773"/>
    <w:rsid w:val="00EC3774"/>
    <w:rsid w:val="00EC37CE"/>
    <w:rsid w:val="00EC38F9"/>
    <w:rsid w:val="00EC3AC1"/>
    <w:rsid w:val="00EC3C9F"/>
    <w:rsid w:val="00EC3CBF"/>
    <w:rsid w:val="00EC3D03"/>
    <w:rsid w:val="00EC3DBC"/>
    <w:rsid w:val="00EC3F05"/>
    <w:rsid w:val="00EC3F6B"/>
    <w:rsid w:val="00EC3F78"/>
    <w:rsid w:val="00EC3FEE"/>
    <w:rsid w:val="00EC421E"/>
    <w:rsid w:val="00EC423E"/>
    <w:rsid w:val="00EC4270"/>
    <w:rsid w:val="00EC4324"/>
    <w:rsid w:val="00EC43A0"/>
    <w:rsid w:val="00EC4497"/>
    <w:rsid w:val="00EC44AA"/>
    <w:rsid w:val="00EC4704"/>
    <w:rsid w:val="00EC4722"/>
    <w:rsid w:val="00EC4885"/>
    <w:rsid w:val="00EC4896"/>
    <w:rsid w:val="00EC48C1"/>
    <w:rsid w:val="00EC49EC"/>
    <w:rsid w:val="00EC4BF5"/>
    <w:rsid w:val="00EC4C83"/>
    <w:rsid w:val="00EC4D3B"/>
    <w:rsid w:val="00EC4D4B"/>
    <w:rsid w:val="00EC4D9A"/>
    <w:rsid w:val="00EC4EFF"/>
    <w:rsid w:val="00EC50BF"/>
    <w:rsid w:val="00EC51DF"/>
    <w:rsid w:val="00EC5230"/>
    <w:rsid w:val="00EC529A"/>
    <w:rsid w:val="00EC53B8"/>
    <w:rsid w:val="00EC53BC"/>
    <w:rsid w:val="00EC5401"/>
    <w:rsid w:val="00EC54A4"/>
    <w:rsid w:val="00EC54F9"/>
    <w:rsid w:val="00EC553D"/>
    <w:rsid w:val="00EC55F7"/>
    <w:rsid w:val="00EC56F5"/>
    <w:rsid w:val="00EC575E"/>
    <w:rsid w:val="00EC5908"/>
    <w:rsid w:val="00EC5991"/>
    <w:rsid w:val="00EC5B8D"/>
    <w:rsid w:val="00EC5C7D"/>
    <w:rsid w:val="00EC5E5D"/>
    <w:rsid w:val="00EC5ECB"/>
    <w:rsid w:val="00EC5EEC"/>
    <w:rsid w:val="00EC5F08"/>
    <w:rsid w:val="00EC6086"/>
    <w:rsid w:val="00EC60BE"/>
    <w:rsid w:val="00EC6117"/>
    <w:rsid w:val="00EC61BD"/>
    <w:rsid w:val="00EC6219"/>
    <w:rsid w:val="00EC62C8"/>
    <w:rsid w:val="00EC62F0"/>
    <w:rsid w:val="00EC6305"/>
    <w:rsid w:val="00EC6525"/>
    <w:rsid w:val="00EC6560"/>
    <w:rsid w:val="00EC6634"/>
    <w:rsid w:val="00EC668D"/>
    <w:rsid w:val="00EC6930"/>
    <w:rsid w:val="00EC696B"/>
    <w:rsid w:val="00EC6984"/>
    <w:rsid w:val="00EC6C4A"/>
    <w:rsid w:val="00EC6D88"/>
    <w:rsid w:val="00EC6EA2"/>
    <w:rsid w:val="00EC6EBD"/>
    <w:rsid w:val="00EC6F18"/>
    <w:rsid w:val="00EC6FF0"/>
    <w:rsid w:val="00EC710E"/>
    <w:rsid w:val="00EC717E"/>
    <w:rsid w:val="00EC7399"/>
    <w:rsid w:val="00EC741A"/>
    <w:rsid w:val="00EC7512"/>
    <w:rsid w:val="00EC7530"/>
    <w:rsid w:val="00EC7574"/>
    <w:rsid w:val="00EC7581"/>
    <w:rsid w:val="00EC7835"/>
    <w:rsid w:val="00EC7839"/>
    <w:rsid w:val="00EC78A1"/>
    <w:rsid w:val="00EC78CB"/>
    <w:rsid w:val="00EC7A35"/>
    <w:rsid w:val="00EC7A41"/>
    <w:rsid w:val="00EC7B12"/>
    <w:rsid w:val="00EC7D2B"/>
    <w:rsid w:val="00EC7DCC"/>
    <w:rsid w:val="00EC7E7B"/>
    <w:rsid w:val="00ED005C"/>
    <w:rsid w:val="00ED00CC"/>
    <w:rsid w:val="00ED01D6"/>
    <w:rsid w:val="00ED0211"/>
    <w:rsid w:val="00ED0262"/>
    <w:rsid w:val="00ED0380"/>
    <w:rsid w:val="00ED067C"/>
    <w:rsid w:val="00ED071A"/>
    <w:rsid w:val="00ED0876"/>
    <w:rsid w:val="00ED08A7"/>
    <w:rsid w:val="00ED08ED"/>
    <w:rsid w:val="00ED092E"/>
    <w:rsid w:val="00ED0B6F"/>
    <w:rsid w:val="00ED0E61"/>
    <w:rsid w:val="00ED11BC"/>
    <w:rsid w:val="00ED121C"/>
    <w:rsid w:val="00ED12B7"/>
    <w:rsid w:val="00ED135F"/>
    <w:rsid w:val="00ED13D2"/>
    <w:rsid w:val="00ED1553"/>
    <w:rsid w:val="00ED15DC"/>
    <w:rsid w:val="00ED1618"/>
    <w:rsid w:val="00ED17E8"/>
    <w:rsid w:val="00ED1901"/>
    <w:rsid w:val="00ED19AA"/>
    <w:rsid w:val="00ED1AAA"/>
    <w:rsid w:val="00ED1AE4"/>
    <w:rsid w:val="00ED1C58"/>
    <w:rsid w:val="00ED1D42"/>
    <w:rsid w:val="00ED1D88"/>
    <w:rsid w:val="00ED205B"/>
    <w:rsid w:val="00ED21B7"/>
    <w:rsid w:val="00ED226F"/>
    <w:rsid w:val="00ED2351"/>
    <w:rsid w:val="00ED2592"/>
    <w:rsid w:val="00ED25E2"/>
    <w:rsid w:val="00ED2696"/>
    <w:rsid w:val="00ED26CB"/>
    <w:rsid w:val="00ED26CE"/>
    <w:rsid w:val="00ED2908"/>
    <w:rsid w:val="00ED29EF"/>
    <w:rsid w:val="00ED2B1B"/>
    <w:rsid w:val="00ED2B3C"/>
    <w:rsid w:val="00ED2BE3"/>
    <w:rsid w:val="00ED2C4A"/>
    <w:rsid w:val="00ED2CFD"/>
    <w:rsid w:val="00ED2E19"/>
    <w:rsid w:val="00ED2E55"/>
    <w:rsid w:val="00ED2EFC"/>
    <w:rsid w:val="00ED2F00"/>
    <w:rsid w:val="00ED302D"/>
    <w:rsid w:val="00ED30B6"/>
    <w:rsid w:val="00ED3102"/>
    <w:rsid w:val="00ED3141"/>
    <w:rsid w:val="00ED3199"/>
    <w:rsid w:val="00ED325B"/>
    <w:rsid w:val="00ED335A"/>
    <w:rsid w:val="00ED3573"/>
    <w:rsid w:val="00ED3693"/>
    <w:rsid w:val="00ED36EE"/>
    <w:rsid w:val="00ED379B"/>
    <w:rsid w:val="00ED38EA"/>
    <w:rsid w:val="00ED395C"/>
    <w:rsid w:val="00ED39E4"/>
    <w:rsid w:val="00ED3ABA"/>
    <w:rsid w:val="00ED3B5E"/>
    <w:rsid w:val="00ED3B6E"/>
    <w:rsid w:val="00ED3BE6"/>
    <w:rsid w:val="00ED3CCD"/>
    <w:rsid w:val="00ED3CF5"/>
    <w:rsid w:val="00ED3CFB"/>
    <w:rsid w:val="00ED3DC2"/>
    <w:rsid w:val="00ED3F7C"/>
    <w:rsid w:val="00ED42C1"/>
    <w:rsid w:val="00ED439F"/>
    <w:rsid w:val="00ED4417"/>
    <w:rsid w:val="00ED45DE"/>
    <w:rsid w:val="00ED478B"/>
    <w:rsid w:val="00ED489D"/>
    <w:rsid w:val="00ED48E2"/>
    <w:rsid w:val="00ED49CA"/>
    <w:rsid w:val="00ED4B33"/>
    <w:rsid w:val="00ED4B8E"/>
    <w:rsid w:val="00ED4BBA"/>
    <w:rsid w:val="00ED4C91"/>
    <w:rsid w:val="00ED4CF9"/>
    <w:rsid w:val="00ED4D3B"/>
    <w:rsid w:val="00ED4E5D"/>
    <w:rsid w:val="00ED4EAE"/>
    <w:rsid w:val="00ED4F89"/>
    <w:rsid w:val="00ED5183"/>
    <w:rsid w:val="00ED51B9"/>
    <w:rsid w:val="00ED53E9"/>
    <w:rsid w:val="00ED548D"/>
    <w:rsid w:val="00ED5521"/>
    <w:rsid w:val="00ED55D7"/>
    <w:rsid w:val="00ED5618"/>
    <w:rsid w:val="00ED56D7"/>
    <w:rsid w:val="00ED56F4"/>
    <w:rsid w:val="00ED5705"/>
    <w:rsid w:val="00ED578B"/>
    <w:rsid w:val="00ED5826"/>
    <w:rsid w:val="00ED59CF"/>
    <w:rsid w:val="00ED5A95"/>
    <w:rsid w:val="00ED5B34"/>
    <w:rsid w:val="00ED5B66"/>
    <w:rsid w:val="00ED5E65"/>
    <w:rsid w:val="00ED5E7C"/>
    <w:rsid w:val="00ED5F93"/>
    <w:rsid w:val="00ED5FE9"/>
    <w:rsid w:val="00ED6026"/>
    <w:rsid w:val="00ED61D0"/>
    <w:rsid w:val="00ED623C"/>
    <w:rsid w:val="00ED63AA"/>
    <w:rsid w:val="00ED6566"/>
    <w:rsid w:val="00ED68A4"/>
    <w:rsid w:val="00ED6941"/>
    <w:rsid w:val="00ED694B"/>
    <w:rsid w:val="00ED69BE"/>
    <w:rsid w:val="00ED6A90"/>
    <w:rsid w:val="00ED6BB8"/>
    <w:rsid w:val="00ED6BCA"/>
    <w:rsid w:val="00ED6C74"/>
    <w:rsid w:val="00ED6D6D"/>
    <w:rsid w:val="00ED6DBA"/>
    <w:rsid w:val="00ED6E5A"/>
    <w:rsid w:val="00ED6FC8"/>
    <w:rsid w:val="00ED7133"/>
    <w:rsid w:val="00ED7156"/>
    <w:rsid w:val="00ED7161"/>
    <w:rsid w:val="00ED72AA"/>
    <w:rsid w:val="00ED73A0"/>
    <w:rsid w:val="00ED73A2"/>
    <w:rsid w:val="00ED7581"/>
    <w:rsid w:val="00ED75A6"/>
    <w:rsid w:val="00ED75FD"/>
    <w:rsid w:val="00ED76A5"/>
    <w:rsid w:val="00ED774D"/>
    <w:rsid w:val="00ED776C"/>
    <w:rsid w:val="00ED77F9"/>
    <w:rsid w:val="00ED7847"/>
    <w:rsid w:val="00ED79FE"/>
    <w:rsid w:val="00ED7A48"/>
    <w:rsid w:val="00ED7A8F"/>
    <w:rsid w:val="00ED7AED"/>
    <w:rsid w:val="00ED7B43"/>
    <w:rsid w:val="00ED7C0F"/>
    <w:rsid w:val="00ED7CF5"/>
    <w:rsid w:val="00ED7D5F"/>
    <w:rsid w:val="00ED7DE3"/>
    <w:rsid w:val="00ED7E7C"/>
    <w:rsid w:val="00ED7FA8"/>
    <w:rsid w:val="00ED7FEA"/>
    <w:rsid w:val="00EE000B"/>
    <w:rsid w:val="00EE0045"/>
    <w:rsid w:val="00EE01D5"/>
    <w:rsid w:val="00EE0332"/>
    <w:rsid w:val="00EE04DE"/>
    <w:rsid w:val="00EE0516"/>
    <w:rsid w:val="00EE0608"/>
    <w:rsid w:val="00EE06AF"/>
    <w:rsid w:val="00EE06DD"/>
    <w:rsid w:val="00EE07E0"/>
    <w:rsid w:val="00EE09D4"/>
    <w:rsid w:val="00EE0B23"/>
    <w:rsid w:val="00EE0B49"/>
    <w:rsid w:val="00EE0BE9"/>
    <w:rsid w:val="00EE0C02"/>
    <w:rsid w:val="00EE0C6D"/>
    <w:rsid w:val="00EE0D1A"/>
    <w:rsid w:val="00EE0D94"/>
    <w:rsid w:val="00EE0E2D"/>
    <w:rsid w:val="00EE0EB0"/>
    <w:rsid w:val="00EE0F02"/>
    <w:rsid w:val="00EE10B7"/>
    <w:rsid w:val="00EE1208"/>
    <w:rsid w:val="00EE1221"/>
    <w:rsid w:val="00EE128D"/>
    <w:rsid w:val="00EE12BB"/>
    <w:rsid w:val="00EE12E1"/>
    <w:rsid w:val="00EE139D"/>
    <w:rsid w:val="00EE13B7"/>
    <w:rsid w:val="00EE1452"/>
    <w:rsid w:val="00EE154B"/>
    <w:rsid w:val="00EE1680"/>
    <w:rsid w:val="00EE1775"/>
    <w:rsid w:val="00EE178C"/>
    <w:rsid w:val="00EE18C8"/>
    <w:rsid w:val="00EE19F8"/>
    <w:rsid w:val="00EE1A11"/>
    <w:rsid w:val="00EE1A8B"/>
    <w:rsid w:val="00EE1A96"/>
    <w:rsid w:val="00EE1D45"/>
    <w:rsid w:val="00EE1DA7"/>
    <w:rsid w:val="00EE1DAD"/>
    <w:rsid w:val="00EE1E7F"/>
    <w:rsid w:val="00EE1F38"/>
    <w:rsid w:val="00EE1FE7"/>
    <w:rsid w:val="00EE20FC"/>
    <w:rsid w:val="00EE22CA"/>
    <w:rsid w:val="00EE23B4"/>
    <w:rsid w:val="00EE2426"/>
    <w:rsid w:val="00EE2427"/>
    <w:rsid w:val="00EE24EA"/>
    <w:rsid w:val="00EE25CB"/>
    <w:rsid w:val="00EE25E1"/>
    <w:rsid w:val="00EE25F4"/>
    <w:rsid w:val="00EE266D"/>
    <w:rsid w:val="00EE26FA"/>
    <w:rsid w:val="00EE2857"/>
    <w:rsid w:val="00EE2A2A"/>
    <w:rsid w:val="00EE2AB7"/>
    <w:rsid w:val="00EE2B68"/>
    <w:rsid w:val="00EE2DEA"/>
    <w:rsid w:val="00EE2E94"/>
    <w:rsid w:val="00EE2F64"/>
    <w:rsid w:val="00EE2FFA"/>
    <w:rsid w:val="00EE303F"/>
    <w:rsid w:val="00EE3169"/>
    <w:rsid w:val="00EE31E7"/>
    <w:rsid w:val="00EE32F2"/>
    <w:rsid w:val="00EE33DB"/>
    <w:rsid w:val="00EE34F0"/>
    <w:rsid w:val="00EE3506"/>
    <w:rsid w:val="00EE3640"/>
    <w:rsid w:val="00EE36D5"/>
    <w:rsid w:val="00EE3736"/>
    <w:rsid w:val="00EE37AF"/>
    <w:rsid w:val="00EE3B27"/>
    <w:rsid w:val="00EE3B2C"/>
    <w:rsid w:val="00EE3B66"/>
    <w:rsid w:val="00EE3CA0"/>
    <w:rsid w:val="00EE3CEC"/>
    <w:rsid w:val="00EE3E26"/>
    <w:rsid w:val="00EE3E32"/>
    <w:rsid w:val="00EE3E7B"/>
    <w:rsid w:val="00EE408A"/>
    <w:rsid w:val="00EE41AE"/>
    <w:rsid w:val="00EE4270"/>
    <w:rsid w:val="00EE44CE"/>
    <w:rsid w:val="00EE44E4"/>
    <w:rsid w:val="00EE458F"/>
    <w:rsid w:val="00EE4592"/>
    <w:rsid w:val="00EE46DE"/>
    <w:rsid w:val="00EE46E7"/>
    <w:rsid w:val="00EE4732"/>
    <w:rsid w:val="00EE47CE"/>
    <w:rsid w:val="00EE4898"/>
    <w:rsid w:val="00EE489C"/>
    <w:rsid w:val="00EE48FF"/>
    <w:rsid w:val="00EE4995"/>
    <w:rsid w:val="00EE499A"/>
    <w:rsid w:val="00EE49E7"/>
    <w:rsid w:val="00EE4A4B"/>
    <w:rsid w:val="00EE4E87"/>
    <w:rsid w:val="00EE50EA"/>
    <w:rsid w:val="00EE5145"/>
    <w:rsid w:val="00EE5219"/>
    <w:rsid w:val="00EE52BB"/>
    <w:rsid w:val="00EE536F"/>
    <w:rsid w:val="00EE537D"/>
    <w:rsid w:val="00EE5382"/>
    <w:rsid w:val="00EE53C4"/>
    <w:rsid w:val="00EE5536"/>
    <w:rsid w:val="00EE5704"/>
    <w:rsid w:val="00EE5910"/>
    <w:rsid w:val="00EE5A8A"/>
    <w:rsid w:val="00EE5B34"/>
    <w:rsid w:val="00EE5B60"/>
    <w:rsid w:val="00EE5B67"/>
    <w:rsid w:val="00EE5C21"/>
    <w:rsid w:val="00EE5F7E"/>
    <w:rsid w:val="00EE5FDB"/>
    <w:rsid w:val="00EE60DF"/>
    <w:rsid w:val="00EE6436"/>
    <w:rsid w:val="00EE64C1"/>
    <w:rsid w:val="00EE668E"/>
    <w:rsid w:val="00EE670F"/>
    <w:rsid w:val="00EE6735"/>
    <w:rsid w:val="00EE6797"/>
    <w:rsid w:val="00EE680C"/>
    <w:rsid w:val="00EE6A02"/>
    <w:rsid w:val="00EE6AE9"/>
    <w:rsid w:val="00EE6CEB"/>
    <w:rsid w:val="00EE6D26"/>
    <w:rsid w:val="00EE6E9C"/>
    <w:rsid w:val="00EE6F14"/>
    <w:rsid w:val="00EE70F5"/>
    <w:rsid w:val="00EE70FA"/>
    <w:rsid w:val="00EE7239"/>
    <w:rsid w:val="00EE726F"/>
    <w:rsid w:val="00EE73F5"/>
    <w:rsid w:val="00EE748F"/>
    <w:rsid w:val="00EE74EC"/>
    <w:rsid w:val="00EE757A"/>
    <w:rsid w:val="00EE7586"/>
    <w:rsid w:val="00EE7647"/>
    <w:rsid w:val="00EE7677"/>
    <w:rsid w:val="00EE777A"/>
    <w:rsid w:val="00EE7847"/>
    <w:rsid w:val="00EE7A10"/>
    <w:rsid w:val="00EE7B48"/>
    <w:rsid w:val="00EE7B53"/>
    <w:rsid w:val="00EE7CE7"/>
    <w:rsid w:val="00EE7CFA"/>
    <w:rsid w:val="00EE7DEF"/>
    <w:rsid w:val="00EE7E2D"/>
    <w:rsid w:val="00EE7E98"/>
    <w:rsid w:val="00EE7EA5"/>
    <w:rsid w:val="00EE7F32"/>
    <w:rsid w:val="00EE7F36"/>
    <w:rsid w:val="00EE7F52"/>
    <w:rsid w:val="00EE7FE3"/>
    <w:rsid w:val="00EF00D3"/>
    <w:rsid w:val="00EF00F6"/>
    <w:rsid w:val="00EF00FE"/>
    <w:rsid w:val="00EF0107"/>
    <w:rsid w:val="00EF0152"/>
    <w:rsid w:val="00EF0206"/>
    <w:rsid w:val="00EF0324"/>
    <w:rsid w:val="00EF0329"/>
    <w:rsid w:val="00EF0381"/>
    <w:rsid w:val="00EF04F8"/>
    <w:rsid w:val="00EF05BC"/>
    <w:rsid w:val="00EF063D"/>
    <w:rsid w:val="00EF089C"/>
    <w:rsid w:val="00EF094C"/>
    <w:rsid w:val="00EF0A9B"/>
    <w:rsid w:val="00EF0BA4"/>
    <w:rsid w:val="00EF0BF5"/>
    <w:rsid w:val="00EF0E0C"/>
    <w:rsid w:val="00EF0E15"/>
    <w:rsid w:val="00EF0EFB"/>
    <w:rsid w:val="00EF111E"/>
    <w:rsid w:val="00EF12D5"/>
    <w:rsid w:val="00EF145C"/>
    <w:rsid w:val="00EF1490"/>
    <w:rsid w:val="00EF149D"/>
    <w:rsid w:val="00EF1768"/>
    <w:rsid w:val="00EF1786"/>
    <w:rsid w:val="00EF18CB"/>
    <w:rsid w:val="00EF1936"/>
    <w:rsid w:val="00EF1972"/>
    <w:rsid w:val="00EF1AF7"/>
    <w:rsid w:val="00EF1B61"/>
    <w:rsid w:val="00EF1B89"/>
    <w:rsid w:val="00EF1BC2"/>
    <w:rsid w:val="00EF1C45"/>
    <w:rsid w:val="00EF1DD1"/>
    <w:rsid w:val="00EF1FC3"/>
    <w:rsid w:val="00EF1FCD"/>
    <w:rsid w:val="00EF1FFD"/>
    <w:rsid w:val="00EF211B"/>
    <w:rsid w:val="00EF2156"/>
    <w:rsid w:val="00EF22B1"/>
    <w:rsid w:val="00EF23D0"/>
    <w:rsid w:val="00EF2453"/>
    <w:rsid w:val="00EF2554"/>
    <w:rsid w:val="00EF267C"/>
    <w:rsid w:val="00EF27E2"/>
    <w:rsid w:val="00EF287F"/>
    <w:rsid w:val="00EF28A5"/>
    <w:rsid w:val="00EF2961"/>
    <w:rsid w:val="00EF2AA3"/>
    <w:rsid w:val="00EF2C14"/>
    <w:rsid w:val="00EF2D98"/>
    <w:rsid w:val="00EF31F0"/>
    <w:rsid w:val="00EF3434"/>
    <w:rsid w:val="00EF34CF"/>
    <w:rsid w:val="00EF3531"/>
    <w:rsid w:val="00EF353F"/>
    <w:rsid w:val="00EF3573"/>
    <w:rsid w:val="00EF3585"/>
    <w:rsid w:val="00EF3636"/>
    <w:rsid w:val="00EF36FA"/>
    <w:rsid w:val="00EF3822"/>
    <w:rsid w:val="00EF384B"/>
    <w:rsid w:val="00EF3997"/>
    <w:rsid w:val="00EF3A0E"/>
    <w:rsid w:val="00EF3A7B"/>
    <w:rsid w:val="00EF3AA1"/>
    <w:rsid w:val="00EF3AEC"/>
    <w:rsid w:val="00EF3B82"/>
    <w:rsid w:val="00EF3BCC"/>
    <w:rsid w:val="00EF3BEA"/>
    <w:rsid w:val="00EF3BFA"/>
    <w:rsid w:val="00EF3C04"/>
    <w:rsid w:val="00EF3F23"/>
    <w:rsid w:val="00EF3F3D"/>
    <w:rsid w:val="00EF405D"/>
    <w:rsid w:val="00EF4089"/>
    <w:rsid w:val="00EF4156"/>
    <w:rsid w:val="00EF42A3"/>
    <w:rsid w:val="00EF43F1"/>
    <w:rsid w:val="00EF4430"/>
    <w:rsid w:val="00EF449B"/>
    <w:rsid w:val="00EF44A7"/>
    <w:rsid w:val="00EF44D0"/>
    <w:rsid w:val="00EF44E5"/>
    <w:rsid w:val="00EF45D5"/>
    <w:rsid w:val="00EF4626"/>
    <w:rsid w:val="00EF479F"/>
    <w:rsid w:val="00EF4894"/>
    <w:rsid w:val="00EF496D"/>
    <w:rsid w:val="00EF49C7"/>
    <w:rsid w:val="00EF49EA"/>
    <w:rsid w:val="00EF4A8E"/>
    <w:rsid w:val="00EF4B28"/>
    <w:rsid w:val="00EF4B5F"/>
    <w:rsid w:val="00EF4B86"/>
    <w:rsid w:val="00EF4BD6"/>
    <w:rsid w:val="00EF4BEF"/>
    <w:rsid w:val="00EF4BF4"/>
    <w:rsid w:val="00EF4C80"/>
    <w:rsid w:val="00EF4CEC"/>
    <w:rsid w:val="00EF4D6E"/>
    <w:rsid w:val="00EF4E4B"/>
    <w:rsid w:val="00EF4E9D"/>
    <w:rsid w:val="00EF4F13"/>
    <w:rsid w:val="00EF502B"/>
    <w:rsid w:val="00EF5048"/>
    <w:rsid w:val="00EF5090"/>
    <w:rsid w:val="00EF50A4"/>
    <w:rsid w:val="00EF5191"/>
    <w:rsid w:val="00EF545F"/>
    <w:rsid w:val="00EF54C0"/>
    <w:rsid w:val="00EF55F3"/>
    <w:rsid w:val="00EF5661"/>
    <w:rsid w:val="00EF5820"/>
    <w:rsid w:val="00EF5999"/>
    <w:rsid w:val="00EF5A21"/>
    <w:rsid w:val="00EF5A38"/>
    <w:rsid w:val="00EF5BBD"/>
    <w:rsid w:val="00EF5CA6"/>
    <w:rsid w:val="00EF5D8E"/>
    <w:rsid w:val="00EF5E6D"/>
    <w:rsid w:val="00EF5E8C"/>
    <w:rsid w:val="00EF5E9B"/>
    <w:rsid w:val="00EF5ECF"/>
    <w:rsid w:val="00EF6224"/>
    <w:rsid w:val="00EF625B"/>
    <w:rsid w:val="00EF62D4"/>
    <w:rsid w:val="00EF63AD"/>
    <w:rsid w:val="00EF641C"/>
    <w:rsid w:val="00EF6593"/>
    <w:rsid w:val="00EF66E4"/>
    <w:rsid w:val="00EF683D"/>
    <w:rsid w:val="00EF6850"/>
    <w:rsid w:val="00EF685F"/>
    <w:rsid w:val="00EF6881"/>
    <w:rsid w:val="00EF697B"/>
    <w:rsid w:val="00EF69A7"/>
    <w:rsid w:val="00EF6B37"/>
    <w:rsid w:val="00EF6B47"/>
    <w:rsid w:val="00EF6C1C"/>
    <w:rsid w:val="00EF6C9A"/>
    <w:rsid w:val="00EF6D11"/>
    <w:rsid w:val="00EF6DE9"/>
    <w:rsid w:val="00EF6EE9"/>
    <w:rsid w:val="00EF6FAE"/>
    <w:rsid w:val="00EF714E"/>
    <w:rsid w:val="00EF7154"/>
    <w:rsid w:val="00EF721A"/>
    <w:rsid w:val="00EF7236"/>
    <w:rsid w:val="00EF74C4"/>
    <w:rsid w:val="00EF7683"/>
    <w:rsid w:val="00EF7696"/>
    <w:rsid w:val="00EF7756"/>
    <w:rsid w:val="00EF775D"/>
    <w:rsid w:val="00EF77A4"/>
    <w:rsid w:val="00EF77C8"/>
    <w:rsid w:val="00EF77CF"/>
    <w:rsid w:val="00EF78AC"/>
    <w:rsid w:val="00EF793D"/>
    <w:rsid w:val="00EF7AC6"/>
    <w:rsid w:val="00EF7AE8"/>
    <w:rsid w:val="00EF7CD9"/>
    <w:rsid w:val="00EF7CE2"/>
    <w:rsid w:val="00EF7D02"/>
    <w:rsid w:val="00EF7E8D"/>
    <w:rsid w:val="00EF7F9E"/>
    <w:rsid w:val="00F000E5"/>
    <w:rsid w:val="00F000F4"/>
    <w:rsid w:val="00F0014C"/>
    <w:rsid w:val="00F0023D"/>
    <w:rsid w:val="00F0034D"/>
    <w:rsid w:val="00F00354"/>
    <w:rsid w:val="00F005AA"/>
    <w:rsid w:val="00F00614"/>
    <w:rsid w:val="00F0068B"/>
    <w:rsid w:val="00F00726"/>
    <w:rsid w:val="00F008DA"/>
    <w:rsid w:val="00F008F3"/>
    <w:rsid w:val="00F0099D"/>
    <w:rsid w:val="00F00A21"/>
    <w:rsid w:val="00F00A82"/>
    <w:rsid w:val="00F00ADF"/>
    <w:rsid w:val="00F00BCF"/>
    <w:rsid w:val="00F00CAC"/>
    <w:rsid w:val="00F00E88"/>
    <w:rsid w:val="00F00FEA"/>
    <w:rsid w:val="00F0105D"/>
    <w:rsid w:val="00F01099"/>
    <w:rsid w:val="00F010C9"/>
    <w:rsid w:val="00F01102"/>
    <w:rsid w:val="00F011BF"/>
    <w:rsid w:val="00F011D4"/>
    <w:rsid w:val="00F01408"/>
    <w:rsid w:val="00F0146F"/>
    <w:rsid w:val="00F014C8"/>
    <w:rsid w:val="00F01630"/>
    <w:rsid w:val="00F016A4"/>
    <w:rsid w:val="00F016DD"/>
    <w:rsid w:val="00F017E7"/>
    <w:rsid w:val="00F01871"/>
    <w:rsid w:val="00F018A3"/>
    <w:rsid w:val="00F0197D"/>
    <w:rsid w:val="00F01A43"/>
    <w:rsid w:val="00F01D22"/>
    <w:rsid w:val="00F01D87"/>
    <w:rsid w:val="00F01DCA"/>
    <w:rsid w:val="00F01EAE"/>
    <w:rsid w:val="00F02137"/>
    <w:rsid w:val="00F02300"/>
    <w:rsid w:val="00F02378"/>
    <w:rsid w:val="00F0240A"/>
    <w:rsid w:val="00F024CD"/>
    <w:rsid w:val="00F02510"/>
    <w:rsid w:val="00F02743"/>
    <w:rsid w:val="00F02803"/>
    <w:rsid w:val="00F028CD"/>
    <w:rsid w:val="00F028E2"/>
    <w:rsid w:val="00F02980"/>
    <w:rsid w:val="00F02A98"/>
    <w:rsid w:val="00F02B0C"/>
    <w:rsid w:val="00F02DC8"/>
    <w:rsid w:val="00F02E2B"/>
    <w:rsid w:val="00F02F06"/>
    <w:rsid w:val="00F03115"/>
    <w:rsid w:val="00F03160"/>
    <w:rsid w:val="00F03182"/>
    <w:rsid w:val="00F033D9"/>
    <w:rsid w:val="00F034A2"/>
    <w:rsid w:val="00F034D2"/>
    <w:rsid w:val="00F03503"/>
    <w:rsid w:val="00F03755"/>
    <w:rsid w:val="00F0377E"/>
    <w:rsid w:val="00F03872"/>
    <w:rsid w:val="00F03887"/>
    <w:rsid w:val="00F03A46"/>
    <w:rsid w:val="00F03BE3"/>
    <w:rsid w:val="00F03C18"/>
    <w:rsid w:val="00F03C67"/>
    <w:rsid w:val="00F03CCC"/>
    <w:rsid w:val="00F03CDB"/>
    <w:rsid w:val="00F03D50"/>
    <w:rsid w:val="00F03DD3"/>
    <w:rsid w:val="00F03EBF"/>
    <w:rsid w:val="00F03FA7"/>
    <w:rsid w:val="00F0405A"/>
    <w:rsid w:val="00F040A5"/>
    <w:rsid w:val="00F040C7"/>
    <w:rsid w:val="00F040FE"/>
    <w:rsid w:val="00F041A1"/>
    <w:rsid w:val="00F043B4"/>
    <w:rsid w:val="00F04545"/>
    <w:rsid w:val="00F04559"/>
    <w:rsid w:val="00F045A5"/>
    <w:rsid w:val="00F04652"/>
    <w:rsid w:val="00F046BD"/>
    <w:rsid w:val="00F0471B"/>
    <w:rsid w:val="00F04A19"/>
    <w:rsid w:val="00F04A83"/>
    <w:rsid w:val="00F04ABF"/>
    <w:rsid w:val="00F04B62"/>
    <w:rsid w:val="00F04D5C"/>
    <w:rsid w:val="00F04DE4"/>
    <w:rsid w:val="00F04DF0"/>
    <w:rsid w:val="00F04EAE"/>
    <w:rsid w:val="00F04F65"/>
    <w:rsid w:val="00F04FEC"/>
    <w:rsid w:val="00F05032"/>
    <w:rsid w:val="00F051EF"/>
    <w:rsid w:val="00F051FB"/>
    <w:rsid w:val="00F0521F"/>
    <w:rsid w:val="00F0529A"/>
    <w:rsid w:val="00F052B9"/>
    <w:rsid w:val="00F052E8"/>
    <w:rsid w:val="00F0555D"/>
    <w:rsid w:val="00F056E5"/>
    <w:rsid w:val="00F05755"/>
    <w:rsid w:val="00F058C5"/>
    <w:rsid w:val="00F05978"/>
    <w:rsid w:val="00F05999"/>
    <w:rsid w:val="00F05ACC"/>
    <w:rsid w:val="00F05C0C"/>
    <w:rsid w:val="00F05D75"/>
    <w:rsid w:val="00F05EC2"/>
    <w:rsid w:val="00F05F12"/>
    <w:rsid w:val="00F05F3F"/>
    <w:rsid w:val="00F0609E"/>
    <w:rsid w:val="00F061B6"/>
    <w:rsid w:val="00F063DA"/>
    <w:rsid w:val="00F064DE"/>
    <w:rsid w:val="00F065B4"/>
    <w:rsid w:val="00F066C3"/>
    <w:rsid w:val="00F066FE"/>
    <w:rsid w:val="00F067BA"/>
    <w:rsid w:val="00F067D5"/>
    <w:rsid w:val="00F06916"/>
    <w:rsid w:val="00F0694B"/>
    <w:rsid w:val="00F06A79"/>
    <w:rsid w:val="00F06BA9"/>
    <w:rsid w:val="00F06C65"/>
    <w:rsid w:val="00F06D4A"/>
    <w:rsid w:val="00F06DB5"/>
    <w:rsid w:val="00F06E5F"/>
    <w:rsid w:val="00F06FDF"/>
    <w:rsid w:val="00F0723C"/>
    <w:rsid w:val="00F0729E"/>
    <w:rsid w:val="00F07493"/>
    <w:rsid w:val="00F075A3"/>
    <w:rsid w:val="00F076A2"/>
    <w:rsid w:val="00F076C0"/>
    <w:rsid w:val="00F07729"/>
    <w:rsid w:val="00F07821"/>
    <w:rsid w:val="00F078B9"/>
    <w:rsid w:val="00F078D2"/>
    <w:rsid w:val="00F078D4"/>
    <w:rsid w:val="00F07981"/>
    <w:rsid w:val="00F07BCD"/>
    <w:rsid w:val="00F07C16"/>
    <w:rsid w:val="00F07C5E"/>
    <w:rsid w:val="00F07C9D"/>
    <w:rsid w:val="00F07CBD"/>
    <w:rsid w:val="00F07D3D"/>
    <w:rsid w:val="00F07E0D"/>
    <w:rsid w:val="00F07F44"/>
    <w:rsid w:val="00F07F56"/>
    <w:rsid w:val="00F07FC6"/>
    <w:rsid w:val="00F10033"/>
    <w:rsid w:val="00F1017F"/>
    <w:rsid w:val="00F10262"/>
    <w:rsid w:val="00F10263"/>
    <w:rsid w:val="00F103B1"/>
    <w:rsid w:val="00F10420"/>
    <w:rsid w:val="00F10452"/>
    <w:rsid w:val="00F10488"/>
    <w:rsid w:val="00F104CC"/>
    <w:rsid w:val="00F106BE"/>
    <w:rsid w:val="00F108FD"/>
    <w:rsid w:val="00F1090A"/>
    <w:rsid w:val="00F1095C"/>
    <w:rsid w:val="00F10988"/>
    <w:rsid w:val="00F10AD3"/>
    <w:rsid w:val="00F10C30"/>
    <w:rsid w:val="00F10E51"/>
    <w:rsid w:val="00F10E57"/>
    <w:rsid w:val="00F10E84"/>
    <w:rsid w:val="00F10F1C"/>
    <w:rsid w:val="00F10F2C"/>
    <w:rsid w:val="00F10FC4"/>
    <w:rsid w:val="00F110A8"/>
    <w:rsid w:val="00F11121"/>
    <w:rsid w:val="00F11271"/>
    <w:rsid w:val="00F113ED"/>
    <w:rsid w:val="00F114FF"/>
    <w:rsid w:val="00F11540"/>
    <w:rsid w:val="00F11599"/>
    <w:rsid w:val="00F116D2"/>
    <w:rsid w:val="00F116D4"/>
    <w:rsid w:val="00F11884"/>
    <w:rsid w:val="00F118B0"/>
    <w:rsid w:val="00F118B6"/>
    <w:rsid w:val="00F11A0F"/>
    <w:rsid w:val="00F11A10"/>
    <w:rsid w:val="00F11A19"/>
    <w:rsid w:val="00F11A31"/>
    <w:rsid w:val="00F11A72"/>
    <w:rsid w:val="00F11A93"/>
    <w:rsid w:val="00F11BC0"/>
    <w:rsid w:val="00F11CFF"/>
    <w:rsid w:val="00F11DAE"/>
    <w:rsid w:val="00F11EDC"/>
    <w:rsid w:val="00F11FB7"/>
    <w:rsid w:val="00F11FEB"/>
    <w:rsid w:val="00F12238"/>
    <w:rsid w:val="00F12307"/>
    <w:rsid w:val="00F1241C"/>
    <w:rsid w:val="00F12474"/>
    <w:rsid w:val="00F1269B"/>
    <w:rsid w:val="00F1280F"/>
    <w:rsid w:val="00F12841"/>
    <w:rsid w:val="00F128B7"/>
    <w:rsid w:val="00F1294B"/>
    <w:rsid w:val="00F129E9"/>
    <w:rsid w:val="00F12AB5"/>
    <w:rsid w:val="00F12B01"/>
    <w:rsid w:val="00F12B0A"/>
    <w:rsid w:val="00F12BE6"/>
    <w:rsid w:val="00F12C86"/>
    <w:rsid w:val="00F12CE7"/>
    <w:rsid w:val="00F12DB9"/>
    <w:rsid w:val="00F12E18"/>
    <w:rsid w:val="00F12E1B"/>
    <w:rsid w:val="00F12EBC"/>
    <w:rsid w:val="00F130E1"/>
    <w:rsid w:val="00F130E4"/>
    <w:rsid w:val="00F131D7"/>
    <w:rsid w:val="00F132A0"/>
    <w:rsid w:val="00F132B7"/>
    <w:rsid w:val="00F133C9"/>
    <w:rsid w:val="00F13525"/>
    <w:rsid w:val="00F13639"/>
    <w:rsid w:val="00F13974"/>
    <w:rsid w:val="00F13B18"/>
    <w:rsid w:val="00F13BCD"/>
    <w:rsid w:val="00F13D45"/>
    <w:rsid w:val="00F13DD8"/>
    <w:rsid w:val="00F13E1D"/>
    <w:rsid w:val="00F13E87"/>
    <w:rsid w:val="00F13E8C"/>
    <w:rsid w:val="00F13F13"/>
    <w:rsid w:val="00F13F61"/>
    <w:rsid w:val="00F14080"/>
    <w:rsid w:val="00F14089"/>
    <w:rsid w:val="00F14098"/>
    <w:rsid w:val="00F14270"/>
    <w:rsid w:val="00F14272"/>
    <w:rsid w:val="00F142E0"/>
    <w:rsid w:val="00F14338"/>
    <w:rsid w:val="00F1460E"/>
    <w:rsid w:val="00F14647"/>
    <w:rsid w:val="00F1469B"/>
    <w:rsid w:val="00F146B4"/>
    <w:rsid w:val="00F14727"/>
    <w:rsid w:val="00F14812"/>
    <w:rsid w:val="00F14844"/>
    <w:rsid w:val="00F148E4"/>
    <w:rsid w:val="00F148F1"/>
    <w:rsid w:val="00F14938"/>
    <w:rsid w:val="00F14970"/>
    <w:rsid w:val="00F14A77"/>
    <w:rsid w:val="00F14AA1"/>
    <w:rsid w:val="00F14AC0"/>
    <w:rsid w:val="00F14E32"/>
    <w:rsid w:val="00F14E48"/>
    <w:rsid w:val="00F14E58"/>
    <w:rsid w:val="00F14FB3"/>
    <w:rsid w:val="00F15115"/>
    <w:rsid w:val="00F15251"/>
    <w:rsid w:val="00F152CD"/>
    <w:rsid w:val="00F15419"/>
    <w:rsid w:val="00F156A3"/>
    <w:rsid w:val="00F156D4"/>
    <w:rsid w:val="00F1572B"/>
    <w:rsid w:val="00F15733"/>
    <w:rsid w:val="00F15790"/>
    <w:rsid w:val="00F1581E"/>
    <w:rsid w:val="00F15878"/>
    <w:rsid w:val="00F159BD"/>
    <w:rsid w:val="00F15CA4"/>
    <w:rsid w:val="00F15CA9"/>
    <w:rsid w:val="00F15D26"/>
    <w:rsid w:val="00F15D6E"/>
    <w:rsid w:val="00F15E85"/>
    <w:rsid w:val="00F15FA8"/>
    <w:rsid w:val="00F160CB"/>
    <w:rsid w:val="00F160EF"/>
    <w:rsid w:val="00F16158"/>
    <w:rsid w:val="00F162CE"/>
    <w:rsid w:val="00F162D4"/>
    <w:rsid w:val="00F164F3"/>
    <w:rsid w:val="00F16503"/>
    <w:rsid w:val="00F165CC"/>
    <w:rsid w:val="00F166BF"/>
    <w:rsid w:val="00F1673C"/>
    <w:rsid w:val="00F16768"/>
    <w:rsid w:val="00F1680A"/>
    <w:rsid w:val="00F169F6"/>
    <w:rsid w:val="00F16A2D"/>
    <w:rsid w:val="00F16A92"/>
    <w:rsid w:val="00F16AAE"/>
    <w:rsid w:val="00F16C13"/>
    <w:rsid w:val="00F16CAE"/>
    <w:rsid w:val="00F16D4D"/>
    <w:rsid w:val="00F16D63"/>
    <w:rsid w:val="00F16DA3"/>
    <w:rsid w:val="00F16DB9"/>
    <w:rsid w:val="00F16DE2"/>
    <w:rsid w:val="00F16EBF"/>
    <w:rsid w:val="00F16F18"/>
    <w:rsid w:val="00F17066"/>
    <w:rsid w:val="00F170A7"/>
    <w:rsid w:val="00F171FB"/>
    <w:rsid w:val="00F1726F"/>
    <w:rsid w:val="00F17292"/>
    <w:rsid w:val="00F17307"/>
    <w:rsid w:val="00F1735A"/>
    <w:rsid w:val="00F174C0"/>
    <w:rsid w:val="00F175A5"/>
    <w:rsid w:val="00F178D5"/>
    <w:rsid w:val="00F17ACF"/>
    <w:rsid w:val="00F17B9A"/>
    <w:rsid w:val="00F17C22"/>
    <w:rsid w:val="00F17D21"/>
    <w:rsid w:val="00F17D74"/>
    <w:rsid w:val="00F17E14"/>
    <w:rsid w:val="00F17E94"/>
    <w:rsid w:val="00F200C9"/>
    <w:rsid w:val="00F200E5"/>
    <w:rsid w:val="00F202BE"/>
    <w:rsid w:val="00F2035A"/>
    <w:rsid w:val="00F203BF"/>
    <w:rsid w:val="00F203FB"/>
    <w:rsid w:val="00F20552"/>
    <w:rsid w:val="00F2068D"/>
    <w:rsid w:val="00F20778"/>
    <w:rsid w:val="00F207FB"/>
    <w:rsid w:val="00F20887"/>
    <w:rsid w:val="00F20926"/>
    <w:rsid w:val="00F209F4"/>
    <w:rsid w:val="00F20ADF"/>
    <w:rsid w:val="00F20C26"/>
    <w:rsid w:val="00F20C5C"/>
    <w:rsid w:val="00F20D6E"/>
    <w:rsid w:val="00F20D94"/>
    <w:rsid w:val="00F20E15"/>
    <w:rsid w:val="00F20E19"/>
    <w:rsid w:val="00F20E48"/>
    <w:rsid w:val="00F20E6A"/>
    <w:rsid w:val="00F20E81"/>
    <w:rsid w:val="00F20EA4"/>
    <w:rsid w:val="00F20ED0"/>
    <w:rsid w:val="00F20EE6"/>
    <w:rsid w:val="00F20EE9"/>
    <w:rsid w:val="00F20EF1"/>
    <w:rsid w:val="00F20F0C"/>
    <w:rsid w:val="00F2109B"/>
    <w:rsid w:val="00F21223"/>
    <w:rsid w:val="00F212C8"/>
    <w:rsid w:val="00F212D4"/>
    <w:rsid w:val="00F21301"/>
    <w:rsid w:val="00F2133B"/>
    <w:rsid w:val="00F21612"/>
    <w:rsid w:val="00F21656"/>
    <w:rsid w:val="00F21677"/>
    <w:rsid w:val="00F2170A"/>
    <w:rsid w:val="00F21734"/>
    <w:rsid w:val="00F21A62"/>
    <w:rsid w:val="00F21C77"/>
    <w:rsid w:val="00F21D25"/>
    <w:rsid w:val="00F21DBB"/>
    <w:rsid w:val="00F21DF9"/>
    <w:rsid w:val="00F22003"/>
    <w:rsid w:val="00F22058"/>
    <w:rsid w:val="00F22282"/>
    <w:rsid w:val="00F22385"/>
    <w:rsid w:val="00F223D6"/>
    <w:rsid w:val="00F224B0"/>
    <w:rsid w:val="00F22522"/>
    <w:rsid w:val="00F22542"/>
    <w:rsid w:val="00F2266F"/>
    <w:rsid w:val="00F226F0"/>
    <w:rsid w:val="00F2288E"/>
    <w:rsid w:val="00F22931"/>
    <w:rsid w:val="00F22935"/>
    <w:rsid w:val="00F22A27"/>
    <w:rsid w:val="00F22A51"/>
    <w:rsid w:val="00F22AB8"/>
    <w:rsid w:val="00F22B93"/>
    <w:rsid w:val="00F22C1E"/>
    <w:rsid w:val="00F22CAF"/>
    <w:rsid w:val="00F22F51"/>
    <w:rsid w:val="00F23000"/>
    <w:rsid w:val="00F2315C"/>
    <w:rsid w:val="00F23228"/>
    <w:rsid w:val="00F2328B"/>
    <w:rsid w:val="00F2334D"/>
    <w:rsid w:val="00F234FB"/>
    <w:rsid w:val="00F23703"/>
    <w:rsid w:val="00F237D6"/>
    <w:rsid w:val="00F238E3"/>
    <w:rsid w:val="00F23A10"/>
    <w:rsid w:val="00F23A35"/>
    <w:rsid w:val="00F23AC2"/>
    <w:rsid w:val="00F23BDC"/>
    <w:rsid w:val="00F23C53"/>
    <w:rsid w:val="00F23DF8"/>
    <w:rsid w:val="00F23E83"/>
    <w:rsid w:val="00F23F47"/>
    <w:rsid w:val="00F23FF6"/>
    <w:rsid w:val="00F24059"/>
    <w:rsid w:val="00F24071"/>
    <w:rsid w:val="00F240A4"/>
    <w:rsid w:val="00F2419F"/>
    <w:rsid w:val="00F241C7"/>
    <w:rsid w:val="00F242C3"/>
    <w:rsid w:val="00F24374"/>
    <w:rsid w:val="00F244CF"/>
    <w:rsid w:val="00F244E4"/>
    <w:rsid w:val="00F2457B"/>
    <w:rsid w:val="00F2459B"/>
    <w:rsid w:val="00F245D6"/>
    <w:rsid w:val="00F24738"/>
    <w:rsid w:val="00F247CE"/>
    <w:rsid w:val="00F24858"/>
    <w:rsid w:val="00F24916"/>
    <w:rsid w:val="00F24923"/>
    <w:rsid w:val="00F24968"/>
    <w:rsid w:val="00F24A58"/>
    <w:rsid w:val="00F24B90"/>
    <w:rsid w:val="00F24BE1"/>
    <w:rsid w:val="00F24C44"/>
    <w:rsid w:val="00F24C54"/>
    <w:rsid w:val="00F24EF7"/>
    <w:rsid w:val="00F250F6"/>
    <w:rsid w:val="00F25121"/>
    <w:rsid w:val="00F25165"/>
    <w:rsid w:val="00F2517F"/>
    <w:rsid w:val="00F251A6"/>
    <w:rsid w:val="00F25374"/>
    <w:rsid w:val="00F253D4"/>
    <w:rsid w:val="00F253F7"/>
    <w:rsid w:val="00F25518"/>
    <w:rsid w:val="00F2552C"/>
    <w:rsid w:val="00F25565"/>
    <w:rsid w:val="00F25597"/>
    <w:rsid w:val="00F255B1"/>
    <w:rsid w:val="00F2569D"/>
    <w:rsid w:val="00F25BAA"/>
    <w:rsid w:val="00F25BE5"/>
    <w:rsid w:val="00F25CD6"/>
    <w:rsid w:val="00F25DE9"/>
    <w:rsid w:val="00F25E68"/>
    <w:rsid w:val="00F25FF8"/>
    <w:rsid w:val="00F260C5"/>
    <w:rsid w:val="00F2627B"/>
    <w:rsid w:val="00F26373"/>
    <w:rsid w:val="00F2649C"/>
    <w:rsid w:val="00F26568"/>
    <w:rsid w:val="00F2657E"/>
    <w:rsid w:val="00F265A2"/>
    <w:rsid w:val="00F2662A"/>
    <w:rsid w:val="00F26697"/>
    <w:rsid w:val="00F266B6"/>
    <w:rsid w:val="00F2693E"/>
    <w:rsid w:val="00F26B60"/>
    <w:rsid w:val="00F26BAE"/>
    <w:rsid w:val="00F26C0E"/>
    <w:rsid w:val="00F26C88"/>
    <w:rsid w:val="00F26D09"/>
    <w:rsid w:val="00F26D3F"/>
    <w:rsid w:val="00F26E2B"/>
    <w:rsid w:val="00F26EF3"/>
    <w:rsid w:val="00F26F53"/>
    <w:rsid w:val="00F27121"/>
    <w:rsid w:val="00F27145"/>
    <w:rsid w:val="00F27231"/>
    <w:rsid w:val="00F27485"/>
    <w:rsid w:val="00F276B4"/>
    <w:rsid w:val="00F27724"/>
    <w:rsid w:val="00F2789A"/>
    <w:rsid w:val="00F27ACF"/>
    <w:rsid w:val="00F27B66"/>
    <w:rsid w:val="00F27C6C"/>
    <w:rsid w:val="00F27CE0"/>
    <w:rsid w:val="00F27DF2"/>
    <w:rsid w:val="00F27EA4"/>
    <w:rsid w:val="00F27F35"/>
    <w:rsid w:val="00F27FCE"/>
    <w:rsid w:val="00F3000B"/>
    <w:rsid w:val="00F30065"/>
    <w:rsid w:val="00F300DF"/>
    <w:rsid w:val="00F300EB"/>
    <w:rsid w:val="00F3016F"/>
    <w:rsid w:val="00F3027D"/>
    <w:rsid w:val="00F303A3"/>
    <w:rsid w:val="00F303FA"/>
    <w:rsid w:val="00F3048A"/>
    <w:rsid w:val="00F3058F"/>
    <w:rsid w:val="00F30624"/>
    <w:rsid w:val="00F306E2"/>
    <w:rsid w:val="00F308C8"/>
    <w:rsid w:val="00F30B35"/>
    <w:rsid w:val="00F30C9F"/>
    <w:rsid w:val="00F30DD7"/>
    <w:rsid w:val="00F30F0E"/>
    <w:rsid w:val="00F30F16"/>
    <w:rsid w:val="00F3100D"/>
    <w:rsid w:val="00F311AA"/>
    <w:rsid w:val="00F313D7"/>
    <w:rsid w:val="00F313D9"/>
    <w:rsid w:val="00F31624"/>
    <w:rsid w:val="00F316CB"/>
    <w:rsid w:val="00F318E2"/>
    <w:rsid w:val="00F31A17"/>
    <w:rsid w:val="00F31DB9"/>
    <w:rsid w:val="00F31E95"/>
    <w:rsid w:val="00F3211B"/>
    <w:rsid w:val="00F32174"/>
    <w:rsid w:val="00F32201"/>
    <w:rsid w:val="00F3238E"/>
    <w:rsid w:val="00F325D9"/>
    <w:rsid w:val="00F32965"/>
    <w:rsid w:val="00F329A3"/>
    <w:rsid w:val="00F32B07"/>
    <w:rsid w:val="00F32BC3"/>
    <w:rsid w:val="00F32C5D"/>
    <w:rsid w:val="00F32D68"/>
    <w:rsid w:val="00F32D7F"/>
    <w:rsid w:val="00F32DB9"/>
    <w:rsid w:val="00F32E1A"/>
    <w:rsid w:val="00F32E59"/>
    <w:rsid w:val="00F330E8"/>
    <w:rsid w:val="00F33164"/>
    <w:rsid w:val="00F3325D"/>
    <w:rsid w:val="00F3331D"/>
    <w:rsid w:val="00F336FB"/>
    <w:rsid w:val="00F3376B"/>
    <w:rsid w:val="00F33809"/>
    <w:rsid w:val="00F33944"/>
    <w:rsid w:val="00F3396C"/>
    <w:rsid w:val="00F33F71"/>
    <w:rsid w:val="00F34008"/>
    <w:rsid w:val="00F341A9"/>
    <w:rsid w:val="00F341AF"/>
    <w:rsid w:val="00F341F1"/>
    <w:rsid w:val="00F341F8"/>
    <w:rsid w:val="00F3420D"/>
    <w:rsid w:val="00F34252"/>
    <w:rsid w:val="00F34398"/>
    <w:rsid w:val="00F3452B"/>
    <w:rsid w:val="00F34740"/>
    <w:rsid w:val="00F34886"/>
    <w:rsid w:val="00F34933"/>
    <w:rsid w:val="00F34A1E"/>
    <w:rsid w:val="00F34A3E"/>
    <w:rsid w:val="00F34A54"/>
    <w:rsid w:val="00F34A65"/>
    <w:rsid w:val="00F34ADC"/>
    <w:rsid w:val="00F34C53"/>
    <w:rsid w:val="00F34CD7"/>
    <w:rsid w:val="00F34D8D"/>
    <w:rsid w:val="00F34E0C"/>
    <w:rsid w:val="00F34E67"/>
    <w:rsid w:val="00F350A0"/>
    <w:rsid w:val="00F350F8"/>
    <w:rsid w:val="00F35270"/>
    <w:rsid w:val="00F352B3"/>
    <w:rsid w:val="00F35620"/>
    <w:rsid w:val="00F356D3"/>
    <w:rsid w:val="00F356E9"/>
    <w:rsid w:val="00F35725"/>
    <w:rsid w:val="00F35795"/>
    <w:rsid w:val="00F358EE"/>
    <w:rsid w:val="00F35952"/>
    <w:rsid w:val="00F359B1"/>
    <w:rsid w:val="00F35A21"/>
    <w:rsid w:val="00F35A26"/>
    <w:rsid w:val="00F35A61"/>
    <w:rsid w:val="00F35A66"/>
    <w:rsid w:val="00F35AC6"/>
    <w:rsid w:val="00F35B41"/>
    <w:rsid w:val="00F35D19"/>
    <w:rsid w:val="00F35E1B"/>
    <w:rsid w:val="00F35EB5"/>
    <w:rsid w:val="00F35F99"/>
    <w:rsid w:val="00F36087"/>
    <w:rsid w:val="00F360BF"/>
    <w:rsid w:val="00F360E4"/>
    <w:rsid w:val="00F363DE"/>
    <w:rsid w:val="00F364AA"/>
    <w:rsid w:val="00F364AD"/>
    <w:rsid w:val="00F365F3"/>
    <w:rsid w:val="00F3663C"/>
    <w:rsid w:val="00F366A2"/>
    <w:rsid w:val="00F367B8"/>
    <w:rsid w:val="00F36887"/>
    <w:rsid w:val="00F36889"/>
    <w:rsid w:val="00F368C4"/>
    <w:rsid w:val="00F36997"/>
    <w:rsid w:val="00F36B0C"/>
    <w:rsid w:val="00F36B31"/>
    <w:rsid w:val="00F36CFA"/>
    <w:rsid w:val="00F36E06"/>
    <w:rsid w:val="00F36E67"/>
    <w:rsid w:val="00F36E99"/>
    <w:rsid w:val="00F36F26"/>
    <w:rsid w:val="00F36F9F"/>
    <w:rsid w:val="00F36FAA"/>
    <w:rsid w:val="00F3702A"/>
    <w:rsid w:val="00F37112"/>
    <w:rsid w:val="00F3717F"/>
    <w:rsid w:val="00F371ED"/>
    <w:rsid w:val="00F37214"/>
    <w:rsid w:val="00F37228"/>
    <w:rsid w:val="00F3724E"/>
    <w:rsid w:val="00F372A3"/>
    <w:rsid w:val="00F372D3"/>
    <w:rsid w:val="00F373ED"/>
    <w:rsid w:val="00F3742A"/>
    <w:rsid w:val="00F37465"/>
    <w:rsid w:val="00F374B5"/>
    <w:rsid w:val="00F374F6"/>
    <w:rsid w:val="00F3760D"/>
    <w:rsid w:val="00F37783"/>
    <w:rsid w:val="00F37974"/>
    <w:rsid w:val="00F37A4E"/>
    <w:rsid w:val="00F37ADA"/>
    <w:rsid w:val="00F37B19"/>
    <w:rsid w:val="00F37BEC"/>
    <w:rsid w:val="00F37EAA"/>
    <w:rsid w:val="00F37F20"/>
    <w:rsid w:val="00F37FE4"/>
    <w:rsid w:val="00F400EE"/>
    <w:rsid w:val="00F4010B"/>
    <w:rsid w:val="00F40114"/>
    <w:rsid w:val="00F40203"/>
    <w:rsid w:val="00F40228"/>
    <w:rsid w:val="00F402BB"/>
    <w:rsid w:val="00F40452"/>
    <w:rsid w:val="00F404B6"/>
    <w:rsid w:val="00F405D1"/>
    <w:rsid w:val="00F4066E"/>
    <w:rsid w:val="00F406C5"/>
    <w:rsid w:val="00F40763"/>
    <w:rsid w:val="00F40A14"/>
    <w:rsid w:val="00F40A1E"/>
    <w:rsid w:val="00F40C76"/>
    <w:rsid w:val="00F40D17"/>
    <w:rsid w:val="00F40E13"/>
    <w:rsid w:val="00F40E30"/>
    <w:rsid w:val="00F40F0D"/>
    <w:rsid w:val="00F40F4D"/>
    <w:rsid w:val="00F411A6"/>
    <w:rsid w:val="00F411CA"/>
    <w:rsid w:val="00F413A8"/>
    <w:rsid w:val="00F413F5"/>
    <w:rsid w:val="00F41401"/>
    <w:rsid w:val="00F41590"/>
    <w:rsid w:val="00F415F2"/>
    <w:rsid w:val="00F416EE"/>
    <w:rsid w:val="00F41792"/>
    <w:rsid w:val="00F41876"/>
    <w:rsid w:val="00F4193D"/>
    <w:rsid w:val="00F419EF"/>
    <w:rsid w:val="00F41D1E"/>
    <w:rsid w:val="00F41D2D"/>
    <w:rsid w:val="00F41D41"/>
    <w:rsid w:val="00F41D87"/>
    <w:rsid w:val="00F41EA4"/>
    <w:rsid w:val="00F41F5E"/>
    <w:rsid w:val="00F41F7E"/>
    <w:rsid w:val="00F420C5"/>
    <w:rsid w:val="00F421A5"/>
    <w:rsid w:val="00F422A8"/>
    <w:rsid w:val="00F4232C"/>
    <w:rsid w:val="00F42331"/>
    <w:rsid w:val="00F4234F"/>
    <w:rsid w:val="00F42416"/>
    <w:rsid w:val="00F42481"/>
    <w:rsid w:val="00F4250E"/>
    <w:rsid w:val="00F4268C"/>
    <w:rsid w:val="00F4269B"/>
    <w:rsid w:val="00F4274A"/>
    <w:rsid w:val="00F42762"/>
    <w:rsid w:val="00F42813"/>
    <w:rsid w:val="00F4289D"/>
    <w:rsid w:val="00F42921"/>
    <w:rsid w:val="00F42949"/>
    <w:rsid w:val="00F429ED"/>
    <w:rsid w:val="00F42A0E"/>
    <w:rsid w:val="00F42C1A"/>
    <w:rsid w:val="00F42CDE"/>
    <w:rsid w:val="00F42CF7"/>
    <w:rsid w:val="00F42D6A"/>
    <w:rsid w:val="00F43017"/>
    <w:rsid w:val="00F4301E"/>
    <w:rsid w:val="00F43021"/>
    <w:rsid w:val="00F43077"/>
    <w:rsid w:val="00F4319C"/>
    <w:rsid w:val="00F43211"/>
    <w:rsid w:val="00F4322C"/>
    <w:rsid w:val="00F43347"/>
    <w:rsid w:val="00F433B4"/>
    <w:rsid w:val="00F436AB"/>
    <w:rsid w:val="00F43786"/>
    <w:rsid w:val="00F4384C"/>
    <w:rsid w:val="00F4384D"/>
    <w:rsid w:val="00F438EE"/>
    <w:rsid w:val="00F43C8C"/>
    <w:rsid w:val="00F43E0A"/>
    <w:rsid w:val="00F43E73"/>
    <w:rsid w:val="00F43E97"/>
    <w:rsid w:val="00F4400C"/>
    <w:rsid w:val="00F44036"/>
    <w:rsid w:val="00F4406C"/>
    <w:rsid w:val="00F44180"/>
    <w:rsid w:val="00F4419B"/>
    <w:rsid w:val="00F442DC"/>
    <w:rsid w:val="00F443F1"/>
    <w:rsid w:val="00F44403"/>
    <w:rsid w:val="00F444FF"/>
    <w:rsid w:val="00F4454D"/>
    <w:rsid w:val="00F4470B"/>
    <w:rsid w:val="00F447B2"/>
    <w:rsid w:val="00F447CD"/>
    <w:rsid w:val="00F44825"/>
    <w:rsid w:val="00F44886"/>
    <w:rsid w:val="00F44895"/>
    <w:rsid w:val="00F448A3"/>
    <w:rsid w:val="00F449A3"/>
    <w:rsid w:val="00F449F9"/>
    <w:rsid w:val="00F44AA2"/>
    <w:rsid w:val="00F44B2F"/>
    <w:rsid w:val="00F44CCE"/>
    <w:rsid w:val="00F44D15"/>
    <w:rsid w:val="00F44D73"/>
    <w:rsid w:val="00F44DEC"/>
    <w:rsid w:val="00F44F81"/>
    <w:rsid w:val="00F45168"/>
    <w:rsid w:val="00F45242"/>
    <w:rsid w:val="00F452BD"/>
    <w:rsid w:val="00F45318"/>
    <w:rsid w:val="00F45332"/>
    <w:rsid w:val="00F453DC"/>
    <w:rsid w:val="00F455F7"/>
    <w:rsid w:val="00F45608"/>
    <w:rsid w:val="00F45705"/>
    <w:rsid w:val="00F4570C"/>
    <w:rsid w:val="00F4571B"/>
    <w:rsid w:val="00F45721"/>
    <w:rsid w:val="00F45753"/>
    <w:rsid w:val="00F45867"/>
    <w:rsid w:val="00F458FB"/>
    <w:rsid w:val="00F45928"/>
    <w:rsid w:val="00F4599F"/>
    <w:rsid w:val="00F459A4"/>
    <w:rsid w:val="00F459A5"/>
    <w:rsid w:val="00F459AA"/>
    <w:rsid w:val="00F45A35"/>
    <w:rsid w:val="00F45ABB"/>
    <w:rsid w:val="00F45BFF"/>
    <w:rsid w:val="00F45CF2"/>
    <w:rsid w:val="00F45CFD"/>
    <w:rsid w:val="00F45D90"/>
    <w:rsid w:val="00F45EC3"/>
    <w:rsid w:val="00F45ECB"/>
    <w:rsid w:val="00F46035"/>
    <w:rsid w:val="00F46160"/>
    <w:rsid w:val="00F46459"/>
    <w:rsid w:val="00F46483"/>
    <w:rsid w:val="00F4656C"/>
    <w:rsid w:val="00F465C7"/>
    <w:rsid w:val="00F465C9"/>
    <w:rsid w:val="00F465F4"/>
    <w:rsid w:val="00F466ED"/>
    <w:rsid w:val="00F4675A"/>
    <w:rsid w:val="00F46791"/>
    <w:rsid w:val="00F467D8"/>
    <w:rsid w:val="00F467DC"/>
    <w:rsid w:val="00F4688C"/>
    <w:rsid w:val="00F4695D"/>
    <w:rsid w:val="00F4696A"/>
    <w:rsid w:val="00F46A19"/>
    <w:rsid w:val="00F46A4E"/>
    <w:rsid w:val="00F46A88"/>
    <w:rsid w:val="00F46ABB"/>
    <w:rsid w:val="00F46B53"/>
    <w:rsid w:val="00F46B9D"/>
    <w:rsid w:val="00F46C42"/>
    <w:rsid w:val="00F46D6C"/>
    <w:rsid w:val="00F46E72"/>
    <w:rsid w:val="00F46E77"/>
    <w:rsid w:val="00F46F1B"/>
    <w:rsid w:val="00F46F60"/>
    <w:rsid w:val="00F46FDD"/>
    <w:rsid w:val="00F4702C"/>
    <w:rsid w:val="00F4709E"/>
    <w:rsid w:val="00F470E5"/>
    <w:rsid w:val="00F471F2"/>
    <w:rsid w:val="00F47276"/>
    <w:rsid w:val="00F472B5"/>
    <w:rsid w:val="00F47361"/>
    <w:rsid w:val="00F473F6"/>
    <w:rsid w:val="00F47409"/>
    <w:rsid w:val="00F47542"/>
    <w:rsid w:val="00F4781A"/>
    <w:rsid w:val="00F479DC"/>
    <w:rsid w:val="00F47A14"/>
    <w:rsid w:val="00F47A53"/>
    <w:rsid w:val="00F47A7A"/>
    <w:rsid w:val="00F47AE4"/>
    <w:rsid w:val="00F47B67"/>
    <w:rsid w:val="00F47B89"/>
    <w:rsid w:val="00F47CE9"/>
    <w:rsid w:val="00F47D2F"/>
    <w:rsid w:val="00F47D77"/>
    <w:rsid w:val="00F47E0B"/>
    <w:rsid w:val="00F47E53"/>
    <w:rsid w:val="00F47F25"/>
    <w:rsid w:val="00F501BA"/>
    <w:rsid w:val="00F502A4"/>
    <w:rsid w:val="00F50393"/>
    <w:rsid w:val="00F50444"/>
    <w:rsid w:val="00F504CF"/>
    <w:rsid w:val="00F505B8"/>
    <w:rsid w:val="00F50908"/>
    <w:rsid w:val="00F5098E"/>
    <w:rsid w:val="00F50AAB"/>
    <w:rsid w:val="00F50B04"/>
    <w:rsid w:val="00F50C07"/>
    <w:rsid w:val="00F50D05"/>
    <w:rsid w:val="00F50EAB"/>
    <w:rsid w:val="00F50EC7"/>
    <w:rsid w:val="00F50F13"/>
    <w:rsid w:val="00F51046"/>
    <w:rsid w:val="00F5107C"/>
    <w:rsid w:val="00F51594"/>
    <w:rsid w:val="00F515CC"/>
    <w:rsid w:val="00F51621"/>
    <w:rsid w:val="00F51696"/>
    <w:rsid w:val="00F5175A"/>
    <w:rsid w:val="00F51956"/>
    <w:rsid w:val="00F519A0"/>
    <w:rsid w:val="00F51A20"/>
    <w:rsid w:val="00F51BB3"/>
    <w:rsid w:val="00F51BD7"/>
    <w:rsid w:val="00F51C14"/>
    <w:rsid w:val="00F51C20"/>
    <w:rsid w:val="00F51C43"/>
    <w:rsid w:val="00F51E56"/>
    <w:rsid w:val="00F51F9E"/>
    <w:rsid w:val="00F52195"/>
    <w:rsid w:val="00F52287"/>
    <w:rsid w:val="00F52300"/>
    <w:rsid w:val="00F52341"/>
    <w:rsid w:val="00F52440"/>
    <w:rsid w:val="00F524A3"/>
    <w:rsid w:val="00F525BE"/>
    <w:rsid w:val="00F5269D"/>
    <w:rsid w:val="00F527BD"/>
    <w:rsid w:val="00F5280D"/>
    <w:rsid w:val="00F52865"/>
    <w:rsid w:val="00F52901"/>
    <w:rsid w:val="00F52B91"/>
    <w:rsid w:val="00F52C43"/>
    <w:rsid w:val="00F52DA0"/>
    <w:rsid w:val="00F52E4D"/>
    <w:rsid w:val="00F52EF0"/>
    <w:rsid w:val="00F5301B"/>
    <w:rsid w:val="00F53128"/>
    <w:rsid w:val="00F5314D"/>
    <w:rsid w:val="00F533BC"/>
    <w:rsid w:val="00F534EE"/>
    <w:rsid w:val="00F53556"/>
    <w:rsid w:val="00F53652"/>
    <w:rsid w:val="00F53812"/>
    <w:rsid w:val="00F53872"/>
    <w:rsid w:val="00F53971"/>
    <w:rsid w:val="00F539A1"/>
    <w:rsid w:val="00F53AF3"/>
    <w:rsid w:val="00F53BFD"/>
    <w:rsid w:val="00F53C38"/>
    <w:rsid w:val="00F53C93"/>
    <w:rsid w:val="00F53E4A"/>
    <w:rsid w:val="00F53F8C"/>
    <w:rsid w:val="00F53FAD"/>
    <w:rsid w:val="00F540D5"/>
    <w:rsid w:val="00F542AE"/>
    <w:rsid w:val="00F542BC"/>
    <w:rsid w:val="00F54301"/>
    <w:rsid w:val="00F5431E"/>
    <w:rsid w:val="00F54468"/>
    <w:rsid w:val="00F5455C"/>
    <w:rsid w:val="00F547B6"/>
    <w:rsid w:val="00F547C6"/>
    <w:rsid w:val="00F54900"/>
    <w:rsid w:val="00F549CE"/>
    <w:rsid w:val="00F54A31"/>
    <w:rsid w:val="00F54AC5"/>
    <w:rsid w:val="00F54C0E"/>
    <w:rsid w:val="00F54C40"/>
    <w:rsid w:val="00F54CCD"/>
    <w:rsid w:val="00F54D10"/>
    <w:rsid w:val="00F54D75"/>
    <w:rsid w:val="00F54E5C"/>
    <w:rsid w:val="00F54E91"/>
    <w:rsid w:val="00F54F1E"/>
    <w:rsid w:val="00F5508D"/>
    <w:rsid w:val="00F550FD"/>
    <w:rsid w:val="00F551C6"/>
    <w:rsid w:val="00F551CF"/>
    <w:rsid w:val="00F55206"/>
    <w:rsid w:val="00F5531F"/>
    <w:rsid w:val="00F55350"/>
    <w:rsid w:val="00F5536F"/>
    <w:rsid w:val="00F55409"/>
    <w:rsid w:val="00F555BD"/>
    <w:rsid w:val="00F557AC"/>
    <w:rsid w:val="00F55886"/>
    <w:rsid w:val="00F5592E"/>
    <w:rsid w:val="00F559DA"/>
    <w:rsid w:val="00F55AE5"/>
    <w:rsid w:val="00F55B46"/>
    <w:rsid w:val="00F55BB2"/>
    <w:rsid w:val="00F55C0E"/>
    <w:rsid w:val="00F55C33"/>
    <w:rsid w:val="00F55EFA"/>
    <w:rsid w:val="00F55F41"/>
    <w:rsid w:val="00F560F0"/>
    <w:rsid w:val="00F56121"/>
    <w:rsid w:val="00F56126"/>
    <w:rsid w:val="00F561EB"/>
    <w:rsid w:val="00F56409"/>
    <w:rsid w:val="00F56507"/>
    <w:rsid w:val="00F56579"/>
    <w:rsid w:val="00F5682D"/>
    <w:rsid w:val="00F5684F"/>
    <w:rsid w:val="00F56AC8"/>
    <w:rsid w:val="00F56C27"/>
    <w:rsid w:val="00F56C64"/>
    <w:rsid w:val="00F56D1F"/>
    <w:rsid w:val="00F56DC8"/>
    <w:rsid w:val="00F56F95"/>
    <w:rsid w:val="00F56FDE"/>
    <w:rsid w:val="00F5705B"/>
    <w:rsid w:val="00F570DF"/>
    <w:rsid w:val="00F571A6"/>
    <w:rsid w:val="00F572DD"/>
    <w:rsid w:val="00F572F9"/>
    <w:rsid w:val="00F57310"/>
    <w:rsid w:val="00F573BF"/>
    <w:rsid w:val="00F573CB"/>
    <w:rsid w:val="00F5743A"/>
    <w:rsid w:val="00F576E5"/>
    <w:rsid w:val="00F5771C"/>
    <w:rsid w:val="00F57723"/>
    <w:rsid w:val="00F57A1A"/>
    <w:rsid w:val="00F57ABC"/>
    <w:rsid w:val="00F57B7E"/>
    <w:rsid w:val="00F57BF5"/>
    <w:rsid w:val="00F57E0F"/>
    <w:rsid w:val="00F57F13"/>
    <w:rsid w:val="00F6002E"/>
    <w:rsid w:val="00F60336"/>
    <w:rsid w:val="00F603EB"/>
    <w:rsid w:val="00F60663"/>
    <w:rsid w:val="00F60745"/>
    <w:rsid w:val="00F60826"/>
    <w:rsid w:val="00F60902"/>
    <w:rsid w:val="00F609B4"/>
    <w:rsid w:val="00F609C6"/>
    <w:rsid w:val="00F609C7"/>
    <w:rsid w:val="00F609D5"/>
    <w:rsid w:val="00F60A0D"/>
    <w:rsid w:val="00F60C51"/>
    <w:rsid w:val="00F60CDE"/>
    <w:rsid w:val="00F60D01"/>
    <w:rsid w:val="00F60D72"/>
    <w:rsid w:val="00F60D96"/>
    <w:rsid w:val="00F60DC4"/>
    <w:rsid w:val="00F60E53"/>
    <w:rsid w:val="00F60E95"/>
    <w:rsid w:val="00F60FC8"/>
    <w:rsid w:val="00F6102E"/>
    <w:rsid w:val="00F6120E"/>
    <w:rsid w:val="00F61270"/>
    <w:rsid w:val="00F6184C"/>
    <w:rsid w:val="00F6194B"/>
    <w:rsid w:val="00F61A58"/>
    <w:rsid w:val="00F61AED"/>
    <w:rsid w:val="00F61B6C"/>
    <w:rsid w:val="00F61C6A"/>
    <w:rsid w:val="00F61C7A"/>
    <w:rsid w:val="00F61DF1"/>
    <w:rsid w:val="00F61F37"/>
    <w:rsid w:val="00F62051"/>
    <w:rsid w:val="00F6228E"/>
    <w:rsid w:val="00F62294"/>
    <w:rsid w:val="00F62301"/>
    <w:rsid w:val="00F6231D"/>
    <w:rsid w:val="00F629E1"/>
    <w:rsid w:val="00F63019"/>
    <w:rsid w:val="00F6311F"/>
    <w:rsid w:val="00F6312D"/>
    <w:rsid w:val="00F632F6"/>
    <w:rsid w:val="00F633CF"/>
    <w:rsid w:val="00F63475"/>
    <w:rsid w:val="00F634F6"/>
    <w:rsid w:val="00F63569"/>
    <w:rsid w:val="00F63698"/>
    <w:rsid w:val="00F63846"/>
    <w:rsid w:val="00F63965"/>
    <w:rsid w:val="00F6397E"/>
    <w:rsid w:val="00F63A09"/>
    <w:rsid w:val="00F63A57"/>
    <w:rsid w:val="00F63A9B"/>
    <w:rsid w:val="00F63B0A"/>
    <w:rsid w:val="00F63C29"/>
    <w:rsid w:val="00F63C5F"/>
    <w:rsid w:val="00F63FCC"/>
    <w:rsid w:val="00F640D6"/>
    <w:rsid w:val="00F6412D"/>
    <w:rsid w:val="00F64176"/>
    <w:rsid w:val="00F642B4"/>
    <w:rsid w:val="00F6430E"/>
    <w:rsid w:val="00F64399"/>
    <w:rsid w:val="00F643C2"/>
    <w:rsid w:val="00F64403"/>
    <w:rsid w:val="00F64452"/>
    <w:rsid w:val="00F6447F"/>
    <w:rsid w:val="00F64834"/>
    <w:rsid w:val="00F64855"/>
    <w:rsid w:val="00F6488E"/>
    <w:rsid w:val="00F648DC"/>
    <w:rsid w:val="00F64962"/>
    <w:rsid w:val="00F64AB5"/>
    <w:rsid w:val="00F64B5E"/>
    <w:rsid w:val="00F64BF0"/>
    <w:rsid w:val="00F64C62"/>
    <w:rsid w:val="00F64C78"/>
    <w:rsid w:val="00F64D49"/>
    <w:rsid w:val="00F64D75"/>
    <w:rsid w:val="00F64E59"/>
    <w:rsid w:val="00F64E65"/>
    <w:rsid w:val="00F64EB8"/>
    <w:rsid w:val="00F64FCF"/>
    <w:rsid w:val="00F6504A"/>
    <w:rsid w:val="00F6513D"/>
    <w:rsid w:val="00F6531F"/>
    <w:rsid w:val="00F6537C"/>
    <w:rsid w:val="00F65415"/>
    <w:rsid w:val="00F6575A"/>
    <w:rsid w:val="00F6579D"/>
    <w:rsid w:val="00F657B5"/>
    <w:rsid w:val="00F65821"/>
    <w:rsid w:val="00F658D0"/>
    <w:rsid w:val="00F6591A"/>
    <w:rsid w:val="00F65932"/>
    <w:rsid w:val="00F6593B"/>
    <w:rsid w:val="00F6596A"/>
    <w:rsid w:val="00F65A98"/>
    <w:rsid w:val="00F65AC7"/>
    <w:rsid w:val="00F65B0B"/>
    <w:rsid w:val="00F65BDF"/>
    <w:rsid w:val="00F65CD2"/>
    <w:rsid w:val="00F65E4C"/>
    <w:rsid w:val="00F65F08"/>
    <w:rsid w:val="00F66124"/>
    <w:rsid w:val="00F661A7"/>
    <w:rsid w:val="00F66381"/>
    <w:rsid w:val="00F66404"/>
    <w:rsid w:val="00F66697"/>
    <w:rsid w:val="00F6694D"/>
    <w:rsid w:val="00F66964"/>
    <w:rsid w:val="00F66ABB"/>
    <w:rsid w:val="00F66AF2"/>
    <w:rsid w:val="00F66BEB"/>
    <w:rsid w:val="00F66C94"/>
    <w:rsid w:val="00F66CDA"/>
    <w:rsid w:val="00F66D86"/>
    <w:rsid w:val="00F66DC9"/>
    <w:rsid w:val="00F66DEB"/>
    <w:rsid w:val="00F66E4A"/>
    <w:rsid w:val="00F66EDD"/>
    <w:rsid w:val="00F66F4F"/>
    <w:rsid w:val="00F66FE7"/>
    <w:rsid w:val="00F6719D"/>
    <w:rsid w:val="00F67363"/>
    <w:rsid w:val="00F673D6"/>
    <w:rsid w:val="00F67556"/>
    <w:rsid w:val="00F675CD"/>
    <w:rsid w:val="00F67725"/>
    <w:rsid w:val="00F6775E"/>
    <w:rsid w:val="00F67ABA"/>
    <w:rsid w:val="00F67C1D"/>
    <w:rsid w:val="00F67CEB"/>
    <w:rsid w:val="00F67E76"/>
    <w:rsid w:val="00F67E80"/>
    <w:rsid w:val="00F67EE7"/>
    <w:rsid w:val="00F67F2B"/>
    <w:rsid w:val="00F67FCA"/>
    <w:rsid w:val="00F67FD0"/>
    <w:rsid w:val="00F700BC"/>
    <w:rsid w:val="00F70103"/>
    <w:rsid w:val="00F701E3"/>
    <w:rsid w:val="00F7022C"/>
    <w:rsid w:val="00F7023F"/>
    <w:rsid w:val="00F7026A"/>
    <w:rsid w:val="00F7039C"/>
    <w:rsid w:val="00F703F8"/>
    <w:rsid w:val="00F70691"/>
    <w:rsid w:val="00F706EC"/>
    <w:rsid w:val="00F707A4"/>
    <w:rsid w:val="00F7085A"/>
    <w:rsid w:val="00F708AA"/>
    <w:rsid w:val="00F70CD8"/>
    <w:rsid w:val="00F70CF9"/>
    <w:rsid w:val="00F70D6A"/>
    <w:rsid w:val="00F70EA5"/>
    <w:rsid w:val="00F711E1"/>
    <w:rsid w:val="00F7141F"/>
    <w:rsid w:val="00F715AF"/>
    <w:rsid w:val="00F716B8"/>
    <w:rsid w:val="00F7183F"/>
    <w:rsid w:val="00F71847"/>
    <w:rsid w:val="00F71B9B"/>
    <w:rsid w:val="00F71E05"/>
    <w:rsid w:val="00F71E0A"/>
    <w:rsid w:val="00F71E3E"/>
    <w:rsid w:val="00F71E98"/>
    <w:rsid w:val="00F71F79"/>
    <w:rsid w:val="00F71F90"/>
    <w:rsid w:val="00F71FE2"/>
    <w:rsid w:val="00F71FF9"/>
    <w:rsid w:val="00F72008"/>
    <w:rsid w:val="00F7216A"/>
    <w:rsid w:val="00F7223E"/>
    <w:rsid w:val="00F72276"/>
    <w:rsid w:val="00F722C8"/>
    <w:rsid w:val="00F722CF"/>
    <w:rsid w:val="00F723B9"/>
    <w:rsid w:val="00F723D0"/>
    <w:rsid w:val="00F723D8"/>
    <w:rsid w:val="00F724CE"/>
    <w:rsid w:val="00F724E8"/>
    <w:rsid w:val="00F724EA"/>
    <w:rsid w:val="00F72517"/>
    <w:rsid w:val="00F7254F"/>
    <w:rsid w:val="00F725A1"/>
    <w:rsid w:val="00F72691"/>
    <w:rsid w:val="00F726BF"/>
    <w:rsid w:val="00F72818"/>
    <w:rsid w:val="00F72A3E"/>
    <w:rsid w:val="00F72BE3"/>
    <w:rsid w:val="00F72D21"/>
    <w:rsid w:val="00F72D8F"/>
    <w:rsid w:val="00F72E1E"/>
    <w:rsid w:val="00F72E5C"/>
    <w:rsid w:val="00F72ECD"/>
    <w:rsid w:val="00F73022"/>
    <w:rsid w:val="00F7306F"/>
    <w:rsid w:val="00F730DD"/>
    <w:rsid w:val="00F73283"/>
    <w:rsid w:val="00F73345"/>
    <w:rsid w:val="00F7339F"/>
    <w:rsid w:val="00F73435"/>
    <w:rsid w:val="00F73524"/>
    <w:rsid w:val="00F7359D"/>
    <w:rsid w:val="00F735A0"/>
    <w:rsid w:val="00F735E4"/>
    <w:rsid w:val="00F73636"/>
    <w:rsid w:val="00F73678"/>
    <w:rsid w:val="00F736B1"/>
    <w:rsid w:val="00F737D0"/>
    <w:rsid w:val="00F737E8"/>
    <w:rsid w:val="00F739F2"/>
    <w:rsid w:val="00F73B61"/>
    <w:rsid w:val="00F73B67"/>
    <w:rsid w:val="00F73CCE"/>
    <w:rsid w:val="00F74026"/>
    <w:rsid w:val="00F742E1"/>
    <w:rsid w:val="00F743B1"/>
    <w:rsid w:val="00F74414"/>
    <w:rsid w:val="00F7444C"/>
    <w:rsid w:val="00F74700"/>
    <w:rsid w:val="00F74739"/>
    <w:rsid w:val="00F74976"/>
    <w:rsid w:val="00F74A41"/>
    <w:rsid w:val="00F74BAA"/>
    <w:rsid w:val="00F74C70"/>
    <w:rsid w:val="00F74D7A"/>
    <w:rsid w:val="00F74DC6"/>
    <w:rsid w:val="00F74DEF"/>
    <w:rsid w:val="00F74E62"/>
    <w:rsid w:val="00F74FA5"/>
    <w:rsid w:val="00F7504E"/>
    <w:rsid w:val="00F752BC"/>
    <w:rsid w:val="00F752EE"/>
    <w:rsid w:val="00F753DE"/>
    <w:rsid w:val="00F754DE"/>
    <w:rsid w:val="00F754FC"/>
    <w:rsid w:val="00F7562B"/>
    <w:rsid w:val="00F75678"/>
    <w:rsid w:val="00F756FA"/>
    <w:rsid w:val="00F757D7"/>
    <w:rsid w:val="00F758B5"/>
    <w:rsid w:val="00F75A15"/>
    <w:rsid w:val="00F75AC8"/>
    <w:rsid w:val="00F75B90"/>
    <w:rsid w:val="00F75B9D"/>
    <w:rsid w:val="00F75BAE"/>
    <w:rsid w:val="00F75C28"/>
    <w:rsid w:val="00F75D37"/>
    <w:rsid w:val="00F75E44"/>
    <w:rsid w:val="00F75F0D"/>
    <w:rsid w:val="00F75FD3"/>
    <w:rsid w:val="00F76085"/>
    <w:rsid w:val="00F760B3"/>
    <w:rsid w:val="00F760CF"/>
    <w:rsid w:val="00F760E6"/>
    <w:rsid w:val="00F761BC"/>
    <w:rsid w:val="00F763EC"/>
    <w:rsid w:val="00F76560"/>
    <w:rsid w:val="00F76567"/>
    <w:rsid w:val="00F76572"/>
    <w:rsid w:val="00F76600"/>
    <w:rsid w:val="00F76608"/>
    <w:rsid w:val="00F76609"/>
    <w:rsid w:val="00F766E8"/>
    <w:rsid w:val="00F767D7"/>
    <w:rsid w:val="00F76A70"/>
    <w:rsid w:val="00F76BFB"/>
    <w:rsid w:val="00F76C78"/>
    <w:rsid w:val="00F76CD0"/>
    <w:rsid w:val="00F76D64"/>
    <w:rsid w:val="00F76DEE"/>
    <w:rsid w:val="00F76E63"/>
    <w:rsid w:val="00F76E7E"/>
    <w:rsid w:val="00F76EE9"/>
    <w:rsid w:val="00F76F4E"/>
    <w:rsid w:val="00F76FF5"/>
    <w:rsid w:val="00F77135"/>
    <w:rsid w:val="00F772A6"/>
    <w:rsid w:val="00F77545"/>
    <w:rsid w:val="00F77553"/>
    <w:rsid w:val="00F77563"/>
    <w:rsid w:val="00F77589"/>
    <w:rsid w:val="00F775F4"/>
    <w:rsid w:val="00F77606"/>
    <w:rsid w:val="00F77845"/>
    <w:rsid w:val="00F77938"/>
    <w:rsid w:val="00F77A16"/>
    <w:rsid w:val="00F77A99"/>
    <w:rsid w:val="00F77B5E"/>
    <w:rsid w:val="00F77E69"/>
    <w:rsid w:val="00F77E91"/>
    <w:rsid w:val="00F77F5E"/>
    <w:rsid w:val="00F77FB6"/>
    <w:rsid w:val="00F8017A"/>
    <w:rsid w:val="00F8025A"/>
    <w:rsid w:val="00F8028A"/>
    <w:rsid w:val="00F803A9"/>
    <w:rsid w:val="00F803BD"/>
    <w:rsid w:val="00F803F6"/>
    <w:rsid w:val="00F80483"/>
    <w:rsid w:val="00F80698"/>
    <w:rsid w:val="00F807A6"/>
    <w:rsid w:val="00F807F6"/>
    <w:rsid w:val="00F809F2"/>
    <w:rsid w:val="00F80A04"/>
    <w:rsid w:val="00F80A32"/>
    <w:rsid w:val="00F80BE0"/>
    <w:rsid w:val="00F80BFF"/>
    <w:rsid w:val="00F80C92"/>
    <w:rsid w:val="00F80DC9"/>
    <w:rsid w:val="00F80DFA"/>
    <w:rsid w:val="00F80F72"/>
    <w:rsid w:val="00F80FB1"/>
    <w:rsid w:val="00F810EC"/>
    <w:rsid w:val="00F81138"/>
    <w:rsid w:val="00F81204"/>
    <w:rsid w:val="00F81225"/>
    <w:rsid w:val="00F8128A"/>
    <w:rsid w:val="00F81337"/>
    <w:rsid w:val="00F81342"/>
    <w:rsid w:val="00F815DF"/>
    <w:rsid w:val="00F81629"/>
    <w:rsid w:val="00F817CD"/>
    <w:rsid w:val="00F81A88"/>
    <w:rsid w:val="00F81B26"/>
    <w:rsid w:val="00F81C43"/>
    <w:rsid w:val="00F81D44"/>
    <w:rsid w:val="00F81ECF"/>
    <w:rsid w:val="00F81F53"/>
    <w:rsid w:val="00F81F7A"/>
    <w:rsid w:val="00F81FFC"/>
    <w:rsid w:val="00F820EC"/>
    <w:rsid w:val="00F82229"/>
    <w:rsid w:val="00F82320"/>
    <w:rsid w:val="00F82452"/>
    <w:rsid w:val="00F824E3"/>
    <w:rsid w:val="00F825B7"/>
    <w:rsid w:val="00F8260E"/>
    <w:rsid w:val="00F826F9"/>
    <w:rsid w:val="00F82804"/>
    <w:rsid w:val="00F828EA"/>
    <w:rsid w:val="00F82936"/>
    <w:rsid w:val="00F82AD3"/>
    <w:rsid w:val="00F82E28"/>
    <w:rsid w:val="00F82E44"/>
    <w:rsid w:val="00F82EAD"/>
    <w:rsid w:val="00F82ECD"/>
    <w:rsid w:val="00F8308A"/>
    <w:rsid w:val="00F8309A"/>
    <w:rsid w:val="00F830D3"/>
    <w:rsid w:val="00F831F5"/>
    <w:rsid w:val="00F831FB"/>
    <w:rsid w:val="00F834E7"/>
    <w:rsid w:val="00F83505"/>
    <w:rsid w:val="00F8362F"/>
    <w:rsid w:val="00F83723"/>
    <w:rsid w:val="00F83748"/>
    <w:rsid w:val="00F8374E"/>
    <w:rsid w:val="00F83793"/>
    <w:rsid w:val="00F83A3D"/>
    <w:rsid w:val="00F83B3B"/>
    <w:rsid w:val="00F83C32"/>
    <w:rsid w:val="00F83C65"/>
    <w:rsid w:val="00F83D1D"/>
    <w:rsid w:val="00F84003"/>
    <w:rsid w:val="00F84059"/>
    <w:rsid w:val="00F840E8"/>
    <w:rsid w:val="00F84165"/>
    <w:rsid w:val="00F84419"/>
    <w:rsid w:val="00F84495"/>
    <w:rsid w:val="00F844E8"/>
    <w:rsid w:val="00F84558"/>
    <w:rsid w:val="00F845C1"/>
    <w:rsid w:val="00F8464B"/>
    <w:rsid w:val="00F84653"/>
    <w:rsid w:val="00F846AF"/>
    <w:rsid w:val="00F8476D"/>
    <w:rsid w:val="00F847C6"/>
    <w:rsid w:val="00F848D2"/>
    <w:rsid w:val="00F84A0B"/>
    <w:rsid w:val="00F84A64"/>
    <w:rsid w:val="00F84AF1"/>
    <w:rsid w:val="00F84C02"/>
    <w:rsid w:val="00F84D53"/>
    <w:rsid w:val="00F84F24"/>
    <w:rsid w:val="00F84FAE"/>
    <w:rsid w:val="00F84FCC"/>
    <w:rsid w:val="00F85354"/>
    <w:rsid w:val="00F8537A"/>
    <w:rsid w:val="00F85396"/>
    <w:rsid w:val="00F8540C"/>
    <w:rsid w:val="00F855A2"/>
    <w:rsid w:val="00F85611"/>
    <w:rsid w:val="00F856C1"/>
    <w:rsid w:val="00F8576D"/>
    <w:rsid w:val="00F857B4"/>
    <w:rsid w:val="00F858F5"/>
    <w:rsid w:val="00F8591A"/>
    <w:rsid w:val="00F85A18"/>
    <w:rsid w:val="00F85A77"/>
    <w:rsid w:val="00F85BB1"/>
    <w:rsid w:val="00F85D97"/>
    <w:rsid w:val="00F85F9D"/>
    <w:rsid w:val="00F86166"/>
    <w:rsid w:val="00F861DF"/>
    <w:rsid w:val="00F86255"/>
    <w:rsid w:val="00F862F5"/>
    <w:rsid w:val="00F86324"/>
    <w:rsid w:val="00F86491"/>
    <w:rsid w:val="00F8660F"/>
    <w:rsid w:val="00F866B3"/>
    <w:rsid w:val="00F866B4"/>
    <w:rsid w:val="00F866BD"/>
    <w:rsid w:val="00F866FF"/>
    <w:rsid w:val="00F86729"/>
    <w:rsid w:val="00F867B8"/>
    <w:rsid w:val="00F86859"/>
    <w:rsid w:val="00F86A1C"/>
    <w:rsid w:val="00F86AB1"/>
    <w:rsid w:val="00F86AD6"/>
    <w:rsid w:val="00F86B54"/>
    <w:rsid w:val="00F86BC5"/>
    <w:rsid w:val="00F86C01"/>
    <w:rsid w:val="00F86CCA"/>
    <w:rsid w:val="00F86CE7"/>
    <w:rsid w:val="00F86DD8"/>
    <w:rsid w:val="00F86F19"/>
    <w:rsid w:val="00F86FA0"/>
    <w:rsid w:val="00F8701A"/>
    <w:rsid w:val="00F87022"/>
    <w:rsid w:val="00F8704E"/>
    <w:rsid w:val="00F87113"/>
    <w:rsid w:val="00F8712E"/>
    <w:rsid w:val="00F87378"/>
    <w:rsid w:val="00F873E0"/>
    <w:rsid w:val="00F87480"/>
    <w:rsid w:val="00F874D9"/>
    <w:rsid w:val="00F875A1"/>
    <w:rsid w:val="00F875DF"/>
    <w:rsid w:val="00F876CA"/>
    <w:rsid w:val="00F8770C"/>
    <w:rsid w:val="00F87768"/>
    <w:rsid w:val="00F8780A"/>
    <w:rsid w:val="00F8796E"/>
    <w:rsid w:val="00F879B2"/>
    <w:rsid w:val="00F87A15"/>
    <w:rsid w:val="00F87B07"/>
    <w:rsid w:val="00F87BF7"/>
    <w:rsid w:val="00F87DB9"/>
    <w:rsid w:val="00F87E25"/>
    <w:rsid w:val="00F87E91"/>
    <w:rsid w:val="00F87E98"/>
    <w:rsid w:val="00F87FAE"/>
    <w:rsid w:val="00F90075"/>
    <w:rsid w:val="00F900A3"/>
    <w:rsid w:val="00F9010B"/>
    <w:rsid w:val="00F902A6"/>
    <w:rsid w:val="00F903AC"/>
    <w:rsid w:val="00F90450"/>
    <w:rsid w:val="00F90459"/>
    <w:rsid w:val="00F90478"/>
    <w:rsid w:val="00F90491"/>
    <w:rsid w:val="00F905AE"/>
    <w:rsid w:val="00F906E8"/>
    <w:rsid w:val="00F9085A"/>
    <w:rsid w:val="00F90952"/>
    <w:rsid w:val="00F9096D"/>
    <w:rsid w:val="00F90974"/>
    <w:rsid w:val="00F909AF"/>
    <w:rsid w:val="00F909EC"/>
    <w:rsid w:val="00F90A46"/>
    <w:rsid w:val="00F90ACF"/>
    <w:rsid w:val="00F90CFF"/>
    <w:rsid w:val="00F90D76"/>
    <w:rsid w:val="00F90DC5"/>
    <w:rsid w:val="00F90DD3"/>
    <w:rsid w:val="00F90DE0"/>
    <w:rsid w:val="00F90E4A"/>
    <w:rsid w:val="00F90FB4"/>
    <w:rsid w:val="00F90FBE"/>
    <w:rsid w:val="00F91068"/>
    <w:rsid w:val="00F91217"/>
    <w:rsid w:val="00F91470"/>
    <w:rsid w:val="00F9162C"/>
    <w:rsid w:val="00F91680"/>
    <w:rsid w:val="00F91981"/>
    <w:rsid w:val="00F91A1B"/>
    <w:rsid w:val="00F91C03"/>
    <w:rsid w:val="00F91C95"/>
    <w:rsid w:val="00F91D17"/>
    <w:rsid w:val="00F91D99"/>
    <w:rsid w:val="00F91E77"/>
    <w:rsid w:val="00F91EE9"/>
    <w:rsid w:val="00F91F8F"/>
    <w:rsid w:val="00F92055"/>
    <w:rsid w:val="00F920F4"/>
    <w:rsid w:val="00F921A2"/>
    <w:rsid w:val="00F9237D"/>
    <w:rsid w:val="00F9237E"/>
    <w:rsid w:val="00F924EB"/>
    <w:rsid w:val="00F925D4"/>
    <w:rsid w:val="00F92627"/>
    <w:rsid w:val="00F92644"/>
    <w:rsid w:val="00F927A9"/>
    <w:rsid w:val="00F92862"/>
    <w:rsid w:val="00F92C51"/>
    <w:rsid w:val="00F92C5C"/>
    <w:rsid w:val="00F92D91"/>
    <w:rsid w:val="00F92DF8"/>
    <w:rsid w:val="00F9306A"/>
    <w:rsid w:val="00F930AB"/>
    <w:rsid w:val="00F93147"/>
    <w:rsid w:val="00F9317D"/>
    <w:rsid w:val="00F931CC"/>
    <w:rsid w:val="00F93476"/>
    <w:rsid w:val="00F934BD"/>
    <w:rsid w:val="00F936EA"/>
    <w:rsid w:val="00F93791"/>
    <w:rsid w:val="00F9381C"/>
    <w:rsid w:val="00F9384D"/>
    <w:rsid w:val="00F938C8"/>
    <w:rsid w:val="00F93A48"/>
    <w:rsid w:val="00F93ABF"/>
    <w:rsid w:val="00F93ACD"/>
    <w:rsid w:val="00F93C34"/>
    <w:rsid w:val="00F93CF6"/>
    <w:rsid w:val="00F93DC8"/>
    <w:rsid w:val="00F93E76"/>
    <w:rsid w:val="00F93E79"/>
    <w:rsid w:val="00F93EC6"/>
    <w:rsid w:val="00F940AB"/>
    <w:rsid w:val="00F940D4"/>
    <w:rsid w:val="00F94198"/>
    <w:rsid w:val="00F9429B"/>
    <w:rsid w:val="00F9429E"/>
    <w:rsid w:val="00F9445D"/>
    <w:rsid w:val="00F944BF"/>
    <w:rsid w:val="00F94509"/>
    <w:rsid w:val="00F9457D"/>
    <w:rsid w:val="00F9465B"/>
    <w:rsid w:val="00F946E6"/>
    <w:rsid w:val="00F94710"/>
    <w:rsid w:val="00F94867"/>
    <w:rsid w:val="00F94880"/>
    <w:rsid w:val="00F949F0"/>
    <w:rsid w:val="00F94B44"/>
    <w:rsid w:val="00F94BF3"/>
    <w:rsid w:val="00F94DAD"/>
    <w:rsid w:val="00F94E5B"/>
    <w:rsid w:val="00F94ED0"/>
    <w:rsid w:val="00F94F8A"/>
    <w:rsid w:val="00F95036"/>
    <w:rsid w:val="00F95106"/>
    <w:rsid w:val="00F9513D"/>
    <w:rsid w:val="00F951A9"/>
    <w:rsid w:val="00F9545F"/>
    <w:rsid w:val="00F95496"/>
    <w:rsid w:val="00F95555"/>
    <w:rsid w:val="00F956B4"/>
    <w:rsid w:val="00F9577E"/>
    <w:rsid w:val="00F9580A"/>
    <w:rsid w:val="00F9595F"/>
    <w:rsid w:val="00F95A31"/>
    <w:rsid w:val="00F95B07"/>
    <w:rsid w:val="00F95B7A"/>
    <w:rsid w:val="00F95B9E"/>
    <w:rsid w:val="00F95CE5"/>
    <w:rsid w:val="00F95E80"/>
    <w:rsid w:val="00F95EFE"/>
    <w:rsid w:val="00F95FCD"/>
    <w:rsid w:val="00F9601D"/>
    <w:rsid w:val="00F96083"/>
    <w:rsid w:val="00F960F6"/>
    <w:rsid w:val="00F961C1"/>
    <w:rsid w:val="00F9627C"/>
    <w:rsid w:val="00F962E3"/>
    <w:rsid w:val="00F96366"/>
    <w:rsid w:val="00F963AA"/>
    <w:rsid w:val="00F96507"/>
    <w:rsid w:val="00F96512"/>
    <w:rsid w:val="00F96542"/>
    <w:rsid w:val="00F9658B"/>
    <w:rsid w:val="00F965DF"/>
    <w:rsid w:val="00F966DC"/>
    <w:rsid w:val="00F96B02"/>
    <w:rsid w:val="00F96D0C"/>
    <w:rsid w:val="00F96D77"/>
    <w:rsid w:val="00F96DDD"/>
    <w:rsid w:val="00F96E16"/>
    <w:rsid w:val="00F96EB8"/>
    <w:rsid w:val="00F96F03"/>
    <w:rsid w:val="00F9702A"/>
    <w:rsid w:val="00F9714F"/>
    <w:rsid w:val="00F9722F"/>
    <w:rsid w:val="00F972D1"/>
    <w:rsid w:val="00F97515"/>
    <w:rsid w:val="00F975AA"/>
    <w:rsid w:val="00F97636"/>
    <w:rsid w:val="00F9768C"/>
    <w:rsid w:val="00F977AD"/>
    <w:rsid w:val="00F9788D"/>
    <w:rsid w:val="00F97B8B"/>
    <w:rsid w:val="00F97BA2"/>
    <w:rsid w:val="00F97BAC"/>
    <w:rsid w:val="00F97C4A"/>
    <w:rsid w:val="00F97DE3"/>
    <w:rsid w:val="00F97EC8"/>
    <w:rsid w:val="00F97F7E"/>
    <w:rsid w:val="00F97FF2"/>
    <w:rsid w:val="00FA00E4"/>
    <w:rsid w:val="00FA013F"/>
    <w:rsid w:val="00FA01CF"/>
    <w:rsid w:val="00FA0580"/>
    <w:rsid w:val="00FA05A2"/>
    <w:rsid w:val="00FA06A9"/>
    <w:rsid w:val="00FA091C"/>
    <w:rsid w:val="00FA0A28"/>
    <w:rsid w:val="00FA0BBA"/>
    <w:rsid w:val="00FA0BE2"/>
    <w:rsid w:val="00FA0BF1"/>
    <w:rsid w:val="00FA0C29"/>
    <w:rsid w:val="00FA0D97"/>
    <w:rsid w:val="00FA1182"/>
    <w:rsid w:val="00FA1479"/>
    <w:rsid w:val="00FA14B9"/>
    <w:rsid w:val="00FA1547"/>
    <w:rsid w:val="00FA15E2"/>
    <w:rsid w:val="00FA1642"/>
    <w:rsid w:val="00FA1669"/>
    <w:rsid w:val="00FA1671"/>
    <w:rsid w:val="00FA1880"/>
    <w:rsid w:val="00FA1888"/>
    <w:rsid w:val="00FA18E4"/>
    <w:rsid w:val="00FA199B"/>
    <w:rsid w:val="00FA1AF6"/>
    <w:rsid w:val="00FA1CBB"/>
    <w:rsid w:val="00FA1D46"/>
    <w:rsid w:val="00FA1DDB"/>
    <w:rsid w:val="00FA1F33"/>
    <w:rsid w:val="00FA1F40"/>
    <w:rsid w:val="00FA2044"/>
    <w:rsid w:val="00FA20E4"/>
    <w:rsid w:val="00FA224D"/>
    <w:rsid w:val="00FA2256"/>
    <w:rsid w:val="00FA2265"/>
    <w:rsid w:val="00FA2276"/>
    <w:rsid w:val="00FA2298"/>
    <w:rsid w:val="00FA2456"/>
    <w:rsid w:val="00FA2513"/>
    <w:rsid w:val="00FA254E"/>
    <w:rsid w:val="00FA256A"/>
    <w:rsid w:val="00FA2615"/>
    <w:rsid w:val="00FA2654"/>
    <w:rsid w:val="00FA2695"/>
    <w:rsid w:val="00FA26E5"/>
    <w:rsid w:val="00FA2775"/>
    <w:rsid w:val="00FA28C8"/>
    <w:rsid w:val="00FA2BB0"/>
    <w:rsid w:val="00FA2C24"/>
    <w:rsid w:val="00FA2C39"/>
    <w:rsid w:val="00FA2CB0"/>
    <w:rsid w:val="00FA2D03"/>
    <w:rsid w:val="00FA2DFD"/>
    <w:rsid w:val="00FA2EAF"/>
    <w:rsid w:val="00FA2ED8"/>
    <w:rsid w:val="00FA3044"/>
    <w:rsid w:val="00FA315D"/>
    <w:rsid w:val="00FA32F3"/>
    <w:rsid w:val="00FA34A4"/>
    <w:rsid w:val="00FA34D0"/>
    <w:rsid w:val="00FA3546"/>
    <w:rsid w:val="00FA35E4"/>
    <w:rsid w:val="00FA363C"/>
    <w:rsid w:val="00FA366A"/>
    <w:rsid w:val="00FA368C"/>
    <w:rsid w:val="00FA37B9"/>
    <w:rsid w:val="00FA38FF"/>
    <w:rsid w:val="00FA392B"/>
    <w:rsid w:val="00FA3B1A"/>
    <w:rsid w:val="00FA3D00"/>
    <w:rsid w:val="00FA3D74"/>
    <w:rsid w:val="00FA3DD8"/>
    <w:rsid w:val="00FA3DE0"/>
    <w:rsid w:val="00FA3E2E"/>
    <w:rsid w:val="00FA3E32"/>
    <w:rsid w:val="00FA400F"/>
    <w:rsid w:val="00FA4780"/>
    <w:rsid w:val="00FA47CD"/>
    <w:rsid w:val="00FA4881"/>
    <w:rsid w:val="00FA4961"/>
    <w:rsid w:val="00FA4B39"/>
    <w:rsid w:val="00FA4B89"/>
    <w:rsid w:val="00FA4BB6"/>
    <w:rsid w:val="00FA4D1E"/>
    <w:rsid w:val="00FA4D5D"/>
    <w:rsid w:val="00FA4EBA"/>
    <w:rsid w:val="00FA4FDF"/>
    <w:rsid w:val="00FA513A"/>
    <w:rsid w:val="00FA52BD"/>
    <w:rsid w:val="00FA53AB"/>
    <w:rsid w:val="00FA53E0"/>
    <w:rsid w:val="00FA5603"/>
    <w:rsid w:val="00FA5631"/>
    <w:rsid w:val="00FA5756"/>
    <w:rsid w:val="00FA58BE"/>
    <w:rsid w:val="00FA5A32"/>
    <w:rsid w:val="00FA5AB7"/>
    <w:rsid w:val="00FA5ABE"/>
    <w:rsid w:val="00FA5B0D"/>
    <w:rsid w:val="00FA5B2B"/>
    <w:rsid w:val="00FA5C00"/>
    <w:rsid w:val="00FA5DAA"/>
    <w:rsid w:val="00FA5E41"/>
    <w:rsid w:val="00FA5E64"/>
    <w:rsid w:val="00FA5FCE"/>
    <w:rsid w:val="00FA6014"/>
    <w:rsid w:val="00FA64AE"/>
    <w:rsid w:val="00FA659A"/>
    <w:rsid w:val="00FA6695"/>
    <w:rsid w:val="00FA66AC"/>
    <w:rsid w:val="00FA6768"/>
    <w:rsid w:val="00FA67EB"/>
    <w:rsid w:val="00FA6967"/>
    <w:rsid w:val="00FA6A30"/>
    <w:rsid w:val="00FA6D97"/>
    <w:rsid w:val="00FA6DB5"/>
    <w:rsid w:val="00FA7045"/>
    <w:rsid w:val="00FA719F"/>
    <w:rsid w:val="00FA726E"/>
    <w:rsid w:val="00FA72F1"/>
    <w:rsid w:val="00FA7363"/>
    <w:rsid w:val="00FA73B1"/>
    <w:rsid w:val="00FA73D2"/>
    <w:rsid w:val="00FA7403"/>
    <w:rsid w:val="00FA744E"/>
    <w:rsid w:val="00FA7581"/>
    <w:rsid w:val="00FA75AA"/>
    <w:rsid w:val="00FA75CF"/>
    <w:rsid w:val="00FA77E6"/>
    <w:rsid w:val="00FA7872"/>
    <w:rsid w:val="00FA7C91"/>
    <w:rsid w:val="00FA7CF3"/>
    <w:rsid w:val="00FA7EBC"/>
    <w:rsid w:val="00FA7F19"/>
    <w:rsid w:val="00FB002C"/>
    <w:rsid w:val="00FB005D"/>
    <w:rsid w:val="00FB015F"/>
    <w:rsid w:val="00FB03D5"/>
    <w:rsid w:val="00FB0414"/>
    <w:rsid w:val="00FB0765"/>
    <w:rsid w:val="00FB07DB"/>
    <w:rsid w:val="00FB0823"/>
    <w:rsid w:val="00FB087B"/>
    <w:rsid w:val="00FB0A68"/>
    <w:rsid w:val="00FB0A6A"/>
    <w:rsid w:val="00FB0B14"/>
    <w:rsid w:val="00FB0B9B"/>
    <w:rsid w:val="00FB0C48"/>
    <w:rsid w:val="00FB0D65"/>
    <w:rsid w:val="00FB0DFF"/>
    <w:rsid w:val="00FB0F66"/>
    <w:rsid w:val="00FB1078"/>
    <w:rsid w:val="00FB1167"/>
    <w:rsid w:val="00FB12A5"/>
    <w:rsid w:val="00FB1322"/>
    <w:rsid w:val="00FB1390"/>
    <w:rsid w:val="00FB1433"/>
    <w:rsid w:val="00FB1440"/>
    <w:rsid w:val="00FB1532"/>
    <w:rsid w:val="00FB163F"/>
    <w:rsid w:val="00FB169D"/>
    <w:rsid w:val="00FB1740"/>
    <w:rsid w:val="00FB17EC"/>
    <w:rsid w:val="00FB181E"/>
    <w:rsid w:val="00FB1844"/>
    <w:rsid w:val="00FB1958"/>
    <w:rsid w:val="00FB195C"/>
    <w:rsid w:val="00FB1975"/>
    <w:rsid w:val="00FB198C"/>
    <w:rsid w:val="00FB1ABC"/>
    <w:rsid w:val="00FB1B98"/>
    <w:rsid w:val="00FB1CA6"/>
    <w:rsid w:val="00FB1DB2"/>
    <w:rsid w:val="00FB1E1F"/>
    <w:rsid w:val="00FB1EEB"/>
    <w:rsid w:val="00FB1F37"/>
    <w:rsid w:val="00FB1FD8"/>
    <w:rsid w:val="00FB20F4"/>
    <w:rsid w:val="00FB2129"/>
    <w:rsid w:val="00FB2171"/>
    <w:rsid w:val="00FB21DA"/>
    <w:rsid w:val="00FB2362"/>
    <w:rsid w:val="00FB236F"/>
    <w:rsid w:val="00FB23FD"/>
    <w:rsid w:val="00FB24AD"/>
    <w:rsid w:val="00FB250E"/>
    <w:rsid w:val="00FB2636"/>
    <w:rsid w:val="00FB263E"/>
    <w:rsid w:val="00FB2645"/>
    <w:rsid w:val="00FB2649"/>
    <w:rsid w:val="00FB26C4"/>
    <w:rsid w:val="00FB29A1"/>
    <w:rsid w:val="00FB29E4"/>
    <w:rsid w:val="00FB29EA"/>
    <w:rsid w:val="00FB2A7F"/>
    <w:rsid w:val="00FB2AA6"/>
    <w:rsid w:val="00FB2AD9"/>
    <w:rsid w:val="00FB2B96"/>
    <w:rsid w:val="00FB2C25"/>
    <w:rsid w:val="00FB2C8F"/>
    <w:rsid w:val="00FB2CE1"/>
    <w:rsid w:val="00FB2CF2"/>
    <w:rsid w:val="00FB2FE4"/>
    <w:rsid w:val="00FB3057"/>
    <w:rsid w:val="00FB31D0"/>
    <w:rsid w:val="00FB324D"/>
    <w:rsid w:val="00FB3330"/>
    <w:rsid w:val="00FB3372"/>
    <w:rsid w:val="00FB3390"/>
    <w:rsid w:val="00FB3437"/>
    <w:rsid w:val="00FB352F"/>
    <w:rsid w:val="00FB3649"/>
    <w:rsid w:val="00FB364E"/>
    <w:rsid w:val="00FB367B"/>
    <w:rsid w:val="00FB3759"/>
    <w:rsid w:val="00FB38D7"/>
    <w:rsid w:val="00FB38DA"/>
    <w:rsid w:val="00FB39F5"/>
    <w:rsid w:val="00FB3A33"/>
    <w:rsid w:val="00FB3AEF"/>
    <w:rsid w:val="00FB40BA"/>
    <w:rsid w:val="00FB40C9"/>
    <w:rsid w:val="00FB41FB"/>
    <w:rsid w:val="00FB4237"/>
    <w:rsid w:val="00FB4264"/>
    <w:rsid w:val="00FB43ED"/>
    <w:rsid w:val="00FB449E"/>
    <w:rsid w:val="00FB44C0"/>
    <w:rsid w:val="00FB4554"/>
    <w:rsid w:val="00FB45C4"/>
    <w:rsid w:val="00FB45DA"/>
    <w:rsid w:val="00FB45E8"/>
    <w:rsid w:val="00FB4627"/>
    <w:rsid w:val="00FB466E"/>
    <w:rsid w:val="00FB4706"/>
    <w:rsid w:val="00FB4834"/>
    <w:rsid w:val="00FB489B"/>
    <w:rsid w:val="00FB496B"/>
    <w:rsid w:val="00FB499B"/>
    <w:rsid w:val="00FB49CA"/>
    <w:rsid w:val="00FB4B13"/>
    <w:rsid w:val="00FB4BF2"/>
    <w:rsid w:val="00FB4C7C"/>
    <w:rsid w:val="00FB4C7F"/>
    <w:rsid w:val="00FB4CE4"/>
    <w:rsid w:val="00FB4D26"/>
    <w:rsid w:val="00FB4D30"/>
    <w:rsid w:val="00FB4DB6"/>
    <w:rsid w:val="00FB4F32"/>
    <w:rsid w:val="00FB4FA7"/>
    <w:rsid w:val="00FB509C"/>
    <w:rsid w:val="00FB50F1"/>
    <w:rsid w:val="00FB50F7"/>
    <w:rsid w:val="00FB525B"/>
    <w:rsid w:val="00FB5311"/>
    <w:rsid w:val="00FB559E"/>
    <w:rsid w:val="00FB55D4"/>
    <w:rsid w:val="00FB5641"/>
    <w:rsid w:val="00FB5721"/>
    <w:rsid w:val="00FB57E9"/>
    <w:rsid w:val="00FB5937"/>
    <w:rsid w:val="00FB598F"/>
    <w:rsid w:val="00FB59A4"/>
    <w:rsid w:val="00FB5ABE"/>
    <w:rsid w:val="00FB5AD0"/>
    <w:rsid w:val="00FB5AE0"/>
    <w:rsid w:val="00FB5B31"/>
    <w:rsid w:val="00FB5CF5"/>
    <w:rsid w:val="00FB5EBB"/>
    <w:rsid w:val="00FB6029"/>
    <w:rsid w:val="00FB60B9"/>
    <w:rsid w:val="00FB619E"/>
    <w:rsid w:val="00FB625C"/>
    <w:rsid w:val="00FB629C"/>
    <w:rsid w:val="00FB62B5"/>
    <w:rsid w:val="00FB6300"/>
    <w:rsid w:val="00FB63DD"/>
    <w:rsid w:val="00FB6443"/>
    <w:rsid w:val="00FB656D"/>
    <w:rsid w:val="00FB659B"/>
    <w:rsid w:val="00FB661E"/>
    <w:rsid w:val="00FB66FE"/>
    <w:rsid w:val="00FB6757"/>
    <w:rsid w:val="00FB696A"/>
    <w:rsid w:val="00FB6A57"/>
    <w:rsid w:val="00FB6B2C"/>
    <w:rsid w:val="00FB6B43"/>
    <w:rsid w:val="00FB6C77"/>
    <w:rsid w:val="00FB6C90"/>
    <w:rsid w:val="00FB6D25"/>
    <w:rsid w:val="00FB6DF5"/>
    <w:rsid w:val="00FB6F7D"/>
    <w:rsid w:val="00FB709A"/>
    <w:rsid w:val="00FB71F1"/>
    <w:rsid w:val="00FB72F2"/>
    <w:rsid w:val="00FB7314"/>
    <w:rsid w:val="00FB7398"/>
    <w:rsid w:val="00FB73E3"/>
    <w:rsid w:val="00FB7454"/>
    <w:rsid w:val="00FB75ED"/>
    <w:rsid w:val="00FB7648"/>
    <w:rsid w:val="00FB777C"/>
    <w:rsid w:val="00FB7819"/>
    <w:rsid w:val="00FB7867"/>
    <w:rsid w:val="00FB7988"/>
    <w:rsid w:val="00FB79E6"/>
    <w:rsid w:val="00FB7AD9"/>
    <w:rsid w:val="00FB7B27"/>
    <w:rsid w:val="00FB7B51"/>
    <w:rsid w:val="00FB7C7C"/>
    <w:rsid w:val="00FB7CF0"/>
    <w:rsid w:val="00FC0396"/>
    <w:rsid w:val="00FC04C4"/>
    <w:rsid w:val="00FC04DC"/>
    <w:rsid w:val="00FC054C"/>
    <w:rsid w:val="00FC0654"/>
    <w:rsid w:val="00FC0693"/>
    <w:rsid w:val="00FC07DD"/>
    <w:rsid w:val="00FC08B9"/>
    <w:rsid w:val="00FC095A"/>
    <w:rsid w:val="00FC0A34"/>
    <w:rsid w:val="00FC0AE1"/>
    <w:rsid w:val="00FC0C74"/>
    <w:rsid w:val="00FC0DC4"/>
    <w:rsid w:val="00FC0EF9"/>
    <w:rsid w:val="00FC0FE5"/>
    <w:rsid w:val="00FC107E"/>
    <w:rsid w:val="00FC10CF"/>
    <w:rsid w:val="00FC11A2"/>
    <w:rsid w:val="00FC1205"/>
    <w:rsid w:val="00FC12E5"/>
    <w:rsid w:val="00FC1617"/>
    <w:rsid w:val="00FC1627"/>
    <w:rsid w:val="00FC18AB"/>
    <w:rsid w:val="00FC195E"/>
    <w:rsid w:val="00FC1A0E"/>
    <w:rsid w:val="00FC1A7E"/>
    <w:rsid w:val="00FC1ABD"/>
    <w:rsid w:val="00FC1AE1"/>
    <w:rsid w:val="00FC1B28"/>
    <w:rsid w:val="00FC1C9F"/>
    <w:rsid w:val="00FC1E71"/>
    <w:rsid w:val="00FC1E94"/>
    <w:rsid w:val="00FC2171"/>
    <w:rsid w:val="00FC21E0"/>
    <w:rsid w:val="00FC236B"/>
    <w:rsid w:val="00FC2506"/>
    <w:rsid w:val="00FC2522"/>
    <w:rsid w:val="00FC2579"/>
    <w:rsid w:val="00FC2586"/>
    <w:rsid w:val="00FC2597"/>
    <w:rsid w:val="00FC2657"/>
    <w:rsid w:val="00FC2686"/>
    <w:rsid w:val="00FC2701"/>
    <w:rsid w:val="00FC2703"/>
    <w:rsid w:val="00FC283B"/>
    <w:rsid w:val="00FC28D0"/>
    <w:rsid w:val="00FC29A3"/>
    <w:rsid w:val="00FC2A82"/>
    <w:rsid w:val="00FC2ACF"/>
    <w:rsid w:val="00FC2B38"/>
    <w:rsid w:val="00FC2B4A"/>
    <w:rsid w:val="00FC2BE3"/>
    <w:rsid w:val="00FC2C6C"/>
    <w:rsid w:val="00FC2CE8"/>
    <w:rsid w:val="00FC2D4C"/>
    <w:rsid w:val="00FC2D8B"/>
    <w:rsid w:val="00FC2DBA"/>
    <w:rsid w:val="00FC2E25"/>
    <w:rsid w:val="00FC2E73"/>
    <w:rsid w:val="00FC2F2A"/>
    <w:rsid w:val="00FC30DA"/>
    <w:rsid w:val="00FC30F7"/>
    <w:rsid w:val="00FC30FB"/>
    <w:rsid w:val="00FC3260"/>
    <w:rsid w:val="00FC32DA"/>
    <w:rsid w:val="00FC32E1"/>
    <w:rsid w:val="00FC341A"/>
    <w:rsid w:val="00FC34ED"/>
    <w:rsid w:val="00FC34EF"/>
    <w:rsid w:val="00FC35C7"/>
    <w:rsid w:val="00FC36A6"/>
    <w:rsid w:val="00FC37B5"/>
    <w:rsid w:val="00FC3968"/>
    <w:rsid w:val="00FC399A"/>
    <w:rsid w:val="00FC39B5"/>
    <w:rsid w:val="00FC39BA"/>
    <w:rsid w:val="00FC3F1A"/>
    <w:rsid w:val="00FC3F9F"/>
    <w:rsid w:val="00FC3FA6"/>
    <w:rsid w:val="00FC3FB4"/>
    <w:rsid w:val="00FC3FC0"/>
    <w:rsid w:val="00FC40F8"/>
    <w:rsid w:val="00FC4132"/>
    <w:rsid w:val="00FC418B"/>
    <w:rsid w:val="00FC4195"/>
    <w:rsid w:val="00FC4221"/>
    <w:rsid w:val="00FC43F2"/>
    <w:rsid w:val="00FC4448"/>
    <w:rsid w:val="00FC44D2"/>
    <w:rsid w:val="00FC4529"/>
    <w:rsid w:val="00FC4570"/>
    <w:rsid w:val="00FC45DA"/>
    <w:rsid w:val="00FC4627"/>
    <w:rsid w:val="00FC4642"/>
    <w:rsid w:val="00FC4673"/>
    <w:rsid w:val="00FC46F4"/>
    <w:rsid w:val="00FC47CC"/>
    <w:rsid w:val="00FC499C"/>
    <w:rsid w:val="00FC4A06"/>
    <w:rsid w:val="00FC4A66"/>
    <w:rsid w:val="00FC4A6F"/>
    <w:rsid w:val="00FC4C5C"/>
    <w:rsid w:val="00FC4CD2"/>
    <w:rsid w:val="00FC4D80"/>
    <w:rsid w:val="00FC4F34"/>
    <w:rsid w:val="00FC4F59"/>
    <w:rsid w:val="00FC505A"/>
    <w:rsid w:val="00FC50E8"/>
    <w:rsid w:val="00FC5262"/>
    <w:rsid w:val="00FC5299"/>
    <w:rsid w:val="00FC541A"/>
    <w:rsid w:val="00FC54B4"/>
    <w:rsid w:val="00FC551F"/>
    <w:rsid w:val="00FC5546"/>
    <w:rsid w:val="00FC5684"/>
    <w:rsid w:val="00FC581F"/>
    <w:rsid w:val="00FC597B"/>
    <w:rsid w:val="00FC59F5"/>
    <w:rsid w:val="00FC5CDC"/>
    <w:rsid w:val="00FC5D6E"/>
    <w:rsid w:val="00FC5D85"/>
    <w:rsid w:val="00FC5EE2"/>
    <w:rsid w:val="00FC5F9C"/>
    <w:rsid w:val="00FC5FD9"/>
    <w:rsid w:val="00FC621D"/>
    <w:rsid w:val="00FC6242"/>
    <w:rsid w:val="00FC62CE"/>
    <w:rsid w:val="00FC6311"/>
    <w:rsid w:val="00FC6335"/>
    <w:rsid w:val="00FC6368"/>
    <w:rsid w:val="00FC636B"/>
    <w:rsid w:val="00FC6391"/>
    <w:rsid w:val="00FC63DF"/>
    <w:rsid w:val="00FC662C"/>
    <w:rsid w:val="00FC67C7"/>
    <w:rsid w:val="00FC6966"/>
    <w:rsid w:val="00FC6A0C"/>
    <w:rsid w:val="00FC6B20"/>
    <w:rsid w:val="00FC6E0F"/>
    <w:rsid w:val="00FC6E4F"/>
    <w:rsid w:val="00FC6E50"/>
    <w:rsid w:val="00FC6F0D"/>
    <w:rsid w:val="00FC6FE3"/>
    <w:rsid w:val="00FC7007"/>
    <w:rsid w:val="00FC7146"/>
    <w:rsid w:val="00FC7164"/>
    <w:rsid w:val="00FC7176"/>
    <w:rsid w:val="00FC719B"/>
    <w:rsid w:val="00FC71CA"/>
    <w:rsid w:val="00FC71CE"/>
    <w:rsid w:val="00FC7392"/>
    <w:rsid w:val="00FC73D9"/>
    <w:rsid w:val="00FC74CC"/>
    <w:rsid w:val="00FC7510"/>
    <w:rsid w:val="00FC76E7"/>
    <w:rsid w:val="00FC7773"/>
    <w:rsid w:val="00FC7813"/>
    <w:rsid w:val="00FC783A"/>
    <w:rsid w:val="00FC7A93"/>
    <w:rsid w:val="00FC7AB5"/>
    <w:rsid w:val="00FC7AEE"/>
    <w:rsid w:val="00FC7D7D"/>
    <w:rsid w:val="00FC7DD0"/>
    <w:rsid w:val="00FC7E6B"/>
    <w:rsid w:val="00FD0024"/>
    <w:rsid w:val="00FD0055"/>
    <w:rsid w:val="00FD0085"/>
    <w:rsid w:val="00FD027D"/>
    <w:rsid w:val="00FD03AB"/>
    <w:rsid w:val="00FD04D8"/>
    <w:rsid w:val="00FD06E2"/>
    <w:rsid w:val="00FD0A8F"/>
    <w:rsid w:val="00FD0AFC"/>
    <w:rsid w:val="00FD0B1B"/>
    <w:rsid w:val="00FD0B59"/>
    <w:rsid w:val="00FD0B91"/>
    <w:rsid w:val="00FD0B9E"/>
    <w:rsid w:val="00FD0D49"/>
    <w:rsid w:val="00FD0ED7"/>
    <w:rsid w:val="00FD101A"/>
    <w:rsid w:val="00FD13E4"/>
    <w:rsid w:val="00FD1498"/>
    <w:rsid w:val="00FD1641"/>
    <w:rsid w:val="00FD16A5"/>
    <w:rsid w:val="00FD1955"/>
    <w:rsid w:val="00FD19F7"/>
    <w:rsid w:val="00FD1A5F"/>
    <w:rsid w:val="00FD1A77"/>
    <w:rsid w:val="00FD1D06"/>
    <w:rsid w:val="00FD1D10"/>
    <w:rsid w:val="00FD1E66"/>
    <w:rsid w:val="00FD1EA8"/>
    <w:rsid w:val="00FD1EB5"/>
    <w:rsid w:val="00FD2049"/>
    <w:rsid w:val="00FD217E"/>
    <w:rsid w:val="00FD21B2"/>
    <w:rsid w:val="00FD23BB"/>
    <w:rsid w:val="00FD23E3"/>
    <w:rsid w:val="00FD2474"/>
    <w:rsid w:val="00FD2570"/>
    <w:rsid w:val="00FD2650"/>
    <w:rsid w:val="00FD277E"/>
    <w:rsid w:val="00FD2969"/>
    <w:rsid w:val="00FD2A02"/>
    <w:rsid w:val="00FD2A0E"/>
    <w:rsid w:val="00FD2AAB"/>
    <w:rsid w:val="00FD2AB9"/>
    <w:rsid w:val="00FD2D4F"/>
    <w:rsid w:val="00FD2E39"/>
    <w:rsid w:val="00FD2E73"/>
    <w:rsid w:val="00FD3027"/>
    <w:rsid w:val="00FD3034"/>
    <w:rsid w:val="00FD303B"/>
    <w:rsid w:val="00FD3147"/>
    <w:rsid w:val="00FD317D"/>
    <w:rsid w:val="00FD3306"/>
    <w:rsid w:val="00FD33D4"/>
    <w:rsid w:val="00FD33DA"/>
    <w:rsid w:val="00FD3451"/>
    <w:rsid w:val="00FD366E"/>
    <w:rsid w:val="00FD3741"/>
    <w:rsid w:val="00FD378C"/>
    <w:rsid w:val="00FD37EF"/>
    <w:rsid w:val="00FD37F4"/>
    <w:rsid w:val="00FD381D"/>
    <w:rsid w:val="00FD38C8"/>
    <w:rsid w:val="00FD39BE"/>
    <w:rsid w:val="00FD3A65"/>
    <w:rsid w:val="00FD3BF2"/>
    <w:rsid w:val="00FD3C9B"/>
    <w:rsid w:val="00FD3D87"/>
    <w:rsid w:val="00FD3DC0"/>
    <w:rsid w:val="00FD3E61"/>
    <w:rsid w:val="00FD3FF1"/>
    <w:rsid w:val="00FD4108"/>
    <w:rsid w:val="00FD4153"/>
    <w:rsid w:val="00FD41AB"/>
    <w:rsid w:val="00FD420F"/>
    <w:rsid w:val="00FD4287"/>
    <w:rsid w:val="00FD43AC"/>
    <w:rsid w:val="00FD43DD"/>
    <w:rsid w:val="00FD446C"/>
    <w:rsid w:val="00FD4541"/>
    <w:rsid w:val="00FD45FB"/>
    <w:rsid w:val="00FD4864"/>
    <w:rsid w:val="00FD494D"/>
    <w:rsid w:val="00FD4B63"/>
    <w:rsid w:val="00FD4B7E"/>
    <w:rsid w:val="00FD4BC0"/>
    <w:rsid w:val="00FD4C13"/>
    <w:rsid w:val="00FD4C14"/>
    <w:rsid w:val="00FD4F2F"/>
    <w:rsid w:val="00FD510F"/>
    <w:rsid w:val="00FD5110"/>
    <w:rsid w:val="00FD528E"/>
    <w:rsid w:val="00FD5327"/>
    <w:rsid w:val="00FD5345"/>
    <w:rsid w:val="00FD539A"/>
    <w:rsid w:val="00FD5698"/>
    <w:rsid w:val="00FD57EB"/>
    <w:rsid w:val="00FD5899"/>
    <w:rsid w:val="00FD59D5"/>
    <w:rsid w:val="00FD5A7A"/>
    <w:rsid w:val="00FD5A93"/>
    <w:rsid w:val="00FD5B4D"/>
    <w:rsid w:val="00FD5D37"/>
    <w:rsid w:val="00FD5D95"/>
    <w:rsid w:val="00FD5ECC"/>
    <w:rsid w:val="00FD605B"/>
    <w:rsid w:val="00FD6115"/>
    <w:rsid w:val="00FD6218"/>
    <w:rsid w:val="00FD6286"/>
    <w:rsid w:val="00FD62EB"/>
    <w:rsid w:val="00FD646A"/>
    <w:rsid w:val="00FD6577"/>
    <w:rsid w:val="00FD65AC"/>
    <w:rsid w:val="00FD6677"/>
    <w:rsid w:val="00FD667D"/>
    <w:rsid w:val="00FD66E3"/>
    <w:rsid w:val="00FD67D9"/>
    <w:rsid w:val="00FD685E"/>
    <w:rsid w:val="00FD6887"/>
    <w:rsid w:val="00FD68C3"/>
    <w:rsid w:val="00FD68EF"/>
    <w:rsid w:val="00FD6AE1"/>
    <w:rsid w:val="00FD6B33"/>
    <w:rsid w:val="00FD6BDE"/>
    <w:rsid w:val="00FD6C44"/>
    <w:rsid w:val="00FD6D03"/>
    <w:rsid w:val="00FD6DD9"/>
    <w:rsid w:val="00FD6ED4"/>
    <w:rsid w:val="00FD6F36"/>
    <w:rsid w:val="00FD6FE2"/>
    <w:rsid w:val="00FD7064"/>
    <w:rsid w:val="00FD70BF"/>
    <w:rsid w:val="00FD70C5"/>
    <w:rsid w:val="00FD70CB"/>
    <w:rsid w:val="00FD70ED"/>
    <w:rsid w:val="00FD715D"/>
    <w:rsid w:val="00FD71C1"/>
    <w:rsid w:val="00FD7258"/>
    <w:rsid w:val="00FD7273"/>
    <w:rsid w:val="00FD739E"/>
    <w:rsid w:val="00FD73A1"/>
    <w:rsid w:val="00FD73A3"/>
    <w:rsid w:val="00FD740B"/>
    <w:rsid w:val="00FD766A"/>
    <w:rsid w:val="00FD7692"/>
    <w:rsid w:val="00FD76F3"/>
    <w:rsid w:val="00FD7743"/>
    <w:rsid w:val="00FD7784"/>
    <w:rsid w:val="00FD7789"/>
    <w:rsid w:val="00FD7ABD"/>
    <w:rsid w:val="00FD7BC9"/>
    <w:rsid w:val="00FD7C51"/>
    <w:rsid w:val="00FD7D5F"/>
    <w:rsid w:val="00FD7D63"/>
    <w:rsid w:val="00FD7DCC"/>
    <w:rsid w:val="00FD7EAB"/>
    <w:rsid w:val="00FD7EDD"/>
    <w:rsid w:val="00FD7F6C"/>
    <w:rsid w:val="00FE00A4"/>
    <w:rsid w:val="00FE030F"/>
    <w:rsid w:val="00FE032C"/>
    <w:rsid w:val="00FE0384"/>
    <w:rsid w:val="00FE04A3"/>
    <w:rsid w:val="00FE0603"/>
    <w:rsid w:val="00FE0649"/>
    <w:rsid w:val="00FE068C"/>
    <w:rsid w:val="00FE08CB"/>
    <w:rsid w:val="00FE0957"/>
    <w:rsid w:val="00FE0A4A"/>
    <w:rsid w:val="00FE0B37"/>
    <w:rsid w:val="00FE0B3B"/>
    <w:rsid w:val="00FE0BC3"/>
    <w:rsid w:val="00FE0C2E"/>
    <w:rsid w:val="00FE0C4E"/>
    <w:rsid w:val="00FE0D0E"/>
    <w:rsid w:val="00FE0DD8"/>
    <w:rsid w:val="00FE0E3C"/>
    <w:rsid w:val="00FE0F23"/>
    <w:rsid w:val="00FE0FBC"/>
    <w:rsid w:val="00FE10FF"/>
    <w:rsid w:val="00FE110C"/>
    <w:rsid w:val="00FE129A"/>
    <w:rsid w:val="00FE13C8"/>
    <w:rsid w:val="00FE13EA"/>
    <w:rsid w:val="00FE153C"/>
    <w:rsid w:val="00FE1676"/>
    <w:rsid w:val="00FE1690"/>
    <w:rsid w:val="00FE169B"/>
    <w:rsid w:val="00FE1830"/>
    <w:rsid w:val="00FE1854"/>
    <w:rsid w:val="00FE1864"/>
    <w:rsid w:val="00FE18F8"/>
    <w:rsid w:val="00FE1AD5"/>
    <w:rsid w:val="00FE1BCC"/>
    <w:rsid w:val="00FE1C62"/>
    <w:rsid w:val="00FE1CBF"/>
    <w:rsid w:val="00FE1E8C"/>
    <w:rsid w:val="00FE1E94"/>
    <w:rsid w:val="00FE2112"/>
    <w:rsid w:val="00FE218D"/>
    <w:rsid w:val="00FE228B"/>
    <w:rsid w:val="00FE2323"/>
    <w:rsid w:val="00FE234A"/>
    <w:rsid w:val="00FE24A7"/>
    <w:rsid w:val="00FE2596"/>
    <w:rsid w:val="00FE25C9"/>
    <w:rsid w:val="00FE2739"/>
    <w:rsid w:val="00FE2848"/>
    <w:rsid w:val="00FE2900"/>
    <w:rsid w:val="00FE2B09"/>
    <w:rsid w:val="00FE2B3F"/>
    <w:rsid w:val="00FE2B76"/>
    <w:rsid w:val="00FE2B8E"/>
    <w:rsid w:val="00FE2D22"/>
    <w:rsid w:val="00FE2E30"/>
    <w:rsid w:val="00FE2F7C"/>
    <w:rsid w:val="00FE2FE1"/>
    <w:rsid w:val="00FE305B"/>
    <w:rsid w:val="00FE30CF"/>
    <w:rsid w:val="00FE3142"/>
    <w:rsid w:val="00FE31D3"/>
    <w:rsid w:val="00FE31F9"/>
    <w:rsid w:val="00FE323F"/>
    <w:rsid w:val="00FE32AE"/>
    <w:rsid w:val="00FE3326"/>
    <w:rsid w:val="00FE3510"/>
    <w:rsid w:val="00FE3547"/>
    <w:rsid w:val="00FE366C"/>
    <w:rsid w:val="00FE388D"/>
    <w:rsid w:val="00FE3A22"/>
    <w:rsid w:val="00FE3A2C"/>
    <w:rsid w:val="00FE3AA1"/>
    <w:rsid w:val="00FE3C3E"/>
    <w:rsid w:val="00FE3C73"/>
    <w:rsid w:val="00FE3C79"/>
    <w:rsid w:val="00FE3CE5"/>
    <w:rsid w:val="00FE3F35"/>
    <w:rsid w:val="00FE3FE5"/>
    <w:rsid w:val="00FE4037"/>
    <w:rsid w:val="00FE40F1"/>
    <w:rsid w:val="00FE40FE"/>
    <w:rsid w:val="00FE4168"/>
    <w:rsid w:val="00FE43B6"/>
    <w:rsid w:val="00FE43BA"/>
    <w:rsid w:val="00FE43BC"/>
    <w:rsid w:val="00FE4434"/>
    <w:rsid w:val="00FE4640"/>
    <w:rsid w:val="00FE46F3"/>
    <w:rsid w:val="00FE478B"/>
    <w:rsid w:val="00FE4918"/>
    <w:rsid w:val="00FE4A8C"/>
    <w:rsid w:val="00FE4BBE"/>
    <w:rsid w:val="00FE4D5A"/>
    <w:rsid w:val="00FE4F3C"/>
    <w:rsid w:val="00FE515B"/>
    <w:rsid w:val="00FE52D9"/>
    <w:rsid w:val="00FE537D"/>
    <w:rsid w:val="00FE53A7"/>
    <w:rsid w:val="00FE53BA"/>
    <w:rsid w:val="00FE53C5"/>
    <w:rsid w:val="00FE543E"/>
    <w:rsid w:val="00FE5616"/>
    <w:rsid w:val="00FE56D1"/>
    <w:rsid w:val="00FE578B"/>
    <w:rsid w:val="00FE579C"/>
    <w:rsid w:val="00FE57D8"/>
    <w:rsid w:val="00FE5840"/>
    <w:rsid w:val="00FE5947"/>
    <w:rsid w:val="00FE5B5A"/>
    <w:rsid w:val="00FE5B64"/>
    <w:rsid w:val="00FE5BE8"/>
    <w:rsid w:val="00FE5D79"/>
    <w:rsid w:val="00FE5F20"/>
    <w:rsid w:val="00FE60B7"/>
    <w:rsid w:val="00FE60F5"/>
    <w:rsid w:val="00FE6138"/>
    <w:rsid w:val="00FE6220"/>
    <w:rsid w:val="00FE63C1"/>
    <w:rsid w:val="00FE64FC"/>
    <w:rsid w:val="00FE6559"/>
    <w:rsid w:val="00FE6567"/>
    <w:rsid w:val="00FE661A"/>
    <w:rsid w:val="00FE6972"/>
    <w:rsid w:val="00FE6985"/>
    <w:rsid w:val="00FE69A1"/>
    <w:rsid w:val="00FE6A82"/>
    <w:rsid w:val="00FE6AF9"/>
    <w:rsid w:val="00FE6B1B"/>
    <w:rsid w:val="00FE6C62"/>
    <w:rsid w:val="00FE6D1F"/>
    <w:rsid w:val="00FE6F1F"/>
    <w:rsid w:val="00FE6FFA"/>
    <w:rsid w:val="00FE7034"/>
    <w:rsid w:val="00FE711A"/>
    <w:rsid w:val="00FE7123"/>
    <w:rsid w:val="00FE7450"/>
    <w:rsid w:val="00FE7490"/>
    <w:rsid w:val="00FE755C"/>
    <w:rsid w:val="00FE77C4"/>
    <w:rsid w:val="00FE789E"/>
    <w:rsid w:val="00FE791C"/>
    <w:rsid w:val="00FE7B46"/>
    <w:rsid w:val="00FE7BEE"/>
    <w:rsid w:val="00FE7C46"/>
    <w:rsid w:val="00FE7E1F"/>
    <w:rsid w:val="00FE7F18"/>
    <w:rsid w:val="00FE7F77"/>
    <w:rsid w:val="00FE7F84"/>
    <w:rsid w:val="00FF017C"/>
    <w:rsid w:val="00FF030C"/>
    <w:rsid w:val="00FF033D"/>
    <w:rsid w:val="00FF04CF"/>
    <w:rsid w:val="00FF0672"/>
    <w:rsid w:val="00FF0747"/>
    <w:rsid w:val="00FF08E5"/>
    <w:rsid w:val="00FF09DF"/>
    <w:rsid w:val="00FF0A92"/>
    <w:rsid w:val="00FF0BE9"/>
    <w:rsid w:val="00FF0CA8"/>
    <w:rsid w:val="00FF0D37"/>
    <w:rsid w:val="00FF0D7C"/>
    <w:rsid w:val="00FF0E4B"/>
    <w:rsid w:val="00FF0E71"/>
    <w:rsid w:val="00FF0F47"/>
    <w:rsid w:val="00FF0F95"/>
    <w:rsid w:val="00FF0FED"/>
    <w:rsid w:val="00FF11A7"/>
    <w:rsid w:val="00FF11D7"/>
    <w:rsid w:val="00FF1297"/>
    <w:rsid w:val="00FF129E"/>
    <w:rsid w:val="00FF12A3"/>
    <w:rsid w:val="00FF1396"/>
    <w:rsid w:val="00FF14B5"/>
    <w:rsid w:val="00FF14BB"/>
    <w:rsid w:val="00FF15A4"/>
    <w:rsid w:val="00FF15EB"/>
    <w:rsid w:val="00FF1727"/>
    <w:rsid w:val="00FF18CD"/>
    <w:rsid w:val="00FF19F3"/>
    <w:rsid w:val="00FF1B1B"/>
    <w:rsid w:val="00FF1C4F"/>
    <w:rsid w:val="00FF1D1E"/>
    <w:rsid w:val="00FF1EB5"/>
    <w:rsid w:val="00FF1F60"/>
    <w:rsid w:val="00FF2080"/>
    <w:rsid w:val="00FF20A0"/>
    <w:rsid w:val="00FF2103"/>
    <w:rsid w:val="00FF210B"/>
    <w:rsid w:val="00FF216F"/>
    <w:rsid w:val="00FF2270"/>
    <w:rsid w:val="00FF24E9"/>
    <w:rsid w:val="00FF25B6"/>
    <w:rsid w:val="00FF2774"/>
    <w:rsid w:val="00FF28AA"/>
    <w:rsid w:val="00FF2A91"/>
    <w:rsid w:val="00FF2D61"/>
    <w:rsid w:val="00FF2DB7"/>
    <w:rsid w:val="00FF2DBE"/>
    <w:rsid w:val="00FF2E58"/>
    <w:rsid w:val="00FF2ED8"/>
    <w:rsid w:val="00FF2FB1"/>
    <w:rsid w:val="00FF3075"/>
    <w:rsid w:val="00FF31C8"/>
    <w:rsid w:val="00FF31F2"/>
    <w:rsid w:val="00FF3272"/>
    <w:rsid w:val="00FF33A4"/>
    <w:rsid w:val="00FF3455"/>
    <w:rsid w:val="00FF3498"/>
    <w:rsid w:val="00FF356D"/>
    <w:rsid w:val="00FF36BC"/>
    <w:rsid w:val="00FF36E2"/>
    <w:rsid w:val="00FF37D5"/>
    <w:rsid w:val="00FF38B7"/>
    <w:rsid w:val="00FF393B"/>
    <w:rsid w:val="00FF3A31"/>
    <w:rsid w:val="00FF3AC6"/>
    <w:rsid w:val="00FF3B34"/>
    <w:rsid w:val="00FF3BA5"/>
    <w:rsid w:val="00FF3BC4"/>
    <w:rsid w:val="00FF3BEC"/>
    <w:rsid w:val="00FF3CC5"/>
    <w:rsid w:val="00FF3CDB"/>
    <w:rsid w:val="00FF3D27"/>
    <w:rsid w:val="00FF3E2A"/>
    <w:rsid w:val="00FF418D"/>
    <w:rsid w:val="00FF41DB"/>
    <w:rsid w:val="00FF4232"/>
    <w:rsid w:val="00FF4247"/>
    <w:rsid w:val="00FF430F"/>
    <w:rsid w:val="00FF4335"/>
    <w:rsid w:val="00FF4645"/>
    <w:rsid w:val="00FF4677"/>
    <w:rsid w:val="00FF46A7"/>
    <w:rsid w:val="00FF46FA"/>
    <w:rsid w:val="00FF48AC"/>
    <w:rsid w:val="00FF4973"/>
    <w:rsid w:val="00FF4AC7"/>
    <w:rsid w:val="00FF4CF0"/>
    <w:rsid w:val="00FF4D6D"/>
    <w:rsid w:val="00FF4D6E"/>
    <w:rsid w:val="00FF4DAB"/>
    <w:rsid w:val="00FF4FD8"/>
    <w:rsid w:val="00FF5090"/>
    <w:rsid w:val="00FF5162"/>
    <w:rsid w:val="00FF5342"/>
    <w:rsid w:val="00FF53C0"/>
    <w:rsid w:val="00FF542B"/>
    <w:rsid w:val="00FF5445"/>
    <w:rsid w:val="00FF5557"/>
    <w:rsid w:val="00FF55D1"/>
    <w:rsid w:val="00FF5623"/>
    <w:rsid w:val="00FF563E"/>
    <w:rsid w:val="00FF56D3"/>
    <w:rsid w:val="00FF5700"/>
    <w:rsid w:val="00FF5785"/>
    <w:rsid w:val="00FF5871"/>
    <w:rsid w:val="00FF58B0"/>
    <w:rsid w:val="00FF58E5"/>
    <w:rsid w:val="00FF58E6"/>
    <w:rsid w:val="00FF5992"/>
    <w:rsid w:val="00FF5A4A"/>
    <w:rsid w:val="00FF5A85"/>
    <w:rsid w:val="00FF5AE1"/>
    <w:rsid w:val="00FF5B62"/>
    <w:rsid w:val="00FF5BEE"/>
    <w:rsid w:val="00FF5C82"/>
    <w:rsid w:val="00FF5C8B"/>
    <w:rsid w:val="00FF5DF9"/>
    <w:rsid w:val="00FF5E0F"/>
    <w:rsid w:val="00FF6236"/>
    <w:rsid w:val="00FF62C5"/>
    <w:rsid w:val="00FF6325"/>
    <w:rsid w:val="00FF6371"/>
    <w:rsid w:val="00FF6538"/>
    <w:rsid w:val="00FF65A4"/>
    <w:rsid w:val="00FF68C2"/>
    <w:rsid w:val="00FF6A79"/>
    <w:rsid w:val="00FF6BAB"/>
    <w:rsid w:val="00FF6C88"/>
    <w:rsid w:val="00FF6CFF"/>
    <w:rsid w:val="00FF6EAD"/>
    <w:rsid w:val="00FF6F21"/>
    <w:rsid w:val="00FF6F88"/>
    <w:rsid w:val="00FF6FC8"/>
    <w:rsid w:val="00FF7004"/>
    <w:rsid w:val="00FF7114"/>
    <w:rsid w:val="00FF7170"/>
    <w:rsid w:val="00FF71D7"/>
    <w:rsid w:val="00FF7237"/>
    <w:rsid w:val="00FF72DB"/>
    <w:rsid w:val="00FF72E7"/>
    <w:rsid w:val="00FF731F"/>
    <w:rsid w:val="00FF7342"/>
    <w:rsid w:val="00FF7386"/>
    <w:rsid w:val="00FF7404"/>
    <w:rsid w:val="00FF7548"/>
    <w:rsid w:val="00FF7582"/>
    <w:rsid w:val="00FF75FD"/>
    <w:rsid w:val="00FF768C"/>
    <w:rsid w:val="00FF769E"/>
    <w:rsid w:val="00FF769F"/>
    <w:rsid w:val="00FF782E"/>
    <w:rsid w:val="00FF78A2"/>
    <w:rsid w:val="00FF78C5"/>
    <w:rsid w:val="00FF7970"/>
    <w:rsid w:val="00FF79A8"/>
    <w:rsid w:val="00FF7A76"/>
    <w:rsid w:val="00FF7B0F"/>
    <w:rsid w:val="00FF7C2C"/>
    <w:rsid w:val="00FF7C45"/>
    <w:rsid w:val="00FF7C54"/>
    <w:rsid w:val="00FF7D6A"/>
    <w:rsid w:val="00FF7E02"/>
    <w:rsid w:val="00FF7EC9"/>
    <w:rsid w:val="01054BE8"/>
    <w:rsid w:val="010EE61C"/>
    <w:rsid w:val="011B22F9"/>
    <w:rsid w:val="012316DD"/>
    <w:rsid w:val="0125FF8F"/>
    <w:rsid w:val="012E4CA5"/>
    <w:rsid w:val="012EBD0F"/>
    <w:rsid w:val="013173B0"/>
    <w:rsid w:val="0143A302"/>
    <w:rsid w:val="0145D492"/>
    <w:rsid w:val="014C5BA6"/>
    <w:rsid w:val="014E8EA0"/>
    <w:rsid w:val="0152F19D"/>
    <w:rsid w:val="0156C77B"/>
    <w:rsid w:val="015CAD45"/>
    <w:rsid w:val="01658719"/>
    <w:rsid w:val="0167338C"/>
    <w:rsid w:val="016C51DC"/>
    <w:rsid w:val="016E423F"/>
    <w:rsid w:val="016F8021"/>
    <w:rsid w:val="017E5C95"/>
    <w:rsid w:val="0182E80C"/>
    <w:rsid w:val="01882590"/>
    <w:rsid w:val="0189E6C0"/>
    <w:rsid w:val="019D72C4"/>
    <w:rsid w:val="01A2BCCB"/>
    <w:rsid w:val="01A55282"/>
    <w:rsid w:val="01AB46A6"/>
    <w:rsid w:val="01AD257E"/>
    <w:rsid w:val="01B497ED"/>
    <w:rsid w:val="01BDF697"/>
    <w:rsid w:val="01C7A995"/>
    <w:rsid w:val="01D7BBE2"/>
    <w:rsid w:val="01D7C23C"/>
    <w:rsid w:val="01D89885"/>
    <w:rsid w:val="01E419D7"/>
    <w:rsid w:val="01E490CF"/>
    <w:rsid w:val="01E4F70D"/>
    <w:rsid w:val="01E526C1"/>
    <w:rsid w:val="01E91070"/>
    <w:rsid w:val="01EDCF6B"/>
    <w:rsid w:val="01EE0A73"/>
    <w:rsid w:val="01FBF2C4"/>
    <w:rsid w:val="02006514"/>
    <w:rsid w:val="021021B4"/>
    <w:rsid w:val="0213F927"/>
    <w:rsid w:val="02146C59"/>
    <w:rsid w:val="021A4F7A"/>
    <w:rsid w:val="02269ED0"/>
    <w:rsid w:val="022A6DF2"/>
    <w:rsid w:val="022D0800"/>
    <w:rsid w:val="023CAAB6"/>
    <w:rsid w:val="023FFA6D"/>
    <w:rsid w:val="02417D12"/>
    <w:rsid w:val="024B9C9F"/>
    <w:rsid w:val="0270AECF"/>
    <w:rsid w:val="0280F430"/>
    <w:rsid w:val="02873494"/>
    <w:rsid w:val="028A0A0E"/>
    <w:rsid w:val="0290CA41"/>
    <w:rsid w:val="029BBF32"/>
    <w:rsid w:val="02AB711C"/>
    <w:rsid w:val="02AE490B"/>
    <w:rsid w:val="02B20655"/>
    <w:rsid w:val="02B31309"/>
    <w:rsid w:val="02BF318B"/>
    <w:rsid w:val="02D70782"/>
    <w:rsid w:val="02D94DA7"/>
    <w:rsid w:val="02DCA092"/>
    <w:rsid w:val="02E48E15"/>
    <w:rsid w:val="02EBE8C9"/>
    <w:rsid w:val="02F7C85B"/>
    <w:rsid w:val="02F84EC0"/>
    <w:rsid w:val="02FDC533"/>
    <w:rsid w:val="0303A61C"/>
    <w:rsid w:val="030F7333"/>
    <w:rsid w:val="03175D4B"/>
    <w:rsid w:val="03206395"/>
    <w:rsid w:val="03206821"/>
    <w:rsid w:val="0322D741"/>
    <w:rsid w:val="03275C38"/>
    <w:rsid w:val="0337508C"/>
    <w:rsid w:val="033B3D37"/>
    <w:rsid w:val="0341FE16"/>
    <w:rsid w:val="034B7E38"/>
    <w:rsid w:val="034F042E"/>
    <w:rsid w:val="0350E9A4"/>
    <w:rsid w:val="03542EBA"/>
    <w:rsid w:val="0361FD5B"/>
    <w:rsid w:val="03645BD9"/>
    <w:rsid w:val="03768438"/>
    <w:rsid w:val="0379BA04"/>
    <w:rsid w:val="037E9BA8"/>
    <w:rsid w:val="03967D79"/>
    <w:rsid w:val="03968848"/>
    <w:rsid w:val="0398561D"/>
    <w:rsid w:val="039B6471"/>
    <w:rsid w:val="03A679A4"/>
    <w:rsid w:val="03A7487D"/>
    <w:rsid w:val="03AD10A9"/>
    <w:rsid w:val="03B6E10F"/>
    <w:rsid w:val="03BFF3E5"/>
    <w:rsid w:val="03CE0633"/>
    <w:rsid w:val="03D25400"/>
    <w:rsid w:val="03D52FD2"/>
    <w:rsid w:val="03DD78A4"/>
    <w:rsid w:val="03E0FE05"/>
    <w:rsid w:val="03E7BDB0"/>
    <w:rsid w:val="03E88866"/>
    <w:rsid w:val="03ED2E1E"/>
    <w:rsid w:val="03EEF368"/>
    <w:rsid w:val="03F50EDA"/>
    <w:rsid w:val="03F94C1B"/>
    <w:rsid w:val="03FF13B0"/>
    <w:rsid w:val="04028CBD"/>
    <w:rsid w:val="0402B840"/>
    <w:rsid w:val="040ABF13"/>
    <w:rsid w:val="04248009"/>
    <w:rsid w:val="0426961C"/>
    <w:rsid w:val="042E6F74"/>
    <w:rsid w:val="0440277F"/>
    <w:rsid w:val="044726F8"/>
    <w:rsid w:val="0453B241"/>
    <w:rsid w:val="0453C733"/>
    <w:rsid w:val="04615302"/>
    <w:rsid w:val="0461558B"/>
    <w:rsid w:val="04633964"/>
    <w:rsid w:val="046A48FE"/>
    <w:rsid w:val="046EF9F3"/>
    <w:rsid w:val="0471FC0C"/>
    <w:rsid w:val="047DA68A"/>
    <w:rsid w:val="0481F42C"/>
    <w:rsid w:val="048ABFF3"/>
    <w:rsid w:val="048DEF3C"/>
    <w:rsid w:val="049987BB"/>
    <w:rsid w:val="049D268D"/>
    <w:rsid w:val="049F98A7"/>
    <w:rsid w:val="04A67F44"/>
    <w:rsid w:val="04A7F164"/>
    <w:rsid w:val="04AE3344"/>
    <w:rsid w:val="04B6A150"/>
    <w:rsid w:val="04D9EAF1"/>
    <w:rsid w:val="04DF62B6"/>
    <w:rsid w:val="04E03FC8"/>
    <w:rsid w:val="04E0A276"/>
    <w:rsid w:val="04E38F4E"/>
    <w:rsid w:val="04E981CA"/>
    <w:rsid w:val="04F536CE"/>
    <w:rsid w:val="04F59C0A"/>
    <w:rsid w:val="04F80993"/>
    <w:rsid w:val="04FB0622"/>
    <w:rsid w:val="04FF6380"/>
    <w:rsid w:val="052E70B5"/>
    <w:rsid w:val="052F58E9"/>
    <w:rsid w:val="053B7868"/>
    <w:rsid w:val="0541D8C2"/>
    <w:rsid w:val="05467915"/>
    <w:rsid w:val="054F7FCD"/>
    <w:rsid w:val="0560CC2B"/>
    <w:rsid w:val="0566D711"/>
    <w:rsid w:val="0573D2A8"/>
    <w:rsid w:val="05751830"/>
    <w:rsid w:val="0578B2E7"/>
    <w:rsid w:val="05798311"/>
    <w:rsid w:val="057F1A69"/>
    <w:rsid w:val="0587C056"/>
    <w:rsid w:val="058895EA"/>
    <w:rsid w:val="058F15FB"/>
    <w:rsid w:val="0592399F"/>
    <w:rsid w:val="059D9034"/>
    <w:rsid w:val="059E5FE3"/>
    <w:rsid w:val="059E6986"/>
    <w:rsid w:val="05A95648"/>
    <w:rsid w:val="05B6ED18"/>
    <w:rsid w:val="05DBBC75"/>
    <w:rsid w:val="05DF395F"/>
    <w:rsid w:val="05DFB0C3"/>
    <w:rsid w:val="05F73255"/>
    <w:rsid w:val="05F759F7"/>
    <w:rsid w:val="05FC55F8"/>
    <w:rsid w:val="0607B317"/>
    <w:rsid w:val="06274A42"/>
    <w:rsid w:val="06282119"/>
    <w:rsid w:val="0643AD0C"/>
    <w:rsid w:val="064FA924"/>
    <w:rsid w:val="06532D92"/>
    <w:rsid w:val="066E222E"/>
    <w:rsid w:val="067C3A80"/>
    <w:rsid w:val="068C2616"/>
    <w:rsid w:val="06993CCF"/>
    <w:rsid w:val="06996CA3"/>
    <w:rsid w:val="06ACECFB"/>
    <w:rsid w:val="06B38B46"/>
    <w:rsid w:val="06BAD979"/>
    <w:rsid w:val="06BAFCFE"/>
    <w:rsid w:val="06C68A10"/>
    <w:rsid w:val="06CB4CBC"/>
    <w:rsid w:val="06CC28D3"/>
    <w:rsid w:val="06D99F66"/>
    <w:rsid w:val="06DD0AF8"/>
    <w:rsid w:val="06DFC514"/>
    <w:rsid w:val="06ED4A13"/>
    <w:rsid w:val="06EE26BD"/>
    <w:rsid w:val="0704BAAB"/>
    <w:rsid w:val="0707DB68"/>
    <w:rsid w:val="070F1427"/>
    <w:rsid w:val="0726C8FC"/>
    <w:rsid w:val="076BB1DB"/>
    <w:rsid w:val="077435F4"/>
    <w:rsid w:val="0776AE88"/>
    <w:rsid w:val="077EFD13"/>
    <w:rsid w:val="078624AC"/>
    <w:rsid w:val="079334D1"/>
    <w:rsid w:val="079BE24F"/>
    <w:rsid w:val="07AF7DA7"/>
    <w:rsid w:val="07B278F2"/>
    <w:rsid w:val="07BBAD68"/>
    <w:rsid w:val="07C54086"/>
    <w:rsid w:val="07C93348"/>
    <w:rsid w:val="07D86E56"/>
    <w:rsid w:val="07E86B39"/>
    <w:rsid w:val="07F8A3E6"/>
    <w:rsid w:val="07FAFBFE"/>
    <w:rsid w:val="07FB9E01"/>
    <w:rsid w:val="07FB9E5A"/>
    <w:rsid w:val="080154F2"/>
    <w:rsid w:val="080A403D"/>
    <w:rsid w:val="080B66AF"/>
    <w:rsid w:val="080BF579"/>
    <w:rsid w:val="080F9EC7"/>
    <w:rsid w:val="0822DB07"/>
    <w:rsid w:val="082B522D"/>
    <w:rsid w:val="0831A9FC"/>
    <w:rsid w:val="08341E31"/>
    <w:rsid w:val="0842F01B"/>
    <w:rsid w:val="0847796E"/>
    <w:rsid w:val="084804CE"/>
    <w:rsid w:val="0850A7FE"/>
    <w:rsid w:val="08540A96"/>
    <w:rsid w:val="0864A0CA"/>
    <w:rsid w:val="086D5D8D"/>
    <w:rsid w:val="087166F6"/>
    <w:rsid w:val="087A1373"/>
    <w:rsid w:val="0883F48D"/>
    <w:rsid w:val="08878D6D"/>
    <w:rsid w:val="088D8A5F"/>
    <w:rsid w:val="0890FEDD"/>
    <w:rsid w:val="08926316"/>
    <w:rsid w:val="08A377C4"/>
    <w:rsid w:val="08ACA2F7"/>
    <w:rsid w:val="08B49B35"/>
    <w:rsid w:val="08C301B5"/>
    <w:rsid w:val="08C6744E"/>
    <w:rsid w:val="08C67A31"/>
    <w:rsid w:val="08CEECAD"/>
    <w:rsid w:val="08D2FAF4"/>
    <w:rsid w:val="08D3B4C5"/>
    <w:rsid w:val="08D9FEEF"/>
    <w:rsid w:val="08E3BDF1"/>
    <w:rsid w:val="08E86BBA"/>
    <w:rsid w:val="08EA7219"/>
    <w:rsid w:val="08F1F67F"/>
    <w:rsid w:val="08F29CC5"/>
    <w:rsid w:val="08F3C829"/>
    <w:rsid w:val="08F42284"/>
    <w:rsid w:val="08F75248"/>
    <w:rsid w:val="08F7F40B"/>
    <w:rsid w:val="08F867E2"/>
    <w:rsid w:val="08FD7DAD"/>
    <w:rsid w:val="0904E904"/>
    <w:rsid w:val="09065884"/>
    <w:rsid w:val="090C887B"/>
    <w:rsid w:val="090E0E64"/>
    <w:rsid w:val="091139C8"/>
    <w:rsid w:val="09160C4D"/>
    <w:rsid w:val="091AD1EA"/>
    <w:rsid w:val="092613DC"/>
    <w:rsid w:val="09416558"/>
    <w:rsid w:val="0961690D"/>
    <w:rsid w:val="0969E364"/>
    <w:rsid w:val="0976F165"/>
    <w:rsid w:val="09795C0C"/>
    <w:rsid w:val="097DE16B"/>
    <w:rsid w:val="0982B295"/>
    <w:rsid w:val="0989C900"/>
    <w:rsid w:val="09A5F5C7"/>
    <w:rsid w:val="09BAA1F1"/>
    <w:rsid w:val="09C9921B"/>
    <w:rsid w:val="09CEFF3F"/>
    <w:rsid w:val="09D0693A"/>
    <w:rsid w:val="09D16619"/>
    <w:rsid w:val="09D36FA5"/>
    <w:rsid w:val="09D8B3AC"/>
    <w:rsid w:val="09EF8BC7"/>
    <w:rsid w:val="09F3F7BC"/>
    <w:rsid w:val="0A055E6D"/>
    <w:rsid w:val="0A1C980B"/>
    <w:rsid w:val="0A294042"/>
    <w:rsid w:val="0A2DEFD1"/>
    <w:rsid w:val="0A2F5337"/>
    <w:rsid w:val="0A396FE9"/>
    <w:rsid w:val="0A477333"/>
    <w:rsid w:val="0A540B44"/>
    <w:rsid w:val="0A55129A"/>
    <w:rsid w:val="0A5EB6C3"/>
    <w:rsid w:val="0A6B2C66"/>
    <w:rsid w:val="0A70F59B"/>
    <w:rsid w:val="0A72B391"/>
    <w:rsid w:val="0A77421F"/>
    <w:rsid w:val="0A80591E"/>
    <w:rsid w:val="0A816144"/>
    <w:rsid w:val="0A945375"/>
    <w:rsid w:val="0A948B7A"/>
    <w:rsid w:val="0A9A8832"/>
    <w:rsid w:val="0AA588A7"/>
    <w:rsid w:val="0AB2EAC2"/>
    <w:rsid w:val="0AC5CA83"/>
    <w:rsid w:val="0ACE3A07"/>
    <w:rsid w:val="0ADAED9F"/>
    <w:rsid w:val="0ADD664E"/>
    <w:rsid w:val="0AE52740"/>
    <w:rsid w:val="0B015CD4"/>
    <w:rsid w:val="0B0F86FF"/>
    <w:rsid w:val="0B197311"/>
    <w:rsid w:val="0B1A9C3F"/>
    <w:rsid w:val="0B2DF6D9"/>
    <w:rsid w:val="0B2FB357"/>
    <w:rsid w:val="0B404CB5"/>
    <w:rsid w:val="0B41D5EC"/>
    <w:rsid w:val="0B6075EC"/>
    <w:rsid w:val="0B73FC1A"/>
    <w:rsid w:val="0B7837D7"/>
    <w:rsid w:val="0B8F1463"/>
    <w:rsid w:val="0B99936C"/>
    <w:rsid w:val="0BA18432"/>
    <w:rsid w:val="0BA5F023"/>
    <w:rsid w:val="0BABBF2A"/>
    <w:rsid w:val="0BAFC8C8"/>
    <w:rsid w:val="0BB016F4"/>
    <w:rsid w:val="0BBB7D41"/>
    <w:rsid w:val="0BBFAF55"/>
    <w:rsid w:val="0BC1CAF7"/>
    <w:rsid w:val="0BC23F56"/>
    <w:rsid w:val="0BC266FE"/>
    <w:rsid w:val="0BCAB4DF"/>
    <w:rsid w:val="0BCC453E"/>
    <w:rsid w:val="0BF2005F"/>
    <w:rsid w:val="0BFEFEF7"/>
    <w:rsid w:val="0BFF1C5C"/>
    <w:rsid w:val="0C1798F8"/>
    <w:rsid w:val="0C1F50E7"/>
    <w:rsid w:val="0C293E0E"/>
    <w:rsid w:val="0C2C01F5"/>
    <w:rsid w:val="0C2C4556"/>
    <w:rsid w:val="0C33E91D"/>
    <w:rsid w:val="0C3961E5"/>
    <w:rsid w:val="0C47F08E"/>
    <w:rsid w:val="0C483A25"/>
    <w:rsid w:val="0C6AF183"/>
    <w:rsid w:val="0C6E33DD"/>
    <w:rsid w:val="0C737886"/>
    <w:rsid w:val="0C73B45A"/>
    <w:rsid w:val="0C86C83B"/>
    <w:rsid w:val="0C8C5723"/>
    <w:rsid w:val="0C8FF64D"/>
    <w:rsid w:val="0C959138"/>
    <w:rsid w:val="0C9FAE42"/>
    <w:rsid w:val="0CA08F6E"/>
    <w:rsid w:val="0CA1375F"/>
    <w:rsid w:val="0CA54A6D"/>
    <w:rsid w:val="0CA6E3E8"/>
    <w:rsid w:val="0CB03B6A"/>
    <w:rsid w:val="0CB34DD2"/>
    <w:rsid w:val="0CB9E018"/>
    <w:rsid w:val="0CBA7909"/>
    <w:rsid w:val="0CBE583F"/>
    <w:rsid w:val="0CC368CD"/>
    <w:rsid w:val="0CC58CDA"/>
    <w:rsid w:val="0CC86155"/>
    <w:rsid w:val="0CCCCFCA"/>
    <w:rsid w:val="0CCCFC08"/>
    <w:rsid w:val="0CCF0EFD"/>
    <w:rsid w:val="0CD002BA"/>
    <w:rsid w:val="0CD37D20"/>
    <w:rsid w:val="0CD6FDB8"/>
    <w:rsid w:val="0CF23ED4"/>
    <w:rsid w:val="0D0D0C0F"/>
    <w:rsid w:val="0D106949"/>
    <w:rsid w:val="0D1984C4"/>
    <w:rsid w:val="0D1C9B64"/>
    <w:rsid w:val="0D3C5659"/>
    <w:rsid w:val="0D4874B3"/>
    <w:rsid w:val="0D522430"/>
    <w:rsid w:val="0D5478DC"/>
    <w:rsid w:val="0D58AC1C"/>
    <w:rsid w:val="0D67A6DA"/>
    <w:rsid w:val="0D756035"/>
    <w:rsid w:val="0D836CAC"/>
    <w:rsid w:val="0D8E490A"/>
    <w:rsid w:val="0D8FB1F9"/>
    <w:rsid w:val="0D91DF76"/>
    <w:rsid w:val="0D95982C"/>
    <w:rsid w:val="0D95CBD2"/>
    <w:rsid w:val="0D9B5595"/>
    <w:rsid w:val="0D9D1CA6"/>
    <w:rsid w:val="0DA92248"/>
    <w:rsid w:val="0DB6641A"/>
    <w:rsid w:val="0DBB187B"/>
    <w:rsid w:val="0DBFF287"/>
    <w:rsid w:val="0DC6FDC0"/>
    <w:rsid w:val="0DCA630B"/>
    <w:rsid w:val="0DD53D0F"/>
    <w:rsid w:val="0DDABA2C"/>
    <w:rsid w:val="0DE502F7"/>
    <w:rsid w:val="0DE57BEF"/>
    <w:rsid w:val="0DEA3803"/>
    <w:rsid w:val="0DF2EAF0"/>
    <w:rsid w:val="0DF67511"/>
    <w:rsid w:val="0DF8D2AA"/>
    <w:rsid w:val="0E0B977D"/>
    <w:rsid w:val="0E120F3B"/>
    <w:rsid w:val="0E13625F"/>
    <w:rsid w:val="0E1A7A4F"/>
    <w:rsid w:val="0E252243"/>
    <w:rsid w:val="0E33F3B9"/>
    <w:rsid w:val="0E3D2FAE"/>
    <w:rsid w:val="0E3E894D"/>
    <w:rsid w:val="0E3E9E68"/>
    <w:rsid w:val="0E45B079"/>
    <w:rsid w:val="0E53B9D8"/>
    <w:rsid w:val="0E56C600"/>
    <w:rsid w:val="0E56F0A8"/>
    <w:rsid w:val="0E582EF6"/>
    <w:rsid w:val="0E5C18A4"/>
    <w:rsid w:val="0E6D3063"/>
    <w:rsid w:val="0E6F27BF"/>
    <w:rsid w:val="0E83F988"/>
    <w:rsid w:val="0E87D3CE"/>
    <w:rsid w:val="0E8A0147"/>
    <w:rsid w:val="0E979DC0"/>
    <w:rsid w:val="0EA27852"/>
    <w:rsid w:val="0EB5C6F4"/>
    <w:rsid w:val="0EB6D2FC"/>
    <w:rsid w:val="0EC0D191"/>
    <w:rsid w:val="0EC320CD"/>
    <w:rsid w:val="0EF0AD3C"/>
    <w:rsid w:val="0F02A5F3"/>
    <w:rsid w:val="0F038194"/>
    <w:rsid w:val="0F14E7F7"/>
    <w:rsid w:val="0F15B7AD"/>
    <w:rsid w:val="0F160738"/>
    <w:rsid w:val="0F1A325D"/>
    <w:rsid w:val="0F2EB070"/>
    <w:rsid w:val="0F491899"/>
    <w:rsid w:val="0F52AAE0"/>
    <w:rsid w:val="0F533328"/>
    <w:rsid w:val="0F589F8D"/>
    <w:rsid w:val="0F58EA0C"/>
    <w:rsid w:val="0F5D5C85"/>
    <w:rsid w:val="0F62D06A"/>
    <w:rsid w:val="0F6B1588"/>
    <w:rsid w:val="0F6DB359"/>
    <w:rsid w:val="0F6E31DB"/>
    <w:rsid w:val="0F7632E3"/>
    <w:rsid w:val="0F78433D"/>
    <w:rsid w:val="0F7ED12C"/>
    <w:rsid w:val="0FA1A0FD"/>
    <w:rsid w:val="0FA481D6"/>
    <w:rsid w:val="0FAD1A89"/>
    <w:rsid w:val="0FB4745A"/>
    <w:rsid w:val="0FB6865D"/>
    <w:rsid w:val="0FD824D9"/>
    <w:rsid w:val="0FDA1761"/>
    <w:rsid w:val="0FDC33CE"/>
    <w:rsid w:val="0FE7EF46"/>
    <w:rsid w:val="0FEB5197"/>
    <w:rsid w:val="0FF3E129"/>
    <w:rsid w:val="0FF538A3"/>
    <w:rsid w:val="100E1A38"/>
    <w:rsid w:val="1011EA01"/>
    <w:rsid w:val="101580D6"/>
    <w:rsid w:val="10167682"/>
    <w:rsid w:val="101AC1E7"/>
    <w:rsid w:val="101FB22E"/>
    <w:rsid w:val="102822AB"/>
    <w:rsid w:val="103EE181"/>
    <w:rsid w:val="10406716"/>
    <w:rsid w:val="1043623B"/>
    <w:rsid w:val="104D02F5"/>
    <w:rsid w:val="1069F133"/>
    <w:rsid w:val="106F23E6"/>
    <w:rsid w:val="1073502F"/>
    <w:rsid w:val="1079DAED"/>
    <w:rsid w:val="107B18DA"/>
    <w:rsid w:val="1085B7CB"/>
    <w:rsid w:val="10868648"/>
    <w:rsid w:val="108DCCDB"/>
    <w:rsid w:val="1098F0F1"/>
    <w:rsid w:val="10ADA320"/>
    <w:rsid w:val="10B421CD"/>
    <w:rsid w:val="10CB0CEC"/>
    <w:rsid w:val="10CECC48"/>
    <w:rsid w:val="10D6FDAC"/>
    <w:rsid w:val="10F09CFF"/>
    <w:rsid w:val="10F16FA1"/>
    <w:rsid w:val="10F4BF42"/>
    <w:rsid w:val="1101BF9C"/>
    <w:rsid w:val="110518EE"/>
    <w:rsid w:val="1106618D"/>
    <w:rsid w:val="11078505"/>
    <w:rsid w:val="1109DEBF"/>
    <w:rsid w:val="111B97E6"/>
    <w:rsid w:val="111DFB4B"/>
    <w:rsid w:val="112F127B"/>
    <w:rsid w:val="1131B31F"/>
    <w:rsid w:val="11332B2C"/>
    <w:rsid w:val="114B775D"/>
    <w:rsid w:val="114BB9B7"/>
    <w:rsid w:val="1156833D"/>
    <w:rsid w:val="115ADEE8"/>
    <w:rsid w:val="115B54AE"/>
    <w:rsid w:val="115F1C4D"/>
    <w:rsid w:val="116CC64A"/>
    <w:rsid w:val="116FCDE9"/>
    <w:rsid w:val="11725C97"/>
    <w:rsid w:val="118C0AF1"/>
    <w:rsid w:val="1195FF85"/>
    <w:rsid w:val="1196CD13"/>
    <w:rsid w:val="119C7460"/>
    <w:rsid w:val="11AA54F5"/>
    <w:rsid w:val="11AD43FC"/>
    <w:rsid w:val="11B47783"/>
    <w:rsid w:val="11B8370B"/>
    <w:rsid w:val="11BA7AB4"/>
    <w:rsid w:val="11C097B9"/>
    <w:rsid w:val="11C2D1E7"/>
    <w:rsid w:val="11CAAC76"/>
    <w:rsid w:val="11D75A1A"/>
    <w:rsid w:val="11DB2C61"/>
    <w:rsid w:val="11EFEE37"/>
    <w:rsid w:val="11F83155"/>
    <w:rsid w:val="11FE46EF"/>
    <w:rsid w:val="1209465A"/>
    <w:rsid w:val="12254B0A"/>
    <w:rsid w:val="122F5E21"/>
    <w:rsid w:val="1241EFA1"/>
    <w:rsid w:val="124708AB"/>
    <w:rsid w:val="124B0ABA"/>
    <w:rsid w:val="124D31BA"/>
    <w:rsid w:val="124FB21B"/>
    <w:rsid w:val="126304E2"/>
    <w:rsid w:val="126D7A68"/>
    <w:rsid w:val="12713B53"/>
    <w:rsid w:val="127BBA24"/>
    <w:rsid w:val="12849793"/>
    <w:rsid w:val="12A07510"/>
    <w:rsid w:val="12B41FFF"/>
    <w:rsid w:val="12B464AC"/>
    <w:rsid w:val="12B52612"/>
    <w:rsid w:val="12C4F3A7"/>
    <w:rsid w:val="12D81D72"/>
    <w:rsid w:val="12D96936"/>
    <w:rsid w:val="12FCF7C1"/>
    <w:rsid w:val="13009315"/>
    <w:rsid w:val="132102EF"/>
    <w:rsid w:val="132E0FE4"/>
    <w:rsid w:val="133F2813"/>
    <w:rsid w:val="1359CC0A"/>
    <w:rsid w:val="135EB003"/>
    <w:rsid w:val="1371A691"/>
    <w:rsid w:val="1377D7FE"/>
    <w:rsid w:val="1380D1DA"/>
    <w:rsid w:val="1382A1C3"/>
    <w:rsid w:val="138610E9"/>
    <w:rsid w:val="138BA505"/>
    <w:rsid w:val="13916A5B"/>
    <w:rsid w:val="13A1CDD3"/>
    <w:rsid w:val="13AAA704"/>
    <w:rsid w:val="13AC4580"/>
    <w:rsid w:val="13AD4C56"/>
    <w:rsid w:val="13ADE813"/>
    <w:rsid w:val="13AFB907"/>
    <w:rsid w:val="13BE7E91"/>
    <w:rsid w:val="13C585DB"/>
    <w:rsid w:val="13C705FE"/>
    <w:rsid w:val="13D75B32"/>
    <w:rsid w:val="13DBCE58"/>
    <w:rsid w:val="13E6BED1"/>
    <w:rsid w:val="13EA6A71"/>
    <w:rsid w:val="13EE8F31"/>
    <w:rsid w:val="13EF841E"/>
    <w:rsid w:val="13F789A7"/>
    <w:rsid w:val="14046A6C"/>
    <w:rsid w:val="14051D51"/>
    <w:rsid w:val="140936FC"/>
    <w:rsid w:val="140DCBE1"/>
    <w:rsid w:val="140EAFC4"/>
    <w:rsid w:val="1421D891"/>
    <w:rsid w:val="142D31B6"/>
    <w:rsid w:val="142D5365"/>
    <w:rsid w:val="142FE089"/>
    <w:rsid w:val="1438EA84"/>
    <w:rsid w:val="14395B87"/>
    <w:rsid w:val="1446F1F9"/>
    <w:rsid w:val="144FEEB8"/>
    <w:rsid w:val="14749742"/>
    <w:rsid w:val="14805012"/>
    <w:rsid w:val="14834210"/>
    <w:rsid w:val="1486BF93"/>
    <w:rsid w:val="1488EE92"/>
    <w:rsid w:val="1499A607"/>
    <w:rsid w:val="14A030C8"/>
    <w:rsid w:val="14A1091C"/>
    <w:rsid w:val="14A42D6F"/>
    <w:rsid w:val="14A60602"/>
    <w:rsid w:val="14A93C9A"/>
    <w:rsid w:val="14AAEDC2"/>
    <w:rsid w:val="14B49C30"/>
    <w:rsid w:val="14B5CA20"/>
    <w:rsid w:val="14B8EF18"/>
    <w:rsid w:val="14BBB3F2"/>
    <w:rsid w:val="14BD98FE"/>
    <w:rsid w:val="14CE5151"/>
    <w:rsid w:val="14D3D125"/>
    <w:rsid w:val="14D4608D"/>
    <w:rsid w:val="14D80A5B"/>
    <w:rsid w:val="14E29DB0"/>
    <w:rsid w:val="14F1B631"/>
    <w:rsid w:val="15030FF4"/>
    <w:rsid w:val="1528EFD8"/>
    <w:rsid w:val="15407E1A"/>
    <w:rsid w:val="154DA5CE"/>
    <w:rsid w:val="154EE8F7"/>
    <w:rsid w:val="155BDB8B"/>
    <w:rsid w:val="155E6646"/>
    <w:rsid w:val="155E97A4"/>
    <w:rsid w:val="1560F8E7"/>
    <w:rsid w:val="15650739"/>
    <w:rsid w:val="15680AA7"/>
    <w:rsid w:val="157018F3"/>
    <w:rsid w:val="15734FE3"/>
    <w:rsid w:val="1574EA30"/>
    <w:rsid w:val="1579F781"/>
    <w:rsid w:val="1580F1CE"/>
    <w:rsid w:val="158D4805"/>
    <w:rsid w:val="159492F9"/>
    <w:rsid w:val="1599D6D3"/>
    <w:rsid w:val="15A52A3C"/>
    <w:rsid w:val="15A5E437"/>
    <w:rsid w:val="15AE1248"/>
    <w:rsid w:val="15B5831C"/>
    <w:rsid w:val="15B65731"/>
    <w:rsid w:val="15BA00F3"/>
    <w:rsid w:val="15BB0D8B"/>
    <w:rsid w:val="15C0156D"/>
    <w:rsid w:val="15D4CAE2"/>
    <w:rsid w:val="15E0D6FE"/>
    <w:rsid w:val="15E2BB31"/>
    <w:rsid w:val="15E54C44"/>
    <w:rsid w:val="15E811CB"/>
    <w:rsid w:val="15ECB123"/>
    <w:rsid w:val="15F27E9B"/>
    <w:rsid w:val="15F585C2"/>
    <w:rsid w:val="160EFE87"/>
    <w:rsid w:val="161B1307"/>
    <w:rsid w:val="161CE4D6"/>
    <w:rsid w:val="161E2047"/>
    <w:rsid w:val="1620B620"/>
    <w:rsid w:val="162B9F6F"/>
    <w:rsid w:val="163018FA"/>
    <w:rsid w:val="16374ABF"/>
    <w:rsid w:val="1640A905"/>
    <w:rsid w:val="1649FA9A"/>
    <w:rsid w:val="16639747"/>
    <w:rsid w:val="166D35E6"/>
    <w:rsid w:val="166D8760"/>
    <w:rsid w:val="1677AE3A"/>
    <w:rsid w:val="1678B1CD"/>
    <w:rsid w:val="1680130F"/>
    <w:rsid w:val="168499C8"/>
    <w:rsid w:val="168B07B2"/>
    <w:rsid w:val="169B56FE"/>
    <w:rsid w:val="169BD7DD"/>
    <w:rsid w:val="16B736F9"/>
    <w:rsid w:val="16B8A0B3"/>
    <w:rsid w:val="16B8F6AB"/>
    <w:rsid w:val="16BB11A6"/>
    <w:rsid w:val="16C4BBD3"/>
    <w:rsid w:val="16CC61FA"/>
    <w:rsid w:val="16D14DDB"/>
    <w:rsid w:val="16D2B52D"/>
    <w:rsid w:val="16DDA107"/>
    <w:rsid w:val="16DFD230"/>
    <w:rsid w:val="16E4DE01"/>
    <w:rsid w:val="16EA86CD"/>
    <w:rsid w:val="16EF3265"/>
    <w:rsid w:val="16F2A233"/>
    <w:rsid w:val="16FB7835"/>
    <w:rsid w:val="1712B96D"/>
    <w:rsid w:val="171A5D11"/>
    <w:rsid w:val="171FEA2D"/>
    <w:rsid w:val="17291F68"/>
    <w:rsid w:val="172955CF"/>
    <w:rsid w:val="17329F62"/>
    <w:rsid w:val="17363DB2"/>
    <w:rsid w:val="17444ACE"/>
    <w:rsid w:val="17482FCA"/>
    <w:rsid w:val="175543B2"/>
    <w:rsid w:val="17565125"/>
    <w:rsid w:val="1758D12B"/>
    <w:rsid w:val="176477E6"/>
    <w:rsid w:val="176FBF35"/>
    <w:rsid w:val="177DC66C"/>
    <w:rsid w:val="179D98B3"/>
    <w:rsid w:val="17A2D763"/>
    <w:rsid w:val="17A2E786"/>
    <w:rsid w:val="17A5CCEB"/>
    <w:rsid w:val="17AAC71B"/>
    <w:rsid w:val="17B8FC3E"/>
    <w:rsid w:val="17BFA752"/>
    <w:rsid w:val="17C96C1A"/>
    <w:rsid w:val="17CF7FA2"/>
    <w:rsid w:val="17E11FF8"/>
    <w:rsid w:val="17E1C164"/>
    <w:rsid w:val="17E9F1DD"/>
    <w:rsid w:val="17ED5434"/>
    <w:rsid w:val="17F20EC2"/>
    <w:rsid w:val="1801CDAE"/>
    <w:rsid w:val="180491E3"/>
    <w:rsid w:val="180AF216"/>
    <w:rsid w:val="180D22C0"/>
    <w:rsid w:val="180F8C31"/>
    <w:rsid w:val="18186789"/>
    <w:rsid w:val="181D4E15"/>
    <w:rsid w:val="18338D90"/>
    <w:rsid w:val="183A071E"/>
    <w:rsid w:val="183FE8DB"/>
    <w:rsid w:val="184646F7"/>
    <w:rsid w:val="18473CE7"/>
    <w:rsid w:val="1848C2CA"/>
    <w:rsid w:val="184A72D7"/>
    <w:rsid w:val="184ECADF"/>
    <w:rsid w:val="186A75BC"/>
    <w:rsid w:val="186F4555"/>
    <w:rsid w:val="187D12DD"/>
    <w:rsid w:val="18837AC5"/>
    <w:rsid w:val="188C0066"/>
    <w:rsid w:val="189297C9"/>
    <w:rsid w:val="189A915E"/>
    <w:rsid w:val="18AB92CA"/>
    <w:rsid w:val="18B8320A"/>
    <w:rsid w:val="18BCCCB7"/>
    <w:rsid w:val="18BD80DD"/>
    <w:rsid w:val="18C3F514"/>
    <w:rsid w:val="18C5F6B1"/>
    <w:rsid w:val="18D2CFD9"/>
    <w:rsid w:val="18D820EB"/>
    <w:rsid w:val="18DE8635"/>
    <w:rsid w:val="18E0363E"/>
    <w:rsid w:val="18E64668"/>
    <w:rsid w:val="18F4FDF9"/>
    <w:rsid w:val="19041E3A"/>
    <w:rsid w:val="191A77C1"/>
    <w:rsid w:val="191B0CCE"/>
    <w:rsid w:val="1921C856"/>
    <w:rsid w:val="1929B15B"/>
    <w:rsid w:val="19303F97"/>
    <w:rsid w:val="193084C3"/>
    <w:rsid w:val="193A7C11"/>
    <w:rsid w:val="194156AE"/>
    <w:rsid w:val="194DA7C6"/>
    <w:rsid w:val="194FBA69"/>
    <w:rsid w:val="195C1611"/>
    <w:rsid w:val="195C5091"/>
    <w:rsid w:val="1963EA24"/>
    <w:rsid w:val="196540F4"/>
    <w:rsid w:val="197372B8"/>
    <w:rsid w:val="19758C8B"/>
    <w:rsid w:val="198C2C3A"/>
    <w:rsid w:val="199529D0"/>
    <w:rsid w:val="19A61E09"/>
    <w:rsid w:val="19A75E25"/>
    <w:rsid w:val="19BB5E07"/>
    <w:rsid w:val="19C2A04C"/>
    <w:rsid w:val="19C97B51"/>
    <w:rsid w:val="19EF433F"/>
    <w:rsid w:val="19F23A50"/>
    <w:rsid w:val="19F35DF0"/>
    <w:rsid w:val="19F5924E"/>
    <w:rsid w:val="1A015929"/>
    <w:rsid w:val="1A070C58"/>
    <w:rsid w:val="1A0D4293"/>
    <w:rsid w:val="1A154D94"/>
    <w:rsid w:val="1A1CF3FF"/>
    <w:rsid w:val="1A227E8A"/>
    <w:rsid w:val="1A242334"/>
    <w:rsid w:val="1A304579"/>
    <w:rsid w:val="1A449503"/>
    <w:rsid w:val="1A4B866F"/>
    <w:rsid w:val="1A4F6B93"/>
    <w:rsid w:val="1A5125CE"/>
    <w:rsid w:val="1A6958C5"/>
    <w:rsid w:val="1A6AE08B"/>
    <w:rsid w:val="1A6AE3C6"/>
    <w:rsid w:val="1A6D923D"/>
    <w:rsid w:val="1A83395D"/>
    <w:rsid w:val="1A865DAD"/>
    <w:rsid w:val="1A8676F9"/>
    <w:rsid w:val="1A9226A1"/>
    <w:rsid w:val="1A948E08"/>
    <w:rsid w:val="1A9C5809"/>
    <w:rsid w:val="1A9D4348"/>
    <w:rsid w:val="1AA66CC7"/>
    <w:rsid w:val="1AB0D360"/>
    <w:rsid w:val="1AB562DD"/>
    <w:rsid w:val="1AB85FB3"/>
    <w:rsid w:val="1ABD4AB9"/>
    <w:rsid w:val="1ACA5470"/>
    <w:rsid w:val="1AD489D1"/>
    <w:rsid w:val="1AD55D77"/>
    <w:rsid w:val="1ADF571D"/>
    <w:rsid w:val="1AE3195A"/>
    <w:rsid w:val="1AE5941B"/>
    <w:rsid w:val="1AE85DAC"/>
    <w:rsid w:val="1AEAD088"/>
    <w:rsid w:val="1AED1EE8"/>
    <w:rsid w:val="1AF2CC2D"/>
    <w:rsid w:val="1AF77576"/>
    <w:rsid w:val="1AF8A93D"/>
    <w:rsid w:val="1B0D31E7"/>
    <w:rsid w:val="1B1B3936"/>
    <w:rsid w:val="1B1CA3F0"/>
    <w:rsid w:val="1B2E8189"/>
    <w:rsid w:val="1B371AA2"/>
    <w:rsid w:val="1B3B30B6"/>
    <w:rsid w:val="1B3DA915"/>
    <w:rsid w:val="1B42CAEB"/>
    <w:rsid w:val="1B42EB6B"/>
    <w:rsid w:val="1B46966B"/>
    <w:rsid w:val="1B4902AE"/>
    <w:rsid w:val="1B4DE5B3"/>
    <w:rsid w:val="1B58A905"/>
    <w:rsid w:val="1B62419E"/>
    <w:rsid w:val="1B6499D0"/>
    <w:rsid w:val="1B6A1B49"/>
    <w:rsid w:val="1B7412AB"/>
    <w:rsid w:val="1B789FC1"/>
    <w:rsid w:val="1B7C7B7A"/>
    <w:rsid w:val="1B86B4A3"/>
    <w:rsid w:val="1B8D6428"/>
    <w:rsid w:val="1B916011"/>
    <w:rsid w:val="1BA2D2CD"/>
    <w:rsid w:val="1BA5490C"/>
    <w:rsid w:val="1BC83B03"/>
    <w:rsid w:val="1BC908DC"/>
    <w:rsid w:val="1BD65D3D"/>
    <w:rsid w:val="1BD9E5A1"/>
    <w:rsid w:val="1BE01997"/>
    <w:rsid w:val="1BE2A3C1"/>
    <w:rsid w:val="1BE3EAC2"/>
    <w:rsid w:val="1BE7F338"/>
    <w:rsid w:val="1BE9C387"/>
    <w:rsid w:val="1BEC30FE"/>
    <w:rsid w:val="1BEED204"/>
    <w:rsid w:val="1BF67194"/>
    <w:rsid w:val="1BF92218"/>
    <w:rsid w:val="1BFC2FAA"/>
    <w:rsid w:val="1C0DA58E"/>
    <w:rsid w:val="1C0FDD23"/>
    <w:rsid w:val="1C16FF58"/>
    <w:rsid w:val="1C2138D3"/>
    <w:rsid w:val="1C235F20"/>
    <w:rsid w:val="1C26E579"/>
    <w:rsid w:val="1C2BB330"/>
    <w:rsid w:val="1C2D5BE6"/>
    <w:rsid w:val="1C393FB3"/>
    <w:rsid w:val="1C3AB8C5"/>
    <w:rsid w:val="1C3F42AB"/>
    <w:rsid w:val="1C40FD2B"/>
    <w:rsid w:val="1C48E849"/>
    <w:rsid w:val="1C55AC7C"/>
    <w:rsid w:val="1C55FF36"/>
    <w:rsid w:val="1C620708"/>
    <w:rsid w:val="1C6DDC46"/>
    <w:rsid w:val="1C6E1AB0"/>
    <w:rsid w:val="1C7473EC"/>
    <w:rsid w:val="1C759D0A"/>
    <w:rsid w:val="1C7E7520"/>
    <w:rsid w:val="1C80172F"/>
    <w:rsid w:val="1C88A36C"/>
    <w:rsid w:val="1C8C4AE7"/>
    <w:rsid w:val="1C9E6315"/>
    <w:rsid w:val="1CA23E8B"/>
    <w:rsid w:val="1CA73888"/>
    <w:rsid w:val="1CABA526"/>
    <w:rsid w:val="1CAFAB0C"/>
    <w:rsid w:val="1CC5D990"/>
    <w:rsid w:val="1CD73521"/>
    <w:rsid w:val="1CD7EE68"/>
    <w:rsid w:val="1CD8F2F3"/>
    <w:rsid w:val="1CD99E77"/>
    <w:rsid w:val="1CE594A4"/>
    <w:rsid w:val="1D0115C1"/>
    <w:rsid w:val="1D062EC3"/>
    <w:rsid w:val="1D07AE3A"/>
    <w:rsid w:val="1D0CEDD7"/>
    <w:rsid w:val="1D198EC4"/>
    <w:rsid w:val="1D1A001A"/>
    <w:rsid w:val="1D2B1DD9"/>
    <w:rsid w:val="1D4263D5"/>
    <w:rsid w:val="1D4FC8B4"/>
    <w:rsid w:val="1D6676C3"/>
    <w:rsid w:val="1D6CAB0F"/>
    <w:rsid w:val="1D6E26C0"/>
    <w:rsid w:val="1D83E7A2"/>
    <w:rsid w:val="1D8C9D07"/>
    <w:rsid w:val="1D8D538F"/>
    <w:rsid w:val="1D8E73BC"/>
    <w:rsid w:val="1D9665E2"/>
    <w:rsid w:val="1DB45855"/>
    <w:rsid w:val="1DBB7A54"/>
    <w:rsid w:val="1DC4160E"/>
    <w:rsid w:val="1DC74BD0"/>
    <w:rsid w:val="1DE123F0"/>
    <w:rsid w:val="1DE5D060"/>
    <w:rsid w:val="1DECBBFA"/>
    <w:rsid w:val="1DFB0635"/>
    <w:rsid w:val="1DFFF87C"/>
    <w:rsid w:val="1E03CF1F"/>
    <w:rsid w:val="1E0629FF"/>
    <w:rsid w:val="1E099A27"/>
    <w:rsid w:val="1E0F729C"/>
    <w:rsid w:val="1E153134"/>
    <w:rsid w:val="1E1B9909"/>
    <w:rsid w:val="1E200E47"/>
    <w:rsid w:val="1E2516D8"/>
    <w:rsid w:val="1E340CA9"/>
    <w:rsid w:val="1E34789F"/>
    <w:rsid w:val="1E4D7FDD"/>
    <w:rsid w:val="1E5CA52A"/>
    <w:rsid w:val="1E62DA27"/>
    <w:rsid w:val="1E685004"/>
    <w:rsid w:val="1E7713F3"/>
    <w:rsid w:val="1E7E2947"/>
    <w:rsid w:val="1E95E2D4"/>
    <w:rsid w:val="1E9B6541"/>
    <w:rsid w:val="1E9BC59B"/>
    <w:rsid w:val="1E9C2F47"/>
    <w:rsid w:val="1EA41D08"/>
    <w:rsid w:val="1EA5C094"/>
    <w:rsid w:val="1EACBA04"/>
    <w:rsid w:val="1EB14A98"/>
    <w:rsid w:val="1EB8D044"/>
    <w:rsid w:val="1EC9534F"/>
    <w:rsid w:val="1ECC385E"/>
    <w:rsid w:val="1ED17499"/>
    <w:rsid w:val="1ED8F3B0"/>
    <w:rsid w:val="1EE71AD7"/>
    <w:rsid w:val="1EE8D41D"/>
    <w:rsid w:val="1EEB6531"/>
    <w:rsid w:val="1EF3E72F"/>
    <w:rsid w:val="1F014B80"/>
    <w:rsid w:val="1F01841E"/>
    <w:rsid w:val="1F08CAFC"/>
    <w:rsid w:val="1F134CB3"/>
    <w:rsid w:val="1F1F36C3"/>
    <w:rsid w:val="1F254E4A"/>
    <w:rsid w:val="1F2C04D0"/>
    <w:rsid w:val="1F35E6BD"/>
    <w:rsid w:val="1F3A4E42"/>
    <w:rsid w:val="1F3E4B33"/>
    <w:rsid w:val="1F40549D"/>
    <w:rsid w:val="1F438C4D"/>
    <w:rsid w:val="1F4727B0"/>
    <w:rsid w:val="1F6321EC"/>
    <w:rsid w:val="1F6AD5E2"/>
    <w:rsid w:val="1F6E09A7"/>
    <w:rsid w:val="1F6FC535"/>
    <w:rsid w:val="1F70441E"/>
    <w:rsid w:val="1F7B7060"/>
    <w:rsid w:val="1F811958"/>
    <w:rsid w:val="1F867A21"/>
    <w:rsid w:val="1F8FC483"/>
    <w:rsid w:val="1F91B88B"/>
    <w:rsid w:val="1FA1BB3B"/>
    <w:rsid w:val="1FA7AE20"/>
    <w:rsid w:val="1FA9130C"/>
    <w:rsid w:val="1FAC97C3"/>
    <w:rsid w:val="1FBD3A56"/>
    <w:rsid w:val="1FBFA9EA"/>
    <w:rsid w:val="1FC33BF1"/>
    <w:rsid w:val="1FC6ADAA"/>
    <w:rsid w:val="1FC76A2E"/>
    <w:rsid w:val="1FCD7AD5"/>
    <w:rsid w:val="1FD04CDA"/>
    <w:rsid w:val="1FD10000"/>
    <w:rsid w:val="1FD12F31"/>
    <w:rsid w:val="1FD61711"/>
    <w:rsid w:val="1FD81297"/>
    <w:rsid w:val="1FD95B36"/>
    <w:rsid w:val="1FDA7496"/>
    <w:rsid w:val="1FDCD3AA"/>
    <w:rsid w:val="1FDFE548"/>
    <w:rsid w:val="1FE0BAE7"/>
    <w:rsid w:val="1FE2368D"/>
    <w:rsid w:val="1FF19639"/>
    <w:rsid w:val="1FF935DD"/>
    <w:rsid w:val="1FFCB2E4"/>
    <w:rsid w:val="2006DF7C"/>
    <w:rsid w:val="200D0125"/>
    <w:rsid w:val="200E6F21"/>
    <w:rsid w:val="201DD264"/>
    <w:rsid w:val="202512BE"/>
    <w:rsid w:val="202937A0"/>
    <w:rsid w:val="202BD2CA"/>
    <w:rsid w:val="2031A96A"/>
    <w:rsid w:val="20405A1B"/>
    <w:rsid w:val="204240DD"/>
    <w:rsid w:val="2042D1A4"/>
    <w:rsid w:val="204335D7"/>
    <w:rsid w:val="2048E0C4"/>
    <w:rsid w:val="20507ED3"/>
    <w:rsid w:val="2052CC3A"/>
    <w:rsid w:val="2059EB5A"/>
    <w:rsid w:val="205CEC67"/>
    <w:rsid w:val="206170DF"/>
    <w:rsid w:val="20685B2D"/>
    <w:rsid w:val="2068EBFA"/>
    <w:rsid w:val="206E844D"/>
    <w:rsid w:val="206FDA44"/>
    <w:rsid w:val="207A9E73"/>
    <w:rsid w:val="208F9CF6"/>
    <w:rsid w:val="2095177D"/>
    <w:rsid w:val="2097D22B"/>
    <w:rsid w:val="20998D68"/>
    <w:rsid w:val="209D522E"/>
    <w:rsid w:val="209F5E7E"/>
    <w:rsid w:val="20A1988A"/>
    <w:rsid w:val="20C29E75"/>
    <w:rsid w:val="20C420C4"/>
    <w:rsid w:val="20CAB84A"/>
    <w:rsid w:val="20DB2DAF"/>
    <w:rsid w:val="20EDCAF7"/>
    <w:rsid w:val="20EE869C"/>
    <w:rsid w:val="20F65EAA"/>
    <w:rsid w:val="2103D2CB"/>
    <w:rsid w:val="21063115"/>
    <w:rsid w:val="21100CF4"/>
    <w:rsid w:val="212BD180"/>
    <w:rsid w:val="212CDFD1"/>
    <w:rsid w:val="2135D48B"/>
    <w:rsid w:val="2139C31B"/>
    <w:rsid w:val="21443D58"/>
    <w:rsid w:val="21444EB6"/>
    <w:rsid w:val="2156E8F6"/>
    <w:rsid w:val="215CAC4A"/>
    <w:rsid w:val="216E18CF"/>
    <w:rsid w:val="216FEECC"/>
    <w:rsid w:val="21768869"/>
    <w:rsid w:val="217BF16B"/>
    <w:rsid w:val="2188786D"/>
    <w:rsid w:val="2192B46A"/>
    <w:rsid w:val="2195912D"/>
    <w:rsid w:val="21A2F877"/>
    <w:rsid w:val="21A976BE"/>
    <w:rsid w:val="21B4F92C"/>
    <w:rsid w:val="21BB365C"/>
    <w:rsid w:val="21BFF087"/>
    <w:rsid w:val="21C0D4D0"/>
    <w:rsid w:val="21C3AAE1"/>
    <w:rsid w:val="21D76DE7"/>
    <w:rsid w:val="22000852"/>
    <w:rsid w:val="2202313F"/>
    <w:rsid w:val="2203B6F4"/>
    <w:rsid w:val="22121E74"/>
    <w:rsid w:val="222192E3"/>
    <w:rsid w:val="222790A3"/>
    <w:rsid w:val="222BB3F5"/>
    <w:rsid w:val="223ED356"/>
    <w:rsid w:val="224E62AC"/>
    <w:rsid w:val="22537883"/>
    <w:rsid w:val="2255EAD3"/>
    <w:rsid w:val="225ACF90"/>
    <w:rsid w:val="22610D89"/>
    <w:rsid w:val="22751714"/>
    <w:rsid w:val="227A4F17"/>
    <w:rsid w:val="227C2344"/>
    <w:rsid w:val="227E4DC7"/>
    <w:rsid w:val="228E7071"/>
    <w:rsid w:val="22B8C0F1"/>
    <w:rsid w:val="22D443E5"/>
    <w:rsid w:val="22DB7C18"/>
    <w:rsid w:val="22E593B2"/>
    <w:rsid w:val="22E66EE2"/>
    <w:rsid w:val="22F4FA35"/>
    <w:rsid w:val="2305FE61"/>
    <w:rsid w:val="230F5087"/>
    <w:rsid w:val="2317C24F"/>
    <w:rsid w:val="232865D0"/>
    <w:rsid w:val="2334F7E4"/>
    <w:rsid w:val="233F59B5"/>
    <w:rsid w:val="2341EC96"/>
    <w:rsid w:val="23520D94"/>
    <w:rsid w:val="23574D1E"/>
    <w:rsid w:val="235B46C9"/>
    <w:rsid w:val="236223C4"/>
    <w:rsid w:val="2368B50E"/>
    <w:rsid w:val="236FE30F"/>
    <w:rsid w:val="2391A4CF"/>
    <w:rsid w:val="23935F37"/>
    <w:rsid w:val="23A85A3E"/>
    <w:rsid w:val="23AC90EC"/>
    <w:rsid w:val="23AF9F7F"/>
    <w:rsid w:val="23B78724"/>
    <w:rsid w:val="23BE0723"/>
    <w:rsid w:val="23C05CC7"/>
    <w:rsid w:val="23C8612E"/>
    <w:rsid w:val="23CF5121"/>
    <w:rsid w:val="23E2C6DC"/>
    <w:rsid w:val="23E3A78B"/>
    <w:rsid w:val="23E654B0"/>
    <w:rsid w:val="24031AD3"/>
    <w:rsid w:val="24148655"/>
    <w:rsid w:val="242164CF"/>
    <w:rsid w:val="242C8B3D"/>
    <w:rsid w:val="24380D9B"/>
    <w:rsid w:val="2442D75A"/>
    <w:rsid w:val="2445E7AD"/>
    <w:rsid w:val="244B7908"/>
    <w:rsid w:val="244ECC3A"/>
    <w:rsid w:val="2450F6F3"/>
    <w:rsid w:val="2456B9C0"/>
    <w:rsid w:val="2462943A"/>
    <w:rsid w:val="24717B97"/>
    <w:rsid w:val="2474E01F"/>
    <w:rsid w:val="2477B6FF"/>
    <w:rsid w:val="2478B3D3"/>
    <w:rsid w:val="2492DB9D"/>
    <w:rsid w:val="249BC019"/>
    <w:rsid w:val="249E2971"/>
    <w:rsid w:val="24AB96D4"/>
    <w:rsid w:val="24AD6BF1"/>
    <w:rsid w:val="24B24953"/>
    <w:rsid w:val="24B40AE5"/>
    <w:rsid w:val="24BF50DF"/>
    <w:rsid w:val="24DBEB1A"/>
    <w:rsid w:val="24E268D5"/>
    <w:rsid w:val="24E4FA81"/>
    <w:rsid w:val="24ED601A"/>
    <w:rsid w:val="24F0289D"/>
    <w:rsid w:val="24F49D42"/>
    <w:rsid w:val="24F562FA"/>
    <w:rsid w:val="24F7BCBD"/>
    <w:rsid w:val="2507DA5D"/>
    <w:rsid w:val="25211168"/>
    <w:rsid w:val="25282785"/>
    <w:rsid w:val="252BB205"/>
    <w:rsid w:val="252DA722"/>
    <w:rsid w:val="252FE4FA"/>
    <w:rsid w:val="253010D0"/>
    <w:rsid w:val="253B4C93"/>
    <w:rsid w:val="25445AE4"/>
    <w:rsid w:val="25497EA7"/>
    <w:rsid w:val="255E8169"/>
    <w:rsid w:val="25619507"/>
    <w:rsid w:val="256AE12C"/>
    <w:rsid w:val="256D9456"/>
    <w:rsid w:val="25725EDF"/>
    <w:rsid w:val="2573ABD6"/>
    <w:rsid w:val="25740C93"/>
    <w:rsid w:val="257FDB17"/>
    <w:rsid w:val="2582A5BF"/>
    <w:rsid w:val="2587FA73"/>
    <w:rsid w:val="2589B05C"/>
    <w:rsid w:val="259180DE"/>
    <w:rsid w:val="259C87EC"/>
    <w:rsid w:val="259DBD57"/>
    <w:rsid w:val="25AEE323"/>
    <w:rsid w:val="25AFE389"/>
    <w:rsid w:val="25B2AA8E"/>
    <w:rsid w:val="25B9727F"/>
    <w:rsid w:val="25B99790"/>
    <w:rsid w:val="25BC6412"/>
    <w:rsid w:val="25BFA624"/>
    <w:rsid w:val="25E29A28"/>
    <w:rsid w:val="25E2FADA"/>
    <w:rsid w:val="25F0A1AB"/>
    <w:rsid w:val="25F4624E"/>
    <w:rsid w:val="25FCB98C"/>
    <w:rsid w:val="2609A928"/>
    <w:rsid w:val="261410E9"/>
    <w:rsid w:val="26143ADA"/>
    <w:rsid w:val="262238C4"/>
    <w:rsid w:val="2624901B"/>
    <w:rsid w:val="26340585"/>
    <w:rsid w:val="264661B9"/>
    <w:rsid w:val="26483FD7"/>
    <w:rsid w:val="264A3302"/>
    <w:rsid w:val="264BEBF5"/>
    <w:rsid w:val="264C9A6E"/>
    <w:rsid w:val="264DB680"/>
    <w:rsid w:val="2659A86C"/>
    <w:rsid w:val="265E79B4"/>
    <w:rsid w:val="26604D45"/>
    <w:rsid w:val="26610C9E"/>
    <w:rsid w:val="266E47F7"/>
    <w:rsid w:val="2679B384"/>
    <w:rsid w:val="267C5267"/>
    <w:rsid w:val="267E5B4B"/>
    <w:rsid w:val="2690626D"/>
    <w:rsid w:val="26A5A045"/>
    <w:rsid w:val="26AFB76E"/>
    <w:rsid w:val="26AFB863"/>
    <w:rsid w:val="26B095EB"/>
    <w:rsid w:val="26BCF338"/>
    <w:rsid w:val="26C18448"/>
    <w:rsid w:val="26C4D0BE"/>
    <w:rsid w:val="26CA3193"/>
    <w:rsid w:val="26CE40BC"/>
    <w:rsid w:val="26D3BC39"/>
    <w:rsid w:val="26D471BA"/>
    <w:rsid w:val="26D4C8A5"/>
    <w:rsid w:val="26D61B87"/>
    <w:rsid w:val="26D7381B"/>
    <w:rsid w:val="26D777E1"/>
    <w:rsid w:val="26DC9780"/>
    <w:rsid w:val="26DCD13A"/>
    <w:rsid w:val="26E257D0"/>
    <w:rsid w:val="26E3BEC8"/>
    <w:rsid w:val="26E8DE46"/>
    <w:rsid w:val="26F6DF0B"/>
    <w:rsid w:val="27005A8B"/>
    <w:rsid w:val="271838C6"/>
    <w:rsid w:val="2725AD92"/>
    <w:rsid w:val="27281E7B"/>
    <w:rsid w:val="273692C8"/>
    <w:rsid w:val="27486B3D"/>
    <w:rsid w:val="274C386C"/>
    <w:rsid w:val="27501954"/>
    <w:rsid w:val="2753CDBB"/>
    <w:rsid w:val="27574156"/>
    <w:rsid w:val="275FED67"/>
    <w:rsid w:val="27649BFF"/>
    <w:rsid w:val="27746C2E"/>
    <w:rsid w:val="2779221F"/>
    <w:rsid w:val="27855E90"/>
    <w:rsid w:val="278F3F05"/>
    <w:rsid w:val="279FE3AB"/>
    <w:rsid w:val="27ABAA6E"/>
    <w:rsid w:val="27AC3F31"/>
    <w:rsid w:val="27ACAEA2"/>
    <w:rsid w:val="27AE36BF"/>
    <w:rsid w:val="27AFD58A"/>
    <w:rsid w:val="27B03ED6"/>
    <w:rsid w:val="27B7D267"/>
    <w:rsid w:val="27B89686"/>
    <w:rsid w:val="27BF80A7"/>
    <w:rsid w:val="27BFD086"/>
    <w:rsid w:val="27CA51E4"/>
    <w:rsid w:val="27DFB7A8"/>
    <w:rsid w:val="27E03CB2"/>
    <w:rsid w:val="27EB22A5"/>
    <w:rsid w:val="27FE1041"/>
    <w:rsid w:val="27FF2439"/>
    <w:rsid w:val="2801982A"/>
    <w:rsid w:val="280C3989"/>
    <w:rsid w:val="280CD240"/>
    <w:rsid w:val="280EC45E"/>
    <w:rsid w:val="281FBA5C"/>
    <w:rsid w:val="2821270C"/>
    <w:rsid w:val="282B8304"/>
    <w:rsid w:val="28332544"/>
    <w:rsid w:val="2845FFC3"/>
    <w:rsid w:val="284F9046"/>
    <w:rsid w:val="28667CE3"/>
    <w:rsid w:val="286E04AA"/>
    <w:rsid w:val="286F0349"/>
    <w:rsid w:val="28781219"/>
    <w:rsid w:val="287B2296"/>
    <w:rsid w:val="287C2C63"/>
    <w:rsid w:val="287E8E60"/>
    <w:rsid w:val="28841DE6"/>
    <w:rsid w:val="28858F4D"/>
    <w:rsid w:val="288A6C78"/>
    <w:rsid w:val="289A0F46"/>
    <w:rsid w:val="289A52E4"/>
    <w:rsid w:val="28AAD016"/>
    <w:rsid w:val="28AEC1BD"/>
    <w:rsid w:val="28B545D3"/>
    <w:rsid w:val="28BB2C08"/>
    <w:rsid w:val="28BB87A6"/>
    <w:rsid w:val="28C42CEA"/>
    <w:rsid w:val="28D220A7"/>
    <w:rsid w:val="28D2D978"/>
    <w:rsid w:val="28DB5C54"/>
    <w:rsid w:val="28DECD8A"/>
    <w:rsid w:val="28E1E043"/>
    <w:rsid w:val="28F05735"/>
    <w:rsid w:val="28F18CF8"/>
    <w:rsid w:val="28FE87AC"/>
    <w:rsid w:val="2900AB23"/>
    <w:rsid w:val="2907A9A2"/>
    <w:rsid w:val="290B0629"/>
    <w:rsid w:val="290D3B55"/>
    <w:rsid w:val="291A9E85"/>
    <w:rsid w:val="291AB334"/>
    <w:rsid w:val="291EDCFC"/>
    <w:rsid w:val="292AC06A"/>
    <w:rsid w:val="2937F1B6"/>
    <w:rsid w:val="293AD695"/>
    <w:rsid w:val="2950F3B2"/>
    <w:rsid w:val="2952B2F4"/>
    <w:rsid w:val="29534C46"/>
    <w:rsid w:val="295EA973"/>
    <w:rsid w:val="29622A29"/>
    <w:rsid w:val="296967AE"/>
    <w:rsid w:val="296DC365"/>
    <w:rsid w:val="2976BD3D"/>
    <w:rsid w:val="297C25B6"/>
    <w:rsid w:val="29A28B25"/>
    <w:rsid w:val="29A70F0A"/>
    <w:rsid w:val="29A833A5"/>
    <w:rsid w:val="29B381A9"/>
    <w:rsid w:val="29B5EEB5"/>
    <w:rsid w:val="29C29111"/>
    <w:rsid w:val="29C379DA"/>
    <w:rsid w:val="29D331AE"/>
    <w:rsid w:val="29D3D43B"/>
    <w:rsid w:val="29E7AC88"/>
    <w:rsid w:val="29E88EBA"/>
    <w:rsid w:val="29EBB8F5"/>
    <w:rsid w:val="29EDC45A"/>
    <w:rsid w:val="29F1D417"/>
    <w:rsid w:val="29F8B3BB"/>
    <w:rsid w:val="29F9D820"/>
    <w:rsid w:val="2A0EDFCE"/>
    <w:rsid w:val="2A1688CF"/>
    <w:rsid w:val="2A19F71D"/>
    <w:rsid w:val="2A20556C"/>
    <w:rsid w:val="2A2C227B"/>
    <w:rsid w:val="2A2FC0BF"/>
    <w:rsid w:val="2A335630"/>
    <w:rsid w:val="2A3681F6"/>
    <w:rsid w:val="2A3CD53E"/>
    <w:rsid w:val="2A4FFE58"/>
    <w:rsid w:val="2A5B2AEA"/>
    <w:rsid w:val="2A80FB63"/>
    <w:rsid w:val="2A898D11"/>
    <w:rsid w:val="2A972FFD"/>
    <w:rsid w:val="2A98CF27"/>
    <w:rsid w:val="2AA530FE"/>
    <w:rsid w:val="2AA8C603"/>
    <w:rsid w:val="2AB2A6BB"/>
    <w:rsid w:val="2ACC7F0F"/>
    <w:rsid w:val="2AD0D0B2"/>
    <w:rsid w:val="2ADC9726"/>
    <w:rsid w:val="2B08F4C4"/>
    <w:rsid w:val="2B0AB18A"/>
    <w:rsid w:val="2B0D6AF5"/>
    <w:rsid w:val="2B0FB6F4"/>
    <w:rsid w:val="2B158727"/>
    <w:rsid w:val="2B244C16"/>
    <w:rsid w:val="2B26F14C"/>
    <w:rsid w:val="2B2B60BA"/>
    <w:rsid w:val="2B2D6BFE"/>
    <w:rsid w:val="2B35A466"/>
    <w:rsid w:val="2B3B6A56"/>
    <w:rsid w:val="2B3DBBE2"/>
    <w:rsid w:val="2B3EEC38"/>
    <w:rsid w:val="2B473F87"/>
    <w:rsid w:val="2B47CB85"/>
    <w:rsid w:val="2B527E2E"/>
    <w:rsid w:val="2B532F37"/>
    <w:rsid w:val="2B590E2D"/>
    <w:rsid w:val="2B5C92FA"/>
    <w:rsid w:val="2B619831"/>
    <w:rsid w:val="2B714BBD"/>
    <w:rsid w:val="2B77E0E1"/>
    <w:rsid w:val="2B7DAA54"/>
    <w:rsid w:val="2B86889F"/>
    <w:rsid w:val="2B93CEB8"/>
    <w:rsid w:val="2B940DB8"/>
    <w:rsid w:val="2B94DF16"/>
    <w:rsid w:val="2BB321E0"/>
    <w:rsid w:val="2BB52AF3"/>
    <w:rsid w:val="2BBE0A55"/>
    <w:rsid w:val="2BC04729"/>
    <w:rsid w:val="2BC0889E"/>
    <w:rsid w:val="2BC08E4C"/>
    <w:rsid w:val="2BC5932E"/>
    <w:rsid w:val="2BC5E358"/>
    <w:rsid w:val="2BCC836A"/>
    <w:rsid w:val="2BCE596F"/>
    <w:rsid w:val="2BD04920"/>
    <w:rsid w:val="2BDA194A"/>
    <w:rsid w:val="2BE2F71F"/>
    <w:rsid w:val="2BE8291F"/>
    <w:rsid w:val="2BEDA309"/>
    <w:rsid w:val="2BEE076D"/>
    <w:rsid w:val="2BF002AA"/>
    <w:rsid w:val="2BF5F2F7"/>
    <w:rsid w:val="2C077AEB"/>
    <w:rsid w:val="2C0B390C"/>
    <w:rsid w:val="2C150759"/>
    <w:rsid w:val="2C1793A5"/>
    <w:rsid w:val="2C1DEBF7"/>
    <w:rsid w:val="2C249932"/>
    <w:rsid w:val="2C278C1B"/>
    <w:rsid w:val="2C2BDEE7"/>
    <w:rsid w:val="2C340F0E"/>
    <w:rsid w:val="2C3F9FB4"/>
    <w:rsid w:val="2C429913"/>
    <w:rsid w:val="2C46AAC3"/>
    <w:rsid w:val="2C52CBFD"/>
    <w:rsid w:val="2C5CC679"/>
    <w:rsid w:val="2C5EAE2D"/>
    <w:rsid w:val="2C75EBEC"/>
    <w:rsid w:val="2C79BA89"/>
    <w:rsid w:val="2C936247"/>
    <w:rsid w:val="2C95439A"/>
    <w:rsid w:val="2C9E5D9D"/>
    <w:rsid w:val="2C9EEE52"/>
    <w:rsid w:val="2CA18BD9"/>
    <w:rsid w:val="2CC09947"/>
    <w:rsid w:val="2CCEE8B9"/>
    <w:rsid w:val="2CD4A076"/>
    <w:rsid w:val="2CDE44AA"/>
    <w:rsid w:val="2CECCF29"/>
    <w:rsid w:val="2CEE9440"/>
    <w:rsid w:val="2CF80180"/>
    <w:rsid w:val="2D0816E1"/>
    <w:rsid w:val="2D1429E0"/>
    <w:rsid w:val="2D1A01B9"/>
    <w:rsid w:val="2D221AAB"/>
    <w:rsid w:val="2D2B5907"/>
    <w:rsid w:val="2D2EF029"/>
    <w:rsid w:val="2D31BE97"/>
    <w:rsid w:val="2D38B87B"/>
    <w:rsid w:val="2D3B95AF"/>
    <w:rsid w:val="2D3EC5DA"/>
    <w:rsid w:val="2D40A573"/>
    <w:rsid w:val="2D486763"/>
    <w:rsid w:val="2D550017"/>
    <w:rsid w:val="2D55FE00"/>
    <w:rsid w:val="2D57FF20"/>
    <w:rsid w:val="2D62389A"/>
    <w:rsid w:val="2D631BF5"/>
    <w:rsid w:val="2D923628"/>
    <w:rsid w:val="2D972F68"/>
    <w:rsid w:val="2D9B4777"/>
    <w:rsid w:val="2D9D5467"/>
    <w:rsid w:val="2DA97D80"/>
    <w:rsid w:val="2DD9547F"/>
    <w:rsid w:val="2DE1FF23"/>
    <w:rsid w:val="2DE21F59"/>
    <w:rsid w:val="2DE994AA"/>
    <w:rsid w:val="2DED7CA0"/>
    <w:rsid w:val="2DF7BAE9"/>
    <w:rsid w:val="2E0194D5"/>
    <w:rsid w:val="2E05189A"/>
    <w:rsid w:val="2E117779"/>
    <w:rsid w:val="2E1439F3"/>
    <w:rsid w:val="2E18286B"/>
    <w:rsid w:val="2E1C0D95"/>
    <w:rsid w:val="2E1CB98A"/>
    <w:rsid w:val="2E1E4C1E"/>
    <w:rsid w:val="2E1E95E8"/>
    <w:rsid w:val="2E335397"/>
    <w:rsid w:val="2E39B9BD"/>
    <w:rsid w:val="2E3C6F12"/>
    <w:rsid w:val="2E531117"/>
    <w:rsid w:val="2E54D26B"/>
    <w:rsid w:val="2E559B89"/>
    <w:rsid w:val="2E57416B"/>
    <w:rsid w:val="2E73CB95"/>
    <w:rsid w:val="2E7625F2"/>
    <w:rsid w:val="2E801DC4"/>
    <w:rsid w:val="2E81AABF"/>
    <w:rsid w:val="2E8CE283"/>
    <w:rsid w:val="2E91C7DA"/>
    <w:rsid w:val="2E9A94C0"/>
    <w:rsid w:val="2E9A9893"/>
    <w:rsid w:val="2E9B7584"/>
    <w:rsid w:val="2EA0CD0A"/>
    <w:rsid w:val="2EA7B4A4"/>
    <w:rsid w:val="2EAD1F65"/>
    <w:rsid w:val="2EB29263"/>
    <w:rsid w:val="2EC71329"/>
    <w:rsid w:val="2ECF954F"/>
    <w:rsid w:val="2ED45500"/>
    <w:rsid w:val="2ED5F4A1"/>
    <w:rsid w:val="2ED6AEC2"/>
    <w:rsid w:val="2ED95EEE"/>
    <w:rsid w:val="2EF1625F"/>
    <w:rsid w:val="2EF4ADFF"/>
    <w:rsid w:val="2F014ADA"/>
    <w:rsid w:val="2F0BC1CB"/>
    <w:rsid w:val="2F223603"/>
    <w:rsid w:val="2F2C080B"/>
    <w:rsid w:val="2F3076F5"/>
    <w:rsid w:val="2F488FED"/>
    <w:rsid w:val="2F4A2EC7"/>
    <w:rsid w:val="2F501DF4"/>
    <w:rsid w:val="2F549359"/>
    <w:rsid w:val="2F5B4BDF"/>
    <w:rsid w:val="2F60306A"/>
    <w:rsid w:val="2F6E8F85"/>
    <w:rsid w:val="2F7098FC"/>
    <w:rsid w:val="2F70AF5B"/>
    <w:rsid w:val="2F885218"/>
    <w:rsid w:val="2F9DAFB6"/>
    <w:rsid w:val="2FA74609"/>
    <w:rsid w:val="2FA7862F"/>
    <w:rsid w:val="2FD06B71"/>
    <w:rsid w:val="2FD19B43"/>
    <w:rsid w:val="2FD85F9C"/>
    <w:rsid w:val="2FDE5AE3"/>
    <w:rsid w:val="2FE38651"/>
    <w:rsid w:val="2FEFC0C8"/>
    <w:rsid w:val="2FF7079B"/>
    <w:rsid w:val="300617B1"/>
    <w:rsid w:val="300A736E"/>
    <w:rsid w:val="3028E2E9"/>
    <w:rsid w:val="303ABDB6"/>
    <w:rsid w:val="304A32AF"/>
    <w:rsid w:val="305C3245"/>
    <w:rsid w:val="30641003"/>
    <w:rsid w:val="306FB0F8"/>
    <w:rsid w:val="307A675C"/>
    <w:rsid w:val="308109F1"/>
    <w:rsid w:val="3081A3F1"/>
    <w:rsid w:val="3089B3CF"/>
    <w:rsid w:val="3092C608"/>
    <w:rsid w:val="3092CEE1"/>
    <w:rsid w:val="3094B818"/>
    <w:rsid w:val="309FCA81"/>
    <w:rsid w:val="30A9A14E"/>
    <w:rsid w:val="30B14BF4"/>
    <w:rsid w:val="30B25C7F"/>
    <w:rsid w:val="30B9B9E6"/>
    <w:rsid w:val="30C56A5B"/>
    <w:rsid w:val="30CBCC5A"/>
    <w:rsid w:val="30D1DFD5"/>
    <w:rsid w:val="30E137D0"/>
    <w:rsid w:val="30E48532"/>
    <w:rsid w:val="30E4D4A8"/>
    <w:rsid w:val="30FBB2BF"/>
    <w:rsid w:val="31117292"/>
    <w:rsid w:val="31188360"/>
    <w:rsid w:val="311C29B4"/>
    <w:rsid w:val="313648BE"/>
    <w:rsid w:val="313816FB"/>
    <w:rsid w:val="3139766A"/>
    <w:rsid w:val="313C132F"/>
    <w:rsid w:val="313F07AD"/>
    <w:rsid w:val="314729F9"/>
    <w:rsid w:val="31505C3B"/>
    <w:rsid w:val="3151387B"/>
    <w:rsid w:val="31523A77"/>
    <w:rsid w:val="315C7804"/>
    <w:rsid w:val="3164B758"/>
    <w:rsid w:val="31715FA0"/>
    <w:rsid w:val="3175247C"/>
    <w:rsid w:val="3178FBD5"/>
    <w:rsid w:val="31888952"/>
    <w:rsid w:val="31890319"/>
    <w:rsid w:val="3191D0BE"/>
    <w:rsid w:val="319409F5"/>
    <w:rsid w:val="319A5909"/>
    <w:rsid w:val="31AD03FA"/>
    <w:rsid w:val="31B124D5"/>
    <w:rsid w:val="31B33F29"/>
    <w:rsid w:val="31CBC289"/>
    <w:rsid w:val="31CE0A3C"/>
    <w:rsid w:val="31DD65FA"/>
    <w:rsid w:val="31DE94EA"/>
    <w:rsid w:val="31E6EBDB"/>
    <w:rsid w:val="31F1CF9F"/>
    <w:rsid w:val="31F4D3E3"/>
    <w:rsid w:val="31F6EDCA"/>
    <w:rsid w:val="31F86D59"/>
    <w:rsid w:val="321291D5"/>
    <w:rsid w:val="32200408"/>
    <w:rsid w:val="3234F587"/>
    <w:rsid w:val="32361D8F"/>
    <w:rsid w:val="323E2372"/>
    <w:rsid w:val="324522BF"/>
    <w:rsid w:val="32487CBE"/>
    <w:rsid w:val="32561600"/>
    <w:rsid w:val="325F386A"/>
    <w:rsid w:val="32693229"/>
    <w:rsid w:val="326D3B13"/>
    <w:rsid w:val="326EE165"/>
    <w:rsid w:val="327E7D8D"/>
    <w:rsid w:val="3284525C"/>
    <w:rsid w:val="328FBCCE"/>
    <w:rsid w:val="329568CE"/>
    <w:rsid w:val="32B4C252"/>
    <w:rsid w:val="32BD6921"/>
    <w:rsid w:val="32C4D2D2"/>
    <w:rsid w:val="32C681B7"/>
    <w:rsid w:val="32C6DA22"/>
    <w:rsid w:val="32CB554A"/>
    <w:rsid w:val="32CEF16C"/>
    <w:rsid w:val="32D6D340"/>
    <w:rsid w:val="32DA2C9A"/>
    <w:rsid w:val="32DBACA4"/>
    <w:rsid w:val="32DF7E4E"/>
    <w:rsid w:val="32E01C40"/>
    <w:rsid w:val="32E0650B"/>
    <w:rsid w:val="32E2A8B2"/>
    <w:rsid w:val="32F05F47"/>
    <w:rsid w:val="32F18ADC"/>
    <w:rsid w:val="32F1A26A"/>
    <w:rsid w:val="32F41619"/>
    <w:rsid w:val="32F61FC6"/>
    <w:rsid w:val="32F621DE"/>
    <w:rsid w:val="32FCC927"/>
    <w:rsid w:val="330BAEB9"/>
    <w:rsid w:val="331174AE"/>
    <w:rsid w:val="3311A564"/>
    <w:rsid w:val="3312DC7B"/>
    <w:rsid w:val="33199AED"/>
    <w:rsid w:val="33231990"/>
    <w:rsid w:val="332AD317"/>
    <w:rsid w:val="332C2FFE"/>
    <w:rsid w:val="332CB0C4"/>
    <w:rsid w:val="33523693"/>
    <w:rsid w:val="335256ED"/>
    <w:rsid w:val="335DECE1"/>
    <w:rsid w:val="3361191A"/>
    <w:rsid w:val="336764AA"/>
    <w:rsid w:val="3368F98E"/>
    <w:rsid w:val="3377753C"/>
    <w:rsid w:val="3381BD56"/>
    <w:rsid w:val="3394D7BA"/>
    <w:rsid w:val="3394F70D"/>
    <w:rsid w:val="33A9263E"/>
    <w:rsid w:val="33B7A2FF"/>
    <w:rsid w:val="33B9431B"/>
    <w:rsid w:val="33B9B1EB"/>
    <w:rsid w:val="33BBAD13"/>
    <w:rsid w:val="33CAB823"/>
    <w:rsid w:val="33E586FC"/>
    <w:rsid w:val="33FA33DC"/>
    <w:rsid w:val="3405750A"/>
    <w:rsid w:val="3405B80C"/>
    <w:rsid w:val="34082BFE"/>
    <w:rsid w:val="341188C6"/>
    <w:rsid w:val="34144DFD"/>
    <w:rsid w:val="341A4B7C"/>
    <w:rsid w:val="341BA80F"/>
    <w:rsid w:val="34321CB5"/>
    <w:rsid w:val="343275C5"/>
    <w:rsid w:val="34350A18"/>
    <w:rsid w:val="3441C139"/>
    <w:rsid w:val="3446B28D"/>
    <w:rsid w:val="345DA589"/>
    <w:rsid w:val="345F9352"/>
    <w:rsid w:val="34676DC5"/>
    <w:rsid w:val="346C7C0B"/>
    <w:rsid w:val="3475938C"/>
    <w:rsid w:val="34810AC6"/>
    <w:rsid w:val="34827465"/>
    <w:rsid w:val="348AD983"/>
    <w:rsid w:val="34A14F6A"/>
    <w:rsid w:val="34A3451C"/>
    <w:rsid w:val="34AD478F"/>
    <w:rsid w:val="34B3CB0A"/>
    <w:rsid w:val="34B5E076"/>
    <w:rsid w:val="34D0F87B"/>
    <w:rsid w:val="34D9F4AF"/>
    <w:rsid w:val="34E24279"/>
    <w:rsid w:val="34E40CFB"/>
    <w:rsid w:val="34E5B0E7"/>
    <w:rsid w:val="34F00D8B"/>
    <w:rsid w:val="34FFFEB4"/>
    <w:rsid w:val="350661D3"/>
    <w:rsid w:val="3509DB5C"/>
    <w:rsid w:val="350ABC51"/>
    <w:rsid w:val="350E953F"/>
    <w:rsid w:val="350F8C2F"/>
    <w:rsid w:val="351820DB"/>
    <w:rsid w:val="35183D24"/>
    <w:rsid w:val="351B8155"/>
    <w:rsid w:val="3532F22C"/>
    <w:rsid w:val="35341D58"/>
    <w:rsid w:val="35375896"/>
    <w:rsid w:val="353E2075"/>
    <w:rsid w:val="35415F35"/>
    <w:rsid w:val="3548A911"/>
    <w:rsid w:val="3558518B"/>
    <w:rsid w:val="355A166B"/>
    <w:rsid w:val="35716F37"/>
    <w:rsid w:val="357C7372"/>
    <w:rsid w:val="3582A858"/>
    <w:rsid w:val="3588281A"/>
    <w:rsid w:val="3592163E"/>
    <w:rsid w:val="35923C48"/>
    <w:rsid w:val="35924D5D"/>
    <w:rsid w:val="359CDF70"/>
    <w:rsid w:val="359E3C3A"/>
    <w:rsid w:val="35A2880F"/>
    <w:rsid w:val="35A4CD23"/>
    <w:rsid w:val="35A85A8D"/>
    <w:rsid w:val="35B6D7B1"/>
    <w:rsid w:val="35B88BA8"/>
    <w:rsid w:val="35C365BA"/>
    <w:rsid w:val="35CD69EF"/>
    <w:rsid w:val="35EBB691"/>
    <w:rsid w:val="3600706B"/>
    <w:rsid w:val="360D5B64"/>
    <w:rsid w:val="3610BC72"/>
    <w:rsid w:val="361742B3"/>
    <w:rsid w:val="361A8DDA"/>
    <w:rsid w:val="36355E2A"/>
    <w:rsid w:val="36407600"/>
    <w:rsid w:val="3642F086"/>
    <w:rsid w:val="364D6153"/>
    <w:rsid w:val="3658BD36"/>
    <w:rsid w:val="3687C39C"/>
    <w:rsid w:val="369094B8"/>
    <w:rsid w:val="3699E74B"/>
    <w:rsid w:val="369F77F9"/>
    <w:rsid w:val="36ACC367"/>
    <w:rsid w:val="36B6C85D"/>
    <w:rsid w:val="36C1FE83"/>
    <w:rsid w:val="36C20164"/>
    <w:rsid w:val="36C411FA"/>
    <w:rsid w:val="36E83D01"/>
    <w:rsid w:val="36F9A915"/>
    <w:rsid w:val="36FEF696"/>
    <w:rsid w:val="3703E2DA"/>
    <w:rsid w:val="370421BB"/>
    <w:rsid w:val="371711D2"/>
    <w:rsid w:val="371927F5"/>
    <w:rsid w:val="371D91DD"/>
    <w:rsid w:val="371E7107"/>
    <w:rsid w:val="372A29D7"/>
    <w:rsid w:val="37320860"/>
    <w:rsid w:val="3749E215"/>
    <w:rsid w:val="375044C4"/>
    <w:rsid w:val="37562F51"/>
    <w:rsid w:val="3762C65C"/>
    <w:rsid w:val="376B5B61"/>
    <w:rsid w:val="3772C1CF"/>
    <w:rsid w:val="3779FEA9"/>
    <w:rsid w:val="37890D48"/>
    <w:rsid w:val="37990DD5"/>
    <w:rsid w:val="37A40A38"/>
    <w:rsid w:val="37A80211"/>
    <w:rsid w:val="37AAC47A"/>
    <w:rsid w:val="37AC0429"/>
    <w:rsid w:val="37BB2B41"/>
    <w:rsid w:val="37BDC18B"/>
    <w:rsid w:val="37BF3F54"/>
    <w:rsid w:val="37C730C4"/>
    <w:rsid w:val="37CF5FC5"/>
    <w:rsid w:val="37D511C2"/>
    <w:rsid w:val="37D7AB0D"/>
    <w:rsid w:val="37DE1129"/>
    <w:rsid w:val="37E1AB55"/>
    <w:rsid w:val="37F22254"/>
    <w:rsid w:val="37F42387"/>
    <w:rsid w:val="37F7A2C5"/>
    <w:rsid w:val="38010076"/>
    <w:rsid w:val="38029FA5"/>
    <w:rsid w:val="380A7B33"/>
    <w:rsid w:val="380FC136"/>
    <w:rsid w:val="380FC3D7"/>
    <w:rsid w:val="381EEB97"/>
    <w:rsid w:val="3821015A"/>
    <w:rsid w:val="383113B1"/>
    <w:rsid w:val="38311EFB"/>
    <w:rsid w:val="3839DFC6"/>
    <w:rsid w:val="383A19E3"/>
    <w:rsid w:val="384DDB6D"/>
    <w:rsid w:val="3868D551"/>
    <w:rsid w:val="38696DE8"/>
    <w:rsid w:val="3876ACAD"/>
    <w:rsid w:val="387C1A2B"/>
    <w:rsid w:val="388D611B"/>
    <w:rsid w:val="389134CD"/>
    <w:rsid w:val="38959689"/>
    <w:rsid w:val="389F4C6C"/>
    <w:rsid w:val="389F8725"/>
    <w:rsid w:val="389FAB9B"/>
    <w:rsid w:val="38AE42EF"/>
    <w:rsid w:val="38B2A8BD"/>
    <w:rsid w:val="38BE4C7B"/>
    <w:rsid w:val="38D120E0"/>
    <w:rsid w:val="38D2DA20"/>
    <w:rsid w:val="38D533B4"/>
    <w:rsid w:val="38D77E0A"/>
    <w:rsid w:val="38D7DA57"/>
    <w:rsid w:val="38EDB3D9"/>
    <w:rsid w:val="38F084FD"/>
    <w:rsid w:val="38F3A546"/>
    <w:rsid w:val="391B0F1B"/>
    <w:rsid w:val="392D13FE"/>
    <w:rsid w:val="392D1858"/>
    <w:rsid w:val="392DC341"/>
    <w:rsid w:val="392E4089"/>
    <w:rsid w:val="39315883"/>
    <w:rsid w:val="393D3393"/>
    <w:rsid w:val="3956050F"/>
    <w:rsid w:val="3964A227"/>
    <w:rsid w:val="396E5C35"/>
    <w:rsid w:val="397922BB"/>
    <w:rsid w:val="3984AFA0"/>
    <w:rsid w:val="398BD600"/>
    <w:rsid w:val="399311E0"/>
    <w:rsid w:val="399C94FD"/>
    <w:rsid w:val="39A85F19"/>
    <w:rsid w:val="39AA56A1"/>
    <w:rsid w:val="39AD41BB"/>
    <w:rsid w:val="39AE521E"/>
    <w:rsid w:val="39B1D17E"/>
    <w:rsid w:val="39B466B7"/>
    <w:rsid w:val="39BAF45A"/>
    <w:rsid w:val="39C2197F"/>
    <w:rsid w:val="39D9B94D"/>
    <w:rsid w:val="39DA6436"/>
    <w:rsid w:val="39DA9F43"/>
    <w:rsid w:val="39E3F3F2"/>
    <w:rsid w:val="39E7B81A"/>
    <w:rsid w:val="39EC1C88"/>
    <w:rsid w:val="39F306FF"/>
    <w:rsid w:val="39F42AB0"/>
    <w:rsid w:val="39F711ED"/>
    <w:rsid w:val="3A0290C1"/>
    <w:rsid w:val="3A09A094"/>
    <w:rsid w:val="3A0B88EF"/>
    <w:rsid w:val="3A0F726A"/>
    <w:rsid w:val="3A1DBD57"/>
    <w:rsid w:val="3A1FF559"/>
    <w:rsid w:val="3A235734"/>
    <w:rsid w:val="3A29E7F5"/>
    <w:rsid w:val="3A33FBB8"/>
    <w:rsid w:val="3A46A1C3"/>
    <w:rsid w:val="3A4C25EF"/>
    <w:rsid w:val="3A5D3B6C"/>
    <w:rsid w:val="3A798818"/>
    <w:rsid w:val="3A7F43FB"/>
    <w:rsid w:val="3A97FCBC"/>
    <w:rsid w:val="3AA36E05"/>
    <w:rsid w:val="3AA748D6"/>
    <w:rsid w:val="3AAAF55B"/>
    <w:rsid w:val="3AB315C9"/>
    <w:rsid w:val="3AB52312"/>
    <w:rsid w:val="3AB6FA6B"/>
    <w:rsid w:val="3ABBE2FE"/>
    <w:rsid w:val="3ABE86A3"/>
    <w:rsid w:val="3AC2E90C"/>
    <w:rsid w:val="3AC30BFA"/>
    <w:rsid w:val="3ACCE83C"/>
    <w:rsid w:val="3AD7AC9B"/>
    <w:rsid w:val="3ADD2457"/>
    <w:rsid w:val="3AE321E1"/>
    <w:rsid w:val="3AEE3342"/>
    <w:rsid w:val="3AFD7914"/>
    <w:rsid w:val="3B01DF23"/>
    <w:rsid w:val="3B02163C"/>
    <w:rsid w:val="3B04A4CD"/>
    <w:rsid w:val="3B10A38C"/>
    <w:rsid w:val="3B23DAB0"/>
    <w:rsid w:val="3B2E953D"/>
    <w:rsid w:val="3B33CA66"/>
    <w:rsid w:val="3B3769C5"/>
    <w:rsid w:val="3B3CE3A6"/>
    <w:rsid w:val="3B527F00"/>
    <w:rsid w:val="3B60D787"/>
    <w:rsid w:val="3B76CB2D"/>
    <w:rsid w:val="3B7EA800"/>
    <w:rsid w:val="3B84F58F"/>
    <w:rsid w:val="3B88405C"/>
    <w:rsid w:val="3B9FA251"/>
    <w:rsid w:val="3BA0885E"/>
    <w:rsid w:val="3BA9859E"/>
    <w:rsid w:val="3BAA6BAB"/>
    <w:rsid w:val="3BCCC537"/>
    <w:rsid w:val="3BE1C481"/>
    <w:rsid w:val="3BEA12D4"/>
    <w:rsid w:val="3BEA632A"/>
    <w:rsid w:val="3BF264F9"/>
    <w:rsid w:val="3BFCB0E8"/>
    <w:rsid w:val="3C0B2FB3"/>
    <w:rsid w:val="3C163B8B"/>
    <w:rsid w:val="3C18E549"/>
    <w:rsid w:val="3C1FBB6D"/>
    <w:rsid w:val="3C2CF35E"/>
    <w:rsid w:val="3C2E165B"/>
    <w:rsid w:val="3C38DA39"/>
    <w:rsid w:val="3C43F7C6"/>
    <w:rsid w:val="3C4526EC"/>
    <w:rsid w:val="3C4AF945"/>
    <w:rsid w:val="3C4CB434"/>
    <w:rsid w:val="3C587AA9"/>
    <w:rsid w:val="3C5944B2"/>
    <w:rsid w:val="3C5B6A12"/>
    <w:rsid w:val="3C63F0EE"/>
    <w:rsid w:val="3C7F6921"/>
    <w:rsid w:val="3C887208"/>
    <w:rsid w:val="3C92F5DF"/>
    <w:rsid w:val="3CA4D1BE"/>
    <w:rsid w:val="3CAA3126"/>
    <w:rsid w:val="3CB1824C"/>
    <w:rsid w:val="3CCAE0B9"/>
    <w:rsid w:val="3CCF88BC"/>
    <w:rsid w:val="3CD13156"/>
    <w:rsid w:val="3CD7F9C5"/>
    <w:rsid w:val="3CDF1329"/>
    <w:rsid w:val="3CE2BD63"/>
    <w:rsid w:val="3CE509B7"/>
    <w:rsid w:val="3CFEC650"/>
    <w:rsid w:val="3D0A456E"/>
    <w:rsid w:val="3D0CEF28"/>
    <w:rsid w:val="3D0D2817"/>
    <w:rsid w:val="3D0E17FA"/>
    <w:rsid w:val="3D12A2A8"/>
    <w:rsid w:val="3D18690F"/>
    <w:rsid w:val="3D1AD639"/>
    <w:rsid w:val="3D24765F"/>
    <w:rsid w:val="3D31E244"/>
    <w:rsid w:val="3D34DBB4"/>
    <w:rsid w:val="3D3C773D"/>
    <w:rsid w:val="3D3E2CC5"/>
    <w:rsid w:val="3D3E5CFC"/>
    <w:rsid w:val="3D401C08"/>
    <w:rsid w:val="3D44644E"/>
    <w:rsid w:val="3D4ACD0B"/>
    <w:rsid w:val="3D4B22E4"/>
    <w:rsid w:val="3D584736"/>
    <w:rsid w:val="3D59E0AA"/>
    <w:rsid w:val="3D649F56"/>
    <w:rsid w:val="3D69E296"/>
    <w:rsid w:val="3D6B0856"/>
    <w:rsid w:val="3D6B718A"/>
    <w:rsid w:val="3D6B9998"/>
    <w:rsid w:val="3D6E2DAB"/>
    <w:rsid w:val="3D714583"/>
    <w:rsid w:val="3D81B603"/>
    <w:rsid w:val="3D84EF73"/>
    <w:rsid w:val="3D8C1CE2"/>
    <w:rsid w:val="3D90F3B4"/>
    <w:rsid w:val="3D94712A"/>
    <w:rsid w:val="3D9B1F6A"/>
    <w:rsid w:val="3DAE0F54"/>
    <w:rsid w:val="3DB8E3FE"/>
    <w:rsid w:val="3DBA44B7"/>
    <w:rsid w:val="3DC8F690"/>
    <w:rsid w:val="3DD6D130"/>
    <w:rsid w:val="3DDD7B26"/>
    <w:rsid w:val="3DDE27CA"/>
    <w:rsid w:val="3DEB2554"/>
    <w:rsid w:val="3DFD3867"/>
    <w:rsid w:val="3E0A3C6E"/>
    <w:rsid w:val="3E13B063"/>
    <w:rsid w:val="3E1FD3BF"/>
    <w:rsid w:val="3E25C1B5"/>
    <w:rsid w:val="3E3120AA"/>
    <w:rsid w:val="3E3286BF"/>
    <w:rsid w:val="3E47332F"/>
    <w:rsid w:val="3E4CBA84"/>
    <w:rsid w:val="3E5EA6A3"/>
    <w:rsid w:val="3E6C2A7E"/>
    <w:rsid w:val="3EA66A3F"/>
    <w:rsid w:val="3EBA896B"/>
    <w:rsid w:val="3EBB87C5"/>
    <w:rsid w:val="3EC1120D"/>
    <w:rsid w:val="3ECDFA24"/>
    <w:rsid w:val="3ECFCFBD"/>
    <w:rsid w:val="3ED056C4"/>
    <w:rsid w:val="3ED141FA"/>
    <w:rsid w:val="3ED83DFD"/>
    <w:rsid w:val="3EE2147D"/>
    <w:rsid w:val="3EEFB4CA"/>
    <w:rsid w:val="3EF783EF"/>
    <w:rsid w:val="3EF8B923"/>
    <w:rsid w:val="3EFC0EB2"/>
    <w:rsid w:val="3F099156"/>
    <w:rsid w:val="3F12EACA"/>
    <w:rsid w:val="3F12FD00"/>
    <w:rsid w:val="3F1A51D2"/>
    <w:rsid w:val="3F1AD65E"/>
    <w:rsid w:val="3F1EE467"/>
    <w:rsid w:val="3F202DFE"/>
    <w:rsid w:val="3F2DFE5F"/>
    <w:rsid w:val="3F36A1E7"/>
    <w:rsid w:val="3F3866C3"/>
    <w:rsid w:val="3F39628B"/>
    <w:rsid w:val="3F447538"/>
    <w:rsid w:val="3F451AC8"/>
    <w:rsid w:val="3F4D8826"/>
    <w:rsid w:val="3F6D9510"/>
    <w:rsid w:val="3F793A3E"/>
    <w:rsid w:val="3F7A65BE"/>
    <w:rsid w:val="3F84D3A0"/>
    <w:rsid w:val="3F887106"/>
    <w:rsid w:val="3F8B3C84"/>
    <w:rsid w:val="3F8F1F71"/>
    <w:rsid w:val="3F95DB0D"/>
    <w:rsid w:val="3F97E96B"/>
    <w:rsid w:val="3FA23990"/>
    <w:rsid w:val="3FB316DD"/>
    <w:rsid w:val="3FB9225B"/>
    <w:rsid w:val="3FC35FBA"/>
    <w:rsid w:val="3FC4D588"/>
    <w:rsid w:val="3FD2DDFB"/>
    <w:rsid w:val="3FE0EE59"/>
    <w:rsid w:val="3FE701A1"/>
    <w:rsid w:val="3FF36D79"/>
    <w:rsid w:val="3FF4E791"/>
    <w:rsid w:val="3FFB26B7"/>
    <w:rsid w:val="40052398"/>
    <w:rsid w:val="400809F8"/>
    <w:rsid w:val="400FD239"/>
    <w:rsid w:val="4015AB61"/>
    <w:rsid w:val="40335F44"/>
    <w:rsid w:val="4035DB57"/>
    <w:rsid w:val="403A35F3"/>
    <w:rsid w:val="403C0E30"/>
    <w:rsid w:val="4042BDE5"/>
    <w:rsid w:val="40456C55"/>
    <w:rsid w:val="4045F4A2"/>
    <w:rsid w:val="405E8C56"/>
    <w:rsid w:val="40607037"/>
    <w:rsid w:val="40669ABF"/>
    <w:rsid w:val="406ED516"/>
    <w:rsid w:val="407C4D2A"/>
    <w:rsid w:val="407FF5A5"/>
    <w:rsid w:val="408A1DCD"/>
    <w:rsid w:val="4095F95C"/>
    <w:rsid w:val="4098846C"/>
    <w:rsid w:val="40B4E1FC"/>
    <w:rsid w:val="40B9FCB0"/>
    <w:rsid w:val="40C2228B"/>
    <w:rsid w:val="40C983A0"/>
    <w:rsid w:val="40D8C714"/>
    <w:rsid w:val="40D96B6D"/>
    <w:rsid w:val="40DAC9F9"/>
    <w:rsid w:val="40E0022F"/>
    <w:rsid w:val="40E1A905"/>
    <w:rsid w:val="40E63C03"/>
    <w:rsid w:val="40E6B581"/>
    <w:rsid w:val="40ED5272"/>
    <w:rsid w:val="40EF323D"/>
    <w:rsid w:val="40F752A8"/>
    <w:rsid w:val="4114A1F3"/>
    <w:rsid w:val="4117E61B"/>
    <w:rsid w:val="413F2408"/>
    <w:rsid w:val="41412753"/>
    <w:rsid w:val="4142C8EC"/>
    <w:rsid w:val="4148DF91"/>
    <w:rsid w:val="414B75DB"/>
    <w:rsid w:val="416158CF"/>
    <w:rsid w:val="416245F1"/>
    <w:rsid w:val="4169E284"/>
    <w:rsid w:val="416F30D3"/>
    <w:rsid w:val="41726A61"/>
    <w:rsid w:val="417A3D84"/>
    <w:rsid w:val="417EB1AE"/>
    <w:rsid w:val="418434A0"/>
    <w:rsid w:val="4196E28E"/>
    <w:rsid w:val="41979C3F"/>
    <w:rsid w:val="41A2D5D8"/>
    <w:rsid w:val="41A97369"/>
    <w:rsid w:val="41AAFC68"/>
    <w:rsid w:val="41AC5E7B"/>
    <w:rsid w:val="41ADC30C"/>
    <w:rsid w:val="41B84585"/>
    <w:rsid w:val="41BD4C3A"/>
    <w:rsid w:val="41D7530F"/>
    <w:rsid w:val="41DC3F76"/>
    <w:rsid w:val="41F4D977"/>
    <w:rsid w:val="420D152E"/>
    <w:rsid w:val="420D386D"/>
    <w:rsid w:val="421850DF"/>
    <w:rsid w:val="421D0AD1"/>
    <w:rsid w:val="421FDC5D"/>
    <w:rsid w:val="421FFECB"/>
    <w:rsid w:val="422C664A"/>
    <w:rsid w:val="42347BCB"/>
    <w:rsid w:val="42395F95"/>
    <w:rsid w:val="423B6E61"/>
    <w:rsid w:val="423CC764"/>
    <w:rsid w:val="42429BEE"/>
    <w:rsid w:val="42434AEF"/>
    <w:rsid w:val="4252E711"/>
    <w:rsid w:val="4255C317"/>
    <w:rsid w:val="42583DF7"/>
    <w:rsid w:val="426A197B"/>
    <w:rsid w:val="427015A0"/>
    <w:rsid w:val="427B0A86"/>
    <w:rsid w:val="427C3C91"/>
    <w:rsid w:val="428277C3"/>
    <w:rsid w:val="428CFDC5"/>
    <w:rsid w:val="428DC45C"/>
    <w:rsid w:val="429652E3"/>
    <w:rsid w:val="42B1FA86"/>
    <w:rsid w:val="42B2842B"/>
    <w:rsid w:val="42B7B058"/>
    <w:rsid w:val="42BCE37C"/>
    <w:rsid w:val="42C2D970"/>
    <w:rsid w:val="42CC7921"/>
    <w:rsid w:val="42D15EE9"/>
    <w:rsid w:val="42DC4D0D"/>
    <w:rsid w:val="42E3766A"/>
    <w:rsid w:val="42EACB96"/>
    <w:rsid w:val="430519A0"/>
    <w:rsid w:val="431151E9"/>
    <w:rsid w:val="4325C39E"/>
    <w:rsid w:val="432C9CE3"/>
    <w:rsid w:val="4331AB0D"/>
    <w:rsid w:val="433D25EA"/>
    <w:rsid w:val="433EC390"/>
    <w:rsid w:val="4344A7F2"/>
    <w:rsid w:val="43463B9F"/>
    <w:rsid w:val="434CAD28"/>
    <w:rsid w:val="4354178E"/>
    <w:rsid w:val="435D5A4A"/>
    <w:rsid w:val="4362B345"/>
    <w:rsid w:val="436986F8"/>
    <w:rsid w:val="4369FE16"/>
    <w:rsid w:val="436FF2FD"/>
    <w:rsid w:val="43759DD2"/>
    <w:rsid w:val="43763AFD"/>
    <w:rsid w:val="438A855B"/>
    <w:rsid w:val="43921631"/>
    <w:rsid w:val="43A421CC"/>
    <w:rsid w:val="43AB2AD2"/>
    <w:rsid w:val="43B3326B"/>
    <w:rsid w:val="43B7D155"/>
    <w:rsid w:val="43D8F8D5"/>
    <w:rsid w:val="43DCD517"/>
    <w:rsid w:val="43E104A9"/>
    <w:rsid w:val="43E832F1"/>
    <w:rsid w:val="43EFC960"/>
    <w:rsid w:val="4406565B"/>
    <w:rsid w:val="4408AB66"/>
    <w:rsid w:val="441692F6"/>
    <w:rsid w:val="4416C54E"/>
    <w:rsid w:val="4418921F"/>
    <w:rsid w:val="441F2298"/>
    <w:rsid w:val="442B284A"/>
    <w:rsid w:val="442BA4D4"/>
    <w:rsid w:val="4433BF07"/>
    <w:rsid w:val="443EA90B"/>
    <w:rsid w:val="4440A8F6"/>
    <w:rsid w:val="445684F7"/>
    <w:rsid w:val="446CB702"/>
    <w:rsid w:val="447D498E"/>
    <w:rsid w:val="448284EB"/>
    <w:rsid w:val="44857382"/>
    <w:rsid w:val="4499D7CE"/>
    <w:rsid w:val="449B100A"/>
    <w:rsid w:val="449F773B"/>
    <w:rsid w:val="44AD86F1"/>
    <w:rsid w:val="44B3D023"/>
    <w:rsid w:val="44B718FD"/>
    <w:rsid w:val="44B7D62D"/>
    <w:rsid w:val="44BDFAF9"/>
    <w:rsid w:val="44C32A71"/>
    <w:rsid w:val="44C332F5"/>
    <w:rsid w:val="44C3734F"/>
    <w:rsid w:val="44D46895"/>
    <w:rsid w:val="44DE0418"/>
    <w:rsid w:val="44E0BE2C"/>
    <w:rsid w:val="44E266C0"/>
    <w:rsid w:val="44EDDADB"/>
    <w:rsid w:val="44F1B542"/>
    <w:rsid w:val="450C7A08"/>
    <w:rsid w:val="4512FD5D"/>
    <w:rsid w:val="452B5651"/>
    <w:rsid w:val="452E049A"/>
    <w:rsid w:val="452FE8BA"/>
    <w:rsid w:val="453236E7"/>
    <w:rsid w:val="4555FD7F"/>
    <w:rsid w:val="45597202"/>
    <w:rsid w:val="45609634"/>
    <w:rsid w:val="457BB5C6"/>
    <w:rsid w:val="457D7BFD"/>
    <w:rsid w:val="457FF0EE"/>
    <w:rsid w:val="458D9169"/>
    <w:rsid w:val="4592D248"/>
    <w:rsid w:val="459AD4AC"/>
    <w:rsid w:val="459CF97A"/>
    <w:rsid w:val="45A20936"/>
    <w:rsid w:val="45A36936"/>
    <w:rsid w:val="45BE958E"/>
    <w:rsid w:val="45C5058A"/>
    <w:rsid w:val="45C51589"/>
    <w:rsid w:val="45DAF6C6"/>
    <w:rsid w:val="45E97158"/>
    <w:rsid w:val="45F42DDA"/>
    <w:rsid w:val="45F453F0"/>
    <w:rsid w:val="460C2ADA"/>
    <w:rsid w:val="461E3B39"/>
    <w:rsid w:val="462B648E"/>
    <w:rsid w:val="463DD670"/>
    <w:rsid w:val="4640946A"/>
    <w:rsid w:val="46577255"/>
    <w:rsid w:val="465A35EE"/>
    <w:rsid w:val="465C05DF"/>
    <w:rsid w:val="4674AAFA"/>
    <w:rsid w:val="46825DC1"/>
    <w:rsid w:val="4689316C"/>
    <w:rsid w:val="46975C83"/>
    <w:rsid w:val="46BA87E4"/>
    <w:rsid w:val="46C4F9FC"/>
    <w:rsid w:val="46D0748E"/>
    <w:rsid w:val="46D12529"/>
    <w:rsid w:val="46D146D4"/>
    <w:rsid w:val="46DD4F91"/>
    <w:rsid w:val="46E5DFEC"/>
    <w:rsid w:val="46E7EBFB"/>
    <w:rsid w:val="46E9374C"/>
    <w:rsid w:val="46EF01A0"/>
    <w:rsid w:val="46F0A60A"/>
    <w:rsid w:val="47054AC2"/>
    <w:rsid w:val="470982E3"/>
    <w:rsid w:val="471961F3"/>
    <w:rsid w:val="4723BB0A"/>
    <w:rsid w:val="47336A4D"/>
    <w:rsid w:val="47415A54"/>
    <w:rsid w:val="47466821"/>
    <w:rsid w:val="4748CCD9"/>
    <w:rsid w:val="474A4D93"/>
    <w:rsid w:val="474DCF99"/>
    <w:rsid w:val="474F6F70"/>
    <w:rsid w:val="47585902"/>
    <w:rsid w:val="4760C1F4"/>
    <w:rsid w:val="47627E31"/>
    <w:rsid w:val="478B5D12"/>
    <w:rsid w:val="47A04074"/>
    <w:rsid w:val="47A31999"/>
    <w:rsid w:val="47A882F1"/>
    <w:rsid w:val="47B4B42B"/>
    <w:rsid w:val="47C15FF4"/>
    <w:rsid w:val="47C3F6C4"/>
    <w:rsid w:val="47C43D75"/>
    <w:rsid w:val="47C579FB"/>
    <w:rsid w:val="47C5CB9B"/>
    <w:rsid w:val="47C643F3"/>
    <w:rsid w:val="47D38DA4"/>
    <w:rsid w:val="47E30097"/>
    <w:rsid w:val="47EB3A3B"/>
    <w:rsid w:val="47F43FE7"/>
    <w:rsid w:val="47F53F2D"/>
    <w:rsid w:val="480AEE5D"/>
    <w:rsid w:val="480CF7E1"/>
    <w:rsid w:val="481EC474"/>
    <w:rsid w:val="481F6474"/>
    <w:rsid w:val="482B79AB"/>
    <w:rsid w:val="4841B154"/>
    <w:rsid w:val="4845B9B3"/>
    <w:rsid w:val="484A0BF7"/>
    <w:rsid w:val="48503316"/>
    <w:rsid w:val="48587E9C"/>
    <w:rsid w:val="487CB7DC"/>
    <w:rsid w:val="4887758C"/>
    <w:rsid w:val="488E25AC"/>
    <w:rsid w:val="489C7EA7"/>
    <w:rsid w:val="489CBC68"/>
    <w:rsid w:val="48A07FA2"/>
    <w:rsid w:val="48BD9594"/>
    <w:rsid w:val="48C2595C"/>
    <w:rsid w:val="48CE0FE4"/>
    <w:rsid w:val="48E5ADD3"/>
    <w:rsid w:val="48F587A1"/>
    <w:rsid w:val="48F68BC5"/>
    <w:rsid w:val="48F99764"/>
    <w:rsid w:val="48FAFEE6"/>
    <w:rsid w:val="48FFA7BE"/>
    <w:rsid w:val="490434AD"/>
    <w:rsid w:val="49104488"/>
    <w:rsid w:val="4913AC08"/>
    <w:rsid w:val="49151457"/>
    <w:rsid w:val="49468254"/>
    <w:rsid w:val="49491CA2"/>
    <w:rsid w:val="49497142"/>
    <w:rsid w:val="4966FEE2"/>
    <w:rsid w:val="4979FE8C"/>
    <w:rsid w:val="497B5680"/>
    <w:rsid w:val="497CA1F6"/>
    <w:rsid w:val="49821DE8"/>
    <w:rsid w:val="4982FA96"/>
    <w:rsid w:val="498338C8"/>
    <w:rsid w:val="49854E46"/>
    <w:rsid w:val="4985D7CB"/>
    <w:rsid w:val="49A83133"/>
    <w:rsid w:val="49B501F2"/>
    <w:rsid w:val="49BEC730"/>
    <w:rsid w:val="49C25A1E"/>
    <w:rsid w:val="49C5A60F"/>
    <w:rsid w:val="49C85E36"/>
    <w:rsid w:val="49CA775E"/>
    <w:rsid w:val="49CBE76D"/>
    <w:rsid w:val="49CF88B6"/>
    <w:rsid w:val="49D9335D"/>
    <w:rsid w:val="49DB7E7C"/>
    <w:rsid w:val="49E1E47F"/>
    <w:rsid w:val="49E40F8E"/>
    <w:rsid w:val="49E68852"/>
    <w:rsid w:val="49F19221"/>
    <w:rsid w:val="49FF7CD3"/>
    <w:rsid w:val="4A014ABF"/>
    <w:rsid w:val="4A03CF87"/>
    <w:rsid w:val="4A0768F0"/>
    <w:rsid w:val="4A105A87"/>
    <w:rsid w:val="4A140CD5"/>
    <w:rsid w:val="4A1E153B"/>
    <w:rsid w:val="4A2CC2AC"/>
    <w:rsid w:val="4A35C90B"/>
    <w:rsid w:val="4A36BB13"/>
    <w:rsid w:val="4A48580E"/>
    <w:rsid w:val="4A65A60F"/>
    <w:rsid w:val="4A7010C0"/>
    <w:rsid w:val="4A771D4C"/>
    <w:rsid w:val="4A88C2B2"/>
    <w:rsid w:val="4A88DD02"/>
    <w:rsid w:val="4A8D3327"/>
    <w:rsid w:val="4A8D8536"/>
    <w:rsid w:val="4A8D8A32"/>
    <w:rsid w:val="4A9494D7"/>
    <w:rsid w:val="4A9AAE8C"/>
    <w:rsid w:val="4A9E7F23"/>
    <w:rsid w:val="4AA4FA3F"/>
    <w:rsid w:val="4AAD6C23"/>
    <w:rsid w:val="4AB24752"/>
    <w:rsid w:val="4AB6A097"/>
    <w:rsid w:val="4ABAA5F3"/>
    <w:rsid w:val="4ABB7805"/>
    <w:rsid w:val="4ACD49B2"/>
    <w:rsid w:val="4AD0FABA"/>
    <w:rsid w:val="4ADE5B0D"/>
    <w:rsid w:val="4AE12593"/>
    <w:rsid w:val="4AFA1FF6"/>
    <w:rsid w:val="4B08A948"/>
    <w:rsid w:val="4B114793"/>
    <w:rsid w:val="4B1BF1D6"/>
    <w:rsid w:val="4B2B1342"/>
    <w:rsid w:val="4B2E4C9A"/>
    <w:rsid w:val="4B3112A9"/>
    <w:rsid w:val="4B4061F1"/>
    <w:rsid w:val="4B512DFA"/>
    <w:rsid w:val="4B55AC86"/>
    <w:rsid w:val="4B58B504"/>
    <w:rsid w:val="4B5A16BE"/>
    <w:rsid w:val="4B5ECE02"/>
    <w:rsid w:val="4B667937"/>
    <w:rsid w:val="4B690D97"/>
    <w:rsid w:val="4B7AB348"/>
    <w:rsid w:val="4B7C8098"/>
    <w:rsid w:val="4B894DC3"/>
    <w:rsid w:val="4B9236F4"/>
    <w:rsid w:val="4B9F8B72"/>
    <w:rsid w:val="4BB859C4"/>
    <w:rsid w:val="4BB912CB"/>
    <w:rsid w:val="4BBC5F94"/>
    <w:rsid w:val="4BBFEADD"/>
    <w:rsid w:val="4BC067F4"/>
    <w:rsid w:val="4BD00AFE"/>
    <w:rsid w:val="4BD6E3F5"/>
    <w:rsid w:val="4BDF5C7E"/>
    <w:rsid w:val="4BE4172A"/>
    <w:rsid w:val="4BF1BC14"/>
    <w:rsid w:val="4BF47631"/>
    <w:rsid w:val="4BF5AC58"/>
    <w:rsid w:val="4BF66047"/>
    <w:rsid w:val="4BF8219B"/>
    <w:rsid w:val="4C0AD1E3"/>
    <w:rsid w:val="4C142E72"/>
    <w:rsid w:val="4C2FED72"/>
    <w:rsid w:val="4C33EBC6"/>
    <w:rsid w:val="4C33F015"/>
    <w:rsid w:val="4C3B8925"/>
    <w:rsid w:val="4C4D5394"/>
    <w:rsid w:val="4C4DC055"/>
    <w:rsid w:val="4C57A49D"/>
    <w:rsid w:val="4C59272C"/>
    <w:rsid w:val="4C5953B1"/>
    <w:rsid w:val="4C5EDA16"/>
    <w:rsid w:val="4C6E29C5"/>
    <w:rsid w:val="4C75AA08"/>
    <w:rsid w:val="4C87EDB0"/>
    <w:rsid w:val="4C94D927"/>
    <w:rsid w:val="4CA0496E"/>
    <w:rsid w:val="4CA51686"/>
    <w:rsid w:val="4CC3AB13"/>
    <w:rsid w:val="4CC61BB6"/>
    <w:rsid w:val="4CCC71EF"/>
    <w:rsid w:val="4CD72385"/>
    <w:rsid w:val="4CD88841"/>
    <w:rsid w:val="4CDB5CD6"/>
    <w:rsid w:val="4CDDB9E9"/>
    <w:rsid w:val="4CE12ABB"/>
    <w:rsid w:val="4CF15F0B"/>
    <w:rsid w:val="4CF31B7B"/>
    <w:rsid w:val="4CFFFF9A"/>
    <w:rsid w:val="4D07DA69"/>
    <w:rsid w:val="4D0E8AAB"/>
    <w:rsid w:val="4D125D6A"/>
    <w:rsid w:val="4D1C9D35"/>
    <w:rsid w:val="4D1D5676"/>
    <w:rsid w:val="4D1FFD01"/>
    <w:rsid w:val="4D21DD03"/>
    <w:rsid w:val="4D2DC818"/>
    <w:rsid w:val="4D3A13C4"/>
    <w:rsid w:val="4D3CC133"/>
    <w:rsid w:val="4D421230"/>
    <w:rsid w:val="4D425020"/>
    <w:rsid w:val="4D5139E6"/>
    <w:rsid w:val="4D52E580"/>
    <w:rsid w:val="4D538117"/>
    <w:rsid w:val="4D65B8EB"/>
    <w:rsid w:val="4D87690D"/>
    <w:rsid w:val="4D88C698"/>
    <w:rsid w:val="4D892141"/>
    <w:rsid w:val="4DA13CB9"/>
    <w:rsid w:val="4DAA0546"/>
    <w:rsid w:val="4DAA0F92"/>
    <w:rsid w:val="4DB60B34"/>
    <w:rsid w:val="4DBA8167"/>
    <w:rsid w:val="4DF008B7"/>
    <w:rsid w:val="4DF32075"/>
    <w:rsid w:val="4DF4E19E"/>
    <w:rsid w:val="4DF5E480"/>
    <w:rsid w:val="4DF861A5"/>
    <w:rsid w:val="4DFACE62"/>
    <w:rsid w:val="4DFC3793"/>
    <w:rsid w:val="4DFC98FB"/>
    <w:rsid w:val="4E04F29E"/>
    <w:rsid w:val="4E13A410"/>
    <w:rsid w:val="4E271787"/>
    <w:rsid w:val="4E5AA250"/>
    <w:rsid w:val="4E610D6D"/>
    <w:rsid w:val="4E62F745"/>
    <w:rsid w:val="4E666518"/>
    <w:rsid w:val="4E6B1D1C"/>
    <w:rsid w:val="4E792617"/>
    <w:rsid w:val="4E813223"/>
    <w:rsid w:val="4E827CEF"/>
    <w:rsid w:val="4E8ABF9D"/>
    <w:rsid w:val="4E93F202"/>
    <w:rsid w:val="4EA3AACB"/>
    <w:rsid w:val="4EA49637"/>
    <w:rsid w:val="4EA741F9"/>
    <w:rsid w:val="4EACE447"/>
    <w:rsid w:val="4EB313FB"/>
    <w:rsid w:val="4EBDC72D"/>
    <w:rsid w:val="4EC98DC8"/>
    <w:rsid w:val="4ECF2A5F"/>
    <w:rsid w:val="4ED23773"/>
    <w:rsid w:val="4ED7AC09"/>
    <w:rsid w:val="4EE02AE3"/>
    <w:rsid w:val="4EE52E4F"/>
    <w:rsid w:val="4EEEF688"/>
    <w:rsid w:val="4EEFED0C"/>
    <w:rsid w:val="4EF173EF"/>
    <w:rsid w:val="4F03A411"/>
    <w:rsid w:val="4F040CC4"/>
    <w:rsid w:val="4F063193"/>
    <w:rsid w:val="4F0EE45F"/>
    <w:rsid w:val="4F10D531"/>
    <w:rsid w:val="4F1418F6"/>
    <w:rsid w:val="4F181079"/>
    <w:rsid w:val="4F20756B"/>
    <w:rsid w:val="4F21F3A0"/>
    <w:rsid w:val="4F2AC7CD"/>
    <w:rsid w:val="4F35A504"/>
    <w:rsid w:val="4F36D225"/>
    <w:rsid w:val="4F404D7D"/>
    <w:rsid w:val="4F518D9B"/>
    <w:rsid w:val="4F58890D"/>
    <w:rsid w:val="4F5B02A8"/>
    <w:rsid w:val="4F61B5B9"/>
    <w:rsid w:val="4F664719"/>
    <w:rsid w:val="4F73BB4E"/>
    <w:rsid w:val="4F749233"/>
    <w:rsid w:val="4F7746A0"/>
    <w:rsid w:val="4F89EEDC"/>
    <w:rsid w:val="4F91E783"/>
    <w:rsid w:val="4F9E7663"/>
    <w:rsid w:val="4FACF728"/>
    <w:rsid w:val="4FAD0BE4"/>
    <w:rsid w:val="4FBCB8BD"/>
    <w:rsid w:val="4FBF3089"/>
    <w:rsid w:val="4FC58FA8"/>
    <w:rsid w:val="4FCF59C5"/>
    <w:rsid w:val="4FD89253"/>
    <w:rsid w:val="4FDA9A72"/>
    <w:rsid w:val="4FDDC087"/>
    <w:rsid w:val="4FDF29AC"/>
    <w:rsid w:val="4FECC860"/>
    <w:rsid w:val="500A74D9"/>
    <w:rsid w:val="50139529"/>
    <w:rsid w:val="50254B68"/>
    <w:rsid w:val="50276463"/>
    <w:rsid w:val="502DF294"/>
    <w:rsid w:val="502E1F3F"/>
    <w:rsid w:val="5030A10C"/>
    <w:rsid w:val="50428B2C"/>
    <w:rsid w:val="50481D3C"/>
    <w:rsid w:val="504C03DD"/>
    <w:rsid w:val="5054F69E"/>
    <w:rsid w:val="505E8306"/>
    <w:rsid w:val="5062351D"/>
    <w:rsid w:val="5062A5A0"/>
    <w:rsid w:val="506AAE1F"/>
    <w:rsid w:val="506AC41A"/>
    <w:rsid w:val="506B2116"/>
    <w:rsid w:val="506E1E38"/>
    <w:rsid w:val="5074FA4B"/>
    <w:rsid w:val="507549E5"/>
    <w:rsid w:val="50852EFF"/>
    <w:rsid w:val="5092312D"/>
    <w:rsid w:val="50979F43"/>
    <w:rsid w:val="50A31858"/>
    <w:rsid w:val="50AAD76E"/>
    <w:rsid w:val="50B3837E"/>
    <w:rsid w:val="50B3B5F3"/>
    <w:rsid w:val="50B5E91D"/>
    <w:rsid w:val="50DB4F20"/>
    <w:rsid w:val="50F181AE"/>
    <w:rsid w:val="51054661"/>
    <w:rsid w:val="51078FBA"/>
    <w:rsid w:val="511370D3"/>
    <w:rsid w:val="511CEFCF"/>
    <w:rsid w:val="511D513C"/>
    <w:rsid w:val="511FE4B2"/>
    <w:rsid w:val="5125790E"/>
    <w:rsid w:val="512D154B"/>
    <w:rsid w:val="512E59EA"/>
    <w:rsid w:val="5137BF76"/>
    <w:rsid w:val="5159CDC4"/>
    <w:rsid w:val="516FFEC2"/>
    <w:rsid w:val="5181D3E9"/>
    <w:rsid w:val="518C99EE"/>
    <w:rsid w:val="518E1175"/>
    <w:rsid w:val="51A3E41F"/>
    <w:rsid w:val="51C2D873"/>
    <w:rsid w:val="51D5EEF4"/>
    <w:rsid w:val="51DD0A1B"/>
    <w:rsid w:val="51DDF4F2"/>
    <w:rsid w:val="51DE5B8D"/>
    <w:rsid w:val="51E2A5A6"/>
    <w:rsid w:val="51F9AB17"/>
    <w:rsid w:val="5201A5D9"/>
    <w:rsid w:val="52063169"/>
    <w:rsid w:val="520EC421"/>
    <w:rsid w:val="52121978"/>
    <w:rsid w:val="52251F48"/>
    <w:rsid w:val="522A8AD8"/>
    <w:rsid w:val="523B2EA4"/>
    <w:rsid w:val="5241010E"/>
    <w:rsid w:val="52411CF9"/>
    <w:rsid w:val="524D6F7B"/>
    <w:rsid w:val="525F58E7"/>
    <w:rsid w:val="52631DB9"/>
    <w:rsid w:val="5263C968"/>
    <w:rsid w:val="526D173F"/>
    <w:rsid w:val="526D3601"/>
    <w:rsid w:val="526E01FA"/>
    <w:rsid w:val="527A5F42"/>
    <w:rsid w:val="5282D397"/>
    <w:rsid w:val="52850F0B"/>
    <w:rsid w:val="5286AFC3"/>
    <w:rsid w:val="528B4173"/>
    <w:rsid w:val="5290392E"/>
    <w:rsid w:val="52A10403"/>
    <w:rsid w:val="52A1EDFA"/>
    <w:rsid w:val="52ABF19B"/>
    <w:rsid w:val="52AD36D5"/>
    <w:rsid w:val="52B13EC7"/>
    <w:rsid w:val="52B7541A"/>
    <w:rsid w:val="52C30AEF"/>
    <w:rsid w:val="52C89136"/>
    <w:rsid w:val="52D487C1"/>
    <w:rsid w:val="52DD46A5"/>
    <w:rsid w:val="52EA7D44"/>
    <w:rsid w:val="52F16855"/>
    <w:rsid w:val="52F792C8"/>
    <w:rsid w:val="53071248"/>
    <w:rsid w:val="530C0F3C"/>
    <w:rsid w:val="5318B8E0"/>
    <w:rsid w:val="531A782E"/>
    <w:rsid w:val="531CA466"/>
    <w:rsid w:val="532D7664"/>
    <w:rsid w:val="53325021"/>
    <w:rsid w:val="533DBFDA"/>
    <w:rsid w:val="5353445B"/>
    <w:rsid w:val="53542893"/>
    <w:rsid w:val="53578D13"/>
    <w:rsid w:val="53598B63"/>
    <w:rsid w:val="535D5CDA"/>
    <w:rsid w:val="53609EEA"/>
    <w:rsid w:val="536A6CC4"/>
    <w:rsid w:val="53775196"/>
    <w:rsid w:val="537A4638"/>
    <w:rsid w:val="537FF82E"/>
    <w:rsid w:val="53815E30"/>
    <w:rsid w:val="539575A6"/>
    <w:rsid w:val="53967E37"/>
    <w:rsid w:val="53AC1673"/>
    <w:rsid w:val="53B03FDD"/>
    <w:rsid w:val="53B69F8A"/>
    <w:rsid w:val="53B6D826"/>
    <w:rsid w:val="53B88DCC"/>
    <w:rsid w:val="53BD22A0"/>
    <w:rsid w:val="53BE2F7E"/>
    <w:rsid w:val="53BFCDC6"/>
    <w:rsid w:val="53C94ADE"/>
    <w:rsid w:val="53D2CFE7"/>
    <w:rsid w:val="53D3A486"/>
    <w:rsid w:val="53D58496"/>
    <w:rsid w:val="53D8497D"/>
    <w:rsid w:val="53E3AFCD"/>
    <w:rsid w:val="53E5215C"/>
    <w:rsid w:val="53F5D6B8"/>
    <w:rsid w:val="53FA27DB"/>
    <w:rsid w:val="53FAABA3"/>
    <w:rsid w:val="54015841"/>
    <w:rsid w:val="54100223"/>
    <w:rsid w:val="541D66C6"/>
    <w:rsid w:val="544AE419"/>
    <w:rsid w:val="54583B6A"/>
    <w:rsid w:val="5462F035"/>
    <w:rsid w:val="54655B71"/>
    <w:rsid w:val="54692259"/>
    <w:rsid w:val="546AD19E"/>
    <w:rsid w:val="546DD51D"/>
    <w:rsid w:val="5470D6E7"/>
    <w:rsid w:val="5476F411"/>
    <w:rsid w:val="547C2733"/>
    <w:rsid w:val="54A4D071"/>
    <w:rsid w:val="54A5A260"/>
    <w:rsid w:val="54B832BE"/>
    <w:rsid w:val="54BFCA46"/>
    <w:rsid w:val="54C8F245"/>
    <w:rsid w:val="54DDF9C3"/>
    <w:rsid w:val="54EB36D2"/>
    <w:rsid w:val="54EDE677"/>
    <w:rsid w:val="54FB948E"/>
    <w:rsid w:val="54FDB922"/>
    <w:rsid w:val="55083166"/>
    <w:rsid w:val="550B472F"/>
    <w:rsid w:val="550CA63E"/>
    <w:rsid w:val="550D1F1F"/>
    <w:rsid w:val="550F22D7"/>
    <w:rsid w:val="55118EC2"/>
    <w:rsid w:val="55123E72"/>
    <w:rsid w:val="5512603D"/>
    <w:rsid w:val="55184245"/>
    <w:rsid w:val="55262061"/>
    <w:rsid w:val="5526D999"/>
    <w:rsid w:val="55312954"/>
    <w:rsid w:val="5531305B"/>
    <w:rsid w:val="554AFA80"/>
    <w:rsid w:val="5550CA5F"/>
    <w:rsid w:val="5552B371"/>
    <w:rsid w:val="555647CD"/>
    <w:rsid w:val="5558DF23"/>
    <w:rsid w:val="555ACFCA"/>
    <w:rsid w:val="555BFF84"/>
    <w:rsid w:val="555E44D9"/>
    <w:rsid w:val="555EBC98"/>
    <w:rsid w:val="556BDABC"/>
    <w:rsid w:val="556E19FC"/>
    <w:rsid w:val="557A06A2"/>
    <w:rsid w:val="5581CB4D"/>
    <w:rsid w:val="55867810"/>
    <w:rsid w:val="55899F3E"/>
    <w:rsid w:val="5593332D"/>
    <w:rsid w:val="5597DDF2"/>
    <w:rsid w:val="559B8EFC"/>
    <w:rsid w:val="55CE87BA"/>
    <w:rsid w:val="55D3B16F"/>
    <w:rsid w:val="55D91AEF"/>
    <w:rsid w:val="55DA353F"/>
    <w:rsid w:val="55DF21E5"/>
    <w:rsid w:val="55E2FEE5"/>
    <w:rsid w:val="55FD7EF7"/>
    <w:rsid w:val="55FFB6FC"/>
    <w:rsid w:val="56076B5B"/>
    <w:rsid w:val="5608146D"/>
    <w:rsid w:val="560B1221"/>
    <w:rsid w:val="560CD363"/>
    <w:rsid w:val="561B9E87"/>
    <w:rsid w:val="561E1415"/>
    <w:rsid w:val="562258E7"/>
    <w:rsid w:val="5628CB5F"/>
    <w:rsid w:val="5631D18C"/>
    <w:rsid w:val="5632CD11"/>
    <w:rsid w:val="56353EB9"/>
    <w:rsid w:val="56374F9A"/>
    <w:rsid w:val="5638DDEB"/>
    <w:rsid w:val="563B681D"/>
    <w:rsid w:val="5641F615"/>
    <w:rsid w:val="564B57E4"/>
    <w:rsid w:val="565FBA5D"/>
    <w:rsid w:val="56694BD8"/>
    <w:rsid w:val="566A40CB"/>
    <w:rsid w:val="567583BD"/>
    <w:rsid w:val="567CA6B1"/>
    <w:rsid w:val="56823C7D"/>
    <w:rsid w:val="5686AF81"/>
    <w:rsid w:val="568C3F28"/>
    <w:rsid w:val="56A9AD44"/>
    <w:rsid w:val="56C1BF31"/>
    <w:rsid w:val="56D64FEA"/>
    <w:rsid w:val="56D9DFF5"/>
    <w:rsid w:val="56DB6F99"/>
    <w:rsid w:val="56DBF872"/>
    <w:rsid w:val="571397F5"/>
    <w:rsid w:val="5727A5EB"/>
    <w:rsid w:val="573F9DD1"/>
    <w:rsid w:val="57435CD0"/>
    <w:rsid w:val="5745A86E"/>
    <w:rsid w:val="57499932"/>
    <w:rsid w:val="574A0ACA"/>
    <w:rsid w:val="575370E0"/>
    <w:rsid w:val="577D1356"/>
    <w:rsid w:val="57845EDE"/>
    <w:rsid w:val="5792F22E"/>
    <w:rsid w:val="57999CD6"/>
    <w:rsid w:val="579C4D14"/>
    <w:rsid w:val="57A53177"/>
    <w:rsid w:val="57A72403"/>
    <w:rsid w:val="57B0E99E"/>
    <w:rsid w:val="57BCF880"/>
    <w:rsid w:val="57C4B7B7"/>
    <w:rsid w:val="57C86933"/>
    <w:rsid w:val="57D059CC"/>
    <w:rsid w:val="57D3AFD8"/>
    <w:rsid w:val="57D704BB"/>
    <w:rsid w:val="57EE16AD"/>
    <w:rsid w:val="580875A8"/>
    <w:rsid w:val="580ADE27"/>
    <w:rsid w:val="5817396B"/>
    <w:rsid w:val="581DD904"/>
    <w:rsid w:val="5829BA3B"/>
    <w:rsid w:val="5834E2BD"/>
    <w:rsid w:val="583B6860"/>
    <w:rsid w:val="583C9FA0"/>
    <w:rsid w:val="5848C259"/>
    <w:rsid w:val="584FE724"/>
    <w:rsid w:val="58683089"/>
    <w:rsid w:val="586865FA"/>
    <w:rsid w:val="58721C15"/>
    <w:rsid w:val="58727CBF"/>
    <w:rsid w:val="5888D722"/>
    <w:rsid w:val="58914047"/>
    <w:rsid w:val="589CB69A"/>
    <w:rsid w:val="589FEB51"/>
    <w:rsid w:val="58A3C572"/>
    <w:rsid w:val="58ABFFAE"/>
    <w:rsid w:val="58C9DB11"/>
    <w:rsid w:val="58CAA213"/>
    <w:rsid w:val="58D28D0F"/>
    <w:rsid w:val="58E1F56A"/>
    <w:rsid w:val="58E51BB1"/>
    <w:rsid w:val="58E7E8AB"/>
    <w:rsid w:val="58EB96CA"/>
    <w:rsid w:val="58F25A3B"/>
    <w:rsid w:val="58F86DC9"/>
    <w:rsid w:val="58F96981"/>
    <w:rsid w:val="5902FE95"/>
    <w:rsid w:val="590AE75B"/>
    <w:rsid w:val="590CD43D"/>
    <w:rsid w:val="590CF058"/>
    <w:rsid w:val="592117AA"/>
    <w:rsid w:val="59283391"/>
    <w:rsid w:val="59292399"/>
    <w:rsid w:val="5939B9BB"/>
    <w:rsid w:val="594A86F9"/>
    <w:rsid w:val="5952C077"/>
    <w:rsid w:val="5965BC2A"/>
    <w:rsid w:val="59815298"/>
    <w:rsid w:val="598A5560"/>
    <w:rsid w:val="599F5FF0"/>
    <w:rsid w:val="59AF4E7B"/>
    <w:rsid w:val="59B06D3F"/>
    <w:rsid w:val="59B38DC1"/>
    <w:rsid w:val="59B63B57"/>
    <w:rsid w:val="59B66EE8"/>
    <w:rsid w:val="59B94EAC"/>
    <w:rsid w:val="59BD86F6"/>
    <w:rsid w:val="59C8F7E6"/>
    <w:rsid w:val="59CEB4D7"/>
    <w:rsid w:val="59D9117B"/>
    <w:rsid w:val="59E66548"/>
    <w:rsid w:val="59F2EF3F"/>
    <w:rsid w:val="59F610E5"/>
    <w:rsid w:val="59FEEA9A"/>
    <w:rsid w:val="5A07F4E9"/>
    <w:rsid w:val="5A09E84B"/>
    <w:rsid w:val="5A297FA4"/>
    <w:rsid w:val="5A2D6B59"/>
    <w:rsid w:val="5A32072A"/>
    <w:rsid w:val="5A55FFB2"/>
    <w:rsid w:val="5A68F8FB"/>
    <w:rsid w:val="5A72DC75"/>
    <w:rsid w:val="5A7E75CC"/>
    <w:rsid w:val="5A868889"/>
    <w:rsid w:val="5AB681F6"/>
    <w:rsid w:val="5ABEE5A5"/>
    <w:rsid w:val="5AD8E8EC"/>
    <w:rsid w:val="5ADF558D"/>
    <w:rsid w:val="5AF07399"/>
    <w:rsid w:val="5AFABA28"/>
    <w:rsid w:val="5B009E90"/>
    <w:rsid w:val="5B06462B"/>
    <w:rsid w:val="5B2292D3"/>
    <w:rsid w:val="5B23CBFE"/>
    <w:rsid w:val="5B2C5DDD"/>
    <w:rsid w:val="5B348C46"/>
    <w:rsid w:val="5B3496B1"/>
    <w:rsid w:val="5B406548"/>
    <w:rsid w:val="5B5E6FCE"/>
    <w:rsid w:val="5B606108"/>
    <w:rsid w:val="5B69DA67"/>
    <w:rsid w:val="5B6B40B3"/>
    <w:rsid w:val="5B6BC53B"/>
    <w:rsid w:val="5B70BE7A"/>
    <w:rsid w:val="5B7171B1"/>
    <w:rsid w:val="5B7D065E"/>
    <w:rsid w:val="5B80C7B4"/>
    <w:rsid w:val="5B8BBEBD"/>
    <w:rsid w:val="5B8CE9A1"/>
    <w:rsid w:val="5B9085D2"/>
    <w:rsid w:val="5B92DF0D"/>
    <w:rsid w:val="5BA02B5A"/>
    <w:rsid w:val="5BA233E2"/>
    <w:rsid w:val="5BB13645"/>
    <w:rsid w:val="5BD2976A"/>
    <w:rsid w:val="5BDD28AF"/>
    <w:rsid w:val="5BE8D264"/>
    <w:rsid w:val="5BF04C0E"/>
    <w:rsid w:val="5BF3EDBD"/>
    <w:rsid w:val="5BF8A690"/>
    <w:rsid w:val="5C02BD73"/>
    <w:rsid w:val="5C078CEB"/>
    <w:rsid w:val="5C0AE2D4"/>
    <w:rsid w:val="5C0DCBB4"/>
    <w:rsid w:val="5C149241"/>
    <w:rsid w:val="5C1566E1"/>
    <w:rsid w:val="5C19EF16"/>
    <w:rsid w:val="5C19F2EE"/>
    <w:rsid w:val="5C1B7DD9"/>
    <w:rsid w:val="5C264685"/>
    <w:rsid w:val="5C265106"/>
    <w:rsid w:val="5C269A9C"/>
    <w:rsid w:val="5C33759C"/>
    <w:rsid w:val="5C33D1F3"/>
    <w:rsid w:val="5C3E87C3"/>
    <w:rsid w:val="5C427D92"/>
    <w:rsid w:val="5C44122B"/>
    <w:rsid w:val="5C484ED2"/>
    <w:rsid w:val="5C5152C7"/>
    <w:rsid w:val="5C559C7E"/>
    <w:rsid w:val="5C5B399C"/>
    <w:rsid w:val="5C626116"/>
    <w:rsid w:val="5C63F2C9"/>
    <w:rsid w:val="5C6590F8"/>
    <w:rsid w:val="5C788ADA"/>
    <w:rsid w:val="5C806628"/>
    <w:rsid w:val="5C897F8E"/>
    <w:rsid w:val="5C99E0FA"/>
    <w:rsid w:val="5CAB96AE"/>
    <w:rsid w:val="5CB38160"/>
    <w:rsid w:val="5CC4E9AE"/>
    <w:rsid w:val="5CD310DC"/>
    <w:rsid w:val="5CDA4985"/>
    <w:rsid w:val="5CE6EC4D"/>
    <w:rsid w:val="5CEFA6D3"/>
    <w:rsid w:val="5CF47704"/>
    <w:rsid w:val="5CF5A06F"/>
    <w:rsid w:val="5CFFE043"/>
    <w:rsid w:val="5D063BBB"/>
    <w:rsid w:val="5D08E62F"/>
    <w:rsid w:val="5D0C09FE"/>
    <w:rsid w:val="5D19F5C5"/>
    <w:rsid w:val="5D1FE6CE"/>
    <w:rsid w:val="5D25BEE2"/>
    <w:rsid w:val="5D2D11B5"/>
    <w:rsid w:val="5D2ED947"/>
    <w:rsid w:val="5D333F36"/>
    <w:rsid w:val="5D33F512"/>
    <w:rsid w:val="5D37365E"/>
    <w:rsid w:val="5D3D6B68"/>
    <w:rsid w:val="5D409915"/>
    <w:rsid w:val="5D429A56"/>
    <w:rsid w:val="5D4FA642"/>
    <w:rsid w:val="5D57CA00"/>
    <w:rsid w:val="5D653807"/>
    <w:rsid w:val="5D761D66"/>
    <w:rsid w:val="5D7B25CB"/>
    <w:rsid w:val="5D8080F4"/>
    <w:rsid w:val="5D853820"/>
    <w:rsid w:val="5D889C22"/>
    <w:rsid w:val="5D898ADE"/>
    <w:rsid w:val="5D8E297B"/>
    <w:rsid w:val="5D8FA06C"/>
    <w:rsid w:val="5D913FC8"/>
    <w:rsid w:val="5D973EA1"/>
    <w:rsid w:val="5D9AABA8"/>
    <w:rsid w:val="5D9B66A4"/>
    <w:rsid w:val="5DB538CD"/>
    <w:rsid w:val="5DC4CE8C"/>
    <w:rsid w:val="5DD7AD07"/>
    <w:rsid w:val="5DDD9699"/>
    <w:rsid w:val="5DDF875B"/>
    <w:rsid w:val="5DE1C45E"/>
    <w:rsid w:val="5DE6EECE"/>
    <w:rsid w:val="5DE82062"/>
    <w:rsid w:val="5DEB1C98"/>
    <w:rsid w:val="5DEFDAD4"/>
    <w:rsid w:val="5E05DB4B"/>
    <w:rsid w:val="5E09BCBF"/>
    <w:rsid w:val="5E0CCDE3"/>
    <w:rsid w:val="5E0EF5E5"/>
    <w:rsid w:val="5E12CBBE"/>
    <w:rsid w:val="5E134A86"/>
    <w:rsid w:val="5E16BC13"/>
    <w:rsid w:val="5E1819D6"/>
    <w:rsid w:val="5E29564C"/>
    <w:rsid w:val="5E2A220C"/>
    <w:rsid w:val="5E387675"/>
    <w:rsid w:val="5E548A56"/>
    <w:rsid w:val="5E590246"/>
    <w:rsid w:val="5E593E23"/>
    <w:rsid w:val="5E5E0CEF"/>
    <w:rsid w:val="5E6FAA68"/>
    <w:rsid w:val="5E72D97E"/>
    <w:rsid w:val="5E7FA5FD"/>
    <w:rsid w:val="5E8816CD"/>
    <w:rsid w:val="5E88A9F6"/>
    <w:rsid w:val="5E891F8A"/>
    <w:rsid w:val="5E98BCEF"/>
    <w:rsid w:val="5EA0D12F"/>
    <w:rsid w:val="5EA8E63E"/>
    <w:rsid w:val="5EAFEDBD"/>
    <w:rsid w:val="5EB41161"/>
    <w:rsid w:val="5EB4A0D4"/>
    <w:rsid w:val="5EB73E6A"/>
    <w:rsid w:val="5EB8010B"/>
    <w:rsid w:val="5EBC3783"/>
    <w:rsid w:val="5EC5AA58"/>
    <w:rsid w:val="5ECC9021"/>
    <w:rsid w:val="5ED032C9"/>
    <w:rsid w:val="5EE4BF09"/>
    <w:rsid w:val="5EEF3179"/>
    <w:rsid w:val="5EF3B902"/>
    <w:rsid w:val="5EFA0426"/>
    <w:rsid w:val="5EFBCBD1"/>
    <w:rsid w:val="5F0B92CC"/>
    <w:rsid w:val="5F114B9E"/>
    <w:rsid w:val="5F1C02C0"/>
    <w:rsid w:val="5F1DEDBF"/>
    <w:rsid w:val="5F1EA423"/>
    <w:rsid w:val="5F1EAEF2"/>
    <w:rsid w:val="5F2D85B1"/>
    <w:rsid w:val="5F2D8897"/>
    <w:rsid w:val="5F3289B7"/>
    <w:rsid w:val="5F334F0D"/>
    <w:rsid w:val="5F343963"/>
    <w:rsid w:val="5F40481F"/>
    <w:rsid w:val="5F4307BF"/>
    <w:rsid w:val="5F7787CA"/>
    <w:rsid w:val="5F859F31"/>
    <w:rsid w:val="5F862171"/>
    <w:rsid w:val="5F98C3D2"/>
    <w:rsid w:val="5FA85DC5"/>
    <w:rsid w:val="5FBA7A05"/>
    <w:rsid w:val="5FCBFB56"/>
    <w:rsid w:val="5FCFC6F2"/>
    <w:rsid w:val="5FD381B9"/>
    <w:rsid w:val="5FD7F77A"/>
    <w:rsid w:val="5FDD22EE"/>
    <w:rsid w:val="5FDE7E68"/>
    <w:rsid w:val="5FE21A96"/>
    <w:rsid w:val="5FE37E19"/>
    <w:rsid w:val="5FE52D2D"/>
    <w:rsid w:val="5FE7144A"/>
    <w:rsid w:val="5FEC9D0F"/>
    <w:rsid w:val="5FF093CD"/>
    <w:rsid w:val="5FF9F9DD"/>
    <w:rsid w:val="5FFD4E14"/>
    <w:rsid w:val="60215C2E"/>
    <w:rsid w:val="60302F83"/>
    <w:rsid w:val="604577AB"/>
    <w:rsid w:val="6045F3F9"/>
    <w:rsid w:val="6046D7A1"/>
    <w:rsid w:val="604F5652"/>
    <w:rsid w:val="605E88A5"/>
    <w:rsid w:val="607325E6"/>
    <w:rsid w:val="6076C05E"/>
    <w:rsid w:val="60879192"/>
    <w:rsid w:val="609C3B49"/>
    <w:rsid w:val="60A1E187"/>
    <w:rsid w:val="60A7C21B"/>
    <w:rsid w:val="60AA15AD"/>
    <w:rsid w:val="60AACBD1"/>
    <w:rsid w:val="60BA0C38"/>
    <w:rsid w:val="60BC5234"/>
    <w:rsid w:val="60BDED00"/>
    <w:rsid w:val="60C038F6"/>
    <w:rsid w:val="60CBE42D"/>
    <w:rsid w:val="60D0C464"/>
    <w:rsid w:val="60D52FB4"/>
    <w:rsid w:val="60DB3FA9"/>
    <w:rsid w:val="60F2C5D5"/>
    <w:rsid w:val="60F75B00"/>
    <w:rsid w:val="60FCD5BD"/>
    <w:rsid w:val="6104CABC"/>
    <w:rsid w:val="61098E1F"/>
    <w:rsid w:val="6109923C"/>
    <w:rsid w:val="611400B8"/>
    <w:rsid w:val="6117093C"/>
    <w:rsid w:val="61176AAC"/>
    <w:rsid w:val="612A1234"/>
    <w:rsid w:val="6135C88B"/>
    <w:rsid w:val="61378B35"/>
    <w:rsid w:val="6140319E"/>
    <w:rsid w:val="614C88DD"/>
    <w:rsid w:val="615D6BCE"/>
    <w:rsid w:val="61619B7D"/>
    <w:rsid w:val="616B7AC6"/>
    <w:rsid w:val="6171C7F9"/>
    <w:rsid w:val="617A4EAA"/>
    <w:rsid w:val="6183AFEE"/>
    <w:rsid w:val="61869C81"/>
    <w:rsid w:val="6187C080"/>
    <w:rsid w:val="619ACF94"/>
    <w:rsid w:val="61A569BF"/>
    <w:rsid w:val="61AF220C"/>
    <w:rsid w:val="61B8330F"/>
    <w:rsid w:val="61BB2AAE"/>
    <w:rsid w:val="61C1755B"/>
    <w:rsid w:val="61DA339E"/>
    <w:rsid w:val="61E2C956"/>
    <w:rsid w:val="620040FF"/>
    <w:rsid w:val="6217EF65"/>
    <w:rsid w:val="6228882C"/>
    <w:rsid w:val="622993AB"/>
    <w:rsid w:val="623F5266"/>
    <w:rsid w:val="62535424"/>
    <w:rsid w:val="62556E07"/>
    <w:rsid w:val="62623EC9"/>
    <w:rsid w:val="6265D818"/>
    <w:rsid w:val="6271A268"/>
    <w:rsid w:val="627785CC"/>
    <w:rsid w:val="6278C931"/>
    <w:rsid w:val="627A9AC2"/>
    <w:rsid w:val="628A65A9"/>
    <w:rsid w:val="629B74C9"/>
    <w:rsid w:val="62A1ACE9"/>
    <w:rsid w:val="62A53EE2"/>
    <w:rsid w:val="62AE0025"/>
    <w:rsid w:val="62B5B522"/>
    <w:rsid w:val="62BA5169"/>
    <w:rsid w:val="62BAB0BA"/>
    <w:rsid w:val="62C4FD0B"/>
    <w:rsid w:val="62D5F2BA"/>
    <w:rsid w:val="62E6A019"/>
    <w:rsid w:val="62EFBC8B"/>
    <w:rsid w:val="62F9B92E"/>
    <w:rsid w:val="6305F94D"/>
    <w:rsid w:val="6308D0AB"/>
    <w:rsid w:val="631093F4"/>
    <w:rsid w:val="63115710"/>
    <w:rsid w:val="6312FCD3"/>
    <w:rsid w:val="631C8BF2"/>
    <w:rsid w:val="631D00FC"/>
    <w:rsid w:val="6321AFEE"/>
    <w:rsid w:val="63273E18"/>
    <w:rsid w:val="63293F6F"/>
    <w:rsid w:val="632DC35F"/>
    <w:rsid w:val="632FA01C"/>
    <w:rsid w:val="633D82C8"/>
    <w:rsid w:val="634295AF"/>
    <w:rsid w:val="63447BCE"/>
    <w:rsid w:val="6345BBEA"/>
    <w:rsid w:val="63484175"/>
    <w:rsid w:val="634A0B74"/>
    <w:rsid w:val="636EC374"/>
    <w:rsid w:val="6370BA9A"/>
    <w:rsid w:val="638503A5"/>
    <w:rsid w:val="63882674"/>
    <w:rsid w:val="638DE34E"/>
    <w:rsid w:val="63A14DB5"/>
    <w:rsid w:val="63A85252"/>
    <w:rsid w:val="63AC2C0E"/>
    <w:rsid w:val="63B2BF47"/>
    <w:rsid w:val="63B7D200"/>
    <w:rsid w:val="63B97EB5"/>
    <w:rsid w:val="63C82FD8"/>
    <w:rsid w:val="63C8DE72"/>
    <w:rsid w:val="63CEBDB6"/>
    <w:rsid w:val="63D28825"/>
    <w:rsid w:val="63E91C84"/>
    <w:rsid w:val="63EAA30C"/>
    <w:rsid w:val="63EAA676"/>
    <w:rsid w:val="63EFF4B7"/>
    <w:rsid w:val="6412758F"/>
    <w:rsid w:val="64146338"/>
    <w:rsid w:val="64230681"/>
    <w:rsid w:val="64364F2E"/>
    <w:rsid w:val="6438CCE6"/>
    <w:rsid w:val="643F7921"/>
    <w:rsid w:val="6449FC4E"/>
    <w:rsid w:val="6457A2B9"/>
    <w:rsid w:val="645FBE95"/>
    <w:rsid w:val="646EC65C"/>
    <w:rsid w:val="6470E1DB"/>
    <w:rsid w:val="64722F17"/>
    <w:rsid w:val="6478C272"/>
    <w:rsid w:val="647A4654"/>
    <w:rsid w:val="64815A71"/>
    <w:rsid w:val="6481AD5C"/>
    <w:rsid w:val="64872E9E"/>
    <w:rsid w:val="64897AFA"/>
    <w:rsid w:val="648CDCDB"/>
    <w:rsid w:val="648EB4EA"/>
    <w:rsid w:val="64910126"/>
    <w:rsid w:val="649304A7"/>
    <w:rsid w:val="64AB5B37"/>
    <w:rsid w:val="64C307AD"/>
    <w:rsid w:val="64C3BBD6"/>
    <w:rsid w:val="64C6F006"/>
    <w:rsid w:val="64C91779"/>
    <w:rsid w:val="64C9FD66"/>
    <w:rsid w:val="64D577FA"/>
    <w:rsid w:val="64DBBE9C"/>
    <w:rsid w:val="64DEF84B"/>
    <w:rsid w:val="64DF986D"/>
    <w:rsid w:val="64E04DAD"/>
    <w:rsid w:val="64E0A2EA"/>
    <w:rsid w:val="650480CB"/>
    <w:rsid w:val="650858B6"/>
    <w:rsid w:val="6518754F"/>
    <w:rsid w:val="6518BC91"/>
    <w:rsid w:val="65239601"/>
    <w:rsid w:val="6523B5E6"/>
    <w:rsid w:val="652C8110"/>
    <w:rsid w:val="65309B06"/>
    <w:rsid w:val="65357768"/>
    <w:rsid w:val="65393E1E"/>
    <w:rsid w:val="65432035"/>
    <w:rsid w:val="6545F346"/>
    <w:rsid w:val="65464F04"/>
    <w:rsid w:val="65598D54"/>
    <w:rsid w:val="655C8E7B"/>
    <w:rsid w:val="656B29B7"/>
    <w:rsid w:val="65757017"/>
    <w:rsid w:val="65766786"/>
    <w:rsid w:val="657D5F36"/>
    <w:rsid w:val="657DD288"/>
    <w:rsid w:val="6584AB01"/>
    <w:rsid w:val="658A2A13"/>
    <w:rsid w:val="658E9E86"/>
    <w:rsid w:val="65920FA6"/>
    <w:rsid w:val="659B228E"/>
    <w:rsid w:val="65A81F9C"/>
    <w:rsid w:val="65AA849B"/>
    <w:rsid w:val="65ACAC94"/>
    <w:rsid w:val="65ADEF64"/>
    <w:rsid w:val="65AF017C"/>
    <w:rsid w:val="65B9EE29"/>
    <w:rsid w:val="65D03001"/>
    <w:rsid w:val="65DD116F"/>
    <w:rsid w:val="65F14041"/>
    <w:rsid w:val="65F1FF3A"/>
    <w:rsid w:val="65F752A7"/>
    <w:rsid w:val="65FB1217"/>
    <w:rsid w:val="66073E5A"/>
    <w:rsid w:val="660B34E8"/>
    <w:rsid w:val="66107797"/>
    <w:rsid w:val="66139087"/>
    <w:rsid w:val="66162142"/>
    <w:rsid w:val="661778B2"/>
    <w:rsid w:val="66198543"/>
    <w:rsid w:val="662A8FC2"/>
    <w:rsid w:val="6631FE25"/>
    <w:rsid w:val="6639C372"/>
    <w:rsid w:val="663CFC95"/>
    <w:rsid w:val="6644D07D"/>
    <w:rsid w:val="664F0C68"/>
    <w:rsid w:val="6650E86F"/>
    <w:rsid w:val="6652BC32"/>
    <w:rsid w:val="665AF2A2"/>
    <w:rsid w:val="665D200F"/>
    <w:rsid w:val="66660012"/>
    <w:rsid w:val="66721704"/>
    <w:rsid w:val="667D7BF3"/>
    <w:rsid w:val="6684A43C"/>
    <w:rsid w:val="669052D4"/>
    <w:rsid w:val="669114AA"/>
    <w:rsid w:val="669459E1"/>
    <w:rsid w:val="669C32FB"/>
    <w:rsid w:val="669DCB86"/>
    <w:rsid w:val="669E3FA5"/>
    <w:rsid w:val="66ACB637"/>
    <w:rsid w:val="66B98368"/>
    <w:rsid w:val="66CAD205"/>
    <w:rsid w:val="66D52591"/>
    <w:rsid w:val="66DF8C69"/>
    <w:rsid w:val="66E9BF27"/>
    <w:rsid w:val="66EB7075"/>
    <w:rsid w:val="6705DF35"/>
    <w:rsid w:val="670BAF82"/>
    <w:rsid w:val="67144CB2"/>
    <w:rsid w:val="671A3EBA"/>
    <w:rsid w:val="67224735"/>
    <w:rsid w:val="67288D9A"/>
    <w:rsid w:val="673090D8"/>
    <w:rsid w:val="67380A9B"/>
    <w:rsid w:val="67463CE2"/>
    <w:rsid w:val="6759E6CE"/>
    <w:rsid w:val="675DDCAD"/>
    <w:rsid w:val="675EF745"/>
    <w:rsid w:val="6766396D"/>
    <w:rsid w:val="67673442"/>
    <w:rsid w:val="677E3B89"/>
    <w:rsid w:val="67831393"/>
    <w:rsid w:val="67849F01"/>
    <w:rsid w:val="679156B4"/>
    <w:rsid w:val="67958E2A"/>
    <w:rsid w:val="6799DB3A"/>
    <w:rsid w:val="679DBBCB"/>
    <w:rsid w:val="67A7C563"/>
    <w:rsid w:val="67C00F23"/>
    <w:rsid w:val="67CE6DCD"/>
    <w:rsid w:val="67D764D3"/>
    <w:rsid w:val="67DF993A"/>
    <w:rsid w:val="67ECE459"/>
    <w:rsid w:val="67FD5278"/>
    <w:rsid w:val="67FFD723"/>
    <w:rsid w:val="68082C8E"/>
    <w:rsid w:val="680DC256"/>
    <w:rsid w:val="681AB6F6"/>
    <w:rsid w:val="681BCF8B"/>
    <w:rsid w:val="681D3CDF"/>
    <w:rsid w:val="681E4896"/>
    <w:rsid w:val="682182EB"/>
    <w:rsid w:val="6821FCAC"/>
    <w:rsid w:val="682774B8"/>
    <w:rsid w:val="682D2D60"/>
    <w:rsid w:val="68328822"/>
    <w:rsid w:val="68418728"/>
    <w:rsid w:val="684EB278"/>
    <w:rsid w:val="68560DBC"/>
    <w:rsid w:val="68568222"/>
    <w:rsid w:val="685E1D68"/>
    <w:rsid w:val="68642C95"/>
    <w:rsid w:val="6873EBC6"/>
    <w:rsid w:val="6875B8C2"/>
    <w:rsid w:val="688667C5"/>
    <w:rsid w:val="688DF2E9"/>
    <w:rsid w:val="6897BCBA"/>
    <w:rsid w:val="689A7F32"/>
    <w:rsid w:val="68A00880"/>
    <w:rsid w:val="68A289BF"/>
    <w:rsid w:val="68AB9FD0"/>
    <w:rsid w:val="68AD7C4A"/>
    <w:rsid w:val="68AE6F22"/>
    <w:rsid w:val="68AE8A1B"/>
    <w:rsid w:val="68AF5700"/>
    <w:rsid w:val="68B0D087"/>
    <w:rsid w:val="68B80D29"/>
    <w:rsid w:val="68BA9E6C"/>
    <w:rsid w:val="68C95AB9"/>
    <w:rsid w:val="68CBE326"/>
    <w:rsid w:val="68DA1B87"/>
    <w:rsid w:val="68DFD4A5"/>
    <w:rsid w:val="68E3C01C"/>
    <w:rsid w:val="68F93B6C"/>
    <w:rsid w:val="68FA5F4B"/>
    <w:rsid w:val="69021C4A"/>
    <w:rsid w:val="6903694A"/>
    <w:rsid w:val="69094546"/>
    <w:rsid w:val="6910EF60"/>
    <w:rsid w:val="69130097"/>
    <w:rsid w:val="69157CF8"/>
    <w:rsid w:val="6919509E"/>
    <w:rsid w:val="691BAB9A"/>
    <w:rsid w:val="691BCEAE"/>
    <w:rsid w:val="691CDC43"/>
    <w:rsid w:val="6928E103"/>
    <w:rsid w:val="692A57F4"/>
    <w:rsid w:val="693C96C3"/>
    <w:rsid w:val="694383A3"/>
    <w:rsid w:val="694637C8"/>
    <w:rsid w:val="695315DF"/>
    <w:rsid w:val="695613B5"/>
    <w:rsid w:val="69564A03"/>
    <w:rsid w:val="69583AAA"/>
    <w:rsid w:val="695E6A52"/>
    <w:rsid w:val="69602E75"/>
    <w:rsid w:val="696BFAD6"/>
    <w:rsid w:val="69B0A4E2"/>
    <w:rsid w:val="69CB682A"/>
    <w:rsid w:val="69CD66C5"/>
    <w:rsid w:val="69CDB1E1"/>
    <w:rsid w:val="69D80B33"/>
    <w:rsid w:val="69E11164"/>
    <w:rsid w:val="69F7AD71"/>
    <w:rsid w:val="69FA259C"/>
    <w:rsid w:val="6A0820CD"/>
    <w:rsid w:val="6A0E718C"/>
    <w:rsid w:val="6A1253BD"/>
    <w:rsid w:val="6A1EF927"/>
    <w:rsid w:val="6A2CA6B5"/>
    <w:rsid w:val="6A2D7830"/>
    <w:rsid w:val="6A3BEBFB"/>
    <w:rsid w:val="6A3E8E2C"/>
    <w:rsid w:val="6A5653B7"/>
    <w:rsid w:val="6A655F72"/>
    <w:rsid w:val="6A6E24F9"/>
    <w:rsid w:val="6A74742E"/>
    <w:rsid w:val="6A803CBB"/>
    <w:rsid w:val="6A981E0E"/>
    <w:rsid w:val="6AA03D6A"/>
    <w:rsid w:val="6AA69F35"/>
    <w:rsid w:val="6AA9AD06"/>
    <w:rsid w:val="6AAEA5FD"/>
    <w:rsid w:val="6AB51C86"/>
    <w:rsid w:val="6AB816BC"/>
    <w:rsid w:val="6ABA0A1C"/>
    <w:rsid w:val="6ABF0667"/>
    <w:rsid w:val="6AC2D616"/>
    <w:rsid w:val="6ADBB690"/>
    <w:rsid w:val="6ADD62F2"/>
    <w:rsid w:val="6B0B327F"/>
    <w:rsid w:val="6B0F7196"/>
    <w:rsid w:val="6B160754"/>
    <w:rsid w:val="6B1779BE"/>
    <w:rsid w:val="6B1A3617"/>
    <w:rsid w:val="6B245E03"/>
    <w:rsid w:val="6B2C227A"/>
    <w:rsid w:val="6B31B571"/>
    <w:rsid w:val="6B3C627E"/>
    <w:rsid w:val="6B47D5BE"/>
    <w:rsid w:val="6B486B71"/>
    <w:rsid w:val="6B4E27B8"/>
    <w:rsid w:val="6B4EE393"/>
    <w:rsid w:val="6B5CF0C1"/>
    <w:rsid w:val="6B6156E6"/>
    <w:rsid w:val="6B65FEBD"/>
    <w:rsid w:val="6B6F4249"/>
    <w:rsid w:val="6B7C5946"/>
    <w:rsid w:val="6B809E9D"/>
    <w:rsid w:val="6B81856A"/>
    <w:rsid w:val="6B8621B7"/>
    <w:rsid w:val="6B87BB66"/>
    <w:rsid w:val="6B88C5BD"/>
    <w:rsid w:val="6B92C74C"/>
    <w:rsid w:val="6BA2A4C8"/>
    <w:rsid w:val="6BA59ECF"/>
    <w:rsid w:val="6BAA70CB"/>
    <w:rsid w:val="6BAFA091"/>
    <w:rsid w:val="6BB18084"/>
    <w:rsid w:val="6BC1843F"/>
    <w:rsid w:val="6BC807F1"/>
    <w:rsid w:val="6BEB91DD"/>
    <w:rsid w:val="6BEBA1D5"/>
    <w:rsid w:val="6BF444A5"/>
    <w:rsid w:val="6BF6E3E1"/>
    <w:rsid w:val="6C06F8A5"/>
    <w:rsid w:val="6C147DC4"/>
    <w:rsid w:val="6C2263DE"/>
    <w:rsid w:val="6C23E081"/>
    <w:rsid w:val="6C43A047"/>
    <w:rsid w:val="6C43EF1F"/>
    <w:rsid w:val="6C46D09D"/>
    <w:rsid w:val="6C5C6FD8"/>
    <w:rsid w:val="6C5E5E86"/>
    <w:rsid w:val="6C60616F"/>
    <w:rsid w:val="6C61D6A0"/>
    <w:rsid w:val="6C6236DA"/>
    <w:rsid w:val="6C699434"/>
    <w:rsid w:val="6C79EFD5"/>
    <w:rsid w:val="6C7DD951"/>
    <w:rsid w:val="6C8849F3"/>
    <w:rsid w:val="6CA494C2"/>
    <w:rsid w:val="6CAB4821"/>
    <w:rsid w:val="6CAD2781"/>
    <w:rsid w:val="6CAEEE81"/>
    <w:rsid w:val="6CB697CF"/>
    <w:rsid w:val="6CBB324C"/>
    <w:rsid w:val="6CD8B7DF"/>
    <w:rsid w:val="6CDC4A4D"/>
    <w:rsid w:val="6CE11C48"/>
    <w:rsid w:val="6CE15888"/>
    <w:rsid w:val="6CED6E98"/>
    <w:rsid w:val="6CEFFD56"/>
    <w:rsid w:val="6CF08996"/>
    <w:rsid w:val="6CFE274C"/>
    <w:rsid w:val="6D1A44E0"/>
    <w:rsid w:val="6D1E48CE"/>
    <w:rsid w:val="6D203C26"/>
    <w:rsid w:val="6D23ED04"/>
    <w:rsid w:val="6D27F4EA"/>
    <w:rsid w:val="6D2ECD0E"/>
    <w:rsid w:val="6D371EB3"/>
    <w:rsid w:val="6D376598"/>
    <w:rsid w:val="6D402F97"/>
    <w:rsid w:val="6D474EBA"/>
    <w:rsid w:val="6D5E96ED"/>
    <w:rsid w:val="6D658B8F"/>
    <w:rsid w:val="6D6AEFBC"/>
    <w:rsid w:val="6D737CF5"/>
    <w:rsid w:val="6D7775DD"/>
    <w:rsid w:val="6D78D829"/>
    <w:rsid w:val="6D834351"/>
    <w:rsid w:val="6D83BD51"/>
    <w:rsid w:val="6D8687AB"/>
    <w:rsid w:val="6D87A57A"/>
    <w:rsid w:val="6D8B2294"/>
    <w:rsid w:val="6D92E73D"/>
    <w:rsid w:val="6D980909"/>
    <w:rsid w:val="6D9FAD33"/>
    <w:rsid w:val="6DA069E9"/>
    <w:rsid w:val="6DA45CF5"/>
    <w:rsid w:val="6DAB9E3B"/>
    <w:rsid w:val="6DBCD5A7"/>
    <w:rsid w:val="6DC01D1F"/>
    <w:rsid w:val="6DC09CB7"/>
    <w:rsid w:val="6DC21C03"/>
    <w:rsid w:val="6DC2F6D2"/>
    <w:rsid w:val="6DC48430"/>
    <w:rsid w:val="6DC5692A"/>
    <w:rsid w:val="6DCF7C31"/>
    <w:rsid w:val="6DD22164"/>
    <w:rsid w:val="6DD449F8"/>
    <w:rsid w:val="6DD88343"/>
    <w:rsid w:val="6DDC32D2"/>
    <w:rsid w:val="6DDE5136"/>
    <w:rsid w:val="6DDFAE7C"/>
    <w:rsid w:val="6DE2491C"/>
    <w:rsid w:val="6DE5E618"/>
    <w:rsid w:val="6DE62014"/>
    <w:rsid w:val="6DF01C5C"/>
    <w:rsid w:val="6DF42E97"/>
    <w:rsid w:val="6DF8F346"/>
    <w:rsid w:val="6DFA4C53"/>
    <w:rsid w:val="6DFE1C0C"/>
    <w:rsid w:val="6E061E36"/>
    <w:rsid w:val="6E0C1D3F"/>
    <w:rsid w:val="6E13C812"/>
    <w:rsid w:val="6E15E2D3"/>
    <w:rsid w:val="6E1DB7BC"/>
    <w:rsid w:val="6E246C45"/>
    <w:rsid w:val="6E29805E"/>
    <w:rsid w:val="6E40C418"/>
    <w:rsid w:val="6E5E05C4"/>
    <w:rsid w:val="6E6342A7"/>
    <w:rsid w:val="6E6A0452"/>
    <w:rsid w:val="6E7EDF5E"/>
    <w:rsid w:val="6E928AC3"/>
    <w:rsid w:val="6E9CEBC0"/>
    <w:rsid w:val="6EA256A2"/>
    <w:rsid w:val="6EA465F5"/>
    <w:rsid w:val="6EA9D7D6"/>
    <w:rsid w:val="6EAACBD3"/>
    <w:rsid w:val="6EADEF97"/>
    <w:rsid w:val="6EB5A1BE"/>
    <w:rsid w:val="6EB87A05"/>
    <w:rsid w:val="6EBCD4DF"/>
    <w:rsid w:val="6ECAAC15"/>
    <w:rsid w:val="6ED73384"/>
    <w:rsid w:val="6EE458AE"/>
    <w:rsid w:val="6EF14211"/>
    <w:rsid w:val="6EF7682A"/>
    <w:rsid w:val="6EFC8998"/>
    <w:rsid w:val="6EFF139B"/>
    <w:rsid w:val="6F0226D3"/>
    <w:rsid w:val="6F0AB5C0"/>
    <w:rsid w:val="6F0CDBAD"/>
    <w:rsid w:val="6F1517F0"/>
    <w:rsid w:val="6F1911CB"/>
    <w:rsid w:val="6F2D5E3A"/>
    <w:rsid w:val="6F2D678F"/>
    <w:rsid w:val="6F2FAC1D"/>
    <w:rsid w:val="6F303A69"/>
    <w:rsid w:val="6F336B46"/>
    <w:rsid w:val="6F52BBA1"/>
    <w:rsid w:val="6F64F972"/>
    <w:rsid w:val="6F7F8439"/>
    <w:rsid w:val="6F88AE85"/>
    <w:rsid w:val="6F8FE268"/>
    <w:rsid w:val="6F927F1D"/>
    <w:rsid w:val="6FAB2C51"/>
    <w:rsid w:val="6FAC6C7F"/>
    <w:rsid w:val="6FB2D05C"/>
    <w:rsid w:val="6FB7F551"/>
    <w:rsid w:val="6FCDD64F"/>
    <w:rsid w:val="6FD19D97"/>
    <w:rsid w:val="6FD3D2F4"/>
    <w:rsid w:val="6FDB6939"/>
    <w:rsid w:val="6FDF4656"/>
    <w:rsid w:val="6FE65831"/>
    <w:rsid w:val="6FEB989D"/>
    <w:rsid w:val="6FF4F99E"/>
    <w:rsid w:val="7005C097"/>
    <w:rsid w:val="700715F9"/>
    <w:rsid w:val="7012CF1C"/>
    <w:rsid w:val="7016C98D"/>
    <w:rsid w:val="70192E8A"/>
    <w:rsid w:val="7033CBEA"/>
    <w:rsid w:val="70365108"/>
    <w:rsid w:val="703A862D"/>
    <w:rsid w:val="703B49E0"/>
    <w:rsid w:val="70416961"/>
    <w:rsid w:val="704241D6"/>
    <w:rsid w:val="7048C4E1"/>
    <w:rsid w:val="704E6A3E"/>
    <w:rsid w:val="7053B0D6"/>
    <w:rsid w:val="70643E95"/>
    <w:rsid w:val="706F77D8"/>
    <w:rsid w:val="7075BA3C"/>
    <w:rsid w:val="70853BF7"/>
    <w:rsid w:val="70893462"/>
    <w:rsid w:val="708E3E38"/>
    <w:rsid w:val="708EB9AD"/>
    <w:rsid w:val="708EEDB8"/>
    <w:rsid w:val="709313BC"/>
    <w:rsid w:val="70A2483A"/>
    <w:rsid w:val="70AA964A"/>
    <w:rsid w:val="70C442CB"/>
    <w:rsid w:val="70C659D2"/>
    <w:rsid w:val="70C6DAF1"/>
    <w:rsid w:val="70E4D036"/>
    <w:rsid w:val="70F46DC0"/>
    <w:rsid w:val="70F81307"/>
    <w:rsid w:val="70FF0F21"/>
    <w:rsid w:val="711FC421"/>
    <w:rsid w:val="7129EDB0"/>
    <w:rsid w:val="713106E7"/>
    <w:rsid w:val="71352720"/>
    <w:rsid w:val="7137FDEE"/>
    <w:rsid w:val="713B99F7"/>
    <w:rsid w:val="714BA50A"/>
    <w:rsid w:val="714F55BA"/>
    <w:rsid w:val="714FDE97"/>
    <w:rsid w:val="715A8785"/>
    <w:rsid w:val="7167EB1E"/>
    <w:rsid w:val="718C1129"/>
    <w:rsid w:val="718CFBDC"/>
    <w:rsid w:val="719266CF"/>
    <w:rsid w:val="719AFB4B"/>
    <w:rsid w:val="71B0132D"/>
    <w:rsid w:val="71B288F2"/>
    <w:rsid w:val="71C346FA"/>
    <w:rsid w:val="71D2B635"/>
    <w:rsid w:val="71D4C17F"/>
    <w:rsid w:val="71D4E989"/>
    <w:rsid w:val="71D4F886"/>
    <w:rsid w:val="71E2D550"/>
    <w:rsid w:val="71EFB7B5"/>
    <w:rsid w:val="71F938B9"/>
    <w:rsid w:val="72037C0A"/>
    <w:rsid w:val="7214FACD"/>
    <w:rsid w:val="7215FE9A"/>
    <w:rsid w:val="721D9290"/>
    <w:rsid w:val="7223D5D3"/>
    <w:rsid w:val="7252DBDC"/>
    <w:rsid w:val="7253A013"/>
    <w:rsid w:val="725567A7"/>
    <w:rsid w:val="725A1299"/>
    <w:rsid w:val="7271EE05"/>
    <w:rsid w:val="727ACA44"/>
    <w:rsid w:val="7287D162"/>
    <w:rsid w:val="728A0B70"/>
    <w:rsid w:val="72929FA5"/>
    <w:rsid w:val="72992120"/>
    <w:rsid w:val="729B08F7"/>
    <w:rsid w:val="72AF7177"/>
    <w:rsid w:val="72B4DD85"/>
    <w:rsid w:val="72B5A6E9"/>
    <w:rsid w:val="72BBBED1"/>
    <w:rsid w:val="72BD7A88"/>
    <w:rsid w:val="72C23CDC"/>
    <w:rsid w:val="72D17C86"/>
    <w:rsid w:val="72DA849A"/>
    <w:rsid w:val="72DABAAB"/>
    <w:rsid w:val="72DD72B8"/>
    <w:rsid w:val="72E69520"/>
    <w:rsid w:val="72F0B6CB"/>
    <w:rsid w:val="72F41C65"/>
    <w:rsid w:val="7309BCBB"/>
    <w:rsid w:val="730A384E"/>
    <w:rsid w:val="73149679"/>
    <w:rsid w:val="7314D585"/>
    <w:rsid w:val="7317A85D"/>
    <w:rsid w:val="731C9A10"/>
    <w:rsid w:val="732216F5"/>
    <w:rsid w:val="73225395"/>
    <w:rsid w:val="733C3D7E"/>
    <w:rsid w:val="7346D50B"/>
    <w:rsid w:val="734C1B97"/>
    <w:rsid w:val="73558E47"/>
    <w:rsid w:val="735BD589"/>
    <w:rsid w:val="7364E096"/>
    <w:rsid w:val="736631A6"/>
    <w:rsid w:val="736AE770"/>
    <w:rsid w:val="73714194"/>
    <w:rsid w:val="737A36D2"/>
    <w:rsid w:val="738A9598"/>
    <w:rsid w:val="738B9390"/>
    <w:rsid w:val="7398BED2"/>
    <w:rsid w:val="739970E7"/>
    <w:rsid w:val="739E1868"/>
    <w:rsid w:val="73A1D4A8"/>
    <w:rsid w:val="73A6FDA8"/>
    <w:rsid w:val="73A7E91C"/>
    <w:rsid w:val="73AAA6A5"/>
    <w:rsid w:val="73B9747E"/>
    <w:rsid w:val="73D235E7"/>
    <w:rsid w:val="73D8C1C1"/>
    <w:rsid w:val="73DCBEF2"/>
    <w:rsid w:val="73DF6D3B"/>
    <w:rsid w:val="73E6B795"/>
    <w:rsid w:val="73E96487"/>
    <w:rsid w:val="73FD8AEF"/>
    <w:rsid w:val="7406AB30"/>
    <w:rsid w:val="740B17E6"/>
    <w:rsid w:val="740C2244"/>
    <w:rsid w:val="7415563D"/>
    <w:rsid w:val="741664DA"/>
    <w:rsid w:val="7418C6C3"/>
    <w:rsid w:val="741F8257"/>
    <w:rsid w:val="7426193A"/>
    <w:rsid w:val="742EFE57"/>
    <w:rsid w:val="7431EE84"/>
    <w:rsid w:val="743503C8"/>
    <w:rsid w:val="744AD93E"/>
    <w:rsid w:val="74596EB8"/>
    <w:rsid w:val="745F613D"/>
    <w:rsid w:val="7484D6BC"/>
    <w:rsid w:val="749254B9"/>
    <w:rsid w:val="74A0B75F"/>
    <w:rsid w:val="74A5486F"/>
    <w:rsid w:val="74A5A8B6"/>
    <w:rsid w:val="74B2BD72"/>
    <w:rsid w:val="74B58B1C"/>
    <w:rsid w:val="74C4599F"/>
    <w:rsid w:val="74C72E45"/>
    <w:rsid w:val="74CA6460"/>
    <w:rsid w:val="74D0DD40"/>
    <w:rsid w:val="74D208A1"/>
    <w:rsid w:val="74E4A22B"/>
    <w:rsid w:val="74E87776"/>
    <w:rsid w:val="74F6FF00"/>
    <w:rsid w:val="7509D69D"/>
    <w:rsid w:val="750D9BAF"/>
    <w:rsid w:val="752A2C11"/>
    <w:rsid w:val="752A37A4"/>
    <w:rsid w:val="752D9723"/>
    <w:rsid w:val="75351BCC"/>
    <w:rsid w:val="753DCE85"/>
    <w:rsid w:val="75418D03"/>
    <w:rsid w:val="754FC6C8"/>
    <w:rsid w:val="7550CA24"/>
    <w:rsid w:val="75624DBF"/>
    <w:rsid w:val="7563A8EB"/>
    <w:rsid w:val="757BCEF8"/>
    <w:rsid w:val="7586B134"/>
    <w:rsid w:val="759F263C"/>
    <w:rsid w:val="75AB17B9"/>
    <w:rsid w:val="75ABD525"/>
    <w:rsid w:val="75B3D7A1"/>
    <w:rsid w:val="75BBC8CD"/>
    <w:rsid w:val="75C7CB59"/>
    <w:rsid w:val="75D2CC5B"/>
    <w:rsid w:val="75D3FED7"/>
    <w:rsid w:val="75E72A7F"/>
    <w:rsid w:val="75E82FFD"/>
    <w:rsid w:val="760C4776"/>
    <w:rsid w:val="760D4A1C"/>
    <w:rsid w:val="760DADC7"/>
    <w:rsid w:val="7619FF8E"/>
    <w:rsid w:val="761B847C"/>
    <w:rsid w:val="76213E95"/>
    <w:rsid w:val="7622ABB4"/>
    <w:rsid w:val="762AA2F3"/>
    <w:rsid w:val="763E8527"/>
    <w:rsid w:val="764DF16B"/>
    <w:rsid w:val="764F3C29"/>
    <w:rsid w:val="765355A3"/>
    <w:rsid w:val="76555E35"/>
    <w:rsid w:val="765F5B2A"/>
    <w:rsid w:val="766173EF"/>
    <w:rsid w:val="766AEAC9"/>
    <w:rsid w:val="766CB199"/>
    <w:rsid w:val="7670740D"/>
    <w:rsid w:val="7675DBA8"/>
    <w:rsid w:val="767A738D"/>
    <w:rsid w:val="7685139D"/>
    <w:rsid w:val="768779BA"/>
    <w:rsid w:val="7688B828"/>
    <w:rsid w:val="7697B2BB"/>
    <w:rsid w:val="769854B7"/>
    <w:rsid w:val="769DE3DB"/>
    <w:rsid w:val="76A09208"/>
    <w:rsid w:val="76AAAF9A"/>
    <w:rsid w:val="76AEBAA6"/>
    <w:rsid w:val="76C276AF"/>
    <w:rsid w:val="76CAE834"/>
    <w:rsid w:val="76E07F01"/>
    <w:rsid w:val="76F20BF0"/>
    <w:rsid w:val="76F44D3E"/>
    <w:rsid w:val="76F4699D"/>
    <w:rsid w:val="770057B5"/>
    <w:rsid w:val="7706A4CE"/>
    <w:rsid w:val="770ABBD4"/>
    <w:rsid w:val="7710F5C9"/>
    <w:rsid w:val="77181F69"/>
    <w:rsid w:val="77222027"/>
    <w:rsid w:val="7727F65B"/>
    <w:rsid w:val="772E40E0"/>
    <w:rsid w:val="772F0EB4"/>
    <w:rsid w:val="77340143"/>
    <w:rsid w:val="7737AE9B"/>
    <w:rsid w:val="773843C4"/>
    <w:rsid w:val="7739B74B"/>
    <w:rsid w:val="77460FA3"/>
    <w:rsid w:val="77471B1F"/>
    <w:rsid w:val="775A9D7F"/>
    <w:rsid w:val="77667605"/>
    <w:rsid w:val="777374E0"/>
    <w:rsid w:val="7775F766"/>
    <w:rsid w:val="778729B1"/>
    <w:rsid w:val="77886089"/>
    <w:rsid w:val="7794CF47"/>
    <w:rsid w:val="7796BEAB"/>
    <w:rsid w:val="77980D98"/>
    <w:rsid w:val="77A35731"/>
    <w:rsid w:val="77B1BEB7"/>
    <w:rsid w:val="77BBC57B"/>
    <w:rsid w:val="77C07C0C"/>
    <w:rsid w:val="77C593EF"/>
    <w:rsid w:val="77D670C7"/>
    <w:rsid w:val="77D9EB5A"/>
    <w:rsid w:val="77F11865"/>
    <w:rsid w:val="77F4CAF7"/>
    <w:rsid w:val="77F66AA2"/>
    <w:rsid w:val="77FBEB25"/>
    <w:rsid w:val="780A491F"/>
    <w:rsid w:val="781163FF"/>
    <w:rsid w:val="781C45E2"/>
    <w:rsid w:val="781F4E76"/>
    <w:rsid w:val="7825EAE4"/>
    <w:rsid w:val="78331704"/>
    <w:rsid w:val="783933B4"/>
    <w:rsid w:val="783C5950"/>
    <w:rsid w:val="784C4184"/>
    <w:rsid w:val="78571816"/>
    <w:rsid w:val="785FDAFE"/>
    <w:rsid w:val="7863DD8F"/>
    <w:rsid w:val="78665B44"/>
    <w:rsid w:val="7877FB6E"/>
    <w:rsid w:val="787BA0BD"/>
    <w:rsid w:val="787DACDB"/>
    <w:rsid w:val="78832EE0"/>
    <w:rsid w:val="78837490"/>
    <w:rsid w:val="78853D3D"/>
    <w:rsid w:val="7887A9A1"/>
    <w:rsid w:val="7888A337"/>
    <w:rsid w:val="788A3B40"/>
    <w:rsid w:val="7890B705"/>
    <w:rsid w:val="78A708CB"/>
    <w:rsid w:val="78ADBE62"/>
    <w:rsid w:val="78B4DC9E"/>
    <w:rsid w:val="78B7465E"/>
    <w:rsid w:val="78C68C61"/>
    <w:rsid w:val="78CA782E"/>
    <w:rsid w:val="78D97A2D"/>
    <w:rsid w:val="78DBE59F"/>
    <w:rsid w:val="78E22B04"/>
    <w:rsid w:val="790B1EA9"/>
    <w:rsid w:val="7919C866"/>
    <w:rsid w:val="79389B90"/>
    <w:rsid w:val="793FAEA7"/>
    <w:rsid w:val="796698AE"/>
    <w:rsid w:val="79678A93"/>
    <w:rsid w:val="7988A4DA"/>
    <w:rsid w:val="798BFC3E"/>
    <w:rsid w:val="7990666C"/>
    <w:rsid w:val="79A823A9"/>
    <w:rsid w:val="79AE555F"/>
    <w:rsid w:val="79AE79E5"/>
    <w:rsid w:val="79B9DB10"/>
    <w:rsid w:val="79D0EFB2"/>
    <w:rsid w:val="79E0888E"/>
    <w:rsid w:val="79E505D4"/>
    <w:rsid w:val="79F11E04"/>
    <w:rsid w:val="79F75B1B"/>
    <w:rsid w:val="7A07F3FF"/>
    <w:rsid w:val="7A0D0BFA"/>
    <w:rsid w:val="7A0DF36E"/>
    <w:rsid w:val="7A0EA61C"/>
    <w:rsid w:val="7A1CC090"/>
    <w:rsid w:val="7A27EEE2"/>
    <w:rsid w:val="7A2A5F43"/>
    <w:rsid w:val="7A2BA23D"/>
    <w:rsid w:val="7A2BBD2C"/>
    <w:rsid w:val="7A328823"/>
    <w:rsid w:val="7A48422E"/>
    <w:rsid w:val="7A4FC698"/>
    <w:rsid w:val="7A520941"/>
    <w:rsid w:val="7A53B9D7"/>
    <w:rsid w:val="7A55B89C"/>
    <w:rsid w:val="7A672F47"/>
    <w:rsid w:val="7A7219A3"/>
    <w:rsid w:val="7A7372E6"/>
    <w:rsid w:val="7A85A3E7"/>
    <w:rsid w:val="7A9AFC13"/>
    <w:rsid w:val="7AA922C3"/>
    <w:rsid w:val="7AAADC1C"/>
    <w:rsid w:val="7AB4CFE2"/>
    <w:rsid w:val="7AC1DFA3"/>
    <w:rsid w:val="7AD0FEC6"/>
    <w:rsid w:val="7AD509FE"/>
    <w:rsid w:val="7AD68ACC"/>
    <w:rsid w:val="7ADA6804"/>
    <w:rsid w:val="7AE0AB9C"/>
    <w:rsid w:val="7B0E5480"/>
    <w:rsid w:val="7B14038F"/>
    <w:rsid w:val="7B3CEC09"/>
    <w:rsid w:val="7B49107E"/>
    <w:rsid w:val="7B4CB791"/>
    <w:rsid w:val="7B53A9C1"/>
    <w:rsid w:val="7B57C613"/>
    <w:rsid w:val="7B5B5D4C"/>
    <w:rsid w:val="7B5E1D65"/>
    <w:rsid w:val="7B6C4F50"/>
    <w:rsid w:val="7B6DBF13"/>
    <w:rsid w:val="7B77E710"/>
    <w:rsid w:val="7B89C68B"/>
    <w:rsid w:val="7B89D4D5"/>
    <w:rsid w:val="7B8DD5EE"/>
    <w:rsid w:val="7B9F911C"/>
    <w:rsid w:val="7BA0B8F1"/>
    <w:rsid w:val="7BAF88ED"/>
    <w:rsid w:val="7BCD81CB"/>
    <w:rsid w:val="7BD265BF"/>
    <w:rsid w:val="7BD40C2D"/>
    <w:rsid w:val="7BD927BF"/>
    <w:rsid w:val="7BD96C51"/>
    <w:rsid w:val="7BDDA5CE"/>
    <w:rsid w:val="7BDDDF1A"/>
    <w:rsid w:val="7BE35895"/>
    <w:rsid w:val="7BE397E5"/>
    <w:rsid w:val="7BE4FAE1"/>
    <w:rsid w:val="7BECF699"/>
    <w:rsid w:val="7BF3E737"/>
    <w:rsid w:val="7BFF203F"/>
    <w:rsid w:val="7BFF6A76"/>
    <w:rsid w:val="7C05B9A6"/>
    <w:rsid w:val="7C1211D8"/>
    <w:rsid w:val="7C13659E"/>
    <w:rsid w:val="7C17246E"/>
    <w:rsid w:val="7C20EA7E"/>
    <w:rsid w:val="7C2E7ABF"/>
    <w:rsid w:val="7C2E9648"/>
    <w:rsid w:val="7C35F3BC"/>
    <w:rsid w:val="7C35FE86"/>
    <w:rsid w:val="7C4AA1A3"/>
    <w:rsid w:val="7C4B5E69"/>
    <w:rsid w:val="7C551E52"/>
    <w:rsid w:val="7C62CC71"/>
    <w:rsid w:val="7C6C8573"/>
    <w:rsid w:val="7C6ED505"/>
    <w:rsid w:val="7C703C8F"/>
    <w:rsid w:val="7C806E1B"/>
    <w:rsid w:val="7C88E0E5"/>
    <w:rsid w:val="7C894F12"/>
    <w:rsid w:val="7C9C924F"/>
    <w:rsid w:val="7CA1CD50"/>
    <w:rsid w:val="7CA4EC73"/>
    <w:rsid w:val="7CAF2B7B"/>
    <w:rsid w:val="7CB5CD3B"/>
    <w:rsid w:val="7CCBBEFC"/>
    <w:rsid w:val="7CCC25F1"/>
    <w:rsid w:val="7CD8D2B1"/>
    <w:rsid w:val="7CEBCE32"/>
    <w:rsid w:val="7CF36F17"/>
    <w:rsid w:val="7CF3C116"/>
    <w:rsid w:val="7D0B7B6E"/>
    <w:rsid w:val="7D120117"/>
    <w:rsid w:val="7D1B0752"/>
    <w:rsid w:val="7D201D75"/>
    <w:rsid w:val="7D231854"/>
    <w:rsid w:val="7D279D11"/>
    <w:rsid w:val="7D33D97F"/>
    <w:rsid w:val="7D467DD7"/>
    <w:rsid w:val="7D51989C"/>
    <w:rsid w:val="7D529AB3"/>
    <w:rsid w:val="7D557385"/>
    <w:rsid w:val="7D614318"/>
    <w:rsid w:val="7D628D77"/>
    <w:rsid w:val="7D6712E3"/>
    <w:rsid w:val="7D6B907E"/>
    <w:rsid w:val="7D77E520"/>
    <w:rsid w:val="7D95987D"/>
    <w:rsid w:val="7D965CAF"/>
    <w:rsid w:val="7DA84D5B"/>
    <w:rsid w:val="7DA84E96"/>
    <w:rsid w:val="7DA8FF07"/>
    <w:rsid w:val="7DAC6A19"/>
    <w:rsid w:val="7DB27618"/>
    <w:rsid w:val="7DB80B1F"/>
    <w:rsid w:val="7DB9BA50"/>
    <w:rsid w:val="7DF67A52"/>
    <w:rsid w:val="7DF92D2C"/>
    <w:rsid w:val="7E067A62"/>
    <w:rsid w:val="7E0B125E"/>
    <w:rsid w:val="7E0EA605"/>
    <w:rsid w:val="7E1F5F09"/>
    <w:rsid w:val="7E312C9C"/>
    <w:rsid w:val="7E4EA9DB"/>
    <w:rsid w:val="7E53C53A"/>
    <w:rsid w:val="7E59EA49"/>
    <w:rsid w:val="7E81453C"/>
    <w:rsid w:val="7E8219E1"/>
    <w:rsid w:val="7E82CA17"/>
    <w:rsid w:val="7E8C6E7A"/>
    <w:rsid w:val="7E8D0545"/>
    <w:rsid w:val="7E92BA82"/>
    <w:rsid w:val="7E977A98"/>
    <w:rsid w:val="7EA17429"/>
    <w:rsid w:val="7EAD6AC5"/>
    <w:rsid w:val="7EC4CD2A"/>
    <w:rsid w:val="7EC808EE"/>
    <w:rsid w:val="7ECA79F8"/>
    <w:rsid w:val="7ECCD127"/>
    <w:rsid w:val="7ECDFE4C"/>
    <w:rsid w:val="7ECE4C9C"/>
    <w:rsid w:val="7ED95A09"/>
    <w:rsid w:val="7EE2B5D1"/>
    <w:rsid w:val="7EEC938D"/>
    <w:rsid w:val="7EEF5378"/>
    <w:rsid w:val="7EF86E47"/>
    <w:rsid w:val="7F01A088"/>
    <w:rsid w:val="7F20330B"/>
    <w:rsid w:val="7F20F917"/>
    <w:rsid w:val="7F214FED"/>
    <w:rsid w:val="7F3F3971"/>
    <w:rsid w:val="7F41C6E2"/>
    <w:rsid w:val="7F45064B"/>
    <w:rsid w:val="7F454D45"/>
    <w:rsid w:val="7F48809D"/>
    <w:rsid w:val="7F4C4FB0"/>
    <w:rsid w:val="7F55DBAB"/>
    <w:rsid w:val="7F621F72"/>
    <w:rsid w:val="7F6F3223"/>
    <w:rsid w:val="7F76F4A9"/>
    <w:rsid w:val="7F850BD5"/>
    <w:rsid w:val="7F89C18D"/>
    <w:rsid w:val="7F8E2BB0"/>
    <w:rsid w:val="7F8F90AC"/>
    <w:rsid w:val="7F9947EB"/>
    <w:rsid w:val="7F9B5681"/>
    <w:rsid w:val="7F9D8C6A"/>
    <w:rsid w:val="7F9F1038"/>
    <w:rsid w:val="7FA56F27"/>
    <w:rsid w:val="7FA7613F"/>
    <w:rsid w:val="7FA865D6"/>
    <w:rsid w:val="7FAB9645"/>
    <w:rsid w:val="7FAD7454"/>
    <w:rsid w:val="7FBAF719"/>
    <w:rsid w:val="7FBC2CAE"/>
    <w:rsid w:val="7FC5FA42"/>
    <w:rsid w:val="7FE0F221"/>
    <w:rsid w:val="7FE6733C"/>
    <w:rsid w:val="7FEE1134"/>
    <w:rsid w:val="7FFA50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7f6"/>
    </o:shapedefaults>
    <o:shapelayout v:ext="edit">
      <o:idmap v:ext="edit" data="2"/>
    </o:shapelayout>
  </w:shapeDefaults>
  <w:decimalSymbol w:val="."/>
  <w:listSeparator w:val=","/>
  <w14:docId w14:val="3F52DAE2"/>
  <w14:defaultImageDpi w14:val="32767"/>
  <w15:chartTrackingRefBased/>
  <w15:docId w15:val="{F3C0DAB6-D31D-4B16-9EB1-6EDB5AB3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29"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009"/>
    <w:pPr>
      <w:spacing w:before="120" w:after="120" w:line="264" w:lineRule="auto"/>
    </w:pPr>
    <w:rPr>
      <w:spacing w:val="-2"/>
    </w:rPr>
  </w:style>
  <w:style w:type="paragraph" w:styleId="Heading1">
    <w:name w:val="heading 1"/>
    <w:basedOn w:val="Normal"/>
    <w:next w:val="Normal"/>
    <w:link w:val="Heading1Char"/>
    <w:uiPriority w:val="9"/>
    <w:qFormat/>
    <w:rsid w:val="00BB1009"/>
    <w:pPr>
      <w:keepNext/>
      <w:keepLines/>
      <w:pageBreakBefore/>
      <w:numPr>
        <w:numId w:val="13"/>
      </w:numPr>
      <w:spacing w:before="360" w:after="240" w:line="216" w:lineRule="auto"/>
      <w:outlineLvl w:val="0"/>
    </w:pPr>
    <w:rPr>
      <w:rFonts w:asciiTheme="majorHAnsi" w:eastAsiaTheme="majorEastAsia" w:hAnsiTheme="majorHAnsi" w:cstheme="majorBidi"/>
      <w:b/>
      <w:color w:val="1A206C" w:themeColor="text2"/>
      <w:spacing w:val="-6"/>
      <w:sz w:val="44"/>
      <w:szCs w:val="32"/>
    </w:rPr>
  </w:style>
  <w:style w:type="paragraph" w:styleId="Heading2">
    <w:name w:val="heading 2"/>
    <w:basedOn w:val="Normal"/>
    <w:next w:val="Normal"/>
    <w:link w:val="Heading2Char"/>
    <w:uiPriority w:val="9"/>
    <w:qFormat/>
    <w:rsid w:val="00BB1009"/>
    <w:pPr>
      <w:keepNext/>
      <w:keepLines/>
      <w:numPr>
        <w:ilvl w:val="1"/>
        <w:numId w:val="13"/>
      </w:numPr>
      <w:tabs>
        <w:tab w:val="left" w:pos="1134"/>
      </w:tabs>
      <w:spacing w:before="240"/>
      <w:outlineLvl w:val="1"/>
    </w:pPr>
    <w:rPr>
      <w:rFonts w:eastAsiaTheme="majorEastAsia" w:cstheme="majorBidi"/>
      <w:b/>
      <w:color w:val="1A206C" w:themeColor="text2"/>
      <w:sz w:val="29"/>
      <w:szCs w:val="26"/>
    </w:rPr>
  </w:style>
  <w:style w:type="paragraph" w:styleId="Heading3">
    <w:name w:val="heading 3"/>
    <w:basedOn w:val="Normal"/>
    <w:next w:val="Normal"/>
    <w:link w:val="Heading3Char"/>
    <w:uiPriority w:val="9"/>
    <w:qFormat/>
    <w:rsid w:val="00BB1009"/>
    <w:pPr>
      <w:keepNext/>
      <w:keepLines/>
      <w:numPr>
        <w:ilvl w:val="2"/>
        <w:numId w:val="13"/>
      </w:numPr>
      <w:spacing w:before="240" w:line="216" w:lineRule="auto"/>
      <w:outlineLvl w:val="2"/>
    </w:pPr>
    <w:rPr>
      <w:rFonts w:asciiTheme="majorHAnsi" w:hAnsiTheme="majorHAnsi"/>
      <w:b/>
      <w:color w:val="1A206C" w:themeColor="text2"/>
      <w:spacing w:val="0"/>
      <w:sz w:val="25"/>
      <w:szCs w:val="24"/>
    </w:rPr>
  </w:style>
  <w:style w:type="paragraph" w:styleId="Heading4">
    <w:name w:val="heading 4"/>
    <w:basedOn w:val="Normal"/>
    <w:link w:val="Heading4Char"/>
    <w:uiPriority w:val="9"/>
    <w:qFormat/>
    <w:rsid w:val="00BB1009"/>
    <w:pPr>
      <w:keepNext/>
      <w:keepLines/>
      <w:spacing w:before="200"/>
      <w:outlineLvl w:val="3"/>
    </w:pPr>
    <w:rPr>
      <w:b/>
      <w:bCs/>
      <w:color w:val="1A206C" w:themeColor="text2"/>
      <w:spacing w:val="-6"/>
      <w:szCs w:val="24"/>
    </w:rPr>
  </w:style>
  <w:style w:type="paragraph" w:styleId="Heading5">
    <w:name w:val="heading 5"/>
    <w:basedOn w:val="Normal"/>
    <w:next w:val="Normal"/>
    <w:link w:val="Heading5Char"/>
    <w:uiPriority w:val="9"/>
    <w:rsid w:val="00BB1009"/>
    <w:pPr>
      <w:keepNext/>
      <w:keepLines/>
      <w:outlineLvl w:val="4"/>
    </w:pPr>
    <w:rPr>
      <w:rFonts w:asciiTheme="majorHAnsi" w:eastAsiaTheme="majorEastAsia" w:hAnsiTheme="majorHAnsi" w:cstheme="majorBidi"/>
      <w:color w:val="1A206C" w:themeColor="text2"/>
    </w:rPr>
  </w:style>
  <w:style w:type="paragraph" w:styleId="Heading6">
    <w:name w:val="heading 6"/>
    <w:basedOn w:val="Normal"/>
    <w:next w:val="Normal"/>
    <w:link w:val="Heading6Char"/>
    <w:uiPriority w:val="9"/>
    <w:rsid w:val="00B20AE0"/>
    <w:pPr>
      <w:keepNext/>
      <w:keepLines/>
      <w:spacing w:before="40" w:after="0"/>
      <w:outlineLvl w:val="5"/>
    </w:pPr>
    <w:rPr>
      <w:rFonts w:asciiTheme="majorHAnsi" w:eastAsiaTheme="majorEastAsia" w:hAnsiTheme="majorHAnsi" w:cstheme="majorBidi"/>
      <w:i/>
      <w:color w:val="1A206C" w:themeColor="text2"/>
    </w:rPr>
  </w:style>
  <w:style w:type="paragraph" w:styleId="Heading7">
    <w:name w:val="heading 7"/>
    <w:basedOn w:val="Normal"/>
    <w:next w:val="Normal"/>
    <w:link w:val="Heading7Char"/>
    <w:uiPriority w:val="9"/>
    <w:semiHidden/>
    <w:qFormat/>
    <w:rsid w:val="003949EB"/>
    <w:pPr>
      <w:keepNext/>
      <w:keepLines/>
      <w:spacing w:before="40" w:after="0"/>
      <w:ind w:left="567" w:hanging="567"/>
      <w:outlineLvl w:val="6"/>
    </w:pPr>
    <w:rPr>
      <w:rFonts w:asciiTheme="majorHAnsi" w:eastAsiaTheme="majorEastAsia" w:hAnsiTheme="majorHAnsi" w:cstheme="majorBidi"/>
      <w:i/>
      <w:iCs/>
      <w:color w:val="20583E" w:themeColor="accent1" w:themeShade="7F"/>
    </w:rPr>
  </w:style>
  <w:style w:type="paragraph" w:styleId="Heading8">
    <w:name w:val="heading 8"/>
    <w:basedOn w:val="Normal"/>
    <w:next w:val="Normal"/>
    <w:link w:val="Heading8Char"/>
    <w:uiPriority w:val="9"/>
    <w:semiHidden/>
    <w:qFormat/>
    <w:rsid w:val="003949EB"/>
    <w:pPr>
      <w:keepNext/>
      <w:keepLines/>
      <w:spacing w:before="40" w:after="0"/>
      <w:ind w:left="567" w:hanging="567"/>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3949EB"/>
    <w:pPr>
      <w:keepNext/>
      <w:keepLines/>
      <w:spacing w:before="40" w:after="0"/>
      <w:ind w:left="567" w:hanging="56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009"/>
    <w:rPr>
      <w:color w:val="808080"/>
    </w:rPr>
  </w:style>
  <w:style w:type="paragraph" w:styleId="Date">
    <w:name w:val="Date"/>
    <w:basedOn w:val="Subtitle"/>
    <w:next w:val="Normal"/>
    <w:link w:val="DateChar"/>
    <w:uiPriority w:val="16"/>
    <w:rsid w:val="00BB1009"/>
    <w:pPr>
      <w:framePr w:wrap="notBeside"/>
    </w:pPr>
    <w:rPr>
      <w:b/>
      <w:caps/>
    </w:rPr>
  </w:style>
  <w:style w:type="character" w:customStyle="1" w:styleId="DateChar">
    <w:name w:val="Date Char"/>
    <w:basedOn w:val="DefaultParagraphFont"/>
    <w:link w:val="Date"/>
    <w:uiPriority w:val="16"/>
    <w:rsid w:val="00BB1009"/>
    <w:rPr>
      <w:rFonts w:eastAsiaTheme="majorEastAsia" w:cstheme="majorBidi"/>
      <w:b/>
      <w:caps/>
      <w:color w:val="FFFFFF" w:themeColor="background1"/>
      <w:kern w:val="28"/>
      <w:szCs w:val="56"/>
    </w:rPr>
  </w:style>
  <w:style w:type="paragraph" w:styleId="NoSpacing">
    <w:name w:val="No Spacing"/>
    <w:basedOn w:val="Normal"/>
    <w:link w:val="NoSpacingChar"/>
    <w:uiPriority w:val="1"/>
    <w:qFormat/>
    <w:rsid w:val="00BB1009"/>
    <w:pPr>
      <w:spacing w:before="0" w:after="0"/>
    </w:pPr>
  </w:style>
  <w:style w:type="paragraph" w:styleId="ListBullet">
    <w:name w:val="List Bullet"/>
    <w:basedOn w:val="Normal"/>
    <w:uiPriority w:val="99"/>
    <w:unhideWhenUsed/>
    <w:qFormat/>
    <w:rsid w:val="00BB1009"/>
    <w:pPr>
      <w:numPr>
        <w:numId w:val="1"/>
      </w:numPr>
      <w:contextualSpacing/>
    </w:pPr>
  </w:style>
  <w:style w:type="paragraph" w:styleId="ListBullet2">
    <w:name w:val="List Bullet 2"/>
    <w:basedOn w:val="Normal"/>
    <w:uiPriority w:val="99"/>
    <w:unhideWhenUsed/>
    <w:qFormat/>
    <w:rsid w:val="00BB1009"/>
    <w:pPr>
      <w:numPr>
        <w:ilvl w:val="1"/>
        <w:numId w:val="1"/>
      </w:numPr>
      <w:contextualSpacing/>
    </w:pPr>
  </w:style>
  <w:style w:type="paragraph" w:styleId="ListNumber">
    <w:name w:val="List Number"/>
    <w:basedOn w:val="Normal"/>
    <w:uiPriority w:val="99"/>
    <w:unhideWhenUsed/>
    <w:qFormat/>
    <w:rsid w:val="00BB1009"/>
    <w:pPr>
      <w:numPr>
        <w:numId w:val="147"/>
      </w:numPr>
      <w:contextualSpacing/>
    </w:pPr>
  </w:style>
  <w:style w:type="numbering" w:customStyle="1" w:styleId="Bullets">
    <w:name w:val="Bullets"/>
    <w:uiPriority w:val="99"/>
    <w:rsid w:val="00BB1009"/>
    <w:pPr>
      <w:numPr>
        <w:numId w:val="1"/>
      </w:numPr>
    </w:pPr>
  </w:style>
  <w:style w:type="character" w:customStyle="1" w:styleId="Heading1Char">
    <w:name w:val="Heading 1 Char"/>
    <w:basedOn w:val="DefaultParagraphFont"/>
    <w:link w:val="Heading1"/>
    <w:uiPriority w:val="9"/>
    <w:rsid w:val="00BB1009"/>
    <w:rPr>
      <w:rFonts w:asciiTheme="majorHAnsi" w:eastAsiaTheme="majorEastAsia" w:hAnsiTheme="majorHAnsi" w:cstheme="majorBidi"/>
      <w:b/>
      <w:color w:val="1A206C" w:themeColor="text2"/>
      <w:spacing w:val="-6"/>
      <w:sz w:val="44"/>
      <w:szCs w:val="32"/>
    </w:rPr>
  </w:style>
  <w:style w:type="paragraph" w:styleId="ListNumber2">
    <w:name w:val="List Number 2"/>
    <w:basedOn w:val="Normal"/>
    <w:uiPriority w:val="99"/>
    <w:unhideWhenUsed/>
    <w:qFormat/>
    <w:rsid w:val="00BB1009"/>
    <w:pPr>
      <w:numPr>
        <w:ilvl w:val="1"/>
        <w:numId w:val="147"/>
      </w:numPr>
      <w:contextualSpacing/>
    </w:pPr>
  </w:style>
  <w:style w:type="character" w:customStyle="1" w:styleId="Heading2Char">
    <w:name w:val="Heading 2 Char"/>
    <w:basedOn w:val="DefaultParagraphFont"/>
    <w:link w:val="Heading2"/>
    <w:uiPriority w:val="9"/>
    <w:rsid w:val="00BB1009"/>
    <w:rPr>
      <w:rFonts w:eastAsiaTheme="majorEastAsia" w:cstheme="majorBidi"/>
      <w:b/>
      <w:color w:val="1A206C" w:themeColor="text2"/>
      <w:spacing w:val="-2"/>
      <w:sz w:val="29"/>
      <w:szCs w:val="26"/>
    </w:rPr>
  </w:style>
  <w:style w:type="paragraph" w:styleId="ListParagraph">
    <w:name w:val="List Paragraph"/>
    <w:aliases w:val="Bullet List Paragraph,OW List Paragraph,H_List Paragraph,L,List Paragraph1,List Paragraph11,Number,Recommendation"/>
    <w:basedOn w:val="Normal"/>
    <w:link w:val="ListParagraphChar"/>
    <w:uiPriority w:val="34"/>
    <w:rsid w:val="00BB1009"/>
    <w:pPr>
      <w:ind w:left="284"/>
      <w:contextualSpacing/>
    </w:pPr>
  </w:style>
  <w:style w:type="paragraph" w:styleId="Header">
    <w:name w:val="header"/>
    <w:link w:val="HeaderChar"/>
    <w:uiPriority w:val="99"/>
    <w:unhideWhenUsed/>
    <w:rsid w:val="00BB1009"/>
    <w:pPr>
      <w:tabs>
        <w:tab w:val="center" w:pos="4513"/>
        <w:tab w:val="right" w:pos="9026"/>
      </w:tabs>
      <w:spacing w:after="0" w:line="240" w:lineRule="auto"/>
    </w:pPr>
    <w:rPr>
      <w:color w:val="1A206C" w:themeColor="text2"/>
      <w:sz w:val="20"/>
    </w:rPr>
  </w:style>
  <w:style w:type="character" w:customStyle="1" w:styleId="HeaderChar">
    <w:name w:val="Header Char"/>
    <w:basedOn w:val="DefaultParagraphFont"/>
    <w:link w:val="Header"/>
    <w:uiPriority w:val="99"/>
    <w:rsid w:val="00BB1009"/>
    <w:rPr>
      <w:color w:val="1A206C" w:themeColor="text2"/>
      <w:sz w:val="20"/>
    </w:rPr>
  </w:style>
  <w:style w:type="paragraph" w:styleId="Footer">
    <w:name w:val="footer"/>
    <w:link w:val="FooterChar"/>
    <w:uiPriority w:val="29"/>
    <w:rsid w:val="00BB1009"/>
    <w:pPr>
      <w:tabs>
        <w:tab w:val="right" w:pos="9072"/>
      </w:tabs>
      <w:spacing w:after="0" w:line="240" w:lineRule="auto"/>
      <w:jc w:val="right"/>
    </w:pPr>
    <w:rPr>
      <w:caps/>
      <w:color w:val="020A5A"/>
      <w:sz w:val="14"/>
    </w:rPr>
  </w:style>
  <w:style w:type="character" w:customStyle="1" w:styleId="FooterChar">
    <w:name w:val="Footer Char"/>
    <w:basedOn w:val="DefaultParagraphFont"/>
    <w:link w:val="Footer"/>
    <w:uiPriority w:val="29"/>
    <w:rsid w:val="00BB1009"/>
    <w:rPr>
      <w:caps/>
      <w:color w:val="020A5A"/>
      <w:sz w:val="14"/>
    </w:rPr>
  </w:style>
  <w:style w:type="numbering" w:customStyle="1" w:styleId="Numbering">
    <w:name w:val="Numbering"/>
    <w:uiPriority w:val="99"/>
    <w:rsid w:val="00BB1009"/>
    <w:pPr>
      <w:numPr>
        <w:numId w:val="67"/>
      </w:numPr>
    </w:pPr>
  </w:style>
  <w:style w:type="paragraph" w:styleId="ListBullet3">
    <w:name w:val="List Bullet 3"/>
    <w:basedOn w:val="Normal"/>
    <w:uiPriority w:val="99"/>
    <w:unhideWhenUsed/>
    <w:rsid w:val="00BB1009"/>
    <w:pPr>
      <w:numPr>
        <w:ilvl w:val="2"/>
        <w:numId w:val="1"/>
      </w:numPr>
      <w:contextualSpacing/>
    </w:pPr>
  </w:style>
  <w:style w:type="paragraph" w:styleId="ListContinue2">
    <w:name w:val="List Continue 2"/>
    <w:basedOn w:val="Normal"/>
    <w:uiPriority w:val="99"/>
    <w:unhideWhenUsed/>
    <w:rsid w:val="00BB1009"/>
    <w:pPr>
      <w:ind w:left="454"/>
      <w:contextualSpacing/>
    </w:pPr>
  </w:style>
  <w:style w:type="paragraph" w:styleId="ListNumber3">
    <w:name w:val="List Number 3"/>
    <w:basedOn w:val="Normal"/>
    <w:uiPriority w:val="99"/>
    <w:unhideWhenUsed/>
    <w:rsid w:val="00BB1009"/>
    <w:pPr>
      <w:numPr>
        <w:ilvl w:val="2"/>
        <w:numId w:val="147"/>
      </w:numPr>
      <w:contextualSpacing/>
    </w:pPr>
  </w:style>
  <w:style w:type="paragraph" w:styleId="ListNumber4">
    <w:name w:val="List Number 4"/>
    <w:basedOn w:val="Normal"/>
    <w:uiPriority w:val="99"/>
    <w:unhideWhenUsed/>
    <w:rsid w:val="00BB1009"/>
    <w:pPr>
      <w:numPr>
        <w:ilvl w:val="3"/>
        <w:numId w:val="147"/>
      </w:numPr>
      <w:contextualSpacing/>
    </w:pPr>
  </w:style>
  <w:style w:type="paragraph" w:styleId="ListNumber5">
    <w:name w:val="List Number 5"/>
    <w:basedOn w:val="Normal"/>
    <w:uiPriority w:val="99"/>
    <w:unhideWhenUsed/>
    <w:rsid w:val="00BB1009"/>
    <w:pPr>
      <w:numPr>
        <w:ilvl w:val="4"/>
        <w:numId w:val="147"/>
      </w:numPr>
      <w:contextualSpacing/>
    </w:pPr>
  </w:style>
  <w:style w:type="paragraph" w:styleId="ListContinue">
    <w:name w:val="List Continue"/>
    <w:basedOn w:val="Normal"/>
    <w:uiPriority w:val="99"/>
    <w:unhideWhenUsed/>
    <w:qFormat/>
    <w:rsid w:val="00BB1009"/>
    <w:pPr>
      <w:ind w:left="340"/>
      <w:contextualSpacing/>
    </w:pPr>
  </w:style>
  <w:style w:type="paragraph" w:styleId="ListContinue3">
    <w:name w:val="List Continue 3"/>
    <w:basedOn w:val="Normal"/>
    <w:uiPriority w:val="99"/>
    <w:unhideWhenUsed/>
    <w:rsid w:val="00BB1009"/>
    <w:pPr>
      <w:ind w:left="680"/>
      <w:contextualSpacing/>
    </w:pPr>
  </w:style>
  <w:style w:type="paragraph" w:styleId="ListContinue4">
    <w:name w:val="List Continue 4"/>
    <w:basedOn w:val="Normal"/>
    <w:uiPriority w:val="99"/>
    <w:unhideWhenUsed/>
    <w:rsid w:val="00BB1009"/>
    <w:pPr>
      <w:ind w:left="1132"/>
      <w:contextualSpacing/>
    </w:pPr>
  </w:style>
  <w:style w:type="character" w:customStyle="1" w:styleId="Heading3Char">
    <w:name w:val="Heading 3 Char"/>
    <w:basedOn w:val="DefaultParagraphFont"/>
    <w:link w:val="Heading3"/>
    <w:uiPriority w:val="9"/>
    <w:rsid w:val="00BB1009"/>
    <w:rPr>
      <w:rFonts w:asciiTheme="majorHAnsi" w:hAnsiTheme="majorHAnsi"/>
      <w:b/>
      <w:color w:val="1A206C" w:themeColor="text2"/>
      <w:sz w:val="25"/>
      <w:szCs w:val="24"/>
    </w:rPr>
  </w:style>
  <w:style w:type="character" w:customStyle="1" w:styleId="Heading4Char">
    <w:name w:val="Heading 4 Char"/>
    <w:basedOn w:val="DefaultParagraphFont"/>
    <w:link w:val="Heading4"/>
    <w:uiPriority w:val="9"/>
    <w:rsid w:val="00BB1009"/>
    <w:rPr>
      <w:b/>
      <w:bCs/>
      <w:color w:val="1A206C" w:themeColor="text2"/>
      <w:spacing w:val="-6"/>
      <w:szCs w:val="24"/>
    </w:rPr>
  </w:style>
  <w:style w:type="character" w:customStyle="1" w:styleId="Heading5Char">
    <w:name w:val="Heading 5 Char"/>
    <w:basedOn w:val="DefaultParagraphFont"/>
    <w:link w:val="Heading5"/>
    <w:uiPriority w:val="9"/>
    <w:rsid w:val="00BB1009"/>
    <w:rPr>
      <w:rFonts w:asciiTheme="majorHAnsi" w:eastAsiaTheme="majorEastAsia" w:hAnsiTheme="majorHAnsi" w:cstheme="majorBidi"/>
      <w:color w:val="1A206C" w:themeColor="text2"/>
      <w:spacing w:val="-2"/>
    </w:rPr>
  </w:style>
  <w:style w:type="numbering" w:customStyle="1" w:styleId="ListHeadings">
    <w:name w:val="List Headings"/>
    <w:uiPriority w:val="99"/>
    <w:rsid w:val="00BB1009"/>
    <w:pPr>
      <w:numPr>
        <w:numId w:val="13"/>
      </w:numPr>
    </w:pPr>
  </w:style>
  <w:style w:type="paragraph" w:styleId="Title">
    <w:name w:val="Title"/>
    <w:basedOn w:val="Normal"/>
    <w:next w:val="Subtitle"/>
    <w:link w:val="TitleChar"/>
    <w:uiPriority w:val="14"/>
    <w:rsid w:val="00BB1009"/>
    <w:pPr>
      <w:framePr w:w="4905" w:vSpace="1134" w:wrap="notBeside" w:vAnchor="page" w:hAnchor="page" w:x="1419" w:y="3346" w:anchorLock="1"/>
      <w:spacing w:after="0" w:line="240" w:lineRule="auto"/>
      <w:contextualSpacing/>
    </w:pPr>
    <w:rPr>
      <w:rFonts w:asciiTheme="majorHAnsi" w:eastAsiaTheme="majorEastAsia" w:hAnsiTheme="majorHAnsi" w:cstheme="majorBidi"/>
      <w:b/>
      <w:color w:val="FFFFFF" w:themeColor="background1"/>
      <w:spacing w:val="-16"/>
      <w:kern w:val="28"/>
      <w:sz w:val="80"/>
      <w:szCs w:val="56"/>
    </w:rPr>
  </w:style>
  <w:style w:type="character" w:customStyle="1" w:styleId="TitleChar">
    <w:name w:val="Title Char"/>
    <w:basedOn w:val="DefaultParagraphFont"/>
    <w:link w:val="Title"/>
    <w:uiPriority w:val="14"/>
    <w:rsid w:val="00BB1009"/>
    <w:rPr>
      <w:rFonts w:asciiTheme="majorHAnsi" w:eastAsiaTheme="majorEastAsia" w:hAnsiTheme="majorHAnsi" w:cstheme="majorBidi"/>
      <w:b/>
      <w:color w:val="FFFFFF" w:themeColor="background1"/>
      <w:spacing w:val="-16"/>
      <w:kern w:val="28"/>
      <w:sz w:val="80"/>
      <w:szCs w:val="56"/>
    </w:rPr>
  </w:style>
  <w:style w:type="paragraph" w:customStyle="1" w:styleId="Pull-outQuote">
    <w:name w:val="Pull-out Quote"/>
    <w:basedOn w:val="Normal"/>
    <w:link w:val="Pull-outQuoteChar"/>
    <w:semiHidden/>
    <w:rsid w:val="009D24F5"/>
    <w:pPr>
      <w:pBdr>
        <w:top w:val="single" w:sz="4" w:space="4" w:color="1A206C" w:themeColor="text2"/>
        <w:left w:val="single" w:sz="4" w:space="4" w:color="1A206C" w:themeColor="text2"/>
        <w:bottom w:val="single" w:sz="4" w:space="4" w:color="1A206C" w:themeColor="text2"/>
        <w:right w:val="single" w:sz="4" w:space="4" w:color="1A206C" w:themeColor="text2"/>
      </w:pBdr>
      <w:shd w:val="clear" w:color="auto" w:fill="1A206C"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1A206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1A206C" w:themeFill="text2"/>
    </w:rPr>
  </w:style>
  <w:style w:type="paragraph" w:customStyle="1" w:styleId="Heading5-nonumber">
    <w:name w:val="Heading 5-no number"/>
    <w:basedOn w:val="Heading5"/>
    <w:rsid w:val="00A14C50"/>
  </w:style>
  <w:style w:type="table" w:customStyle="1" w:styleId="GWWShadedtable">
    <w:name w:val="GWW Shaded table"/>
    <w:basedOn w:val="GWWDefaulttable"/>
    <w:uiPriority w:val="99"/>
    <w:rsid w:val="006C776A"/>
    <w:tblPr/>
    <w:tcPr>
      <w:shd w:val="clear" w:color="auto" w:fill="FFFFFF" w:themeFill="background1"/>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rPr>
        <w:rFonts w:asciiTheme="majorHAnsi" w:hAnsiTheme="majorHAnsi"/>
        <w:b/>
        <w:color w:val="1A206C" w:themeColor="text2"/>
      </w:rPr>
      <w:tblPr/>
      <w:tcPr>
        <w:shd w:val="clear" w:color="auto" w:fill="F4F0EE" w:themeFill="background2"/>
      </w:tc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styleId="ListContinue5">
    <w:name w:val="List Continue 5"/>
    <w:basedOn w:val="Normal"/>
    <w:uiPriority w:val="99"/>
    <w:unhideWhenUsed/>
    <w:rsid w:val="00BB1009"/>
    <w:pPr>
      <w:ind w:left="1415"/>
      <w:contextualSpacing/>
    </w:pPr>
  </w:style>
  <w:style w:type="table" w:styleId="TableGrid">
    <w:name w:val="Table Grid"/>
    <w:basedOn w:val="TableNormal"/>
    <w:uiPriority w:val="39"/>
    <w:rsid w:val="00BB1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6"/>
    <w:qFormat/>
    <w:rsid w:val="00BB1009"/>
    <w:pPr>
      <w:keepNext/>
      <w:keepLines/>
      <w:spacing w:after="240"/>
    </w:pPr>
    <w:rPr>
      <w:iCs/>
      <w:color w:val="1A206C" w:themeColor="text2"/>
      <w:sz w:val="16"/>
      <w:szCs w:val="18"/>
    </w:rPr>
  </w:style>
  <w:style w:type="paragraph" w:styleId="List">
    <w:name w:val="List"/>
    <w:basedOn w:val="Normal"/>
    <w:uiPriority w:val="99"/>
    <w:unhideWhenUsed/>
    <w:qFormat/>
    <w:rsid w:val="00BB1009"/>
    <w:pPr>
      <w:numPr>
        <w:numId w:val="2"/>
      </w:numPr>
      <w:contextualSpacing/>
    </w:pPr>
  </w:style>
  <w:style w:type="paragraph" w:styleId="List2">
    <w:name w:val="List 2"/>
    <w:basedOn w:val="Normal"/>
    <w:uiPriority w:val="99"/>
    <w:unhideWhenUsed/>
    <w:qFormat/>
    <w:rsid w:val="00BB1009"/>
    <w:pPr>
      <w:numPr>
        <w:ilvl w:val="1"/>
        <w:numId w:val="2"/>
      </w:numPr>
      <w:contextualSpacing/>
    </w:pPr>
  </w:style>
  <w:style w:type="numbering" w:customStyle="1" w:styleId="LetteredList">
    <w:name w:val="Lettered List"/>
    <w:uiPriority w:val="99"/>
    <w:rsid w:val="00BB1009"/>
    <w:pPr>
      <w:numPr>
        <w:numId w:val="2"/>
      </w:numPr>
    </w:pPr>
  </w:style>
  <w:style w:type="paragraph" w:styleId="Subtitle">
    <w:name w:val="Subtitle"/>
    <w:basedOn w:val="Title"/>
    <w:next w:val="Title-Regular"/>
    <w:link w:val="SubtitleChar"/>
    <w:uiPriority w:val="15"/>
    <w:rsid w:val="00BB1009"/>
    <w:pPr>
      <w:framePr w:wrap="notBeside"/>
      <w:spacing w:before="360"/>
    </w:pPr>
    <w:rPr>
      <w:rFonts w:asciiTheme="minorHAnsi" w:hAnsiTheme="minorHAnsi"/>
      <w:b w:val="0"/>
      <w:spacing w:val="0"/>
      <w:sz w:val="22"/>
    </w:rPr>
  </w:style>
  <w:style w:type="character" w:customStyle="1" w:styleId="SubtitleChar">
    <w:name w:val="Subtitle Char"/>
    <w:basedOn w:val="DefaultParagraphFont"/>
    <w:link w:val="Subtitle"/>
    <w:uiPriority w:val="15"/>
    <w:rsid w:val="00BB1009"/>
    <w:rPr>
      <w:rFonts w:eastAsiaTheme="majorEastAsia" w:cstheme="majorBidi"/>
      <w:color w:val="FFFFFF" w:themeColor="background1"/>
      <w:kern w:val="28"/>
      <w:szCs w:val="56"/>
    </w:rPr>
  </w:style>
  <w:style w:type="paragraph" w:styleId="TOCHeading">
    <w:name w:val="TOC Heading"/>
    <w:basedOn w:val="Heading1"/>
    <w:next w:val="Normal"/>
    <w:uiPriority w:val="39"/>
    <w:unhideWhenUsed/>
    <w:rsid w:val="00BB1009"/>
    <w:pPr>
      <w:numPr>
        <w:numId w:val="0"/>
      </w:numPr>
      <w:spacing w:before="0" w:after="600" w:line="259" w:lineRule="auto"/>
      <w:outlineLvl w:val="9"/>
    </w:pPr>
    <w:rPr>
      <w:lang w:val="en-US"/>
    </w:rPr>
  </w:style>
  <w:style w:type="paragraph" w:styleId="TOC1">
    <w:name w:val="toc 1"/>
    <w:basedOn w:val="Normal"/>
    <w:next w:val="Normal"/>
    <w:autoRedefine/>
    <w:uiPriority w:val="39"/>
    <w:unhideWhenUsed/>
    <w:rsid w:val="00BB1009"/>
    <w:pPr>
      <w:tabs>
        <w:tab w:val="left" w:pos="794"/>
        <w:tab w:val="right" w:pos="7371"/>
      </w:tabs>
      <w:spacing w:before="240" w:after="80" w:line="240" w:lineRule="auto"/>
      <w:ind w:left="794" w:right="2835" w:hanging="794"/>
    </w:pPr>
    <w:rPr>
      <w:b/>
      <w:color w:val="1A206C" w:themeColor="text2"/>
    </w:rPr>
  </w:style>
  <w:style w:type="paragraph" w:styleId="TOC2">
    <w:name w:val="toc 2"/>
    <w:basedOn w:val="Normal"/>
    <w:next w:val="Normal"/>
    <w:autoRedefine/>
    <w:uiPriority w:val="39"/>
    <w:unhideWhenUsed/>
    <w:rsid w:val="00BB1009"/>
    <w:pPr>
      <w:tabs>
        <w:tab w:val="left" w:pos="794"/>
        <w:tab w:val="right" w:pos="7371"/>
      </w:tabs>
      <w:spacing w:before="80" w:after="80"/>
      <w:ind w:right="2835"/>
    </w:pPr>
  </w:style>
  <w:style w:type="paragraph" w:styleId="TOC3">
    <w:name w:val="toc 3"/>
    <w:basedOn w:val="Normal"/>
    <w:next w:val="Normal"/>
    <w:autoRedefine/>
    <w:uiPriority w:val="39"/>
    <w:unhideWhenUsed/>
    <w:rsid w:val="00BB1009"/>
    <w:pPr>
      <w:tabs>
        <w:tab w:val="right" w:pos="7371"/>
      </w:tabs>
      <w:spacing w:before="80" w:after="80"/>
      <w:ind w:right="2835"/>
    </w:pPr>
    <w:rPr>
      <w:noProof/>
    </w:rPr>
  </w:style>
  <w:style w:type="character" w:styleId="Hyperlink">
    <w:name w:val="Hyperlink"/>
    <w:basedOn w:val="DefaultParagraphFont"/>
    <w:uiPriority w:val="99"/>
    <w:unhideWhenUsed/>
    <w:rsid w:val="00BB1009"/>
    <w:rPr>
      <w:color w:val="1A206C" w:themeColor="hyperlink"/>
      <w:u w:val="single"/>
    </w:rPr>
  </w:style>
  <w:style w:type="table" w:customStyle="1" w:styleId="Blank">
    <w:name w:val="Blank"/>
    <w:basedOn w:val="TableNormal"/>
    <w:uiPriority w:val="99"/>
    <w:rsid w:val="00BB1009"/>
    <w:pPr>
      <w:spacing w:after="0" w:line="240" w:lineRule="auto"/>
    </w:pPr>
    <w:tblPr>
      <w:tblCellMar>
        <w:left w:w="0" w:type="dxa"/>
        <w:right w:w="0" w:type="dxa"/>
      </w:tblCellMar>
    </w:tblPr>
  </w:style>
  <w:style w:type="table" w:customStyle="1" w:styleId="YVWDetails">
    <w:name w:val="YVW Details"/>
    <w:basedOn w:val="TableNormal"/>
    <w:uiPriority w:val="99"/>
    <w:rsid w:val="00BB1009"/>
    <w:pPr>
      <w:spacing w:after="0" w:line="240" w:lineRule="auto"/>
    </w:pPr>
    <w:tblPr>
      <w:tblBorders>
        <w:bottom w:val="single" w:sz="4" w:space="0" w:color="F15B60" w:themeColor="accent6"/>
        <w:insideH w:val="single" w:sz="4" w:space="0" w:color="F15B60" w:themeColor="accent6"/>
      </w:tblBorders>
      <w:tblCellMar>
        <w:top w:w="227" w:type="dxa"/>
        <w:left w:w="0" w:type="dxa"/>
        <w:right w:w="0" w:type="dxa"/>
      </w:tblCellMar>
    </w:tblPr>
    <w:tblStylePr w:type="lastCol">
      <w:rPr>
        <w:color w:val="auto"/>
      </w:rPr>
      <w:tblPr/>
      <w:tcPr>
        <w:tcBorders>
          <w:top w:val="nil"/>
          <w:left w:val="nil"/>
          <w:bottom w:val="single" w:sz="4" w:space="0" w:color="F15B60" w:themeColor="accent6"/>
          <w:right w:val="nil"/>
          <w:insideH w:val="single" w:sz="4" w:space="0" w:color="F15B60" w:themeColor="accent6"/>
          <w:insideV w:val="nil"/>
          <w:tl2br w:val="nil"/>
          <w:tr2bl w:val="nil"/>
        </w:tcBorders>
      </w:tcPr>
    </w:tblStylePr>
    <w:tblStylePr w:type="neCell">
      <w:tblPr/>
      <w:tcPr>
        <w:tcBorders>
          <w:top w:val="nil"/>
          <w:left w:val="nil"/>
          <w:bottom w:val="single" w:sz="2" w:space="0" w:color="F15B60" w:themeColor="accent6"/>
          <w:right w:val="nil"/>
          <w:insideH w:val="nil"/>
          <w:insideV w:val="nil"/>
          <w:tl2br w:val="nil"/>
          <w:tr2bl w:val="nil"/>
        </w:tcBorders>
      </w:tcPr>
    </w:tblStylePr>
    <w:tblStylePr w:type="seCell">
      <w:tblPr/>
      <w:tcPr>
        <w:tcBorders>
          <w:top w:val="nil"/>
          <w:left w:val="nil"/>
          <w:bottom w:val="single" w:sz="2" w:space="0" w:color="F15B60" w:themeColor="accent6"/>
          <w:right w:val="nil"/>
          <w:insideH w:val="nil"/>
          <w:insideV w:val="nil"/>
          <w:tl2br w:val="nil"/>
          <w:tr2bl w:val="nil"/>
        </w:tcBorders>
      </w:tcPr>
    </w:tblStylePr>
  </w:style>
  <w:style w:type="character" w:styleId="Strong">
    <w:name w:val="Strong"/>
    <w:basedOn w:val="DefaultParagraphFont"/>
    <w:uiPriority w:val="22"/>
    <w:qFormat/>
    <w:rsid w:val="00BB1009"/>
    <w:rPr>
      <w:b/>
      <w:bCs/>
    </w:rPr>
  </w:style>
  <w:style w:type="table" w:customStyle="1" w:styleId="GWWDefaulttable">
    <w:name w:val="GWW Default table"/>
    <w:basedOn w:val="TableNormal"/>
    <w:uiPriority w:val="99"/>
    <w:rsid w:val="00BB1009"/>
    <w:pPr>
      <w:spacing w:after="0" w:line="240" w:lineRule="auto"/>
    </w:pPr>
    <w:rPr>
      <w:sz w:val="18"/>
    </w:rPr>
    <w:tblPr>
      <w:tblStyleColBandSize w:val="1"/>
      <w:tblBorders>
        <w:bottom w:val="single" w:sz="8" w:space="0" w:color="1A206C" w:themeColor="text2"/>
        <w:insideH w:val="single" w:sz="8" w:space="0" w:color="1A206C" w:themeColor="text2"/>
      </w:tblBorders>
      <w:tblCellMar>
        <w:top w:w="85" w:type="dxa"/>
        <w:left w:w="85" w:type="dxa"/>
        <w:bottom w:w="85" w:type="dxa"/>
        <w:right w:w="85" w:type="dxa"/>
      </w:tblCellMar>
    </w:tblPr>
    <w:tcPr>
      <w:shd w:val="clear" w:color="auto" w:fill="FFFFFF" w:themeFill="background1"/>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rPr>
        <w:rFonts w:asciiTheme="majorHAnsi" w:hAnsiTheme="majorHAnsi"/>
        <w:b/>
        <w:color w:val="1A206C" w:themeColor="text2"/>
      </w:r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customStyle="1" w:styleId="PulloutQuote">
    <w:name w:val="Pull out Quote"/>
    <w:basedOn w:val="Heading2"/>
    <w:next w:val="Normal"/>
    <w:link w:val="PulloutQuoteChar"/>
    <w:uiPriority w:val="2"/>
    <w:rsid w:val="00BB1009"/>
    <w:pPr>
      <w:numPr>
        <w:ilvl w:val="0"/>
        <w:numId w:val="0"/>
      </w:numPr>
      <w:spacing w:before="360" w:after="440" w:line="240" w:lineRule="auto"/>
      <w:outlineLvl w:val="9"/>
    </w:pPr>
    <w:rPr>
      <w:sz w:val="26"/>
    </w:rPr>
  </w:style>
  <w:style w:type="character" w:customStyle="1" w:styleId="FooterBold">
    <w:name w:val="Footer Bold"/>
    <w:basedOn w:val="DefaultParagraphFont"/>
    <w:uiPriority w:val="29"/>
    <w:rsid w:val="00BB1009"/>
    <w:rPr>
      <w:b/>
      <w:color w:val="020A5A"/>
    </w:rPr>
  </w:style>
  <w:style w:type="character" w:customStyle="1" w:styleId="PulloutQuoteChar">
    <w:name w:val="Pull out Quote Char"/>
    <w:basedOn w:val="Heading2Char"/>
    <w:link w:val="PulloutQuote"/>
    <w:uiPriority w:val="2"/>
    <w:rsid w:val="00BB1009"/>
    <w:rPr>
      <w:rFonts w:eastAsiaTheme="majorEastAsia" w:cstheme="majorBidi"/>
      <w:b/>
      <w:color w:val="1A206C" w:themeColor="text2"/>
      <w:spacing w:val="-2"/>
      <w:sz w:val="26"/>
      <w:szCs w:val="26"/>
    </w:rPr>
  </w:style>
  <w:style w:type="character" w:customStyle="1" w:styleId="NoSpacingChar">
    <w:name w:val="No Spacing Char"/>
    <w:basedOn w:val="DefaultParagraphFont"/>
    <w:link w:val="NoSpacing"/>
    <w:uiPriority w:val="1"/>
    <w:rsid w:val="00BB1009"/>
    <w:rPr>
      <w:spacing w:val="-2"/>
    </w:rPr>
  </w:style>
  <w:style w:type="paragraph" w:customStyle="1" w:styleId="TableHeading3">
    <w:name w:val="Table Heading 3"/>
    <w:basedOn w:val="Normal"/>
    <w:link w:val="TableHeading3Char"/>
    <w:uiPriority w:val="11"/>
    <w:semiHidden/>
    <w:qFormat/>
    <w:rsid w:val="00BB1009"/>
    <w:pPr>
      <w:spacing w:before="0" w:after="0" w:line="221" w:lineRule="auto"/>
    </w:pPr>
    <w:rPr>
      <w:b/>
      <w:color w:val="1A206C" w:themeColor="text2"/>
    </w:rPr>
  </w:style>
  <w:style w:type="character" w:customStyle="1" w:styleId="TableHeading3Char">
    <w:name w:val="Table Heading 3 Char"/>
    <w:basedOn w:val="DefaultParagraphFont"/>
    <w:link w:val="TableHeading3"/>
    <w:uiPriority w:val="11"/>
    <w:semiHidden/>
    <w:rsid w:val="00BB1009"/>
    <w:rPr>
      <w:b/>
      <w:color w:val="1A206C" w:themeColor="text2"/>
      <w:spacing w:val="-2"/>
    </w:rPr>
  </w:style>
  <w:style w:type="numbering" w:customStyle="1" w:styleId="FiguresList">
    <w:name w:val="Figures List"/>
    <w:uiPriority w:val="99"/>
    <w:rsid w:val="00BB1009"/>
    <w:pPr>
      <w:numPr>
        <w:numId w:val="3"/>
      </w:numPr>
    </w:pPr>
  </w:style>
  <w:style w:type="numbering" w:customStyle="1" w:styleId="TableListing">
    <w:name w:val="Table Listing"/>
    <w:uiPriority w:val="99"/>
    <w:rsid w:val="00BB1009"/>
    <w:pPr>
      <w:numPr>
        <w:numId w:val="149"/>
      </w:numPr>
    </w:pPr>
  </w:style>
  <w:style w:type="paragraph" w:customStyle="1" w:styleId="BreakPage-Numbered">
    <w:name w:val="Break Page - Numbered"/>
    <w:basedOn w:val="Normal"/>
    <w:next w:val="Normal"/>
    <w:link w:val="BreakPage-NumberedChar"/>
    <w:rsid w:val="00BB1009"/>
    <w:pPr>
      <w:spacing w:line="240" w:lineRule="auto"/>
      <w:outlineLvl w:val="0"/>
    </w:pPr>
    <w:rPr>
      <w:rFonts w:asciiTheme="majorHAnsi" w:hAnsiTheme="majorHAnsi"/>
      <w:color w:val="41B27D" w:themeColor="accent1"/>
      <w:spacing w:val="-24"/>
      <w:sz w:val="56"/>
    </w:rPr>
  </w:style>
  <w:style w:type="numbering" w:customStyle="1" w:styleId="BreakPageList">
    <w:name w:val="Break Page List"/>
    <w:uiPriority w:val="99"/>
    <w:rsid w:val="00BB1009"/>
    <w:pPr>
      <w:numPr>
        <w:numId w:val="4"/>
      </w:numPr>
    </w:pPr>
  </w:style>
  <w:style w:type="paragraph" w:customStyle="1" w:styleId="BreakPageSubheading">
    <w:name w:val="Break Page Subheading"/>
    <w:basedOn w:val="BreakPageHeading"/>
    <w:link w:val="BreakPageSubheadingChar"/>
    <w:rsid w:val="00BB1009"/>
    <w:pPr>
      <w:spacing w:before="60" w:after="0"/>
    </w:pPr>
    <w:rPr>
      <w:color w:val="020A5A"/>
      <w:spacing w:val="-12"/>
      <w:sz w:val="40"/>
    </w:rPr>
  </w:style>
  <w:style w:type="character" w:customStyle="1" w:styleId="BreakPageSubheadingChar">
    <w:name w:val="Break Page Subheading Char"/>
    <w:basedOn w:val="BreakPageHeadingChar"/>
    <w:link w:val="BreakPageSubheading"/>
    <w:rsid w:val="00BB1009"/>
    <w:rPr>
      <w:rFonts w:asciiTheme="majorHAnsi" w:hAnsiTheme="majorHAnsi"/>
      <w:color w:val="020A5A"/>
      <w:spacing w:val="-12"/>
      <w:sz w:val="40"/>
    </w:rPr>
  </w:style>
  <w:style w:type="paragraph" w:customStyle="1" w:styleId="BreakPageHeading">
    <w:name w:val="Break Page Heading"/>
    <w:basedOn w:val="Normal"/>
    <w:next w:val="BreakPageSubheading"/>
    <w:link w:val="BreakPageHeadingChar"/>
    <w:rsid w:val="00BB1009"/>
    <w:pPr>
      <w:spacing w:line="240" w:lineRule="auto"/>
      <w:outlineLvl w:val="0"/>
    </w:pPr>
    <w:rPr>
      <w:rFonts w:asciiTheme="majorHAnsi" w:hAnsiTheme="majorHAnsi"/>
      <w:color w:val="41B27D" w:themeColor="accent1"/>
      <w:spacing w:val="-24"/>
      <w:sz w:val="80"/>
    </w:rPr>
  </w:style>
  <w:style w:type="character" w:customStyle="1" w:styleId="BreakPageHeadingChar">
    <w:name w:val="Break Page Heading Char"/>
    <w:basedOn w:val="DefaultParagraphFont"/>
    <w:link w:val="BreakPageHeading"/>
    <w:rsid w:val="00BB1009"/>
    <w:rPr>
      <w:rFonts w:asciiTheme="majorHAnsi" w:hAnsiTheme="majorHAnsi"/>
      <w:color w:val="41B27D" w:themeColor="accent1"/>
      <w:spacing w:val="-24"/>
      <w:sz w:val="80"/>
    </w:rPr>
  </w:style>
  <w:style w:type="character" w:customStyle="1" w:styleId="BreakPage-NumberedChar">
    <w:name w:val="Break Page - Numbered Char"/>
    <w:basedOn w:val="DefaultParagraphFont"/>
    <w:link w:val="BreakPage-Numbered"/>
    <w:rsid w:val="00BB1009"/>
    <w:rPr>
      <w:rFonts w:asciiTheme="majorHAnsi" w:hAnsiTheme="majorHAnsi"/>
      <w:color w:val="41B27D" w:themeColor="accent1"/>
      <w:spacing w:val="-24"/>
      <w:sz w:val="56"/>
    </w:rPr>
  </w:style>
  <w:style w:type="paragraph" w:customStyle="1" w:styleId="FooterLeft">
    <w:name w:val="Footer Left"/>
    <w:basedOn w:val="Footer"/>
    <w:uiPriority w:val="99"/>
    <w:rsid w:val="00BB1009"/>
    <w:pPr>
      <w:framePr w:w="8505" w:h="1134" w:vSpace="170" w:wrap="around" w:vAnchor="page" w:hAnchor="margin" w:yAlign="bottom" w:anchorLock="1"/>
      <w:tabs>
        <w:tab w:val="clear" w:pos="9072"/>
        <w:tab w:val="center" w:pos="4513"/>
        <w:tab w:val="right" w:pos="9026"/>
      </w:tabs>
      <w:spacing w:before="120" w:after="120" w:line="276" w:lineRule="auto"/>
    </w:pPr>
    <w:rPr>
      <w:caps w:val="0"/>
    </w:rPr>
  </w:style>
  <w:style w:type="paragraph" w:customStyle="1" w:styleId="FooterRight">
    <w:name w:val="Footer Right"/>
    <w:basedOn w:val="FooterLeft"/>
    <w:uiPriority w:val="99"/>
    <w:rsid w:val="00BB1009"/>
    <w:pPr>
      <w:framePr w:w="1134" w:wrap="around" w:xAlign="right"/>
    </w:pPr>
  </w:style>
  <w:style w:type="paragraph" w:customStyle="1" w:styleId="Endpageflags">
    <w:name w:val="End page flags"/>
    <w:basedOn w:val="Normal"/>
    <w:rsid w:val="00BB1009"/>
    <w:pPr>
      <w:spacing w:before="240"/>
    </w:pPr>
  </w:style>
  <w:style w:type="paragraph" w:customStyle="1" w:styleId="Title-Regular">
    <w:name w:val="Title-Regular"/>
    <w:basedOn w:val="Normal"/>
    <w:rsid w:val="00BB1009"/>
    <w:pPr>
      <w:spacing w:after="0" w:line="240" w:lineRule="auto"/>
    </w:pPr>
    <w:rPr>
      <w:color w:val="FFFFFF" w:themeColor="background1"/>
      <w:sz w:val="80"/>
      <w:lang w:val="en-GB"/>
    </w:rPr>
  </w:style>
  <w:style w:type="paragraph" w:customStyle="1" w:styleId="Coverimage">
    <w:name w:val="Cover image"/>
    <w:basedOn w:val="Normal"/>
    <w:rsid w:val="00BB1009"/>
    <w:pPr>
      <w:framePr w:w="9072" w:h="16897" w:wrap="around" w:vAnchor="page" w:hAnchor="page" w:x="3403" w:yAlign="top" w:anchorLock="1"/>
      <w:spacing w:before="0" w:after="0" w:line="120" w:lineRule="auto"/>
    </w:pPr>
  </w:style>
  <w:style w:type="character" w:customStyle="1" w:styleId="Bold">
    <w:name w:val="Bold"/>
    <w:basedOn w:val="DefaultParagraphFont"/>
    <w:uiPriority w:val="1"/>
    <w:qFormat/>
    <w:rsid w:val="00BB1009"/>
    <w:rPr>
      <w:b/>
    </w:rPr>
  </w:style>
  <w:style w:type="character" w:customStyle="1" w:styleId="Alert">
    <w:name w:val="Alert"/>
    <w:basedOn w:val="DefaultParagraphFont"/>
    <w:uiPriority w:val="1"/>
    <w:qFormat/>
    <w:rsid w:val="00BB1009"/>
    <w:rPr>
      <w:color w:val="F15B60"/>
    </w:rPr>
  </w:style>
  <w:style w:type="paragraph" w:customStyle="1" w:styleId="SectioncoverTitle">
    <w:name w:val="Section cover Title"/>
    <w:basedOn w:val="Title"/>
    <w:uiPriority w:val="99"/>
    <w:rsid w:val="00BB1009"/>
    <w:pPr>
      <w:framePr w:wrap="notBeside"/>
    </w:pPr>
    <w:rPr>
      <w:sz w:val="64"/>
    </w:rPr>
  </w:style>
  <w:style w:type="paragraph" w:customStyle="1" w:styleId="SectioncoverSubtitle">
    <w:name w:val="Section cover Subtitle"/>
    <w:basedOn w:val="Title-Regular"/>
    <w:uiPriority w:val="99"/>
    <w:rsid w:val="00BB1009"/>
    <w:rPr>
      <w:sz w:val="64"/>
    </w:rPr>
  </w:style>
  <w:style w:type="paragraph" w:customStyle="1" w:styleId="Endpage-URL">
    <w:name w:val="End page-URL"/>
    <w:basedOn w:val="Normal"/>
    <w:rsid w:val="00BB1009"/>
    <w:pPr>
      <w:jc w:val="right"/>
    </w:pPr>
    <w:rPr>
      <w:b/>
      <w:color w:val="FFFFFF" w:themeColor="background1"/>
      <w:sz w:val="24"/>
    </w:rPr>
  </w:style>
  <w:style w:type="paragraph" w:customStyle="1" w:styleId="EndpageHeading">
    <w:name w:val="End page Heading"/>
    <w:basedOn w:val="Normal"/>
    <w:next w:val="EndpageBodytext"/>
    <w:link w:val="EndpageHeadingChar"/>
    <w:rsid w:val="00BB1009"/>
    <w:rPr>
      <w:b/>
      <w:color w:val="FFFFFF" w:themeColor="background1"/>
      <w:sz w:val="40"/>
    </w:rPr>
  </w:style>
  <w:style w:type="paragraph" w:customStyle="1" w:styleId="EndpageBodytext">
    <w:name w:val="End page Body text"/>
    <w:basedOn w:val="EndpageHeading"/>
    <w:link w:val="EndpageBodytextChar"/>
    <w:rsid w:val="00BB1009"/>
    <w:rPr>
      <w:b w:val="0"/>
      <w:sz w:val="25"/>
    </w:rPr>
  </w:style>
  <w:style w:type="character" w:customStyle="1" w:styleId="EndpageHeadingChar">
    <w:name w:val="End page Heading Char"/>
    <w:basedOn w:val="DefaultParagraphFont"/>
    <w:link w:val="EndpageHeading"/>
    <w:rsid w:val="00BB1009"/>
    <w:rPr>
      <w:b/>
      <w:color w:val="FFFFFF" w:themeColor="background1"/>
      <w:spacing w:val="-2"/>
      <w:sz w:val="40"/>
    </w:rPr>
  </w:style>
  <w:style w:type="character" w:customStyle="1" w:styleId="EndpageBodytextChar">
    <w:name w:val="End page Body text Char"/>
    <w:basedOn w:val="EndpageHeadingChar"/>
    <w:link w:val="EndpageBodytext"/>
    <w:rsid w:val="00BB1009"/>
    <w:rPr>
      <w:b w:val="0"/>
      <w:color w:val="FFFFFF" w:themeColor="background1"/>
      <w:spacing w:val="-2"/>
      <w:sz w:val="25"/>
    </w:rPr>
  </w:style>
  <w:style w:type="character" w:styleId="UnresolvedMention">
    <w:name w:val="Unresolved Mention"/>
    <w:basedOn w:val="DefaultParagraphFont"/>
    <w:uiPriority w:val="99"/>
    <w:semiHidden/>
    <w:unhideWhenUsed/>
    <w:rsid w:val="00E80E97"/>
    <w:rPr>
      <w:color w:val="605E5C"/>
      <w:shd w:val="clear" w:color="auto" w:fill="E1DFDD"/>
    </w:rPr>
  </w:style>
  <w:style w:type="character" w:customStyle="1" w:styleId="tabchar">
    <w:name w:val="tabchar"/>
    <w:basedOn w:val="DefaultParagraphFont"/>
    <w:rsid w:val="00407A1B"/>
  </w:style>
  <w:style w:type="character" w:customStyle="1" w:styleId="superscript">
    <w:name w:val="superscript"/>
    <w:basedOn w:val="DefaultParagraphFont"/>
    <w:rsid w:val="00706104"/>
  </w:style>
  <w:style w:type="paragraph" w:styleId="FootnoteText">
    <w:name w:val="footnote text"/>
    <w:basedOn w:val="Normal"/>
    <w:link w:val="FootnoteTextChar"/>
    <w:uiPriority w:val="99"/>
    <w:unhideWhenUsed/>
    <w:qFormat/>
    <w:rsid w:val="00826197"/>
    <w:pPr>
      <w:spacing w:after="0" w:line="240" w:lineRule="auto"/>
    </w:pPr>
    <w:rPr>
      <w:sz w:val="16"/>
      <w:szCs w:val="20"/>
    </w:rPr>
  </w:style>
  <w:style w:type="character" w:customStyle="1" w:styleId="FootnoteTextChar">
    <w:name w:val="Footnote Text Char"/>
    <w:basedOn w:val="DefaultParagraphFont"/>
    <w:link w:val="FootnoteText"/>
    <w:uiPriority w:val="99"/>
    <w:rsid w:val="00826197"/>
    <w:rPr>
      <w:spacing w:val="-2"/>
      <w:sz w:val="16"/>
      <w:szCs w:val="20"/>
    </w:rPr>
  </w:style>
  <w:style w:type="character" w:styleId="FootnoteReference">
    <w:name w:val="footnote reference"/>
    <w:basedOn w:val="DefaultParagraphFont"/>
    <w:uiPriority w:val="99"/>
    <w:unhideWhenUsed/>
    <w:rsid w:val="00475851"/>
    <w:rPr>
      <w:vertAlign w:val="superscript"/>
    </w:rPr>
  </w:style>
  <w:style w:type="character" w:styleId="CommentReference">
    <w:name w:val="annotation reference"/>
    <w:basedOn w:val="DefaultParagraphFont"/>
    <w:uiPriority w:val="99"/>
    <w:unhideWhenUsed/>
    <w:rsid w:val="00715B3C"/>
    <w:rPr>
      <w:sz w:val="16"/>
      <w:szCs w:val="16"/>
    </w:rPr>
  </w:style>
  <w:style w:type="paragraph" w:styleId="CommentText">
    <w:name w:val="annotation text"/>
    <w:basedOn w:val="Normal"/>
    <w:link w:val="CommentTextChar"/>
    <w:uiPriority w:val="99"/>
    <w:unhideWhenUsed/>
    <w:rsid w:val="00715B3C"/>
    <w:pPr>
      <w:spacing w:line="240" w:lineRule="auto"/>
    </w:pPr>
    <w:rPr>
      <w:sz w:val="20"/>
      <w:szCs w:val="20"/>
    </w:rPr>
  </w:style>
  <w:style w:type="character" w:customStyle="1" w:styleId="CommentTextChar">
    <w:name w:val="Comment Text Char"/>
    <w:basedOn w:val="DefaultParagraphFont"/>
    <w:link w:val="CommentText"/>
    <w:uiPriority w:val="99"/>
    <w:rsid w:val="00715B3C"/>
    <w:rPr>
      <w:spacing w:val="-2"/>
      <w:sz w:val="20"/>
      <w:szCs w:val="20"/>
    </w:rPr>
  </w:style>
  <w:style w:type="paragraph" w:styleId="CommentSubject">
    <w:name w:val="annotation subject"/>
    <w:basedOn w:val="CommentText"/>
    <w:next w:val="CommentText"/>
    <w:link w:val="CommentSubjectChar"/>
    <w:uiPriority w:val="99"/>
    <w:semiHidden/>
    <w:unhideWhenUsed/>
    <w:rsid w:val="00715B3C"/>
    <w:rPr>
      <w:b/>
      <w:bCs/>
    </w:rPr>
  </w:style>
  <w:style w:type="character" w:customStyle="1" w:styleId="CommentSubjectChar">
    <w:name w:val="Comment Subject Char"/>
    <w:basedOn w:val="CommentTextChar"/>
    <w:link w:val="CommentSubject"/>
    <w:uiPriority w:val="99"/>
    <w:semiHidden/>
    <w:rsid w:val="00715B3C"/>
    <w:rPr>
      <w:b/>
      <w:bCs/>
      <w:spacing w:val="-2"/>
      <w:sz w:val="20"/>
      <w:szCs w:val="20"/>
    </w:rPr>
  </w:style>
  <w:style w:type="character" w:styleId="SubtleEmphasis">
    <w:name w:val="Subtle Emphasis"/>
    <w:basedOn w:val="DefaultParagraphFont"/>
    <w:uiPriority w:val="19"/>
    <w:rsid w:val="00AB7E3E"/>
    <w:rPr>
      <w:i/>
      <w:iCs/>
      <w:color w:val="404040" w:themeColor="text1" w:themeTint="BF"/>
    </w:rPr>
  </w:style>
  <w:style w:type="paragraph" w:styleId="Revision">
    <w:name w:val="Revision"/>
    <w:hidden/>
    <w:uiPriority w:val="99"/>
    <w:semiHidden/>
    <w:rsid w:val="000D1C7E"/>
    <w:pPr>
      <w:spacing w:after="0" w:line="240" w:lineRule="auto"/>
    </w:pPr>
    <w:rPr>
      <w:spacing w:val="-2"/>
    </w:rPr>
  </w:style>
  <w:style w:type="character" w:customStyle="1" w:styleId="ListParagraphChar">
    <w:name w:val="List Paragraph Char"/>
    <w:aliases w:val="Bullet List Paragraph Char,OW List Paragraph Char,H_List Paragraph Char,L Char,List Paragraph1 Char,List Paragraph11 Char,Number Char,Recommendation Char"/>
    <w:basedOn w:val="DefaultParagraphFont"/>
    <w:link w:val="ListParagraph"/>
    <w:uiPriority w:val="34"/>
    <w:rsid w:val="000D1C7E"/>
    <w:rPr>
      <w:spacing w:val="-2"/>
    </w:rPr>
  </w:style>
  <w:style w:type="table" w:styleId="ListTable3">
    <w:name w:val="List Table 3"/>
    <w:basedOn w:val="TableNormal"/>
    <w:uiPriority w:val="48"/>
    <w:rsid w:val="000D1C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6">
    <w:name w:val="List Table 4 Accent 6"/>
    <w:basedOn w:val="TableNormal"/>
    <w:uiPriority w:val="49"/>
    <w:rsid w:val="00270C4F"/>
    <w:pPr>
      <w:spacing w:after="0" w:line="240" w:lineRule="auto"/>
    </w:pPr>
    <w:tblPr>
      <w:tblStyleRowBandSize w:val="1"/>
      <w:tblStyleColBandSize w:val="1"/>
      <w:tblBorders>
        <w:top w:val="single" w:sz="4" w:space="0" w:color="F69C9F" w:themeColor="accent6" w:themeTint="99"/>
        <w:left w:val="single" w:sz="4" w:space="0" w:color="F69C9F" w:themeColor="accent6" w:themeTint="99"/>
        <w:bottom w:val="single" w:sz="4" w:space="0" w:color="F69C9F" w:themeColor="accent6" w:themeTint="99"/>
        <w:right w:val="single" w:sz="4" w:space="0" w:color="F69C9F" w:themeColor="accent6" w:themeTint="99"/>
        <w:insideH w:val="single" w:sz="4" w:space="0" w:color="F69C9F" w:themeColor="accent6" w:themeTint="99"/>
      </w:tblBorders>
    </w:tblPr>
    <w:tblStylePr w:type="firstRow">
      <w:rPr>
        <w:b/>
        <w:bCs/>
        <w:color w:val="FFFFFF" w:themeColor="background1"/>
      </w:rPr>
      <w:tblPr/>
      <w:tcPr>
        <w:tcBorders>
          <w:top w:val="single" w:sz="4" w:space="0" w:color="F15B60" w:themeColor="accent6"/>
          <w:left w:val="single" w:sz="4" w:space="0" w:color="F15B60" w:themeColor="accent6"/>
          <w:bottom w:val="single" w:sz="4" w:space="0" w:color="F15B60" w:themeColor="accent6"/>
          <w:right w:val="single" w:sz="4" w:space="0" w:color="F15B60" w:themeColor="accent6"/>
          <w:insideH w:val="nil"/>
        </w:tcBorders>
        <w:shd w:val="clear" w:color="auto" w:fill="F15B60" w:themeFill="accent6"/>
      </w:tcPr>
    </w:tblStylePr>
    <w:tblStylePr w:type="lastRow">
      <w:rPr>
        <w:b/>
        <w:bCs/>
      </w:rPr>
      <w:tblPr/>
      <w:tcPr>
        <w:tcBorders>
          <w:top w:val="double" w:sz="4" w:space="0" w:color="F69C9F" w:themeColor="accent6" w:themeTint="99"/>
        </w:tcBorders>
      </w:tcPr>
    </w:tblStylePr>
    <w:tblStylePr w:type="firstCol">
      <w:rPr>
        <w:b/>
        <w:bCs/>
      </w:rPr>
    </w:tblStylePr>
    <w:tblStylePr w:type="lastCol">
      <w:rPr>
        <w:b/>
        <w:bCs/>
      </w:rPr>
    </w:tblStylePr>
    <w:tblStylePr w:type="band1Vert">
      <w:tblPr/>
      <w:tcPr>
        <w:shd w:val="clear" w:color="auto" w:fill="FCDEDE" w:themeFill="accent6" w:themeFillTint="33"/>
      </w:tcPr>
    </w:tblStylePr>
    <w:tblStylePr w:type="band1Horz">
      <w:tblPr/>
      <w:tcPr>
        <w:shd w:val="clear" w:color="auto" w:fill="FCDEDE" w:themeFill="accent6" w:themeFillTint="33"/>
      </w:tcPr>
    </w:tblStylePr>
  </w:style>
  <w:style w:type="paragraph" w:styleId="NormalWeb">
    <w:name w:val="Normal (Web)"/>
    <w:basedOn w:val="Normal"/>
    <w:uiPriority w:val="99"/>
    <w:semiHidden/>
    <w:unhideWhenUsed/>
    <w:rsid w:val="00270C4F"/>
    <w:pPr>
      <w:spacing w:before="100" w:beforeAutospacing="1" w:after="100" w:afterAutospacing="1"/>
    </w:pPr>
    <w:rPr>
      <w:rFonts w:ascii="Times New Roman" w:eastAsia="Times New Roman" w:hAnsi="Times New Roman" w:cs="Times New Roman"/>
      <w:spacing w:val="0"/>
      <w:sz w:val="24"/>
      <w:szCs w:val="24"/>
      <w:lang w:eastAsia="en-AU"/>
    </w:rPr>
  </w:style>
  <w:style w:type="paragraph" w:styleId="BalloonText">
    <w:name w:val="Balloon Text"/>
    <w:basedOn w:val="Normal"/>
    <w:link w:val="BalloonTextChar"/>
    <w:uiPriority w:val="99"/>
    <w:semiHidden/>
    <w:unhideWhenUsed/>
    <w:rsid w:val="00270C4F"/>
    <w:rPr>
      <w:rFonts w:ascii="Segoe UI" w:hAnsi="Segoe UI" w:cs="Segoe UI"/>
      <w:spacing w:val="0"/>
      <w:sz w:val="18"/>
      <w:szCs w:val="18"/>
    </w:rPr>
  </w:style>
  <w:style w:type="character" w:customStyle="1" w:styleId="BalloonTextChar">
    <w:name w:val="Balloon Text Char"/>
    <w:basedOn w:val="DefaultParagraphFont"/>
    <w:link w:val="BalloonText"/>
    <w:uiPriority w:val="99"/>
    <w:semiHidden/>
    <w:rsid w:val="00270C4F"/>
    <w:rPr>
      <w:rFonts w:ascii="Segoe UI" w:hAnsi="Segoe UI" w:cs="Segoe UI"/>
      <w:sz w:val="18"/>
      <w:szCs w:val="18"/>
    </w:rPr>
  </w:style>
  <w:style w:type="paragraph" w:customStyle="1" w:styleId="TableText9pt">
    <w:name w:val="Table Text 9pt"/>
    <w:basedOn w:val="Normal"/>
    <w:rsid w:val="00EE1D45"/>
    <w:rPr>
      <w:sz w:val="18"/>
    </w:rPr>
  </w:style>
  <w:style w:type="character" w:styleId="Emphasis">
    <w:name w:val="Emphasis"/>
    <w:basedOn w:val="DefaultParagraphFont"/>
    <w:uiPriority w:val="20"/>
    <w:qFormat/>
    <w:rsid w:val="00270C4F"/>
    <w:rPr>
      <w:i/>
      <w:iCs/>
    </w:rPr>
  </w:style>
  <w:style w:type="paragraph" w:customStyle="1" w:styleId="Subtitles">
    <w:name w:val="Subtitles"/>
    <w:basedOn w:val="Normal"/>
    <w:link w:val="SubtitlesChar"/>
    <w:rsid w:val="00270C4F"/>
    <w:rPr>
      <w:color w:val="1A216B"/>
      <w:spacing w:val="0"/>
      <w:sz w:val="32"/>
      <w:szCs w:val="32"/>
    </w:rPr>
  </w:style>
  <w:style w:type="character" w:customStyle="1" w:styleId="SubtitlesChar">
    <w:name w:val="Subtitles Char"/>
    <w:basedOn w:val="DefaultParagraphFont"/>
    <w:link w:val="Subtitles"/>
    <w:rsid w:val="00270C4F"/>
    <w:rPr>
      <w:color w:val="1A216B"/>
      <w:sz w:val="32"/>
      <w:szCs w:val="32"/>
    </w:rPr>
  </w:style>
  <w:style w:type="paragraph" w:customStyle="1" w:styleId="Default">
    <w:name w:val="Default"/>
    <w:rsid w:val="00270C4F"/>
    <w:pPr>
      <w:autoSpaceDE w:val="0"/>
      <w:autoSpaceDN w:val="0"/>
      <w:adjustRightInd w:val="0"/>
      <w:spacing w:after="0" w:line="240" w:lineRule="auto"/>
    </w:pPr>
    <w:rPr>
      <w:rFonts w:ascii="YVW Rational" w:hAnsi="YVW Rational" w:cs="YVW Rational"/>
      <w:color w:val="000000"/>
      <w:sz w:val="24"/>
      <w:szCs w:val="24"/>
    </w:rPr>
  </w:style>
  <w:style w:type="character" w:styleId="FollowedHyperlink">
    <w:name w:val="FollowedHyperlink"/>
    <w:basedOn w:val="DefaultParagraphFont"/>
    <w:uiPriority w:val="99"/>
    <w:semiHidden/>
    <w:unhideWhenUsed/>
    <w:rsid w:val="00270C4F"/>
    <w:rPr>
      <w:color w:val="1A206C" w:themeColor="followedHyperlink"/>
      <w:u w:val="single"/>
    </w:rPr>
  </w:style>
  <w:style w:type="table" w:styleId="GridTable3-Accent1">
    <w:name w:val="Grid Table 3 Accent 1"/>
    <w:basedOn w:val="TableNormal"/>
    <w:uiPriority w:val="48"/>
    <w:rsid w:val="00270C4F"/>
    <w:pPr>
      <w:spacing w:after="0" w:line="240" w:lineRule="auto"/>
    </w:pPr>
    <w:tblPr>
      <w:tblStyleRowBandSize w:val="1"/>
      <w:tblStyleColBandSize w:val="1"/>
      <w:tblBorders>
        <w:top w:val="single" w:sz="4" w:space="0" w:color="89D4B1" w:themeColor="accent1" w:themeTint="99"/>
        <w:left w:val="single" w:sz="4" w:space="0" w:color="89D4B1" w:themeColor="accent1" w:themeTint="99"/>
        <w:bottom w:val="single" w:sz="4" w:space="0" w:color="89D4B1" w:themeColor="accent1" w:themeTint="99"/>
        <w:right w:val="single" w:sz="4" w:space="0" w:color="89D4B1" w:themeColor="accent1" w:themeTint="99"/>
        <w:insideH w:val="single" w:sz="4" w:space="0" w:color="89D4B1" w:themeColor="accent1" w:themeTint="99"/>
        <w:insideV w:val="single" w:sz="4" w:space="0" w:color="89D4B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E4" w:themeFill="accent1" w:themeFillTint="33"/>
      </w:tcPr>
    </w:tblStylePr>
    <w:tblStylePr w:type="band1Horz">
      <w:tblPr/>
      <w:tcPr>
        <w:shd w:val="clear" w:color="auto" w:fill="D7F0E4" w:themeFill="accent1" w:themeFillTint="33"/>
      </w:tcPr>
    </w:tblStylePr>
    <w:tblStylePr w:type="neCell">
      <w:tblPr/>
      <w:tcPr>
        <w:tcBorders>
          <w:bottom w:val="single" w:sz="4" w:space="0" w:color="89D4B1" w:themeColor="accent1" w:themeTint="99"/>
        </w:tcBorders>
      </w:tcPr>
    </w:tblStylePr>
    <w:tblStylePr w:type="nwCell">
      <w:tblPr/>
      <w:tcPr>
        <w:tcBorders>
          <w:bottom w:val="single" w:sz="4" w:space="0" w:color="89D4B1" w:themeColor="accent1" w:themeTint="99"/>
        </w:tcBorders>
      </w:tcPr>
    </w:tblStylePr>
    <w:tblStylePr w:type="seCell">
      <w:tblPr/>
      <w:tcPr>
        <w:tcBorders>
          <w:top w:val="single" w:sz="4" w:space="0" w:color="89D4B1" w:themeColor="accent1" w:themeTint="99"/>
        </w:tcBorders>
      </w:tcPr>
    </w:tblStylePr>
    <w:tblStylePr w:type="swCell">
      <w:tblPr/>
      <w:tcPr>
        <w:tcBorders>
          <w:top w:val="single" w:sz="4" w:space="0" w:color="89D4B1" w:themeColor="accent1" w:themeTint="99"/>
        </w:tcBorders>
      </w:tcPr>
    </w:tblStylePr>
  </w:style>
  <w:style w:type="table" w:styleId="GridTable3-Accent5">
    <w:name w:val="Grid Table 3 Accent 5"/>
    <w:basedOn w:val="TableNormal"/>
    <w:uiPriority w:val="48"/>
    <w:rsid w:val="00270C4F"/>
    <w:pPr>
      <w:spacing w:after="0" w:line="240" w:lineRule="auto"/>
    </w:pPr>
    <w:tblPr>
      <w:tblStyleRowBandSize w:val="1"/>
      <w:tblStyleColBandSize w:val="1"/>
      <w:tblBorders>
        <w:top w:val="single" w:sz="4" w:space="0" w:color="C6E8E3" w:themeColor="accent5" w:themeTint="99"/>
        <w:left w:val="single" w:sz="4" w:space="0" w:color="C6E8E3" w:themeColor="accent5" w:themeTint="99"/>
        <w:bottom w:val="single" w:sz="4" w:space="0" w:color="C6E8E3" w:themeColor="accent5" w:themeTint="99"/>
        <w:right w:val="single" w:sz="4" w:space="0" w:color="C6E8E3" w:themeColor="accent5" w:themeTint="99"/>
        <w:insideH w:val="single" w:sz="4" w:space="0" w:color="C6E8E3" w:themeColor="accent5" w:themeTint="99"/>
        <w:insideV w:val="single" w:sz="4" w:space="0" w:color="C6E8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7F5" w:themeFill="accent5" w:themeFillTint="33"/>
      </w:tcPr>
    </w:tblStylePr>
    <w:tblStylePr w:type="band1Horz">
      <w:tblPr/>
      <w:tcPr>
        <w:shd w:val="clear" w:color="auto" w:fill="ECF7F5" w:themeFill="accent5" w:themeFillTint="33"/>
      </w:tcPr>
    </w:tblStylePr>
    <w:tblStylePr w:type="neCell">
      <w:tblPr/>
      <w:tcPr>
        <w:tcBorders>
          <w:bottom w:val="single" w:sz="4" w:space="0" w:color="C6E8E3" w:themeColor="accent5" w:themeTint="99"/>
        </w:tcBorders>
      </w:tcPr>
    </w:tblStylePr>
    <w:tblStylePr w:type="nwCell">
      <w:tblPr/>
      <w:tcPr>
        <w:tcBorders>
          <w:bottom w:val="single" w:sz="4" w:space="0" w:color="C6E8E3" w:themeColor="accent5" w:themeTint="99"/>
        </w:tcBorders>
      </w:tcPr>
    </w:tblStylePr>
    <w:tblStylePr w:type="seCell">
      <w:tblPr/>
      <w:tcPr>
        <w:tcBorders>
          <w:top w:val="single" w:sz="4" w:space="0" w:color="C6E8E3" w:themeColor="accent5" w:themeTint="99"/>
        </w:tcBorders>
      </w:tcPr>
    </w:tblStylePr>
    <w:tblStylePr w:type="swCell">
      <w:tblPr/>
      <w:tcPr>
        <w:tcBorders>
          <w:top w:val="single" w:sz="4" w:space="0" w:color="C6E8E3" w:themeColor="accent5" w:themeTint="99"/>
        </w:tcBorders>
      </w:tcPr>
    </w:tblStylePr>
  </w:style>
  <w:style w:type="table" w:styleId="GridTable2-Accent1">
    <w:name w:val="Grid Table 2 Accent 1"/>
    <w:basedOn w:val="TableNormal"/>
    <w:uiPriority w:val="47"/>
    <w:rsid w:val="00270C4F"/>
    <w:pPr>
      <w:spacing w:after="0" w:line="240" w:lineRule="auto"/>
    </w:pPr>
    <w:tblPr>
      <w:tblStyleRowBandSize w:val="1"/>
      <w:tblStyleColBandSize w:val="1"/>
      <w:tblBorders>
        <w:top w:val="single" w:sz="2" w:space="0" w:color="89D4B1" w:themeColor="accent1" w:themeTint="99"/>
        <w:bottom w:val="single" w:sz="2" w:space="0" w:color="89D4B1" w:themeColor="accent1" w:themeTint="99"/>
        <w:insideH w:val="single" w:sz="2" w:space="0" w:color="89D4B1" w:themeColor="accent1" w:themeTint="99"/>
        <w:insideV w:val="single" w:sz="2" w:space="0" w:color="89D4B1" w:themeColor="accent1" w:themeTint="99"/>
      </w:tblBorders>
    </w:tblPr>
    <w:tblStylePr w:type="firstRow">
      <w:rPr>
        <w:b/>
        <w:bCs/>
      </w:rPr>
      <w:tblPr/>
      <w:tcPr>
        <w:tcBorders>
          <w:top w:val="nil"/>
          <w:bottom w:val="single" w:sz="12" w:space="0" w:color="89D4B1" w:themeColor="accent1" w:themeTint="99"/>
          <w:insideH w:val="nil"/>
          <w:insideV w:val="nil"/>
        </w:tcBorders>
        <w:shd w:val="clear" w:color="auto" w:fill="FFFFFF" w:themeFill="background1"/>
      </w:tcPr>
    </w:tblStylePr>
    <w:tblStylePr w:type="lastRow">
      <w:rPr>
        <w:b/>
        <w:bCs/>
      </w:rPr>
      <w:tblPr/>
      <w:tcPr>
        <w:tcBorders>
          <w:top w:val="double" w:sz="2" w:space="0" w:color="89D4B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E4" w:themeFill="accent1" w:themeFillTint="33"/>
      </w:tcPr>
    </w:tblStylePr>
    <w:tblStylePr w:type="band1Horz">
      <w:tblPr/>
      <w:tcPr>
        <w:shd w:val="clear" w:color="auto" w:fill="D7F0E4" w:themeFill="accent1" w:themeFillTint="33"/>
      </w:tcPr>
    </w:tblStylePr>
  </w:style>
  <w:style w:type="table" w:styleId="GridTable4-Accent6">
    <w:name w:val="Grid Table 4 Accent 6"/>
    <w:basedOn w:val="TableNormal"/>
    <w:uiPriority w:val="49"/>
    <w:rsid w:val="00270C4F"/>
    <w:pPr>
      <w:spacing w:after="0" w:line="240" w:lineRule="auto"/>
    </w:pPr>
    <w:tblPr>
      <w:tblStyleRowBandSize w:val="1"/>
      <w:tblStyleColBandSize w:val="1"/>
      <w:tblBorders>
        <w:top w:val="single" w:sz="4" w:space="0" w:color="F69C9F" w:themeColor="accent6" w:themeTint="99"/>
        <w:left w:val="single" w:sz="4" w:space="0" w:color="F69C9F" w:themeColor="accent6" w:themeTint="99"/>
        <w:bottom w:val="single" w:sz="4" w:space="0" w:color="F69C9F" w:themeColor="accent6" w:themeTint="99"/>
        <w:right w:val="single" w:sz="4" w:space="0" w:color="F69C9F" w:themeColor="accent6" w:themeTint="99"/>
        <w:insideH w:val="single" w:sz="4" w:space="0" w:color="F69C9F" w:themeColor="accent6" w:themeTint="99"/>
        <w:insideV w:val="single" w:sz="4" w:space="0" w:color="F69C9F" w:themeColor="accent6" w:themeTint="99"/>
      </w:tblBorders>
    </w:tblPr>
    <w:tblStylePr w:type="firstRow">
      <w:rPr>
        <w:b/>
        <w:bCs/>
        <w:color w:val="FFFFFF" w:themeColor="background1"/>
      </w:rPr>
      <w:tblPr/>
      <w:tcPr>
        <w:tcBorders>
          <w:top w:val="single" w:sz="4" w:space="0" w:color="F15B60" w:themeColor="accent6"/>
          <w:left w:val="single" w:sz="4" w:space="0" w:color="F15B60" w:themeColor="accent6"/>
          <w:bottom w:val="single" w:sz="4" w:space="0" w:color="F15B60" w:themeColor="accent6"/>
          <w:right w:val="single" w:sz="4" w:space="0" w:color="F15B60" w:themeColor="accent6"/>
          <w:insideH w:val="nil"/>
          <w:insideV w:val="nil"/>
        </w:tcBorders>
        <w:shd w:val="clear" w:color="auto" w:fill="F15B60" w:themeFill="accent6"/>
      </w:tcPr>
    </w:tblStylePr>
    <w:tblStylePr w:type="lastRow">
      <w:rPr>
        <w:b/>
        <w:bCs/>
      </w:rPr>
      <w:tblPr/>
      <w:tcPr>
        <w:tcBorders>
          <w:top w:val="double" w:sz="4" w:space="0" w:color="F15B60" w:themeColor="accent6"/>
        </w:tcBorders>
      </w:tcPr>
    </w:tblStylePr>
    <w:tblStylePr w:type="firstCol">
      <w:rPr>
        <w:b/>
        <w:bCs/>
      </w:rPr>
    </w:tblStylePr>
    <w:tblStylePr w:type="lastCol">
      <w:rPr>
        <w:b/>
        <w:bCs/>
      </w:rPr>
    </w:tblStylePr>
    <w:tblStylePr w:type="band1Vert">
      <w:tblPr/>
      <w:tcPr>
        <w:shd w:val="clear" w:color="auto" w:fill="FCDEDE" w:themeFill="accent6" w:themeFillTint="33"/>
      </w:tcPr>
    </w:tblStylePr>
    <w:tblStylePr w:type="band1Horz">
      <w:tblPr/>
      <w:tcPr>
        <w:shd w:val="clear" w:color="auto" w:fill="FCDEDE" w:themeFill="accent6" w:themeFillTint="33"/>
      </w:tcPr>
    </w:tblStylePr>
  </w:style>
  <w:style w:type="table" w:styleId="GridTable1Light">
    <w:name w:val="Grid Table 1 Light"/>
    <w:basedOn w:val="TableNormal"/>
    <w:uiPriority w:val="46"/>
    <w:rsid w:val="00270C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270C4F"/>
    <w:pPr>
      <w:spacing w:after="0"/>
    </w:pPr>
    <w:rPr>
      <w:spacing w:val="0"/>
    </w:rPr>
  </w:style>
  <w:style w:type="paragraph" w:customStyle="1" w:styleId="Subtitle1">
    <w:name w:val="Subtitle1"/>
    <w:basedOn w:val="Heading1"/>
    <w:rsid w:val="00270C4F"/>
    <w:pPr>
      <w:spacing w:before="0" w:line="259" w:lineRule="auto"/>
    </w:pPr>
    <w:rPr>
      <w:b w:val="0"/>
      <w:color w:val="000000" w:themeColor="text1"/>
      <w:spacing w:val="0"/>
      <w:sz w:val="32"/>
      <w:lang w:val="en-US"/>
    </w:rPr>
  </w:style>
  <w:style w:type="character" w:customStyle="1" w:styleId="findhit">
    <w:name w:val="findhit"/>
    <w:basedOn w:val="DefaultParagraphFont"/>
    <w:rsid w:val="00270C4F"/>
  </w:style>
  <w:style w:type="table" w:styleId="PlainTable2">
    <w:name w:val="Plain Table 2"/>
    <w:basedOn w:val="TableNormal"/>
    <w:uiPriority w:val="42"/>
    <w:rsid w:val="00270C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raftingnote">
    <w:name w:val="Drafting note"/>
    <w:basedOn w:val="Normal"/>
    <w:rsid w:val="00C618A1"/>
    <w:pPr>
      <w:shd w:val="clear" w:color="auto" w:fill="FFFFFF"/>
      <w:spacing w:after="0" w:line="240" w:lineRule="auto"/>
    </w:pPr>
    <w:rPr>
      <w:rFonts w:ascii="Verdana" w:eastAsia="Times New Roman" w:hAnsi="Verdana" w:cs="Arial"/>
      <w:b/>
      <w:color w:val="B3C5E6" w:themeColor="accent2"/>
      <w:spacing w:val="0"/>
      <w:sz w:val="20"/>
      <w:lang w:eastAsia="en-AU"/>
    </w:rPr>
  </w:style>
  <w:style w:type="numbering" w:customStyle="1" w:styleId="CurrentList1">
    <w:name w:val="Current List1"/>
    <w:uiPriority w:val="99"/>
    <w:rsid w:val="004964EC"/>
    <w:pPr>
      <w:numPr>
        <w:numId w:val="5"/>
      </w:numPr>
    </w:pPr>
  </w:style>
  <w:style w:type="paragraph" w:customStyle="1" w:styleId="outlineelement">
    <w:name w:val="outlineelement"/>
    <w:basedOn w:val="Normal"/>
    <w:rsid w:val="00BD5C57"/>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fieldrange">
    <w:name w:val="fieldrange"/>
    <w:basedOn w:val="DefaultParagraphFont"/>
    <w:rsid w:val="00BD5C57"/>
  </w:style>
  <w:style w:type="table" w:styleId="PlainTable1">
    <w:name w:val="Plain Table 1"/>
    <w:basedOn w:val="TableNormal"/>
    <w:uiPriority w:val="41"/>
    <w:rsid w:val="006313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405A3C"/>
    <w:pPr>
      <w:spacing w:after="0" w:line="240" w:lineRule="auto"/>
    </w:pPr>
    <w:tblPr>
      <w:tblStyleRowBandSize w:val="1"/>
      <w:tblStyleColBandSize w:val="1"/>
      <w:tblBorders>
        <w:top w:val="single" w:sz="4" w:space="0" w:color="4EC5D8" w:themeColor="accent3"/>
        <w:left w:val="single" w:sz="4" w:space="0" w:color="4EC5D8" w:themeColor="accent3"/>
        <w:bottom w:val="single" w:sz="4" w:space="0" w:color="4EC5D8" w:themeColor="accent3"/>
        <w:right w:val="single" w:sz="4" w:space="0" w:color="4EC5D8" w:themeColor="accent3"/>
      </w:tblBorders>
    </w:tblPr>
    <w:tblStylePr w:type="firstRow">
      <w:rPr>
        <w:b/>
        <w:bCs/>
        <w:color w:val="FFFFFF" w:themeColor="background1"/>
      </w:rPr>
      <w:tblPr/>
      <w:tcPr>
        <w:shd w:val="clear" w:color="auto" w:fill="4EC5D8" w:themeFill="accent3"/>
      </w:tcPr>
    </w:tblStylePr>
    <w:tblStylePr w:type="lastRow">
      <w:rPr>
        <w:b/>
        <w:bCs/>
      </w:rPr>
      <w:tblPr/>
      <w:tcPr>
        <w:tcBorders>
          <w:top w:val="double" w:sz="4" w:space="0" w:color="4EC5D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C5D8" w:themeColor="accent3"/>
          <w:right w:val="single" w:sz="4" w:space="0" w:color="4EC5D8" w:themeColor="accent3"/>
        </w:tcBorders>
      </w:tcPr>
    </w:tblStylePr>
    <w:tblStylePr w:type="band1Horz">
      <w:tblPr/>
      <w:tcPr>
        <w:tcBorders>
          <w:top w:val="single" w:sz="4" w:space="0" w:color="4EC5D8" w:themeColor="accent3"/>
          <w:bottom w:val="single" w:sz="4" w:space="0" w:color="4EC5D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C5D8" w:themeColor="accent3"/>
          <w:left w:val="nil"/>
        </w:tcBorders>
      </w:tcPr>
    </w:tblStylePr>
    <w:tblStylePr w:type="swCell">
      <w:tblPr/>
      <w:tcPr>
        <w:tcBorders>
          <w:top w:val="double" w:sz="4" w:space="0" w:color="4EC5D8" w:themeColor="accent3"/>
          <w:right w:val="nil"/>
        </w:tcBorders>
      </w:tcPr>
    </w:tblStylePr>
  </w:style>
  <w:style w:type="table" w:styleId="ListTable4">
    <w:name w:val="List Table 4"/>
    <w:basedOn w:val="TableNormal"/>
    <w:uiPriority w:val="49"/>
    <w:rsid w:val="00405A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405A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2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2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2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27D" w:themeFill="accent1"/>
      </w:tcPr>
    </w:tblStylePr>
    <w:tblStylePr w:type="band1Vert">
      <w:tblPr/>
      <w:tcPr>
        <w:shd w:val="clear" w:color="auto" w:fill="B0E2CA" w:themeFill="accent1" w:themeFillTint="66"/>
      </w:tcPr>
    </w:tblStylePr>
    <w:tblStylePr w:type="band1Horz">
      <w:tblPr/>
      <w:tcPr>
        <w:shd w:val="clear" w:color="auto" w:fill="B0E2CA" w:themeFill="accent1" w:themeFillTint="66"/>
      </w:tcPr>
    </w:tblStylePr>
  </w:style>
  <w:style w:type="table" w:styleId="GridTable4">
    <w:name w:val="Grid Table 4"/>
    <w:basedOn w:val="TableNormal"/>
    <w:uiPriority w:val="49"/>
    <w:rsid w:val="00DF51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DF51E9"/>
    <w:pPr>
      <w:spacing w:after="0" w:line="240" w:lineRule="auto"/>
    </w:pPr>
    <w:tblPr>
      <w:tblStyleRowBandSize w:val="1"/>
      <w:tblStyleColBandSize w:val="1"/>
      <w:tblBorders>
        <w:top w:val="single" w:sz="4" w:space="0" w:color="D1DCF0" w:themeColor="accent2" w:themeTint="99"/>
        <w:left w:val="single" w:sz="4" w:space="0" w:color="D1DCF0" w:themeColor="accent2" w:themeTint="99"/>
        <w:bottom w:val="single" w:sz="4" w:space="0" w:color="D1DCF0" w:themeColor="accent2" w:themeTint="99"/>
        <w:right w:val="single" w:sz="4" w:space="0" w:color="D1DCF0" w:themeColor="accent2" w:themeTint="99"/>
        <w:insideH w:val="single" w:sz="4" w:space="0" w:color="D1DCF0" w:themeColor="accent2" w:themeTint="99"/>
        <w:insideV w:val="single" w:sz="4" w:space="0" w:color="D1DCF0" w:themeColor="accent2" w:themeTint="99"/>
      </w:tblBorders>
    </w:tblPr>
    <w:tblStylePr w:type="firstRow">
      <w:rPr>
        <w:b/>
        <w:bCs/>
        <w:color w:val="FFFFFF" w:themeColor="background1"/>
      </w:rPr>
      <w:tblPr/>
      <w:tcPr>
        <w:tcBorders>
          <w:top w:val="single" w:sz="4" w:space="0" w:color="B3C5E6" w:themeColor="accent2"/>
          <w:left w:val="single" w:sz="4" w:space="0" w:color="B3C5E6" w:themeColor="accent2"/>
          <w:bottom w:val="single" w:sz="4" w:space="0" w:color="B3C5E6" w:themeColor="accent2"/>
          <w:right w:val="single" w:sz="4" w:space="0" w:color="B3C5E6" w:themeColor="accent2"/>
          <w:insideH w:val="nil"/>
          <w:insideV w:val="nil"/>
        </w:tcBorders>
        <w:shd w:val="clear" w:color="auto" w:fill="B3C5E6" w:themeFill="accent2"/>
      </w:tcPr>
    </w:tblStylePr>
    <w:tblStylePr w:type="lastRow">
      <w:rPr>
        <w:b/>
        <w:bCs/>
      </w:rPr>
      <w:tblPr/>
      <w:tcPr>
        <w:tcBorders>
          <w:top w:val="double" w:sz="4" w:space="0" w:color="B3C5E6" w:themeColor="accent2"/>
        </w:tcBorders>
      </w:tcPr>
    </w:tblStylePr>
    <w:tblStylePr w:type="firstCol">
      <w:rPr>
        <w:b/>
        <w:bCs/>
      </w:rPr>
    </w:tblStylePr>
    <w:tblStylePr w:type="lastCol">
      <w:rPr>
        <w:b/>
        <w:bCs/>
      </w:rPr>
    </w:tblStylePr>
    <w:tblStylePr w:type="band1Vert">
      <w:tblPr/>
      <w:tcPr>
        <w:shd w:val="clear" w:color="auto" w:fill="EFF3FA" w:themeFill="accent2" w:themeFillTint="33"/>
      </w:tcPr>
    </w:tblStylePr>
    <w:tblStylePr w:type="band1Horz">
      <w:tblPr/>
      <w:tcPr>
        <w:shd w:val="clear" w:color="auto" w:fill="EFF3FA" w:themeFill="accent2" w:themeFillTint="33"/>
      </w:tcPr>
    </w:tblStylePr>
  </w:style>
  <w:style w:type="table" w:styleId="GridTable4-Accent3">
    <w:name w:val="Grid Table 4 Accent 3"/>
    <w:basedOn w:val="TableNormal"/>
    <w:uiPriority w:val="49"/>
    <w:rsid w:val="00DF51E9"/>
    <w:pPr>
      <w:spacing w:after="0" w:line="240" w:lineRule="auto"/>
    </w:pPr>
    <w:tblPr>
      <w:tblStyleRowBandSize w:val="1"/>
      <w:tblStyleColBandSize w:val="1"/>
      <w:tblBorders>
        <w:top w:val="single" w:sz="4" w:space="0" w:color="94DBE7" w:themeColor="accent3" w:themeTint="99"/>
        <w:left w:val="single" w:sz="4" w:space="0" w:color="94DBE7" w:themeColor="accent3" w:themeTint="99"/>
        <w:bottom w:val="single" w:sz="4" w:space="0" w:color="94DBE7" w:themeColor="accent3" w:themeTint="99"/>
        <w:right w:val="single" w:sz="4" w:space="0" w:color="94DBE7" w:themeColor="accent3" w:themeTint="99"/>
        <w:insideH w:val="single" w:sz="4" w:space="0" w:color="94DBE7" w:themeColor="accent3" w:themeTint="99"/>
        <w:insideV w:val="single" w:sz="4" w:space="0" w:color="94DBE7" w:themeColor="accent3" w:themeTint="99"/>
      </w:tblBorders>
    </w:tblPr>
    <w:tblStylePr w:type="firstRow">
      <w:rPr>
        <w:b/>
        <w:bCs/>
        <w:color w:val="FFFFFF" w:themeColor="background1"/>
      </w:rPr>
      <w:tblPr/>
      <w:tcPr>
        <w:tcBorders>
          <w:top w:val="single" w:sz="4" w:space="0" w:color="4EC5D8" w:themeColor="accent3"/>
          <w:left w:val="single" w:sz="4" w:space="0" w:color="4EC5D8" w:themeColor="accent3"/>
          <w:bottom w:val="single" w:sz="4" w:space="0" w:color="4EC5D8" w:themeColor="accent3"/>
          <w:right w:val="single" w:sz="4" w:space="0" w:color="4EC5D8" w:themeColor="accent3"/>
          <w:insideH w:val="nil"/>
          <w:insideV w:val="nil"/>
        </w:tcBorders>
        <w:shd w:val="clear" w:color="auto" w:fill="4EC5D8" w:themeFill="accent3"/>
      </w:tcPr>
    </w:tblStylePr>
    <w:tblStylePr w:type="lastRow">
      <w:rPr>
        <w:b/>
        <w:bCs/>
      </w:rPr>
      <w:tblPr/>
      <w:tcPr>
        <w:tcBorders>
          <w:top w:val="double" w:sz="4" w:space="0" w:color="4EC5D8" w:themeColor="accent3"/>
        </w:tcBorders>
      </w:tcPr>
    </w:tblStylePr>
    <w:tblStylePr w:type="firstCol">
      <w:rPr>
        <w:b/>
        <w:bCs/>
      </w:rPr>
    </w:tblStylePr>
    <w:tblStylePr w:type="lastCol">
      <w:rPr>
        <w:b/>
        <w:bCs/>
      </w:rPr>
    </w:tblStylePr>
    <w:tblStylePr w:type="band1Vert">
      <w:tblPr/>
      <w:tcPr>
        <w:shd w:val="clear" w:color="auto" w:fill="DBF3F7" w:themeFill="accent3" w:themeFillTint="33"/>
      </w:tcPr>
    </w:tblStylePr>
    <w:tblStylePr w:type="band1Horz">
      <w:tblPr/>
      <w:tcPr>
        <w:shd w:val="clear" w:color="auto" w:fill="DBF3F7" w:themeFill="accent3" w:themeFillTint="33"/>
      </w:tcPr>
    </w:tblStylePr>
  </w:style>
  <w:style w:type="table" w:styleId="GridTable4-Accent5">
    <w:name w:val="Grid Table 4 Accent 5"/>
    <w:basedOn w:val="TableNormal"/>
    <w:uiPriority w:val="49"/>
    <w:rsid w:val="00DF51E9"/>
    <w:pPr>
      <w:spacing w:after="0" w:line="240" w:lineRule="auto"/>
    </w:pPr>
    <w:tblPr>
      <w:tblStyleRowBandSize w:val="1"/>
      <w:tblStyleColBandSize w:val="1"/>
      <w:tblBorders>
        <w:top w:val="single" w:sz="4" w:space="0" w:color="C6E8E3" w:themeColor="accent5" w:themeTint="99"/>
        <w:left w:val="single" w:sz="4" w:space="0" w:color="C6E8E3" w:themeColor="accent5" w:themeTint="99"/>
        <w:bottom w:val="single" w:sz="4" w:space="0" w:color="C6E8E3" w:themeColor="accent5" w:themeTint="99"/>
        <w:right w:val="single" w:sz="4" w:space="0" w:color="C6E8E3" w:themeColor="accent5" w:themeTint="99"/>
        <w:insideH w:val="single" w:sz="4" w:space="0" w:color="C6E8E3" w:themeColor="accent5" w:themeTint="99"/>
        <w:insideV w:val="single" w:sz="4" w:space="0" w:color="C6E8E3" w:themeColor="accent5" w:themeTint="99"/>
      </w:tblBorders>
    </w:tblPr>
    <w:tblStylePr w:type="firstRow">
      <w:rPr>
        <w:b/>
        <w:bCs/>
        <w:color w:val="FFFFFF" w:themeColor="background1"/>
      </w:rPr>
      <w:tblPr/>
      <w:tcPr>
        <w:tcBorders>
          <w:top w:val="single" w:sz="4" w:space="0" w:color="A1D9D2" w:themeColor="accent5"/>
          <w:left w:val="single" w:sz="4" w:space="0" w:color="A1D9D2" w:themeColor="accent5"/>
          <w:bottom w:val="single" w:sz="4" w:space="0" w:color="A1D9D2" w:themeColor="accent5"/>
          <w:right w:val="single" w:sz="4" w:space="0" w:color="A1D9D2" w:themeColor="accent5"/>
          <w:insideH w:val="nil"/>
          <w:insideV w:val="nil"/>
        </w:tcBorders>
        <w:shd w:val="clear" w:color="auto" w:fill="A1D9D2" w:themeFill="accent5"/>
      </w:tcPr>
    </w:tblStylePr>
    <w:tblStylePr w:type="lastRow">
      <w:rPr>
        <w:b/>
        <w:bCs/>
      </w:rPr>
      <w:tblPr/>
      <w:tcPr>
        <w:tcBorders>
          <w:top w:val="double" w:sz="4" w:space="0" w:color="A1D9D2" w:themeColor="accent5"/>
        </w:tcBorders>
      </w:tcPr>
    </w:tblStylePr>
    <w:tblStylePr w:type="firstCol">
      <w:rPr>
        <w:b/>
        <w:bCs/>
      </w:rPr>
    </w:tblStylePr>
    <w:tblStylePr w:type="lastCol">
      <w:rPr>
        <w:b/>
        <w:bCs/>
      </w:rPr>
    </w:tblStylePr>
    <w:tblStylePr w:type="band1Vert">
      <w:tblPr/>
      <w:tcPr>
        <w:shd w:val="clear" w:color="auto" w:fill="ECF7F5" w:themeFill="accent5" w:themeFillTint="33"/>
      </w:tcPr>
    </w:tblStylePr>
    <w:tblStylePr w:type="band1Horz">
      <w:tblPr/>
      <w:tcPr>
        <w:shd w:val="clear" w:color="auto" w:fill="ECF7F5" w:themeFill="accent5" w:themeFillTint="33"/>
      </w:tcPr>
    </w:tblStylePr>
  </w:style>
  <w:style w:type="character" w:customStyle="1" w:styleId="Heading6Char">
    <w:name w:val="Heading 6 Char"/>
    <w:basedOn w:val="DefaultParagraphFont"/>
    <w:link w:val="Heading6"/>
    <w:uiPriority w:val="9"/>
    <w:rsid w:val="00B20AE0"/>
    <w:rPr>
      <w:rFonts w:asciiTheme="majorHAnsi" w:eastAsiaTheme="majorEastAsia" w:hAnsiTheme="majorHAnsi" w:cstheme="majorBidi"/>
      <w:i/>
      <w:color w:val="1A206C" w:themeColor="text2"/>
      <w:spacing w:val="-2"/>
    </w:rPr>
  </w:style>
  <w:style w:type="character" w:customStyle="1" w:styleId="Heading7Char">
    <w:name w:val="Heading 7 Char"/>
    <w:basedOn w:val="DefaultParagraphFont"/>
    <w:link w:val="Heading7"/>
    <w:uiPriority w:val="9"/>
    <w:semiHidden/>
    <w:rsid w:val="003949EB"/>
    <w:rPr>
      <w:rFonts w:asciiTheme="majorHAnsi" w:eastAsiaTheme="majorEastAsia" w:hAnsiTheme="majorHAnsi" w:cstheme="majorBidi"/>
      <w:i/>
      <w:iCs/>
      <w:color w:val="20583E" w:themeColor="accent1" w:themeShade="7F"/>
      <w:spacing w:val="-2"/>
    </w:rPr>
  </w:style>
  <w:style w:type="character" w:customStyle="1" w:styleId="Heading8Char">
    <w:name w:val="Heading 8 Char"/>
    <w:basedOn w:val="DefaultParagraphFont"/>
    <w:link w:val="Heading8"/>
    <w:uiPriority w:val="9"/>
    <w:semiHidden/>
    <w:rsid w:val="003949EB"/>
    <w:rPr>
      <w:rFonts w:asciiTheme="majorHAnsi" w:eastAsiaTheme="majorEastAsia" w:hAnsiTheme="majorHAnsi" w:cstheme="majorBidi"/>
      <w:color w:val="272727" w:themeColor="text1" w:themeTint="D8"/>
      <w:spacing w:val="-2"/>
      <w:sz w:val="21"/>
      <w:szCs w:val="21"/>
    </w:rPr>
  </w:style>
  <w:style w:type="character" w:customStyle="1" w:styleId="Heading9Char">
    <w:name w:val="Heading 9 Char"/>
    <w:basedOn w:val="DefaultParagraphFont"/>
    <w:link w:val="Heading9"/>
    <w:uiPriority w:val="9"/>
    <w:semiHidden/>
    <w:rsid w:val="003949EB"/>
    <w:rPr>
      <w:rFonts w:asciiTheme="majorHAnsi" w:eastAsiaTheme="majorEastAsia" w:hAnsiTheme="majorHAnsi" w:cstheme="majorBidi"/>
      <w:i/>
      <w:iCs/>
      <w:color w:val="272727" w:themeColor="text1" w:themeTint="D8"/>
      <w:spacing w:val="-2"/>
      <w:sz w:val="21"/>
      <w:szCs w:val="21"/>
    </w:rPr>
  </w:style>
  <w:style w:type="paragraph" w:styleId="TOC4">
    <w:name w:val="toc 4"/>
    <w:basedOn w:val="Normal"/>
    <w:next w:val="Normal"/>
    <w:autoRedefine/>
    <w:uiPriority w:val="39"/>
    <w:unhideWhenUsed/>
    <w:rsid w:val="009074F9"/>
    <w:pPr>
      <w:spacing w:after="100"/>
      <w:ind w:left="660"/>
    </w:pPr>
    <w:rPr>
      <w:rFonts w:eastAsiaTheme="minorEastAsia"/>
      <w:spacing w:val="0"/>
      <w:lang w:eastAsia="en-AU"/>
    </w:rPr>
  </w:style>
  <w:style w:type="paragraph" w:styleId="TOC5">
    <w:name w:val="toc 5"/>
    <w:basedOn w:val="Normal"/>
    <w:next w:val="Normal"/>
    <w:autoRedefine/>
    <w:uiPriority w:val="39"/>
    <w:rsid w:val="009074F9"/>
    <w:pPr>
      <w:spacing w:after="100"/>
      <w:ind w:left="880"/>
    </w:pPr>
    <w:rPr>
      <w:rFonts w:eastAsiaTheme="minorEastAsia"/>
      <w:spacing w:val="0"/>
      <w:lang w:eastAsia="en-AU"/>
    </w:rPr>
  </w:style>
  <w:style w:type="paragraph" w:styleId="TOC6">
    <w:name w:val="toc 6"/>
    <w:basedOn w:val="Normal"/>
    <w:next w:val="Normal"/>
    <w:autoRedefine/>
    <w:uiPriority w:val="39"/>
    <w:rsid w:val="009074F9"/>
    <w:pPr>
      <w:spacing w:after="100"/>
      <w:ind w:left="1100"/>
    </w:pPr>
    <w:rPr>
      <w:rFonts w:eastAsiaTheme="minorEastAsia"/>
      <w:spacing w:val="0"/>
      <w:lang w:eastAsia="en-AU"/>
    </w:rPr>
  </w:style>
  <w:style w:type="paragraph" w:styleId="TOC7">
    <w:name w:val="toc 7"/>
    <w:basedOn w:val="Normal"/>
    <w:next w:val="Normal"/>
    <w:autoRedefine/>
    <w:uiPriority w:val="39"/>
    <w:rsid w:val="009074F9"/>
    <w:pPr>
      <w:spacing w:after="100"/>
      <w:ind w:left="1320"/>
    </w:pPr>
    <w:rPr>
      <w:rFonts w:eastAsiaTheme="minorEastAsia"/>
      <w:spacing w:val="0"/>
      <w:lang w:eastAsia="en-AU"/>
    </w:rPr>
  </w:style>
  <w:style w:type="paragraph" w:styleId="TOC8">
    <w:name w:val="toc 8"/>
    <w:basedOn w:val="Normal"/>
    <w:next w:val="Normal"/>
    <w:autoRedefine/>
    <w:uiPriority w:val="39"/>
    <w:rsid w:val="009074F9"/>
    <w:pPr>
      <w:spacing w:after="100"/>
      <w:ind w:left="1540"/>
    </w:pPr>
    <w:rPr>
      <w:rFonts w:eastAsiaTheme="minorEastAsia"/>
      <w:spacing w:val="0"/>
      <w:lang w:eastAsia="en-AU"/>
    </w:rPr>
  </w:style>
  <w:style w:type="paragraph" w:styleId="TOC9">
    <w:name w:val="toc 9"/>
    <w:basedOn w:val="Normal"/>
    <w:next w:val="Normal"/>
    <w:autoRedefine/>
    <w:uiPriority w:val="39"/>
    <w:rsid w:val="009074F9"/>
    <w:pPr>
      <w:spacing w:after="100"/>
      <w:ind w:left="1760"/>
    </w:pPr>
    <w:rPr>
      <w:rFonts w:eastAsiaTheme="minorEastAsia"/>
      <w:spacing w:val="0"/>
      <w:lang w:eastAsia="en-AU"/>
    </w:rPr>
  </w:style>
  <w:style w:type="table" w:styleId="ListTable3-Accent1">
    <w:name w:val="List Table 3 Accent 1"/>
    <w:basedOn w:val="TableNormal"/>
    <w:uiPriority w:val="48"/>
    <w:rsid w:val="00837DFF"/>
    <w:pPr>
      <w:spacing w:after="0" w:line="240" w:lineRule="auto"/>
    </w:pPr>
    <w:tblPr>
      <w:tblStyleRowBandSize w:val="1"/>
      <w:tblStyleColBandSize w:val="1"/>
      <w:tblBorders>
        <w:top w:val="single" w:sz="4" w:space="0" w:color="41B27D" w:themeColor="accent1"/>
        <w:left w:val="single" w:sz="4" w:space="0" w:color="41B27D" w:themeColor="accent1"/>
        <w:bottom w:val="single" w:sz="4" w:space="0" w:color="41B27D" w:themeColor="accent1"/>
        <w:right w:val="single" w:sz="4" w:space="0" w:color="41B27D" w:themeColor="accent1"/>
      </w:tblBorders>
    </w:tblPr>
    <w:tblStylePr w:type="firstRow">
      <w:rPr>
        <w:b/>
        <w:bCs/>
        <w:color w:val="FFFFFF" w:themeColor="background1"/>
      </w:rPr>
      <w:tblPr/>
      <w:tcPr>
        <w:shd w:val="clear" w:color="auto" w:fill="41B27D" w:themeFill="accent1"/>
      </w:tcPr>
    </w:tblStylePr>
    <w:tblStylePr w:type="lastRow">
      <w:rPr>
        <w:b/>
        <w:bCs/>
      </w:rPr>
      <w:tblPr/>
      <w:tcPr>
        <w:tcBorders>
          <w:top w:val="double" w:sz="4" w:space="0" w:color="41B2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B27D" w:themeColor="accent1"/>
          <w:right w:val="single" w:sz="4" w:space="0" w:color="41B27D" w:themeColor="accent1"/>
        </w:tcBorders>
      </w:tcPr>
    </w:tblStylePr>
    <w:tblStylePr w:type="band1Horz">
      <w:tblPr/>
      <w:tcPr>
        <w:tcBorders>
          <w:top w:val="single" w:sz="4" w:space="0" w:color="41B27D" w:themeColor="accent1"/>
          <w:bottom w:val="single" w:sz="4" w:space="0" w:color="41B2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B27D" w:themeColor="accent1"/>
          <w:left w:val="nil"/>
        </w:tcBorders>
      </w:tcPr>
    </w:tblStylePr>
    <w:tblStylePr w:type="swCell">
      <w:tblPr/>
      <w:tcPr>
        <w:tcBorders>
          <w:top w:val="double" w:sz="4" w:space="0" w:color="41B27D" w:themeColor="accent1"/>
          <w:right w:val="nil"/>
        </w:tcBorders>
      </w:tcPr>
    </w:tblStylePr>
  </w:style>
  <w:style w:type="table" w:styleId="ListTable3-Accent2">
    <w:name w:val="List Table 3 Accent 2"/>
    <w:basedOn w:val="TableNormal"/>
    <w:uiPriority w:val="48"/>
    <w:rsid w:val="00837DFF"/>
    <w:pPr>
      <w:spacing w:after="0" w:line="240" w:lineRule="auto"/>
    </w:pPr>
    <w:tblPr>
      <w:tblStyleRowBandSize w:val="1"/>
      <w:tblStyleColBandSize w:val="1"/>
      <w:tblBorders>
        <w:top w:val="single" w:sz="4" w:space="0" w:color="B3C5E6" w:themeColor="accent2"/>
        <w:left w:val="single" w:sz="4" w:space="0" w:color="B3C5E6" w:themeColor="accent2"/>
        <w:bottom w:val="single" w:sz="4" w:space="0" w:color="B3C5E6" w:themeColor="accent2"/>
        <w:right w:val="single" w:sz="4" w:space="0" w:color="B3C5E6" w:themeColor="accent2"/>
      </w:tblBorders>
    </w:tblPr>
    <w:tblStylePr w:type="firstRow">
      <w:rPr>
        <w:b/>
        <w:bCs/>
        <w:color w:val="FFFFFF" w:themeColor="background1"/>
      </w:rPr>
      <w:tblPr/>
      <w:tcPr>
        <w:shd w:val="clear" w:color="auto" w:fill="B3C5E6" w:themeFill="accent2"/>
      </w:tcPr>
    </w:tblStylePr>
    <w:tblStylePr w:type="lastRow">
      <w:rPr>
        <w:b/>
        <w:bCs/>
      </w:rPr>
      <w:tblPr/>
      <w:tcPr>
        <w:tcBorders>
          <w:top w:val="double" w:sz="4" w:space="0" w:color="B3C5E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C5E6" w:themeColor="accent2"/>
          <w:right w:val="single" w:sz="4" w:space="0" w:color="B3C5E6" w:themeColor="accent2"/>
        </w:tcBorders>
      </w:tcPr>
    </w:tblStylePr>
    <w:tblStylePr w:type="band1Horz">
      <w:tblPr/>
      <w:tcPr>
        <w:tcBorders>
          <w:top w:val="single" w:sz="4" w:space="0" w:color="B3C5E6" w:themeColor="accent2"/>
          <w:bottom w:val="single" w:sz="4" w:space="0" w:color="B3C5E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C5E6" w:themeColor="accent2"/>
          <w:left w:val="nil"/>
        </w:tcBorders>
      </w:tcPr>
    </w:tblStylePr>
    <w:tblStylePr w:type="swCell">
      <w:tblPr/>
      <w:tcPr>
        <w:tcBorders>
          <w:top w:val="double" w:sz="4" w:space="0" w:color="B3C5E6" w:themeColor="accent2"/>
          <w:right w:val="nil"/>
        </w:tcBorders>
      </w:tcPr>
    </w:tblStylePr>
  </w:style>
  <w:style w:type="table" w:styleId="ListTable3-Accent4">
    <w:name w:val="List Table 3 Accent 4"/>
    <w:basedOn w:val="TableNormal"/>
    <w:uiPriority w:val="48"/>
    <w:rsid w:val="00837DFF"/>
    <w:pPr>
      <w:spacing w:after="0" w:line="240" w:lineRule="auto"/>
    </w:pPr>
    <w:tblPr>
      <w:tblStyleRowBandSize w:val="1"/>
      <w:tblStyleColBandSize w:val="1"/>
      <w:tblBorders>
        <w:top w:val="single" w:sz="4" w:space="0" w:color="9CCB46" w:themeColor="accent4"/>
        <w:left w:val="single" w:sz="4" w:space="0" w:color="9CCB46" w:themeColor="accent4"/>
        <w:bottom w:val="single" w:sz="4" w:space="0" w:color="9CCB46" w:themeColor="accent4"/>
        <w:right w:val="single" w:sz="4" w:space="0" w:color="9CCB46" w:themeColor="accent4"/>
      </w:tblBorders>
    </w:tblPr>
    <w:tblStylePr w:type="firstRow">
      <w:rPr>
        <w:b/>
        <w:bCs/>
        <w:color w:val="FFFFFF" w:themeColor="background1"/>
      </w:rPr>
      <w:tblPr/>
      <w:tcPr>
        <w:shd w:val="clear" w:color="auto" w:fill="9CCB46" w:themeFill="accent4"/>
      </w:tcPr>
    </w:tblStylePr>
    <w:tblStylePr w:type="lastRow">
      <w:rPr>
        <w:b/>
        <w:bCs/>
      </w:rPr>
      <w:tblPr/>
      <w:tcPr>
        <w:tcBorders>
          <w:top w:val="double" w:sz="4" w:space="0" w:color="9CCB4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CB46" w:themeColor="accent4"/>
          <w:right w:val="single" w:sz="4" w:space="0" w:color="9CCB46" w:themeColor="accent4"/>
        </w:tcBorders>
      </w:tcPr>
    </w:tblStylePr>
    <w:tblStylePr w:type="band1Horz">
      <w:tblPr/>
      <w:tcPr>
        <w:tcBorders>
          <w:top w:val="single" w:sz="4" w:space="0" w:color="9CCB46" w:themeColor="accent4"/>
          <w:bottom w:val="single" w:sz="4" w:space="0" w:color="9CCB4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CB46" w:themeColor="accent4"/>
          <w:left w:val="nil"/>
        </w:tcBorders>
      </w:tcPr>
    </w:tblStylePr>
    <w:tblStylePr w:type="swCell">
      <w:tblPr/>
      <w:tcPr>
        <w:tcBorders>
          <w:top w:val="double" w:sz="4" w:space="0" w:color="9CCB46" w:themeColor="accent4"/>
          <w:right w:val="nil"/>
        </w:tcBorders>
      </w:tcPr>
    </w:tblStylePr>
  </w:style>
  <w:style w:type="table" w:styleId="ListTable3-Accent6">
    <w:name w:val="List Table 3 Accent 6"/>
    <w:basedOn w:val="TableNormal"/>
    <w:uiPriority w:val="48"/>
    <w:rsid w:val="00837DFF"/>
    <w:pPr>
      <w:spacing w:after="0" w:line="240" w:lineRule="auto"/>
    </w:pPr>
    <w:tblPr>
      <w:tblStyleRowBandSize w:val="1"/>
      <w:tblStyleColBandSize w:val="1"/>
      <w:tblBorders>
        <w:top w:val="single" w:sz="4" w:space="0" w:color="F15B60" w:themeColor="accent6"/>
        <w:left w:val="single" w:sz="4" w:space="0" w:color="F15B60" w:themeColor="accent6"/>
        <w:bottom w:val="single" w:sz="4" w:space="0" w:color="F15B60" w:themeColor="accent6"/>
        <w:right w:val="single" w:sz="4" w:space="0" w:color="F15B60" w:themeColor="accent6"/>
      </w:tblBorders>
    </w:tblPr>
    <w:tblStylePr w:type="firstRow">
      <w:rPr>
        <w:b/>
        <w:bCs/>
        <w:color w:val="FFFFFF" w:themeColor="background1"/>
      </w:rPr>
      <w:tblPr/>
      <w:tcPr>
        <w:shd w:val="clear" w:color="auto" w:fill="F15B60" w:themeFill="accent6"/>
      </w:tcPr>
    </w:tblStylePr>
    <w:tblStylePr w:type="lastRow">
      <w:rPr>
        <w:b/>
        <w:bCs/>
      </w:rPr>
      <w:tblPr/>
      <w:tcPr>
        <w:tcBorders>
          <w:top w:val="double" w:sz="4" w:space="0" w:color="F15B6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B60" w:themeColor="accent6"/>
          <w:right w:val="single" w:sz="4" w:space="0" w:color="F15B60" w:themeColor="accent6"/>
        </w:tcBorders>
      </w:tcPr>
    </w:tblStylePr>
    <w:tblStylePr w:type="band1Horz">
      <w:tblPr/>
      <w:tcPr>
        <w:tcBorders>
          <w:top w:val="single" w:sz="4" w:space="0" w:color="F15B60" w:themeColor="accent6"/>
          <w:bottom w:val="single" w:sz="4" w:space="0" w:color="F15B6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B60" w:themeColor="accent6"/>
          <w:left w:val="nil"/>
        </w:tcBorders>
      </w:tcPr>
    </w:tblStylePr>
    <w:tblStylePr w:type="swCell">
      <w:tblPr/>
      <w:tcPr>
        <w:tcBorders>
          <w:top w:val="double" w:sz="4" w:space="0" w:color="F15B60" w:themeColor="accent6"/>
          <w:right w:val="nil"/>
        </w:tcBorders>
      </w:tcPr>
    </w:tblStylePr>
  </w:style>
  <w:style w:type="table" w:styleId="ListTable3-Accent5">
    <w:name w:val="List Table 3 Accent 5"/>
    <w:basedOn w:val="TableNormal"/>
    <w:uiPriority w:val="48"/>
    <w:rsid w:val="00D848D3"/>
    <w:pPr>
      <w:spacing w:after="0" w:line="240" w:lineRule="auto"/>
    </w:pPr>
    <w:tblPr>
      <w:tblStyleRowBandSize w:val="1"/>
      <w:tblStyleColBandSize w:val="1"/>
      <w:tblBorders>
        <w:top w:val="single" w:sz="4" w:space="0" w:color="A1D9D2" w:themeColor="accent5"/>
        <w:left w:val="single" w:sz="4" w:space="0" w:color="A1D9D2" w:themeColor="accent5"/>
        <w:bottom w:val="single" w:sz="4" w:space="0" w:color="A1D9D2" w:themeColor="accent5"/>
        <w:right w:val="single" w:sz="4" w:space="0" w:color="A1D9D2" w:themeColor="accent5"/>
      </w:tblBorders>
    </w:tblPr>
    <w:tblStylePr w:type="firstRow">
      <w:rPr>
        <w:b/>
        <w:bCs/>
        <w:color w:val="FFFFFF" w:themeColor="background1"/>
      </w:rPr>
      <w:tblPr/>
      <w:tcPr>
        <w:shd w:val="clear" w:color="auto" w:fill="A1D9D2" w:themeFill="accent5"/>
      </w:tcPr>
    </w:tblStylePr>
    <w:tblStylePr w:type="lastRow">
      <w:rPr>
        <w:b/>
        <w:bCs/>
      </w:rPr>
      <w:tblPr/>
      <w:tcPr>
        <w:tcBorders>
          <w:top w:val="double" w:sz="4" w:space="0" w:color="A1D9D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D9D2" w:themeColor="accent5"/>
          <w:right w:val="single" w:sz="4" w:space="0" w:color="A1D9D2" w:themeColor="accent5"/>
        </w:tcBorders>
      </w:tcPr>
    </w:tblStylePr>
    <w:tblStylePr w:type="band1Horz">
      <w:tblPr/>
      <w:tcPr>
        <w:tcBorders>
          <w:top w:val="single" w:sz="4" w:space="0" w:color="A1D9D2" w:themeColor="accent5"/>
          <w:bottom w:val="single" w:sz="4" w:space="0" w:color="A1D9D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D9D2" w:themeColor="accent5"/>
          <w:left w:val="nil"/>
        </w:tcBorders>
      </w:tcPr>
    </w:tblStylePr>
    <w:tblStylePr w:type="swCell">
      <w:tblPr/>
      <w:tcPr>
        <w:tcBorders>
          <w:top w:val="double" w:sz="4" w:space="0" w:color="A1D9D2" w:themeColor="accent5"/>
          <w:right w:val="nil"/>
        </w:tcBorders>
      </w:tcPr>
    </w:tblStylePr>
  </w:style>
  <w:style w:type="paragraph" w:customStyle="1" w:styleId="BoxedQuote">
    <w:name w:val="Boxed Quote"/>
    <w:basedOn w:val="Normal"/>
    <w:link w:val="BoxedQuoteChar"/>
    <w:uiPriority w:val="13"/>
    <w:rsid w:val="00BB1009"/>
    <w:p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170" w:right="170"/>
    </w:pPr>
    <w:rPr>
      <w:color w:val="1A206C" w:themeColor="text2"/>
    </w:rPr>
  </w:style>
  <w:style w:type="paragraph" w:customStyle="1" w:styleId="BoxedQuoteHeading">
    <w:name w:val="Boxed Quote Heading"/>
    <w:basedOn w:val="BoxedQuote"/>
    <w:next w:val="BoxedQuote"/>
    <w:link w:val="BoxedQuoteHeadingChar"/>
    <w:uiPriority w:val="13"/>
    <w:rsid w:val="00BB1009"/>
    <w:rPr>
      <w:b/>
    </w:rPr>
  </w:style>
  <w:style w:type="character" w:customStyle="1" w:styleId="BoxedQuoteChar">
    <w:name w:val="Boxed Quote Char"/>
    <w:basedOn w:val="DefaultParagraphFont"/>
    <w:link w:val="BoxedQuote"/>
    <w:uiPriority w:val="13"/>
    <w:rsid w:val="00BB1009"/>
    <w:rPr>
      <w:color w:val="1A206C" w:themeColor="text2"/>
      <w:spacing w:val="-2"/>
      <w:shd w:val="clear" w:color="auto" w:fill="F4F0EE" w:themeFill="background2"/>
    </w:rPr>
  </w:style>
  <w:style w:type="character" w:customStyle="1" w:styleId="BoxedQuoteHeadingChar">
    <w:name w:val="Boxed Quote Heading Char"/>
    <w:basedOn w:val="BoxedQuoteChar"/>
    <w:link w:val="BoxedQuoteHeading"/>
    <w:uiPriority w:val="13"/>
    <w:rsid w:val="00BB1009"/>
    <w:rPr>
      <w:b/>
      <w:color w:val="1A206C" w:themeColor="text2"/>
      <w:spacing w:val="-2"/>
      <w:shd w:val="clear" w:color="auto" w:fill="F4F0EE" w:themeFill="background2"/>
    </w:rPr>
  </w:style>
  <w:style w:type="paragraph" w:customStyle="1" w:styleId="Heading1-nonumber">
    <w:name w:val="Heading 1-no number"/>
    <w:basedOn w:val="Heading1"/>
    <w:next w:val="Normal"/>
    <w:link w:val="Heading1-nonumberChar"/>
    <w:uiPriority w:val="9"/>
    <w:qFormat/>
    <w:rsid w:val="00BB1009"/>
    <w:pPr>
      <w:numPr>
        <w:numId w:val="0"/>
      </w:numPr>
    </w:pPr>
  </w:style>
  <w:style w:type="paragraph" w:customStyle="1" w:styleId="Heading2-nonumber">
    <w:name w:val="Heading 2-no number"/>
    <w:basedOn w:val="Heading2"/>
    <w:next w:val="Normal"/>
    <w:link w:val="Heading2-nonumberChar"/>
    <w:uiPriority w:val="9"/>
    <w:qFormat/>
    <w:rsid w:val="00BB1009"/>
    <w:pPr>
      <w:numPr>
        <w:ilvl w:val="0"/>
        <w:numId w:val="0"/>
      </w:numPr>
    </w:pPr>
  </w:style>
  <w:style w:type="character" w:customStyle="1" w:styleId="Heading1-nonumberChar">
    <w:name w:val="Heading 1-no number Char"/>
    <w:basedOn w:val="Heading1Char"/>
    <w:link w:val="Heading1-nonumber"/>
    <w:uiPriority w:val="9"/>
    <w:rsid w:val="00BB1009"/>
    <w:rPr>
      <w:rFonts w:asciiTheme="majorHAnsi" w:eastAsiaTheme="majorEastAsia" w:hAnsiTheme="majorHAnsi" w:cstheme="majorBidi"/>
      <w:b/>
      <w:color w:val="1A206C" w:themeColor="text2"/>
      <w:spacing w:val="-6"/>
      <w:sz w:val="44"/>
      <w:szCs w:val="32"/>
    </w:rPr>
  </w:style>
  <w:style w:type="character" w:customStyle="1" w:styleId="Heading2-nonumberChar">
    <w:name w:val="Heading 2-no number Char"/>
    <w:basedOn w:val="Heading2Char"/>
    <w:link w:val="Heading2-nonumber"/>
    <w:uiPriority w:val="9"/>
    <w:rsid w:val="00BB1009"/>
    <w:rPr>
      <w:rFonts w:eastAsiaTheme="majorEastAsia" w:cstheme="majorBidi"/>
      <w:b/>
      <w:color w:val="1A206C" w:themeColor="text2"/>
      <w:spacing w:val="-2"/>
      <w:sz w:val="29"/>
      <w:szCs w:val="26"/>
    </w:rPr>
  </w:style>
  <w:style w:type="paragraph" w:customStyle="1" w:styleId="Heading3-nonumber">
    <w:name w:val="Heading 3-no number"/>
    <w:basedOn w:val="Heading3"/>
    <w:uiPriority w:val="9"/>
    <w:qFormat/>
    <w:rsid w:val="00BB1009"/>
    <w:pPr>
      <w:numPr>
        <w:ilvl w:val="0"/>
        <w:numId w:val="0"/>
      </w:numPr>
    </w:pPr>
  </w:style>
  <w:style w:type="paragraph" w:customStyle="1" w:styleId="AppendixHeading1">
    <w:name w:val="Appendix Heading 1"/>
    <w:basedOn w:val="Heading1"/>
    <w:uiPriority w:val="10"/>
    <w:qFormat/>
    <w:rsid w:val="00BB1009"/>
    <w:pPr>
      <w:numPr>
        <w:numId w:val="148"/>
      </w:numPr>
    </w:pPr>
  </w:style>
  <w:style w:type="numbering" w:customStyle="1" w:styleId="AppendixList">
    <w:name w:val="Appendix List"/>
    <w:uiPriority w:val="99"/>
    <w:rsid w:val="00BB1009"/>
    <w:pPr>
      <w:numPr>
        <w:numId w:val="12"/>
      </w:numPr>
    </w:pPr>
  </w:style>
  <w:style w:type="paragraph" w:customStyle="1" w:styleId="appLP1x">
    <w:name w:val="app LP 1.x"/>
    <w:basedOn w:val="AppendixHeading2LPcreated"/>
    <w:qFormat/>
    <w:rsid w:val="00885E34"/>
    <w:pPr>
      <w:numPr>
        <w:numId w:val="142"/>
      </w:numPr>
    </w:pPr>
  </w:style>
  <w:style w:type="paragraph" w:customStyle="1" w:styleId="AppendixHeading3">
    <w:name w:val="Appendix Heading 3"/>
    <w:basedOn w:val="Heading3"/>
    <w:uiPriority w:val="10"/>
    <w:qFormat/>
    <w:rsid w:val="00BB1009"/>
    <w:pPr>
      <w:numPr>
        <w:numId w:val="148"/>
      </w:numPr>
    </w:pPr>
  </w:style>
  <w:style w:type="paragraph" w:customStyle="1" w:styleId="TableBullet">
    <w:name w:val="Table Bullet"/>
    <w:basedOn w:val="ListBullet"/>
    <w:rsid w:val="00BB1009"/>
    <w:pPr>
      <w:numPr>
        <w:numId w:val="146"/>
      </w:numPr>
    </w:pPr>
    <w:rPr>
      <w:sz w:val="18"/>
    </w:rPr>
  </w:style>
  <w:style w:type="character" w:customStyle="1" w:styleId="Italic">
    <w:name w:val="Italic"/>
    <w:basedOn w:val="DefaultParagraphFont"/>
    <w:uiPriority w:val="1"/>
    <w:rsid w:val="00BB1009"/>
    <w:rPr>
      <w:i/>
    </w:rPr>
  </w:style>
  <w:style w:type="paragraph" w:customStyle="1" w:styleId="TableBullet2">
    <w:name w:val="Table Bullet 2"/>
    <w:basedOn w:val="ListBullet2"/>
    <w:rsid w:val="00BB1009"/>
    <w:pPr>
      <w:numPr>
        <w:numId w:val="146"/>
      </w:numPr>
      <w:spacing w:before="0" w:after="0"/>
    </w:pPr>
    <w:rPr>
      <w:sz w:val="18"/>
    </w:rPr>
  </w:style>
  <w:style w:type="numbering" w:customStyle="1" w:styleId="TableList">
    <w:name w:val="Table List"/>
    <w:uiPriority w:val="99"/>
    <w:rsid w:val="00BB1009"/>
    <w:pPr>
      <w:numPr>
        <w:numId w:val="15"/>
      </w:numPr>
    </w:pPr>
  </w:style>
  <w:style w:type="paragraph" w:customStyle="1" w:styleId="BoxedBullet">
    <w:name w:val="Boxed Bullet"/>
    <w:basedOn w:val="BoxedQuote"/>
    <w:rsid w:val="00BB1009"/>
    <w:pPr>
      <w:numPr>
        <w:numId w:val="6"/>
      </w:numPr>
      <w:ind w:left="510" w:hanging="340"/>
    </w:pPr>
  </w:style>
  <w:style w:type="paragraph" w:customStyle="1" w:styleId="CaseStudyText">
    <w:name w:val="Case Study Text"/>
    <w:basedOn w:val="BoxedQuote"/>
    <w:link w:val="CaseStudyTextChar"/>
    <w:rsid w:val="00BB1009"/>
    <w:pPr>
      <w:keepNext/>
      <w:keepLines/>
      <w:pBdr>
        <w:top w:val="single" w:sz="4" w:space="6" w:color="DBF3F7" w:themeColor="accent3" w:themeTint="33"/>
        <w:left w:val="single" w:sz="4" w:space="6" w:color="DBF3F7" w:themeColor="accent3" w:themeTint="33"/>
        <w:bottom w:val="single" w:sz="4" w:space="6" w:color="DBF3F7" w:themeColor="accent3" w:themeTint="33"/>
        <w:right w:val="single" w:sz="4" w:space="6" w:color="DBF3F7" w:themeColor="accent3" w:themeTint="33"/>
      </w:pBdr>
      <w:shd w:val="clear" w:color="auto" w:fill="DBF3F7" w:themeFill="accent3" w:themeFillTint="33"/>
    </w:pPr>
  </w:style>
  <w:style w:type="character" w:customStyle="1" w:styleId="CaseStudyTextChar">
    <w:name w:val="Case Study Text Char"/>
    <w:basedOn w:val="BoxedQuoteChar"/>
    <w:link w:val="CaseStudyText"/>
    <w:rsid w:val="00BB1009"/>
    <w:rPr>
      <w:color w:val="1A206C" w:themeColor="text2"/>
      <w:spacing w:val="-2"/>
      <w:shd w:val="clear" w:color="auto" w:fill="DBF3F7" w:themeFill="accent3" w:themeFillTint="33"/>
    </w:rPr>
  </w:style>
  <w:style w:type="paragraph" w:customStyle="1" w:styleId="CaseStudyHeading">
    <w:name w:val="Case Study Heading"/>
    <w:basedOn w:val="CaseStudyText"/>
    <w:rsid w:val="00BB1009"/>
    <w:rPr>
      <w:b/>
    </w:rPr>
  </w:style>
  <w:style w:type="paragraph" w:customStyle="1" w:styleId="CaseStudyBullet">
    <w:name w:val="Case Study Bullet"/>
    <w:basedOn w:val="CaseStudyText"/>
    <w:rsid w:val="00BB1009"/>
    <w:pPr>
      <w:numPr>
        <w:numId w:val="7"/>
      </w:numPr>
      <w:ind w:left="510" w:hanging="340"/>
    </w:pPr>
  </w:style>
  <w:style w:type="paragraph" w:customStyle="1" w:styleId="CaseStudyList">
    <w:name w:val="Case Study List"/>
    <w:basedOn w:val="CaseStudyText"/>
    <w:rsid w:val="00BB1009"/>
    <w:pPr>
      <w:numPr>
        <w:numId w:val="8"/>
      </w:numPr>
      <w:ind w:left="510" w:hanging="340"/>
    </w:pPr>
  </w:style>
  <w:style w:type="table" w:customStyle="1" w:styleId="GWWNumbertable">
    <w:name w:val="GWW Number table"/>
    <w:basedOn w:val="GWWDefaulttable"/>
    <w:uiPriority w:val="99"/>
    <w:rsid w:val="006C12BA"/>
    <w:pPr>
      <w:jc w:val="right"/>
    </w:pPr>
    <w:tblPr/>
    <w:tcPr>
      <w:shd w:val="clear" w:color="auto" w:fill="FFFFFF" w:themeFill="background1"/>
      <w:vAlign w:val="center"/>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pPr>
        <w:wordWrap/>
        <w:jc w:val="left"/>
      </w:pPr>
      <w:rPr>
        <w:rFonts w:asciiTheme="majorHAnsi" w:hAnsiTheme="majorHAnsi"/>
        <w:b/>
        <w:color w:val="1A206C" w:themeColor="text2"/>
      </w:r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customStyle="1" w:styleId="BoxedList">
    <w:name w:val="Boxed List"/>
    <w:basedOn w:val="Normal"/>
    <w:rsid w:val="00BB1009"/>
    <w:pPr>
      <w:keepNext/>
      <w:keepLines/>
      <w:numPr>
        <w:numId w:val="9"/>
      </w:num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510" w:right="170" w:hanging="340"/>
    </w:pPr>
    <w:rPr>
      <w:color w:val="1A206C" w:themeColor="text2"/>
    </w:rPr>
  </w:style>
  <w:style w:type="paragraph" w:customStyle="1" w:styleId="BoxedBullet2">
    <w:name w:val="Boxed Bullet 2"/>
    <w:basedOn w:val="Normal"/>
    <w:rsid w:val="00BB1009"/>
    <w:pPr>
      <w:keepNext/>
      <w:keepLines/>
      <w:numPr>
        <w:numId w:val="10"/>
      </w:num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624" w:right="170" w:hanging="454"/>
    </w:pPr>
    <w:rPr>
      <w:color w:val="1A206C" w:themeColor="text2"/>
    </w:rPr>
  </w:style>
  <w:style w:type="paragraph" w:customStyle="1" w:styleId="TableNumberedList">
    <w:name w:val="Table Numbered List"/>
    <w:rsid w:val="001A219C"/>
    <w:pPr>
      <w:numPr>
        <w:numId w:val="5"/>
      </w:numPr>
      <w:spacing w:before="120" w:after="120" w:line="264" w:lineRule="auto"/>
      <w:contextualSpacing/>
    </w:pPr>
    <w:rPr>
      <w:rFonts w:asciiTheme="majorHAnsi" w:hAnsiTheme="majorHAnsi"/>
      <w:b/>
      <w:bCs/>
      <w:spacing w:val="-2"/>
      <w:sz w:val="20"/>
      <w:szCs w:val="20"/>
    </w:rPr>
  </w:style>
  <w:style w:type="paragraph" w:customStyle="1" w:styleId="Heading4-nonumber">
    <w:name w:val="Heading 4-no number"/>
    <w:basedOn w:val="Heading4"/>
    <w:rsid w:val="00A14C50"/>
  </w:style>
  <w:style w:type="character" w:customStyle="1" w:styleId="normaltextrun">
    <w:name w:val="normaltextrun"/>
    <w:basedOn w:val="DefaultParagraphFont"/>
    <w:rsid w:val="00CD038C"/>
  </w:style>
  <w:style w:type="character" w:customStyle="1" w:styleId="eop">
    <w:name w:val="eop"/>
    <w:basedOn w:val="DefaultParagraphFont"/>
    <w:rsid w:val="00CD038C"/>
  </w:style>
  <w:style w:type="paragraph" w:customStyle="1" w:styleId="paragraph">
    <w:name w:val="paragraph"/>
    <w:basedOn w:val="Normal"/>
    <w:rsid w:val="00822CB1"/>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Heading2-Numbered">
    <w:name w:val="Heading 2 - Numbered"/>
    <w:basedOn w:val="Heading2"/>
    <w:next w:val="Normal"/>
    <w:uiPriority w:val="9"/>
    <w:semiHidden/>
    <w:qFormat/>
    <w:rsid w:val="009E4CB7"/>
    <w:pPr>
      <w:keepNext w:val="0"/>
      <w:keepLines w:val="0"/>
      <w:tabs>
        <w:tab w:val="clear" w:pos="1134"/>
      </w:tabs>
      <w:spacing w:after="160" w:line="259" w:lineRule="auto"/>
    </w:pPr>
  </w:style>
  <w:style w:type="character" w:styleId="Mention">
    <w:name w:val="Mention"/>
    <w:basedOn w:val="DefaultParagraphFont"/>
    <w:uiPriority w:val="99"/>
    <w:unhideWhenUsed/>
    <w:rsid w:val="00D03714"/>
    <w:rPr>
      <w:color w:val="2B579A"/>
      <w:shd w:val="clear" w:color="auto" w:fill="E1DFDD"/>
    </w:rPr>
  </w:style>
  <w:style w:type="character" w:customStyle="1" w:styleId="ui-provider">
    <w:name w:val="ui-provider"/>
    <w:basedOn w:val="DefaultParagraphFont"/>
    <w:rsid w:val="00D56B2D"/>
  </w:style>
  <w:style w:type="paragraph" w:styleId="EndnoteText">
    <w:name w:val="endnote text"/>
    <w:basedOn w:val="Normal"/>
    <w:link w:val="EndnoteTextChar"/>
    <w:uiPriority w:val="99"/>
    <w:semiHidden/>
    <w:unhideWhenUsed/>
    <w:rsid w:val="0046666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6666C"/>
    <w:rPr>
      <w:spacing w:val="-2"/>
      <w:sz w:val="20"/>
      <w:szCs w:val="20"/>
    </w:rPr>
  </w:style>
  <w:style w:type="character" w:styleId="EndnoteReference">
    <w:name w:val="endnote reference"/>
    <w:basedOn w:val="DefaultParagraphFont"/>
    <w:uiPriority w:val="99"/>
    <w:semiHidden/>
    <w:unhideWhenUsed/>
    <w:rsid w:val="0046666C"/>
    <w:rPr>
      <w:vertAlign w:val="superscript"/>
    </w:rPr>
  </w:style>
  <w:style w:type="character" w:customStyle="1" w:styleId="cf01">
    <w:name w:val="cf01"/>
    <w:basedOn w:val="DefaultParagraphFont"/>
    <w:rsid w:val="00645F9F"/>
    <w:rPr>
      <w:rFonts w:ascii="Segoe UI" w:hAnsi="Segoe UI" w:cs="Segoe UI" w:hint="default"/>
      <w:sz w:val="18"/>
      <w:szCs w:val="18"/>
    </w:rPr>
  </w:style>
  <w:style w:type="paragraph" w:customStyle="1" w:styleId="AppendixL1LPcreated">
    <w:name w:val="Appendix L1 LP created"/>
    <w:basedOn w:val="AppendixHeading1"/>
    <w:qFormat/>
    <w:rsid w:val="00464FF1"/>
    <w:pPr>
      <w:numPr>
        <w:numId w:val="137"/>
      </w:numPr>
      <w:ind w:left="0" w:firstLine="0"/>
    </w:pPr>
  </w:style>
  <w:style w:type="paragraph" w:customStyle="1" w:styleId="AppendixHeading2LPcreated">
    <w:name w:val="Appendix Heading 2 LP created"/>
    <w:basedOn w:val="Heading2"/>
    <w:link w:val="AppendixHeading2LPcreatedChar"/>
    <w:uiPriority w:val="10"/>
    <w:qFormat/>
    <w:rsid w:val="007D290A"/>
    <w:pPr>
      <w:numPr>
        <w:ilvl w:val="0"/>
        <w:numId w:val="144"/>
      </w:numPr>
    </w:pPr>
  </w:style>
  <w:style w:type="character" w:customStyle="1" w:styleId="AppendixHeading2LPcreatedChar">
    <w:name w:val="Appendix Heading 2 LP created Char"/>
    <w:basedOn w:val="Heading2Char"/>
    <w:link w:val="AppendixHeading2LPcreated"/>
    <w:uiPriority w:val="10"/>
    <w:rsid w:val="006B2361"/>
    <w:rPr>
      <w:rFonts w:eastAsiaTheme="majorEastAsia" w:cstheme="majorBidi"/>
      <w:b/>
      <w:color w:val="1A206C" w:themeColor="text2"/>
      <w:spacing w:val="-2"/>
      <w:sz w:val="29"/>
      <w:szCs w:val="26"/>
    </w:rPr>
  </w:style>
  <w:style w:type="paragraph" w:customStyle="1" w:styleId="H2xappendixlevel3H">
    <w:name w:val="H.2.x appendix level 3 H"/>
    <w:basedOn w:val="AppendixHL3"/>
    <w:qFormat/>
    <w:rsid w:val="00501CA0"/>
    <w:pPr>
      <w:numPr>
        <w:numId w:val="141"/>
      </w:numPr>
    </w:pPr>
  </w:style>
  <w:style w:type="paragraph" w:customStyle="1" w:styleId="AppendixHL3">
    <w:name w:val="Appendix H L3"/>
    <w:basedOn w:val="AppendixHeading3"/>
    <w:qFormat/>
    <w:rsid w:val="00130D97"/>
    <w:pPr>
      <w:numPr>
        <w:ilvl w:val="0"/>
        <w:numId w:val="140"/>
      </w:numPr>
    </w:pPr>
  </w:style>
  <w:style w:type="paragraph" w:customStyle="1" w:styleId="appendixHlevel2LPcreated">
    <w:name w:val="appendix H level 2 LP created"/>
    <w:basedOn w:val="AppendixHeading2LPcreated"/>
    <w:link w:val="appendixHlevel2LPcreatedChar"/>
    <w:qFormat/>
    <w:rsid w:val="00D50E62"/>
    <w:pPr>
      <w:numPr>
        <w:numId w:val="139"/>
      </w:numPr>
    </w:pPr>
  </w:style>
  <w:style w:type="character" w:customStyle="1" w:styleId="appendixHlevel2LPcreatedChar">
    <w:name w:val="appendix H level 2 LP created Char"/>
    <w:basedOn w:val="AppendixHeading2LPcreatedChar"/>
    <w:link w:val="appendixHlevel2LPcreated"/>
    <w:rsid w:val="00AE1B7A"/>
    <w:rPr>
      <w:rFonts w:eastAsiaTheme="majorEastAsia" w:cstheme="majorBidi"/>
      <w:b/>
      <w:color w:val="1A206C" w:themeColor="text2"/>
      <w:spacing w:val="-2"/>
      <w:sz w:val="29"/>
      <w:szCs w:val="26"/>
    </w:rPr>
  </w:style>
  <w:style w:type="paragraph" w:customStyle="1" w:styleId="apph1xLP">
    <w:name w:val="app h.1.x LP"/>
    <w:basedOn w:val="AppendixHL3"/>
    <w:qFormat/>
    <w:rsid w:val="005B7E19"/>
    <w:pPr>
      <w:numPr>
        <w:numId w:val="143"/>
      </w:numPr>
    </w:pPr>
  </w:style>
  <w:style w:type="paragraph" w:customStyle="1" w:styleId="AppendixHeading2">
    <w:name w:val="Appendix Heading 2"/>
    <w:basedOn w:val="Heading2"/>
    <w:uiPriority w:val="10"/>
    <w:qFormat/>
    <w:rsid w:val="00BB1009"/>
    <w:pPr>
      <w:numPr>
        <w:numId w:val="1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304">
      <w:bodyDiv w:val="1"/>
      <w:marLeft w:val="0"/>
      <w:marRight w:val="0"/>
      <w:marTop w:val="0"/>
      <w:marBottom w:val="0"/>
      <w:divBdr>
        <w:top w:val="none" w:sz="0" w:space="0" w:color="auto"/>
        <w:left w:val="none" w:sz="0" w:space="0" w:color="auto"/>
        <w:bottom w:val="none" w:sz="0" w:space="0" w:color="auto"/>
        <w:right w:val="none" w:sz="0" w:space="0" w:color="auto"/>
      </w:divBdr>
    </w:div>
    <w:div w:id="16084132">
      <w:bodyDiv w:val="1"/>
      <w:marLeft w:val="0"/>
      <w:marRight w:val="0"/>
      <w:marTop w:val="0"/>
      <w:marBottom w:val="0"/>
      <w:divBdr>
        <w:top w:val="none" w:sz="0" w:space="0" w:color="auto"/>
        <w:left w:val="none" w:sz="0" w:space="0" w:color="auto"/>
        <w:bottom w:val="none" w:sz="0" w:space="0" w:color="auto"/>
        <w:right w:val="none" w:sz="0" w:space="0" w:color="auto"/>
      </w:divBdr>
      <w:divsChild>
        <w:div w:id="10229711">
          <w:marLeft w:val="0"/>
          <w:marRight w:val="0"/>
          <w:marTop w:val="0"/>
          <w:marBottom w:val="0"/>
          <w:divBdr>
            <w:top w:val="none" w:sz="0" w:space="0" w:color="auto"/>
            <w:left w:val="none" w:sz="0" w:space="0" w:color="auto"/>
            <w:bottom w:val="none" w:sz="0" w:space="0" w:color="auto"/>
            <w:right w:val="none" w:sz="0" w:space="0" w:color="auto"/>
          </w:divBdr>
        </w:div>
        <w:div w:id="820539533">
          <w:marLeft w:val="0"/>
          <w:marRight w:val="0"/>
          <w:marTop w:val="0"/>
          <w:marBottom w:val="0"/>
          <w:divBdr>
            <w:top w:val="none" w:sz="0" w:space="0" w:color="auto"/>
            <w:left w:val="none" w:sz="0" w:space="0" w:color="auto"/>
            <w:bottom w:val="none" w:sz="0" w:space="0" w:color="auto"/>
            <w:right w:val="none" w:sz="0" w:space="0" w:color="auto"/>
          </w:divBdr>
        </w:div>
        <w:div w:id="2037998427">
          <w:marLeft w:val="0"/>
          <w:marRight w:val="0"/>
          <w:marTop w:val="0"/>
          <w:marBottom w:val="0"/>
          <w:divBdr>
            <w:top w:val="none" w:sz="0" w:space="0" w:color="auto"/>
            <w:left w:val="none" w:sz="0" w:space="0" w:color="auto"/>
            <w:bottom w:val="none" w:sz="0" w:space="0" w:color="auto"/>
            <w:right w:val="none" w:sz="0" w:space="0" w:color="auto"/>
          </w:divBdr>
        </w:div>
      </w:divsChild>
    </w:div>
    <w:div w:id="100296960">
      <w:bodyDiv w:val="1"/>
      <w:marLeft w:val="0"/>
      <w:marRight w:val="0"/>
      <w:marTop w:val="0"/>
      <w:marBottom w:val="0"/>
      <w:divBdr>
        <w:top w:val="none" w:sz="0" w:space="0" w:color="auto"/>
        <w:left w:val="none" w:sz="0" w:space="0" w:color="auto"/>
        <w:bottom w:val="none" w:sz="0" w:space="0" w:color="auto"/>
        <w:right w:val="none" w:sz="0" w:space="0" w:color="auto"/>
      </w:divBdr>
      <w:divsChild>
        <w:div w:id="104690571">
          <w:marLeft w:val="0"/>
          <w:marRight w:val="0"/>
          <w:marTop w:val="0"/>
          <w:marBottom w:val="0"/>
          <w:divBdr>
            <w:top w:val="none" w:sz="0" w:space="0" w:color="auto"/>
            <w:left w:val="none" w:sz="0" w:space="0" w:color="auto"/>
            <w:bottom w:val="none" w:sz="0" w:space="0" w:color="auto"/>
            <w:right w:val="none" w:sz="0" w:space="0" w:color="auto"/>
          </w:divBdr>
          <w:divsChild>
            <w:div w:id="6953579">
              <w:marLeft w:val="0"/>
              <w:marRight w:val="0"/>
              <w:marTop w:val="0"/>
              <w:marBottom w:val="0"/>
              <w:divBdr>
                <w:top w:val="none" w:sz="0" w:space="0" w:color="auto"/>
                <w:left w:val="none" w:sz="0" w:space="0" w:color="auto"/>
                <w:bottom w:val="none" w:sz="0" w:space="0" w:color="auto"/>
                <w:right w:val="none" w:sz="0" w:space="0" w:color="auto"/>
              </w:divBdr>
            </w:div>
          </w:divsChild>
        </w:div>
        <w:div w:id="784738694">
          <w:marLeft w:val="0"/>
          <w:marRight w:val="0"/>
          <w:marTop w:val="0"/>
          <w:marBottom w:val="0"/>
          <w:divBdr>
            <w:top w:val="none" w:sz="0" w:space="0" w:color="auto"/>
            <w:left w:val="none" w:sz="0" w:space="0" w:color="auto"/>
            <w:bottom w:val="none" w:sz="0" w:space="0" w:color="auto"/>
            <w:right w:val="none" w:sz="0" w:space="0" w:color="auto"/>
          </w:divBdr>
          <w:divsChild>
            <w:div w:id="713963618">
              <w:marLeft w:val="0"/>
              <w:marRight w:val="0"/>
              <w:marTop w:val="0"/>
              <w:marBottom w:val="0"/>
              <w:divBdr>
                <w:top w:val="none" w:sz="0" w:space="0" w:color="auto"/>
                <w:left w:val="none" w:sz="0" w:space="0" w:color="auto"/>
                <w:bottom w:val="none" w:sz="0" w:space="0" w:color="auto"/>
                <w:right w:val="none" w:sz="0" w:space="0" w:color="auto"/>
              </w:divBdr>
            </w:div>
          </w:divsChild>
        </w:div>
        <w:div w:id="990210920">
          <w:marLeft w:val="0"/>
          <w:marRight w:val="0"/>
          <w:marTop w:val="0"/>
          <w:marBottom w:val="0"/>
          <w:divBdr>
            <w:top w:val="none" w:sz="0" w:space="0" w:color="auto"/>
            <w:left w:val="none" w:sz="0" w:space="0" w:color="auto"/>
            <w:bottom w:val="none" w:sz="0" w:space="0" w:color="auto"/>
            <w:right w:val="none" w:sz="0" w:space="0" w:color="auto"/>
          </w:divBdr>
          <w:divsChild>
            <w:div w:id="117533591">
              <w:marLeft w:val="0"/>
              <w:marRight w:val="0"/>
              <w:marTop w:val="0"/>
              <w:marBottom w:val="0"/>
              <w:divBdr>
                <w:top w:val="none" w:sz="0" w:space="0" w:color="auto"/>
                <w:left w:val="none" w:sz="0" w:space="0" w:color="auto"/>
                <w:bottom w:val="none" w:sz="0" w:space="0" w:color="auto"/>
                <w:right w:val="none" w:sz="0" w:space="0" w:color="auto"/>
              </w:divBdr>
            </w:div>
          </w:divsChild>
        </w:div>
        <w:div w:id="1511481224">
          <w:marLeft w:val="0"/>
          <w:marRight w:val="0"/>
          <w:marTop w:val="0"/>
          <w:marBottom w:val="0"/>
          <w:divBdr>
            <w:top w:val="none" w:sz="0" w:space="0" w:color="auto"/>
            <w:left w:val="none" w:sz="0" w:space="0" w:color="auto"/>
            <w:bottom w:val="none" w:sz="0" w:space="0" w:color="auto"/>
            <w:right w:val="none" w:sz="0" w:space="0" w:color="auto"/>
          </w:divBdr>
          <w:divsChild>
            <w:div w:id="1822111877">
              <w:marLeft w:val="0"/>
              <w:marRight w:val="0"/>
              <w:marTop w:val="0"/>
              <w:marBottom w:val="0"/>
              <w:divBdr>
                <w:top w:val="none" w:sz="0" w:space="0" w:color="auto"/>
                <w:left w:val="none" w:sz="0" w:space="0" w:color="auto"/>
                <w:bottom w:val="none" w:sz="0" w:space="0" w:color="auto"/>
                <w:right w:val="none" w:sz="0" w:space="0" w:color="auto"/>
              </w:divBdr>
            </w:div>
          </w:divsChild>
        </w:div>
        <w:div w:id="1546209878">
          <w:marLeft w:val="0"/>
          <w:marRight w:val="0"/>
          <w:marTop w:val="0"/>
          <w:marBottom w:val="0"/>
          <w:divBdr>
            <w:top w:val="none" w:sz="0" w:space="0" w:color="auto"/>
            <w:left w:val="none" w:sz="0" w:space="0" w:color="auto"/>
            <w:bottom w:val="none" w:sz="0" w:space="0" w:color="auto"/>
            <w:right w:val="none" w:sz="0" w:space="0" w:color="auto"/>
          </w:divBdr>
          <w:divsChild>
            <w:div w:id="1152672587">
              <w:marLeft w:val="0"/>
              <w:marRight w:val="0"/>
              <w:marTop w:val="0"/>
              <w:marBottom w:val="0"/>
              <w:divBdr>
                <w:top w:val="none" w:sz="0" w:space="0" w:color="auto"/>
                <w:left w:val="none" w:sz="0" w:space="0" w:color="auto"/>
                <w:bottom w:val="none" w:sz="0" w:space="0" w:color="auto"/>
                <w:right w:val="none" w:sz="0" w:space="0" w:color="auto"/>
              </w:divBdr>
            </w:div>
          </w:divsChild>
        </w:div>
        <w:div w:id="1993874181">
          <w:marLeft w:val="0"/>
          <w:marRight w:val="0"/>
          <w:marTop w:val="0"/>
          <w:marBottom w:val="0"/>
          <w:divBdr>
            <w:top w:val="none" w:sz="0" w:space="0" w:color="auto"/>
            <w:left w:val="none" w:sz="0" w:space="0" w:color="auto"/>
            <w:bottom w:val="none" w:sz="0" w:space="0" w:color="auto"/>
            <w:right w:val="none" w:sz="0" w:space="0" w:color="auto"/>
          </w:divBdr>
          <w:divsChild>
            <w:div w:id="18844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12">
      <w:bodyDiv w:val="1"/>
      <w:marLeft w:val="0"/>
      <w:marRight w:val="0"/>
      <w:marTop w:val="0"/>
      <w:marBottom w:val="0"/>
      <w:divBdr>
        <w:top w:val="none" w:sz="0" w:space="0" w:color="auto"/>
        <w:left w:val="none" w:sz="0" w:space="0" w:color="auto"/>
        <w:bottom w:val="none" w:sz="0" w:space="0" w:color="auto"/>
        <w:right w:val="none" w:sz="0" w:space="0" w:color="auto"/>
      </w:divBdr>
      <w:divsChild>
        <w:div w:id="64500523">
          <w:marLeft w:val="0"/>
          <w:marRight w:val="0"/>
          <w:marTop w:val="0"/>
          <w:marBottom w:val="0"/>
          <w:divBdr>
            <w:top w:val="none" w:sz="0" w:space="0" w:color="auto"/>
            <w:left w:val="none" w:sz="0" w:space="0" w:color="auto"/>
            <w:bottom w:val="none" w:sz="0" w:space="0" w:color="auto"/>
            <w:right w:val="none" w:sz="0" w:space="0" w:color="auto"/>
          </w:divBdr>
        </w:div>
        <w:div w:id="376702581">
          <w:marLeft w:val="0"/>
          <w:marRight w:val="0"/>
          <w:marTop w:val="0"/>
          <w:marBottom w:val="0"/>
          <w:divBdr>
            <w:top w:val="none" w:sz="0" w:space="0" w:color="auto"/>
            <w:left w:val="none" w:sz="0" w:space="0" w:color="auto"/>
            <w:bottom w:val="none" w:sz="0" w:space="0" w:color="auto"/>
            <w:right w:val="none" w:sz="0" w:space="0" w:color="auto"/>
          </w:divBdr>
        </w:div>
        <w:div w:id="530655823">
          <w:marLeft w:val="0"/>
          <w:marRight w:val="0"/>
          <w:marTop w:val="0"/>
          <w:marBottom w:val="0"/>
          <w:divBdr>
            <w:top w:val="none" w:sz="0" w:space="0" w:color="auto"/>
            <w:left w:val="none" w:sz="0" w:space="0" w:color="auto"/>
            <w:bottom w:val="none" w:sz="0" w:space="0" w:color="auto"/>
            <w:right w:val="none" w:sz="0" w:space="0" w:color="auto"/>
          </w:divBdr>
        </w:div>
        <w:div w:id="590285151">
          <w:marLeft w:val="0"/>
          <w:marRight w:val="0"/>
          <w:marTop w:val="0"/>
          <w:marBottom w:val="0"/>
          <w:divBdr>
            <w:top w:val="none" w:sz="0" w:space="0" w:color="auto"/>
            <w:left w:val="none" w:sz="0" w:space="0" w:color="auto"/>
            <w:bottom w:val="none" w:sz="0" w:space="0" w:color="auto"/>
            <w:right w:val="none" w:sz="0" w:space="0" w:color="auto"/>
          </w:divBdr>
        </w:div>
        <w:div w:id="1349412210">
          <w:marLeft w:val="0"/>
          <w:marRight w:val="0"/>
          <w:marTop w:val="0"/>
          <w:marBottom w:val="0"/>
          <w:divBdr>
            <w:top w:val="none" w:sz="0" w:space="0" w:color="auto"/>
            <w:left w:val="none" w:sz="0" w:space="0" w:color="auto"/>
            <w:bottom w:val="none" w:sz="0" w:space="0" w:color="auto"/>
            <w:right w:val="none" w:sz="0" w:space="0" w:color="auto"/>
          </w:divBdr>
        </w:div>
        <w:div w:id="1401900500">
          <w:marLeft w:val="0"/>
          <w:marRight w:val="0"/>
          <w:marTop w:val="0"/>
          <w:marBottom w:val="0"/>
          <w:divBdr>
            <w:top w:val="none" w:sz="0" w:space="0" w:color="auto"/>
            <w:left w:val="none" w:sz="0" w:space="0" w:color="auto"/>
            <w:bottom w:val="none" w:sz="0" w:space="0" w:color="auto"/>
            <w:right w:val="none" w:sz="0" w:space="0" w:color="auto"/>
          </w:divBdr>
        </w:div>
      </w:divsChild>
    </w:div>
    <w:div w:id="106197309">
      <w:bodyDiv w:val="1"/>
      <w:marLeft w:val="0"/>
      <w:marRight w:val="0"/>
      <w:marTop w:val="0"/>
      <w:marBottom w:val="0"/>
      <w:divBdr>
        <w:top w:val="none" w:sz="0" w:space="0" w:color="auto"/>
        <w:left w:val="none" w:sz="0" w:space="0" w:color="auto"/>
        <w:bottom w:val="none" w:sz="0" w:space="0" w:color="auto"/>
        <w:right w:val="none" w:sz="0" w:space="0" w:color="auto"/>
      </w:divBdr>
      <w:divsChild>
        <w:div w:id="80687514">
          <w:marLeft w:val="0"/>
          <w:marRight w:val="0"/>
          <w:marTop w:val="0"/>
          <w:marBottom w:val="0"/>
          <w:divBdr>
            <w:top w:val="none" w:sz="0" w:space="0" w:color="auto"/>
            <w:left w:val="none" w:sz="0" w:space="0" w:color="auto"/>
            <w:bottom w:val="none" w:sz="0" w:space="0" w:color="auto"/>
            <w:right w:val="none" w:sz="0" w:space="0" w:color="auto"/>
          </w:divBdr>
          <w:divsChild>
            <w:div w:id="127094305">
              <w:marLeft w:val="0"/>
              <w:marRight w:val="0"/>
              <w:marTop w:val="0"/>
              <w:marBottom w:val="0"/>
              <w:divBdr>
                <w:top w:val="none" w:sz="0" w:space="0" w:color="auto"/>
                <w:left w:val="none" w:sz="0" w:space="0" w:color="auto"/>
                <w:bottom w:val="none" w:sz="0" w:space="0" w:color="auto"/>
                <w:right w:val="none" w:sz="0" w:space="0" w:color="auto"/>
              </w:divBdr>
            </w:div>
            <w:div w:id="1162888079">
              <w:marLeft w:val="0"/>
              <w:marRight w:val="0"/>
              <w:marTop w:val="0"/>
              <w:marBottom w:val="0"/>
              <w:divBdr>
                <w:top w:val="none" w:sz="0" w:space="0" w:color="auto"/>
                <w:left w:val="none" w:sz="0" w:space="0" w:color="auto"/>
                <w:bottom w:val="none" w:sz="0" w:space="0" w:color="auto"/>
                <w:right w:val="none" w:sz="0" w:space="0" w:color="auto"/>
              </w:divBdr>
            </w:div>
            <w:div w:id="1295796052">
              <w:marLeft w:val="0"/>
              <w:marRight w:val="0"/>
              <w:marTop w:val="0"/>
              <w:marBottom w:val="0"/>
              <w:divBdr>
                <w:top w:val="none" w:sz="0" w:space="0" w:color="auto"/>
                <w:left w:val="none" w:sz="0" w:space="0" w:color="auto"/>
                <w:bottom w:val="none" w:sz="0" w:space="0" w:color="auto"/>
                <w:right w:val="none" w:sz="0" w:space="0" w:color="auto"/>
              </w:divBdr>
            </w:div>
            <w:div w:id="1309478349">
              <w:marLeft w:val="0"/>
              <w:marRight w:val="0"/>
              <w:marTop w:val="0"/>
              <w:marBottom w:val="0"/>
              <w:divBdr>
                <w:top w:val="none" w:sz="0" w:space="0" w:color="auto"/>
                <w:left w:val="none" w:sz="0" w:space="0" w:color="auto"/>
                <w:bottom w:val="none" w:sz="0" w:space="0" w:color="auto"/>
                <w:right w:val="none" w:sz="0" w:space="0" w:color="auto"/>
              </w:divBdr>
            </w:div>
          </w:divsChild>
        </w:div>
        <w:div w:id="433020939">
          <w:marLeft w:val="0"/>
          <w:marRight w:val="0"/>
          <w:marTop w:val="0"/>
          <w:marBottom w:val="0"/>
          <w:divBdr>
            <w:top w:val="none" w:sz="0" w:space="0" w:color="auto"/>
            <w:left w:val="none" w:sz="0" w:space="0" w:color="auto"/>
            <w:bottom w:val="none" w:sz="0" w:space="0" w:color="auto"/>
            <w:right w:val="none" w:sz="0" w:space="0" w:color="auto"/>
          </w:divBdr>
          <w:divsChild>
            <w:div w:id="76219466">
              <w:marLeft w:val="0"/>
              <w:marRight w:val="0"/>
              <w:marTop w:val="0"/>
              <w:marBottom w:val="0"/>
              <w:divBdr>
                <w:top w:val="none" w:sz="0" w:space="0" w:color="auto"/>
                <w:left w:val="none" w:sz="0" w:space="0" w:color="auto"/>
                <w:bottom w:val="none" w:sz="0" w:space="0" w:color="auto"/>
                <w:right w:val="none" w:sz="0" w:space="0" w:color="auto"/>
              </w:divBdr>
            </w:div>
            <w:div w:id="221212377">
              <w:marLeft w:val="0"/>
              <w:marRight w:val="0"/>
              <w:marTop w:val="0"/>
              <w:marBottom w:val="0"/>
              <w:divBdr>
                <w:top w:val="none" w:sz="0" w:space="0" w:color="auto"/>
                <w:left w:val="none" w:sz="0" w:space="0" w:color="auto"/>
                <w:bottom w:val="none" w:sz="0" w:space="0" w:color="auto"/>
                <w:right w:val="none" w:sz="0" w:space="0" w:color="auto"/>
              </w:divBdr>
            </w:div>
            <w:div w:id="575365291">
              <w:marLeft w:val="0"/>
              <w:marRight w:val="0"/>
              <w:marTop w:val="0"/>
              <w:marBottom w:val="0"/>
              <w:divBdr>
                <w:top w:val="none" w:sz="0" w:space="0" w:color="auto"/>
                <w:left w:val="none" w:sz="0" w:space="0" w:color="auto"/>
                <w:bottom w:val="none" w:sz="0" w:space="0" w:color="auto"/>
                <w:right w:val="none" w:sz="0" w:space="0" w:color="auto"/>
              </w:divBdr>
            </w:div>
            <w:div w:id="1085149893">
              <w:marLeft w:val="0"/>
              <w:marRight w:val="0"/>
              <w:marTop w:val="0"/>
              <w:marBottom w:val="0"/>
              <w:divBdr>
                <w:top w:val="none" w:sz="0" w:space="0" w:color="auto"/>
                <w:left w:val="none" w:sz="0" w:space="0" w:color="auto"/>
                <w:bottom w:val="none" w:sz="0" w:space="0" w:color="auto"/>
                <w:right w:val="none" w:sz="0" w:space="0" w:color="auto"/>
              </w:divBdr>
            </w:div>
            <w:div w:id="1769161009">
              <w:marLeft w:val="0"/>
              <w:marRight w:val="0"/>
              <w:marTop w:val="0"/>
              <w:marBottom w:val="0"/>
              <w:divBdr>
                <w:top w:val="none" w:sz="0" w:space="0" w:color="auto"/>
                <w:left w:val="none" w:sz="0" w:space="0" w:color="auto"/>
                <w:bottom w:val="none" w:sz="0" w:space="0" w:color="auto"/>
                <w:right w:val="none" w:sz="0" w:space="0" w:color="auto"/>
              </w:divBdr>
            </w:div>
          </w:divsChild>
        </w:div>
        <w:div w:id="707412309">
          <w:marLeft w:val="0"/>
          <w:marRight w:val="0"/>
          <w:marTop w:val="0"/>
          <w:marBottom w:val="0"/>
          <w:divBdr>
            <w:top w:val="none" w:sz="0" w:space="0" w:color="auto"/>
            <w:left w:val="none" w:sz="0" w:space="0" w:color="auto"/>
            <w:bottom w:val="none" w:sz="0" w:space="0" w:color="auto"/>
            <w:right w:val="none" w:sz="0" w:space="0" w:color="auto"/>
          </w:divBdr>
          <w:divsChild>
            <w:div w:id="1145972905">
              <w:marLeft w:val="0"/>
              <w:marRight w:val="0"/>
              <w:marTop w:val="0"/>
              <w:marBottom w:val="0"/>
              <w:divBdr>
                <w:top w:val="none" w:sz="0" w:space="0" w:color="auto"/>
                <w:left w:val="none" w:sz="0" w:space="0" w:color="auto"/>
                <w:bottom w:val="none" w:sz="0" w:space="0" w:color="auto"/>
                <w:right w:val="none" w:sz="0" w:space="0" w:color="auto"/>
              </w:divBdr>
            </w:div>
            <w:div w:id="1492216208">
              <w:marLeft w:val="0"/>
              <w:marRight w:val="0"/>
              <w:marTop w:val="0"/>
              <w:marBottom w:val="0"/>
              <w:divBdr>
                <w:top w:val="none" w:sz="0" w:space="0" w:color="auto"/>
                <w:left w:val="none" w:sz="0" w:space="0" w:color="auto"/>
                <w:bottom w:val="none" w:sz="0" w:space="0" w:color="auto"/>
                <w:right w:val="none" w:sz="0" w:space="0" w:color="auto"/>
              </w:divBdr>
            </w:div>
            <w:div w:id="1517618933">
              <w:marLeft w:val="0"/>
              <w:marRight w:val="0"/>
              <w:marTop w:val="0"/>
              <w:marBottom w:val="0"/>
              <w:divBdr>
                <w:top w:val="none" w:sz="0" w:space="0" w:color="auto"/>
                <w:left w:val="none" w:sz="0" w:space="0" w:color="auto"/>
                <w:bottom w:val="none" w:sz="0" w:space="0" w:color="auto"/>
                <w:right w:val="none" w:sz="0" w:space="0" w:color="auto"/>
              </w:divBdr>
            </w:div>
            <w:div w:id="1601452885">
              <w:marLeft w:val="0"/>
              <w:marRight w:val="0"/>
              <w:marTop w:val="0"/>
              <w:marBottom w:val="0"/>
              <w:divBdr>
                <w:top w:val="none" w:sz="0" w:space="0" w:color="auto"/>
                <w:left w:val="none" w:sz="0" w:space="0" w:color="auto"/>
                <w:bottom w:val="none" w:sz="0" w:space="0" w:color="auto"/>
                <w:right w:val="none" w:sz="0" w:space="0" w:color="auto"/>
              </w:divBdr>
            </w:div>
            <w:div w:id="2038968094">
              <w:marLeft w:val="0"/>
              <w:marRight w:val="0"/>
              <w:marTop w:val="0"/>
              <w:marBottom w:val="0"/>
              <w:divBdr>
                <w:top w:val="none" w:sz="0" w:space="0" w:color="auto"/>
                <w:left w:val="none" w:sz="0" w:space="0" w:color="auto"/>
                <w:bottom w:val="none" w:sz="0" w:space="0" w:color="auto"/>
                <w:right w:val="none" w:sz="0" w:space="0" w:color="auto"/>
              </w:divBdr>
            </w:div>
          </w:divsChild>
        </w:div>
        <w:div w:id="742023692">
          <w:marLeft w:val="0"/>
          <w:marRight w:val="0"/>
          <w:marTop w:val="0"/>
          <w:marBottom w:val="0"/>
          <w:divBdr>
            <w:top w:val="none" w:sz="0" w:space="0" w:color="auto"/>
            <w:left w:val="none" w:sz="0" w:space="0" w:color="auto"/>
            <w:bottom w:val="none" w:sz="0" w:space="0" w:color="auto"/>
            <w:right w:val="none" w:sz="0" w:space="0" w:color="auto"/>
          </w:divBdr>
        </w:div>
        <w:div w:id="1044938635">
          <w:marLeft w:val="0"/>
          <w:marRight w:val="0"/>
          <w:marTop w:val="0"/>
          <w:marBottom w:val="0"/>
          <w:divBdr>
            <w:top w:val="none" w:sz="0" w:space="0" w:color="auto"/>
            <w:left w:val="none" w:sz="0" w:space="0" w:color="auto"/>
            <w:bottom w:val="none" w:sz="0" w:space="0" w:color="auto"/>
            <w:right w:val="none" w:sz="0" w:space="0" w:color="auto"/>
          </w:divBdr>
          <w:divsChild>
            <w:div w:id="748307169">
              <w:marLeft w:val="0"/>
              <w:marRight w:val="0"/>
              <w:marTop w:val="0"/>
              <w:marBottom w:val="0"/>
              <w:divBdr>
                <w:top w:val="none" w:sz="0" w:space="0" w:color="auto"/>
                <w:left w:val="none" w:sz="0" w:space="0" w:color="auto"/>
                <w:bottom w:val="none" w:sz="0" w:space="0" w:color="auto"/>
                <w:right w:val="none" w:sz="0" w:space="0" w:color="auto"/>
              </w:divBdr>
            </w:div>
            <w:div w:id="1135952241">
              <w:marLeft w:val="0"/>
              <w:marRight w:val="0"/>
              <w:marTop w:val="0"/>
              <w:marBottom w:val="0"/>
              <w:divBdr>
                <w:top w:val="none" w:sz="0" w:space="0" w:color="auto"/>
                <w:left w:val="none" w:sz="0" w:space="0" w:color="auto"/>
                <w:bottom w:val="none" w:sz="0" w:space="0" w:color="auto"/>
                <w:right w:val="none" w:sz="0" w:space="0" w:color="auto"/>
              </w:divBdr>
            </w:div>
            <w:div w:id="1308512961">
              <w:marLeft w:val="0"/>
              <w:marRight w:val="0"/>
              <w:marTop w:val="0"/>
              <w:marBottom w:val="0"/>
              <w:divBdr>
                <w:top w:val="none" w:sz="0" w:space="0" w:color="auto"/>
                <w:left w:val="none" w:sz="0" w:space="0" w:color="auto"/>
                <w:bottom w:val="none" w:sz="0" w:space="0" w:color="auto"/>
                <w:right w:val="none" w:sz="0" w:space="0" w:color="auto"/>
              </w:divBdr>
            </w:div>
            <w:div w:id="1686396717">
              <w:marLeft w:val="0"/>
              <w:marRight w:val="0"/>
              <w:marTop w:val="0"/>
              <w:marBottom w:val="0"/>
              <w:divBdr>
                <w:top w:val="none" w:sz="0" w:space="0" w:color="auto"/>
                <w:left w:val="none" w:sz="0" w:space="0" w:color="auto"/>
                <w:bottom w:val="none" w:sz="0" w:space="0" w:color="auto"/>
                <w:right w:val="none" w:sz="0" w:space="0" w:color="auto"/>
              </w:divBdr>
            </w:div>
            <w:div w:id="1701320963">
              <w:marLeft w:val="0"/>
              <w:marRight w:val="0"/>
              <w:marTop w:val="0"/>
              <w:marBottom w:val="0"/>
              <w:divBdr>
                <w:top w:val="none" w:sz="0" w:space="0" w:color="auto"/>
                <w:left w:val="none" w:sz="0" w:space="0" w:color="auto"/>
                <w:bottom w:val="none" w:sz="0" w:space="0" w:color="auto"/>
                <w:right w:val="none" w:sz="0" w:space="0" w:color="auto"/>
              </w:divBdr>
            </w:div>
          </w:divsChild>
        </w:div>
        <w:div w:id="1481579357">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none" w:sz="0" w:space="0" w:color="auto"/>
                <w:left w:val="none" w:sz="0" w:space="0" w:color="auto"/>
                <w:bottom w:val="none" w:sz="0" w:space="0" w:color="auto"/>
                <w:right w:val="none" w:sz="0" w:space="0" w:color="auto"/>
              </w:divBdr>
            </w:div>
            <w:div w:id="140272295">
              <w:marLeft w:val="0"/>
              <w:marRight w:val="0"/>
              <w:marTop w:val="0"/>
              <w:marBottom w:val="0"/>
              <w:divBdr>
                <w:top w:val="none" w:sz="0" w:space="0" w:color="auto"/>
                <w:left w:val="none" w:sz="0" w:space="0" w:color="auto"/>
                <w:bottom w:val="none" w:sz="0" w:space="0" w:color="auto"/>
                <w:right w:val="none" w:sz="0" w:space="0" w:color="auto"/>
              </w:divBdr>
            </w:div>
            <w:div w:id="500437653">
              <w:marLeft w:val="0"/>
              <w:marRight w:val="0"/>
              <w:marTop w:val="0"/>
              <w:marBottom w:val="0"/>
              <w:divBdr>
                <w:top w:val="none" w:sz="0" w:space="0" w:color="auto"/>
                <w:left w:val="none" w:sz="0" w:space="0" w:color="auto"/>
                <w:bottom w:val="none" w:sz="0" w:space="0" w:color="auto"/>
                <w:right w:val="none" w:sz="0" w:space="0" w:color="auto"/>
              </w:divBdr>
            </w:div>
            <w:div w:id="1712606532">
              <w:marLeft w:val="0"/>
              <w:marRight w:val="0"/>
              <w:marTop w:val="0"/>
              <w:marBottom w:val="0"/>
              <w:divBdr>
                <w:top w:val="none" w:sz="0" w:space="0" w:color="auto"/>
                <w:left w:val="none" w:sz="0" w:space="0" w:color="auto"/>
                <w:bottom w:val="none" w:sz="0" w:space="0" w:color="auto"/>
                <w:right w:val="none" w:sz="0" w:space="0" w:color="auto"/>
              </w:divBdr>
            </w:div>
            <w:div w:id="17741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150">
      <w:bodyDiv w:val="1"/>
      <w:marLeft w:val="0"/>
      <w:marRight w:val="0"/>
      <w:marTop w:val="0"/>
      <w:marBottom w:val="0"/>
      <w:divBdr>
        <w:top w:val="none" w:sz="0" w:space="0" w:color="auto"/>
        <w:left w:val="none" w:sz="0" w:space="0" w:color="auto"/>
        <w:bottom w:val="none" w:sz="0" w:space="0" w:color="auto"/>
        <w:right w:val="none" w:sz="0" w:space="0" w:color="auto"/>
      </w:divBdr>
      <w:divsChild>
        <w:div w:id="225461478">
          <w:marLeft w:val="0"/>
          <w:marRight w:val="0"/>
          <w:marTop w:val="0"/>
          <w:marBottom w:val="0"/>
          <w:divBdr>
            <w:top w:val="none" w:sz="0" w:space="0" w:color="auto"/>
            <w:left w:val="none" w:sz="0" w:space="0" w:color="auto"/>
            <w:bottom w:val="none" w:sz="0" w:space="0" w:color="auto"/>
            <w:right w:val="none" w:sz="0" w:space="0" w:color="auto"/>
          </w:divBdr>
        </w:div>
        <w:div w:id="502404542">
          <w:marLeft w:val="0"/>
          <w:marRight w:val="0"/>
          <w:marTop w:val="0"/>
          <w:marBottom w:val="0"/>
          <w:divBdr>
            <w:top w:val="none" w:sz="0" w:space="0" w:color="auto"/>
            <w:left w:val="none" w:sz="0" w:space="0" w:color="auto"/>
            <w:bottom w:val="none" w:sz="0" w:space="0" w:color="auto"/>
            <w:right w:val="none" w:sz="0" w:space="0" w:color="auto"/>
          </w:divBdr>
        </w:div>
        <w:div w:id="580142691">
          <w:marLeft w:val="0"/>
          <w:marRight w:val="0"/>
          <w:marTop w:val="0"/>
          <w:marBottom w:val="0"/>
          <w:divBdr>
            <w:top w:val="none" w:sz="0" w:space="0" w:color="auto"/>
            <w:left w:val="none" w:sz="0" w:space="0" w:color="auto"/>
            <w:bottom w:val="none" w:sz="0" w:space="0" w:color="auto"/>
            <w:right w:val="none" w:sz="0" w:space="0" w:color="auto"/>
          </w:divBdr>
        </w:div>
        <w:div w:id="1002005471">
          <w:marLeft w:val="0"/>
          <w:marRight w:val="0"/>
          <w:marTop w:val="0"/>
          <w:marBottom w:val="0"/>
          <w:divBdr>
            <w:top w:val="none" w:sz="0" w:space="0" w:color="auto"/>
            <w:left w:val="none" w:sz="0" w:space="0" w:color="auto"/>
            <w:bottom w:val="none" w:sz="0" w:space="0" w:color="auto"/>
            <w:right w:val="none" w:sz="0" w:space="0" w:color="auto"/>
          </w:divBdr>
        </w:div>
        <w:div w:id="1309553616">
          <w:marLeft w:val="0"/>
          <w:marRight w:val="0"/>
          <w:marTop w:val="0"/>
          <w:marBottom w:val="0"/>
          <w:divBdr>
            <w:top w:val="none" w:sz="0" w:space="0" w:color="auto"/>
            <w:left w:val="none" w:sz="0" w:space="0" w:color="auto"/>
            <w:bottom w:val="none" w:sz="0" w:space="0" w:color="auto"/>
            <w:right w:val="none" w:sz="0" w:space="0" w:color="auto"/>
          </w:divBdr>
        </w:div>
        <w:div w:id="1319579847">
          <w:marLeft w:val="0"/>
          <w:marRight w:val="0"/>
          <w:marTop w:val="0"/>
          <w:marBottom w:val="0"/>
          <w:divBdr>
            <w:top w:val="none" w:sz="0" w:space="0" w:color="auto"/>
            <w:left w:val="none" w:sz="0" w:space="0" w:color="auto"/>
            <w:bottom w:val="none" w:sz="0" w:space="0" w:color="auto"/>
            <w:right w:val="none" w:sz="0" w:space="0" w:color="auto"/>
          </w:divBdr>
        </w:div>
        <w:div w:id="1478915339">
          <w:marLeft w:val="0"/>
          <w:marRight w:val="0"/>
          <w:marTop w:val="0"/>
          <w:marBottom w:val="0"/>
          <w:divBdr>
            <w:top w:val="none" w:sz="0" w:space="0" w:color="auto"/>
            <w:left w:val="none" w:sz="0" w:space="0" w:color="auto"/>
            <w:bottom w:val="none" w:sz="0" w:space="0" w:color="auto"/>
            <w:right w:val="none" w:sz="0" w:space="0" w:color="auto"/>
          </w:divBdr>
        </w:div>
        <w:div w:id="1545604025">
          <w:marLeft w:val="0"/>
          <w:marRight w:val="0"/>
          <w:marTop w:val="0"/>
          <w:marBottom w:val="0"/>
          <w:divBdr>
            <w:top w:val="none" w:sz="0" w:space="0" w:color="auto"/>
            <w:left w:val="none" w:sz="0" w:space="0" w:color="auto"/>
            <w:bottom w:val="none" w:sz="0" w:space="0" w:color="auto"/>
            <w:right w:val="none" w:sz="0" w:space="0" w:color="auto"/>
          </w:divBdr>
        </w:div>
        <w:div w:id="2116634149">
          <w:marLeft w:val="0"/>
          <w:marRight w:val="0"/>
          <w:marTop w:val="0"/>
          <w:marBottom w:val="0"/>
          <w:divBdr>
            <w:top w:val="none" w:sz="0" w:space="0" w:color="auto"/>
            <w:left w:val="none" w:sz="0" w:space="0" w:color="auto"/>
            <w:bottom w:val="none" w:sz="0" w:space="0" w:color="auto"/>
            <w:right w:val="none" w:sz="0" w:space="0" w:color="auto"/>
          </w:divBdr>
        </w:div>
      </w:divsChild>
    </w:div>
    <w:div w:id="110824251">
      <w:bodyDiv w:val="1"/>
      <w:marLeft w:val="0"/>
      <w:marRight w:val="0"/>
      <w:marTop w:val="0"/>
      <w:marBottom w:val="0"/>
      <w:divBdr>
        <w:top w:val="none" w:sz="0" w:space="0" w:color="auto"/>
        <w:left w:val="none" w:sz="0" w:space="0" w:color="auto"/>
        <w:bottom w:val="none" w:sz="0" w:space="0" w:color="auto"/>
        <w:right w:val="none" w:sz="0" w:space="0" w:color="auto"/>
      </w:divBdr>
    </w:div>
    <w:div w:id="118300817">
      <w:bodyDiv w:val="1"/>
      <w:marLeft w:val="0"/>
      <w:marRight w:val="0"/>
      <w:marTop w:val="0"/>
      <w:marBottom w:val="0"/>
      <w:divBdr>
        <w:top w:val="none" w:sz="0" w:space="0" w:color="auto"/>
        <w:left w:val="none" w:sz="0" w:space="0" w:color="auto"/>
        <w:bottom w:val="none" w:sz="0" w:space="0" w:color="auto"/>
        <w:right w:val="none" w:sz="0" w:space="0" w:color="auto"/>
      </w:divBdr>
      <w:divsChild>
        <w:div w:id="64450601">
          <w:marLeft w:val="0"/>
          <w:marRight w:val="0"/>
          <w:marTop w:val="0"/>
          <w:marBottom w:val="0"/>
          <w:divBdr>
            <w:top w:val="none" w:sz="0" w:space="0" w:color="auto"/>
            <w:left w:val="none" w:sz="0" w:space="0" w:color="auto"/>
            <w:bottom w:val="none" w:sz="0" w:space="0" w:color="auto"/>
            <w:right w:val="none" w:sz="0" w:space="0" w:color="auto"/>
          </w:divBdr>
        </w:div>
        <w:div w:id="1849756526">
          <w:marLeft w:val="0"/>
          <w:marRight w:val="0"/>
          <w:marTop w:val="0"/>
          <w:marBottom w:val="0"/>
          <w:divBdr>
            <w:top w:val="none" w:sz="0" w:space="0" w:color="auto"/>
            <w:left w:val="none" w:sz="0" w:space="0" w:color="auto"/>
            <w:bottom w:val="none" w:sz="0" w:space="0" w:color="auto"/>
            <w:right w:val="none" w:sz="0" w:space="0" w:color="auto"/>
          </w:divBdr>
        </w:div>
      </w:divsChild>
    </w:div>
    <w:div w:id="145821073">
      <w:bodyDiv w:val="1"/>
      <w:marLeft w:val="0"/>
      <w:marRight w:val="0"/>
      <w:marTop w:val="0"/>
      <w:marBottom w:val="0"/>
      <w:divBdr>
        <w:top w:val="none" w:sz="0" w:space="0" w:color="auto"/>
        <w:left w:val="none" w:sz="0" w:space="0" w:color="auto"/>
        <w:bottom w:val="none" w:sz="0" w:space="0" w:color="auto"/>
        <w:right w:val="none" w:sz="0" w:space="0" w:color="auto"/>
      </w:divBdr>
    </w:div>
    <w:div w:id="151678608">
      <w:bodyDiv w:val="1"/>
      <w:marLeft w:val="0"/>
      <w:marRight w:val="0"/>
      <w:marTop w:val="0"/>
      <w:marBottom w:val="0"/>
      <w:divBdr>
        <w:top w:val="none" w:sz="0" w:space="0" w:color="auto"/>
        <w:left w:val="none" w:sz="0" w:space="0" w:color="auto"/>
        <w:bottom w:val="none" w:sz="0" w:space="0" w:color="auto"/>
        <w:right w:val="none" w:sz="0" w:space="0" w:color="auto"/>
      </w:divBdr>
      <w:divsChild>
        <w:div w:id="1385251661">
          <w:marLeft w:val="0"/>
          <w:marRight w:val="0"/>
          <w:marTop w:val="0"/>
          <w:marBottom w:val="0"/>
          <w:divBdr>
            <w:top w:val="none" w:sz="0" w:space="0" w:color="auto"/>
            <w:left w:val="none" w:sz="0" w:space="0" w:color="auto"/>
            <w:bottom w:val="none" w:sz="0" w:space="0" w:color="auto"/>
            <w:right w:val="none" w:sz="0" w:space="0" w:color="auto"/>
          </w:divBdr>
        </w:div>
      </w:divsChild>
    </w:div>
    <w:div w:id="154806575">
      <w:bodyDiv w:val="1"/>
      <w:marLeft w:val="0"/>
      <w:marRight w:val="0"/>
      <w:marTop w:val="0"/>
      <w:marBottom w:val="0"/>
      <w:divBdr>
        <w:top w:val="none" w:sz="0" w:space="0" w:color="auto"/>
        <w:left w:val="none" w:sz="0" w:space="0" w:color="auto"/>
        <w:bottom w:val="none" w:sz="0" w:space="0" w:color="auto"/>
        <w:right w:val="none" w:sz="0" w:space="0" w:color="auto"/>
      </w:divBdr>
    </w:div>
    <w:div w:id="162361067">
      <w:bodyDiv w:val="1"/>
      <w:marLeft w:val="0"/>
      <w:marRight w:val="0"/>
      <w:marTop w:val="0"/>
      <w:marBottom w:val="0"/>
      <w:divBdr>
        <w:top w:val="none" w:sz="0" w:space="0" w:color="auto"/>
        <w:left w:val="none" w:sz="0" w:space="0" w:color="auto"/>
        <w:bottom w:val="none" w:sz="0" w:space="0" w:color="auto"/>
        <w:right w:val="none" w:sz="0" w:space="0" w:color="auto"/>
      </w:divBdr>
    </w:div>
    <w:div w:id="169220006">
      <w:bodyDiv w:val="1"/>
      <w:marLeft w:val="0"/>
      <w:marRight w:val="0"/>
      <w:marTop w:val="0"/>
      <w:marBottom w:val="0"/>
      <w:divBdr>
        <w:top w:val="none" w:sz="0" w:space="0" w:color="auto"/>
        <w:left w:val="none" w:sz="0" w:space="0" w:color="auto"/>
        <w:bottom w:val="none" w:sz="0" w:space="0" w:color="auto"/>
        <w:right w:val="none" w:sz="0" w:space="0" w:color="auto"/>
      </w:divBdr>
    </w:div>
    <w:div w:id="175074026">
      <w:bodyDiv w:val="1"/>
      <w:marLeft w:val="0"/>
      <w:marRight w:val="0"/>
      <w:marTop w:val="0"/>
      <w:marBottom w:val="0"/>
      <w:divBdr>
        <w:top w:val="none" w:sz="0" w:space="0" w:color="auto"/>
        <w:left w:val="none" w:sz="0" w:space="0" w:color="auto"/>
        <w:bottom w:val="none" w:sz="0" w:space="0" w:color="auto"/>
        <w:right w:val="none" w:sz="0" w:space="0" w:color="auto"/>
      </w:divBdr>
      <w:divsChild>
        <w:div w:id="273176943">
          <w:marLeft w:val="0"/>
          <w:marRight w:val="0"/>
          <w:marTop w:val="0"/>
          <w:marBottom w:val="0"/>
          <w:divBdr>
            <w:top w:val="none" w:sz="0" w:space="0" w:color="auto"/>
            <w:left w:val="none" w:sz="0" w:space="0" w:color="auto"/>
            <w:bottom w:val="none" w:sz="0" w:space="0" w:color="auto"/>
            <w:right w:val="none" w:sz="0" w:space="0" w:color="auto"/>
          </w:divBdr>
        </w:div>
        <w:div w:id="285426210">
          <w:marLeft w:val="0"/>
          <w:marRight w:val="0"/>
          <w:marTop w:val="0"/>
          <w:marBottom w:val="0"/>
          <w:divBdr>
            <w:top w:val="none" w:sz="0" w:space="0" w:color="auto"/>
            <w:left w:val="none" w:sz="0" w:space="0" w:color="auto"/>
            <w:bottom w:val="none" w:sz="0" w:space="0" w:color="auto"/>
            <w:right w:val="none" w:sz="0" w:space="0" w:color="auto"/>
          </w:divBdr>
          <w:divsChild>
            <w:div w:id="152182115">
              <w:marLeft w:val="0"/>
              <w:marRight w:val="0"/>
              <w:marTop w:val="0"/>
              <w:marBottom w:val="0"/>
              <w:divBdr>
                <w:top w:val="none" w:sz="0" w:space="0" w:color="auto"/>
                <w:left w:val="none" w:sz="0" w:space="0" w:color="auto"/>
                <w:bottom w:val="none" w:sz="0" w:space="0" w:color="auto"/>
                <w:right w:val="none" w:sz="0" w:space="0" w:color="auto"/>
              </w:divBdr>
            </w:div>
            <w:div w:id="1376469290">
              <w:marLeft w:val="0"/>
              <w:marRight w:val="0"/>
              <w:marTop w:val="0"/>
              <w:marBottom w:val="0"/>
              <w:divBdr>
                <w:top w:val="none" w:sz="0" w:space="0" w:color="auto"/>
                <w:left w:val="none" w:sz="0" w:space="0" w:color="auto"/>
                <w:bottom w:val="none" w:sz="0" w:space="0" w:color="auto"/>
                <w:right w:val="none" w:sz="0" w:space="0" w:color="auto"/>
              </w:divBdr>
            </w:div>
            <w:div w:id="1890721359">
              <w:marLeft w:val="0"/>
              <w:marRight w:val="0"/>
              <w:marTop w:val="0"/>
              <w:marBottom w:val="0"/>
              <w:divBdr>
                <w:top w:val="none" w:sz="0" w:space="0" w:color="auto"/>
                <w:left w:val="none" w:sz="0" w:space="0" w:color="auto"/>
                <w:bottom w:val="none" w:sz="0" w:space="0" w:color="auto"/>
                <w:right w:val="none" w:sz="0" w:space="0" w:color="auto"/>
              </w:divBdr>
            </w:div>
          </w:divsChild>
        </w:div>
        <w:div w:id="352536238">
          <w:marLeft w:val="0"/>
          <w:marRight w:val="0"/>
          <w:marTop w:val="0"/>
          <w:marBottom w:val="0"/>
          <w:divBdr>
            <w:top w:val="none" w:sz="0" w:space="0" w:color="auto"/>
            <w:left w:val="none" w:sz="0" w:space="0" w:color="auto"/>
            <w:bottom w:val="none" w:sz="0" w:space="0" w:color="auto"/>
            <w:right w:val="none" w:sz="0" w:space="0" w:color="auto"/>
          </w:divBdr>
        </w:div>
        <w:div w:id="629675766">
          <w:marLeft w:val="0"/>
          <w:marRight w:val="0"/>
          <w:marTop w:val="0"/>
          <w:marBottom w:val="0"/>
          <w:divBdr>
            <w:top w:val="none" w:sz="0" w:space="0" w:color="auto"/>
            <w:left w:val="none" w:sz="0" w:space="0" w:color="auto"/>
            <w:bottom w:val="none" w:sz="0" w:space="0" w:color="auto"/>
            <w:right w:val="none" w:sz="0" w:space="0" w:color="auto"/>
          </w:divBdr>
          <w:divsChild>
            <w:div w:id="559092538">
              <w:marLeft w:val="0"/>
              <w:marRight w:val="0"/>
              <w:marTop w:val="0"/>
              <w:marBottom w:val="0"/>
              <w:divBdr>
                <w:top w:val="none" w:sz="0" w:space="0" w:color="auto"/>
                <w:left w:val="none" w:sz="0" w:space="0" w:color="auto"/>
                <w:bottom w:val="none" w:sz="0" w:space="0" w:color="auto"/>
                <w:right w:val="none" w:sz="0" w:space="0" w:color="auto"/>
              </w:divBdr>
            </w:div>
            <w:div w:id="601498926">
              <w:marLeft w:val="0"/>
              <w:marRight w:val="0"/>
              <w:marTop w:val="0"/>
              <w:marBottom w:val="0"/>
              <w:divBdr>
                <w:top w:val="none" w:sz="0" w:space="0" w:color="auto"/>
                <w:left w:val="none" w:sz="0" w:space="0" w:color="auto"/>
                <w:bottom w:val="none" w:sz="0" w:space="0" w:color="auto"/>
                <w:right w:val="none" w:sz="0" w:space="0" w:color="auto"/>
              </w:divBdr>
            </w:div>
            <w:div w:id="759061641">
              <w:marLeft w:val="0"/>
              <w:marRight w:val="0"/>
              <w:marTop w:val="0"/>
              <w:marBottom w:val="0"/>
              <w:divBdr>
                <w:top w:val="none" w:sz="0" w:space="0" w:color="auto"/>
                <w:left w:val="none" w:sz="0" w:space="0" w:color="auto"/>
                <w:bottom w:val="none" w:sz="0" w:space="0" w:color="auto"/>
                <w:right w:val="none" w:sz="0" w:space="0" w:color="auto"/>
              </w:divBdr>
            </w:div>
            <w:div w:id="1770347781">
              <w:marLeft w:val="0"/>
              <w:marRight w:val="0"/>
              <w:marTop w:val="0"/>
              <w:marBottom w:val="0"/>
              <w:divBdr>
                <w:top w:val="none" w:sz="0" w:space="0" w:color="auto"/>
                <w:left w:val="none" w:sz="0" w:space="0" w:color="auto"/>
                <w:bottom w:val="none" w:sz="0" w:space="0" w:color="auto"/>
                <w:right w:val="none" w:sz="0" w:space="0" w:color="auto"/>
              </w:divBdr>
            </w:div>
            <w:div w:id="1799684466">
              <w:marLeft w:val="0"/>
              <w:marRight w:val="0"/>
              <w:marTop w:val="0"/>
              <w:marBottom w:val="0"/>
              <w:divBdr>
                <w:top w:val="none" w:sz="0" w:space="0" w:color="auto"/>
                <w:left w:val="none" w:sz="0" w:space="0" w:color="auto"/>
                <w:bottom w:val="none" w:sz="0" w:space="0" w:color="auto"/>
                <w:right w:val="none" w:sz="0" w:space="0" w:color="auto"/>
              </w:divBdr>
            </w:div>
          </w:divsChild>
        </w:div>
        <w:div w:id="1351418964">
          <w:marLeft w:val="0"/>
          <w:marRight w:val="0"/>
          <w:marTop w:val="0"/>
          <w:marBottom w:val="0"/>
          <w:divBdr>
            <w:top w:val="none" w:sz="0" w:space="0" w:color="auto"/>
            <w:left w:val="none" w:sz="0" w:space="0" w:color="auto"/>
            <w:bottom w:val="none" w:sz="0" w:space="0" w:color="auto"/>
            <w:right w:val="none" w:sz="0" w:space="0" w:color="auto"/>
          </w:divBdr>
          <w:divsChild>
            <w:div w:id="705984255">
              <w:marLeft w:val="0"/>
              <w:marRight w:val="0"/>
              <w:marTop w:val="0"/>
              <w:marBottom w:val="0"/>
              <w:divBdr>
                <w:top w:val="none" w:sz="0" w:space="0" w:color="auto"/>
                <w:left w:val="none" w:sz="0" w:space="0" w:color="auto"/>
                <w:bottom w:val="none" w:sz="0" w:space="0" w:color="auto"/>
                <w:right w:val="none" w:sz="0" w:space="0" w:color="auto"/>
              </w:divBdr>
              <w:divsChild>
                <w:div w:id="494496213">
                  <w:marLeft w:val="0"/>
                  <w:marRight w:val="0"/>
                  <w:marTop w:val="30"/>
                  <w:marBottom w:val="30"/>
                  <w:divBdr>
                    <w:top w:val="none" w:sz="0" w:space="0" w:color="auto"/>
                    <w:left w:val="none" w:sz="0" w:space="0" w:color="auto"/>
                    <w:bottom w:val="none" w:sz="0" w:space="0" w:color="auto"/>
                    <w:right w:val="none" w:sz="0" w:space="0" w:color="auto"/>
                  </w:divBdr>
                  <w:divsChild>
                    <w:div w:id="161093405">
                      <w:marLeft w:val="0"/>
                      <w:marRight w:val="0"/>
                      <w:marTop w:val="0"/>
                      <w:marBottom w:val="0"/>
                      <w:divBdr>
                        <w:top w:val="none" w:sz="0" w:space="0" w:color="auto"/>
                        <w:left w:val="none" w:sz="0" w:space="0" w:color="auto"/>
                        <w:bottom w:val="none" w:sz="0" w:space="0" w:color="auto"/>
                        <w:right w:val="none" w:sz="0" w:space="0" w:color="auto"/>
                      </w:divBdr>
                      <w:divsChild>
                        <w:div w:id="696543359">
                          <w:marLeft w:val="0"/>
                          <w:marRight w:val="0"/>
                          <w:marTop w:val="0"/>
                          <w:marBottom w:val="0"/>
                          <w:divBdr>
                            <w:top w:val="none" w:sz="0" w:space="0" w:color="auto"/>
                            <w:left w:val="none" w:sz="0" w:space="0" w:color="auto"/>
                            <w:bottom w:val="none" w:sz="0" w:space="0" w:color="auto"/>
                            <w:right w:val="none" w:sz="0" w:space="0" w:color="auto"/>
                          </w:divBdr>
                        </w:div>
                      </w:divsChild>
                    </w:div>
                    <w:div w:id="162668353">
                      <w:marLeft w:val="0"/>
                      <w:marRight w:val="0"/>
                      <w:marTop w:val="0"/>
                      <w:marBottom w:val="0"/>
                      <w:divBdr>
                        <w:top w:val="none" w:sz="0" w:space="0" w:color="auto"/>
                        <w:left w:val="none" w:sz="0" w:space="0" w:color="auto"/>
                        <w:bottom w:val="none" w:sz="0" w:space="0" w:color="auto"/>
                        <w:right w:val="none" w:sz="0" w:space="0" w:color="auto"/>
                      </w:divBdr>
                      <w:divsChild>
                        <w:div w:id="121384863">
                          <w:marLeft w:val="0"/>
                          <w:marRight w:val="0"/>
                          <w:marTop w:val="0"/>
                          <w:marBottom w:val="0"/>
                          <w:divBdr>
                            <w:top w:val="none" w:sz="0" w:space="0" w:color="auto"/>
                            <w:left w:val="none" w:sz="0" w:space="0" w:color="auto"/>
                            <w:bottom w:val="none" w:sz="0" w:space="0" w:color="auto"/>
                            <w:right w:val="none" w:sz="0" w:space="0" w:color="auto"/>
                          </w:divBdr>
                        </w:div>
                      </w:divsChild>
                    </w:div>
                    <w:div w:id="175118115">
                      <w:marLeft w:val="0"/>
                      <w:marRight w:val="0"/>
                      <w:marTop w:val="0"/>
                      <w:marBottom w:val="0"/>
                      <w:divBdr>
                        <w:top w:val="none" w:sz="0" w:space="0" w:color="auto"/>
                        <w:left w:val="none" w:sz="0" w:space="0" w:color="auto"/>
                        <w:bottom w:val="none" w:sz="0" w:space="0" w:color="auto"/>
                        <w:right w:val="none" w:sz="0" w:space="0" w:color="auto"/>
                      </w:divBdr>
                      <w:divsChild>
                        <w:div w:id="1082533010">
                          <w:marLeft w:val="0"/>
                          <w:marRight w:val="0"/>
                          <w:marTop w:val="0"/>
                          <w:marBottom w:val="0"/>
                          <w:divBdr>
                            <w:top w:val="none" w:sz="0" w:space="0" w:color="auto"/>
                            <w:left w:val="none" w:sz="0" w:space="0" w:color="auto"/>
                            <w:bottom w:val="none" w:sz="0" w:space="0" w:color="auto"/>
                            <w:right w:val="none" w:sz="0" w:space="0" w:color="auto"/>
                          </w:divBdr>
                        </w:div>
                      </w:divsChild>
                    </w:div>
                    <w:div w:id="205336010">
                      <w:marLeft w:val="0"/>
                      <w:marRight w:val="0"/>
                      <w:marTop w:val="0"/>
                      <w:marBottom w:val="0"/>
                      <w:divBdr>
                        <w:top w:val="none" w:sz="0" w:space="0" w:color="auto"/>
                        <w:left w:val="none" w:sz="0" w:space="0" w:color="auto"/>
                        <w:bottom w:val="none" w:sz="0" w:space="0" w:color="auto"/>
                        <w:right w:val="none" w:sz="0" w:space="0" w:color="auto"/>
                      </w:divBdr>
                      <w:divsChild>
                        <w:div w:id="2029138607">
                          <w:marLeft w:val="0"/>
                          <w:marRight w:val="0"/>
                          <w:marTop w:val="0"/>
                          <w:marBottom w:val="0"/>
                          <w:divBdr>
                            <w:top w:val="none" w:sz="0" w:space="0" w:color="auto"/>
                            <w:left w:val="none" w:sz="0" w:space="0" w:color="auto"/>
                            <w:bottom w:val="none" w:sz="0" w:space="0" w:color="auto"/>
                            <w:right w:val="none" w:sz="0" w:space="0" w:color="auto"/>
                          </w:divBdr>
                        </w:div>
                      </w:divsChild>
                    </w:div>
                    <w:div w:id="231815220">
                      <w:marLeft w:val="0"/>
                      <w:marRight w:val="0"/>
                      <w:marTop w:val="0"/>
                      <w:marBottom w:val="0"/>
                      <w:divBdr>
                        <w:top w:val="none" w:sz="0" w:space="0" w:color="auto"/>
                        <w:left w:val="none" w:sz="0" w:space="0" w:color="auto"/>
                        <w:bottom w:val="none" w:sz="0" w:space="0" w:color="auto"/>
                        <w:right w:val="none" w:sz="0" w:space="0" w:color="auto"/>
                      </w:divBdr>
                      <w:divsChild>
                        <w:div w:id="534197435">
                          <w:marLeft w:val="0"/>
                          <w:marRight w:val="0"/>
                          <w:marTop w:val="0"/>
                          <w:marBottom w:val="0"/>
                          <w:divBdr>
                            <w:top w:val="none" w:sz="0" w:space="0" w:color="auto"/>
                            <w:left w:val="none" w:sz="0" w:space="0" w:color="auto"/>
                            <w:bottom w:val="none" w:sz="0" w:space="0" w:color="auto"/>
                            <w:right w:val="none" w:sz="0" w:space="0" w:color="auto"/>
                          </w:divBdr>
                        </w:div>
                      </w:divsChild>
                    </w:div>
                    <w:div w:id="234095546">
                      <w:marLeft w:val="0"/>
                      <w:marRight w:val="0"/>
                      <w:marTop w:val="0"/>
                      <w:marBottom w:val="0"/>
                      <w:divBdr>
                        <w:top w:val="none" w:sz="0" w:space="0" w:color="auto"/>
                        <w:left w:val="none" w:sz="0" w:space="0" w:color="auto"/>
                        <w:bottom w:val="none" w:sz="0" w:space="0" w:color="auto"/>
                        <w:right w:val="none" w:sz="0" w:space="0" w:color="auto"/>
                      </w:divBdr>
                      <w:divsChild>
                        <w:div w:id="818115782">
                          <w:marLeft w:val="0"/>
                          <w:marRight w:val="0"/>
                          <w:marTop w:val="0"/>
                          <w:marBottom w:val="0"/>
                          <w:divBdr>
                            <w:top w:val="none" w:sz="0" w:space="0" w:color="auto"/>
                            <w:left w:val="none" w:sz="0" w:space="0" w:color="auto"/>
                            <w:bottom w:val="none" w:sz="0" w:space="0" w:color="auto"/>
                            <w:right w:val="none" w:sz="0" w:space="0" w:color="auto"/>
                          </w:divBdr>
                        </w:div>
                      </w:divsChild>
                    </w:div>
                    <w:div w:id="311836170">
                      <w:marLeft w:val="0"/>
                      <w:marRight w:val="0"/>
                      <w:marTop w:val="0"/>
                      <w:marBottom w:val="0"/>
                      <w:divBdr>
                        <w:top w:val="none" w:sz="0" w:space="0" w:color="auto"/>
                        <w:left w:val="none" w:sz="0" w:space="0" w:color="auto"/>
                        <w:bottom w:val="none" w:sz="0" w:space="0" w:color="auto"/>
                        <w:right w:val="none" w:sz="0" w:space="0" w:color="auto"/>
                      </w:divBdr>
                      <w:divsChild>
                        <w:div w:id="737441681">
                          <w:marLeft w:val="0"/>
                          <w:marRight w:val="0"/>
                          <w:marTop w:val="0"/>
                          <w:marBottom w:val="0"/>
                          <w:divBdr>
                            <w:top w:val="none" w:sz="0" w:space="0" w:color="auto"/>
                            <w:left w:val="none" w:sz="0" w:space="0" w:color="auto"/>
                            <w:bottom w:val="none" w:sz="0" w:space="0" w:color="auto"/>
                            <w:right w:val="none" w:sz="0" w:space="0" w:color="auto"/>
                          </w:divBdr>
                        </w:div>
                      </w:divsChild>
                    </w:div>
                    <w:div w:id="328368068">
                      <w:marLeft w:val="0"/>
                      <w:marRight w:val="0"/>
                      <w:marTop w:val="0"/>
                      <w:marBottom w:val="0"/>
                      <w:divBdr>
                        <w:top w:val="none" w:sz="0" w:space="0" w:color="auto"/>
                        <w:left w:val="none" w:sz="0" w:space="0" w:color="auto"/>
                        <w:bottom w:val="none" w:sz="0" w:space="0" w:color="auto"/>
                        <w:right w:val="none" w:sz="0" w:space="0" w:color="auto"/>
                      </w:divBdr>
                      <w:divsChild>
                        <w:div w:id="454174693">
                          <w:marLeft w:val="0"/>
                          <w:marRight w:val="0"/>
                          <w:marTop w:val="0"/>
                          <w:marBottom w:val="0"/>
                          <w:divBdr>
                            <w:top w:val="none" w:sz="0" w:space="0" w:color="auto"/>
                            <w:left w:val="none" w:sz="0" w:space="0" w:color="auto"/>
                            <w:bottom w:val="none" w:sz="0" w:space="0" w:color="auto"/>
                            <w:right w:val="none" w:sz="0" w:space="0" w:color="auto"/>
                          </w:divBdr>
                        </w:div>
                      </w:divsChild>
                    </w:div>
                    <w:div w:id="385186282">
                      <w:marLeft w:val="0"/>
                      <w:marRight w:val="0"/>
                      <w:marTop w:val="0"/>
                      <w:marBottom w:val="0"/>
                      <w:divBdr>
                        <w:top w:val="none" w:sz="0" w:space="0" w:color="auto"/>
                        <w:left w:val="none" w:sz="0" w:space="0" w:color="auto"/>
                        <w:bottom w:val="none" w:sz="0" w:space="0" w:color="auto"/>
                        <w:right w:val="none" w:sz="0" w:space="0" w:color="auto"/>
                      </w:divBdr>
                      <w:divsChild>
                        <w:div w:id="1581714890">
                          <w:marLeft w:val="0"/>
                          <w:marRight w:val="0"/>
                          <w:marTop w:val="0"/>
                          <w:marBottom w:val="0"/>
                          <w:divBdr>
                            <w:top w:val="none" w:sz="0" w:space="0" w:color="auto"/>
                            <w:left w:val="none" w:sz="0" w:space="0" w:color="auto"/>
                            <w:bottom w:val="none" w:sz="0" w:space="0" w:color="auto"/>
                            <w:right w:val="none" w:sz="0" w:space="0" w:color="auto"/>
                          </w:divBdr>
                        </w:div>
                      </w:divsChild>
                    </w:div>
                    <w:div w:id="482040196">
                      <w:marLeft w:val="0"/>
                      <w:marRight w:val="0"/>
                      <w:marTop w:val="0"/>
                      <w:marBottom w:val="0"/>
                      <w:divBdr>
                        <w:top w:val="none" w:sz="0" w:space="0" w:color="auto"/>
                        <w:left w:val="none" w:sz="0" w:space="0" w:color="auto"/>
                        <w:bottom w:val="none" w:sz="0" w:space="0" w:color="auto"/>
                        <w:right w:val="none" w:sz="0" w:space="0" w:color="auto"/>
                      </w:divBdr>
                      <w:divsChild>
                        <w:div w:id="775754410">
                          <w:marLeft w:val="0"/>
                          <w:marRight w:val="0"/>
                          <w:marTop w:val="0"/>
                          <w:marBottom w:val="0"/>
                          <w:divBdr>
                            <w:top w:val="none" w:sz="0" w:space="0" w:color="auto"/>
                            <w:left w:val="none" w:sz="0" w:space="0" w:color="auto"/>
                            <w:bottom w:val="none" w:sz="0" w:space="0" w:color="auto"/>
                            <w:right w:val="none" w:sz="0" w:space="0" w:color="auto"/>
                          </w:divBdr>
                        </w:div>
                      </w:divsChild>
                    </w:div>
                    <w:div w:id="562763018">
                      <w:marLeft w:val="0"/>
                      <w:marRight w:val="0"/>
                      <w:marTop w:val="0"/>
                      <w:marBottom w:val="0"/>
                      <w:divBdr>
                        <w:top w:val="none" w:sz="0" w:space="0" w:color="auto"/>
                        <w:left w:val="none" w:sz="0" w:space="0" w:color="auto"/>
                        <w:bottom w:val="none" w:sz="0" w:space="0" w:color="auto"/>
                        <w:right w:val="none" w:sz="0" w:space="0" w:color="auto"/>
                      </w:divBdr>
                      <w:divsChild>
                        <w:div w:id="844128157">
                          <w:marLeft w:val="0"/>
                          <w:marRight w:val="0"/>
                          <w:marTop w:val="0"/>
                          <w:marBottom w:val="0"/>
                          <w:divBdr>
                            <w:top w:val="none" w:sz="0" w:space="0" w:color="auto"/>
                            <w:left w:val="none" w:sz="0" w:space="0" w:color="auto"/>
                            <w:bottom w:val="none" w:sz="0" w:space="0" w:color="auto"/>
                            <w:right w:val="none" w:sz="0" w:space="0" w:color="auto"/>
                          </w:divBdr>
                        </w:div>
                      </w:divsChild>
                    </w:div>
                    <w:div w:id="582031885">
                      <w:marLeft w:val="0"/>
                      <w:marRight w:val="0"/>
                      <w:marTop w:val="0"/>
                      <w:marBottom w:val="0"/>
                      <w:divBdr>
                        <w:top w:val="none" w:sz="0" w:space="0" w:color="auto"/>
                        <w:left w:val="none" w:sz="0" w:space="0" w:color="auto"/>
                        <w:bottom w:val="none" w:sz="0" w:space="0" w:color="auto"/>
                        <w:right w:val="none" w:sz="0" w:space="0" w:color="auto"/>
                      </w:divBdr>
                      <w:divsChild>
                        <w:div w:id="572204245">
                          <w:marLeft w:val="0"/>
                          <w:marRight w:val="0"/>
                          <w:marTop w:val="0"/>
                          <w:marBottom w:val="0"/>
                          <w:divBdr>
                            <w:top w:val="none" w:sz="0" w:space="0" w:color="auto"/>
                            <w:left w:val="none" w:sz="0" w:space="0" w:color="auto"/>
                            <w:bottom w:val="none" w:sz="0" w:space="0" w:color="auto"/>
                            <w:right w:val="none" w:sz="0" w:space="0" w:color="auto"/>
                          </w:divBdr>
                        </w:div>
                      </w:divsChild>
                    </w:div>
                    <w:div w:id="624433457">
                      <w:marLeft w:val="0"/>
                      <w:marRight w:val="0"/>
                      <w:marTop w:val="0"/>
                      <w:marBottom w:val="0"/>
                      <w:divBdr>
                        <w:top w:val="none" w:sz="0" w:space="0" w:color="auto"/>
                        <w:left w:val="none" w:sz="0" w:space="0" w:color="auto"/>
                        <w:bottom w:val="none" w:sz="0" w:space="0" w:color="auto"/>
                        <w:right w:val="none" w:sz="0" w:space="0" w:color="auto"/>
                      </w:divBdr>
                      <w:divsChild>
                        <w:div w:id="1360929041">
                          <w:marLeft w:val="0"/>
                          <w:marRight w:val="0"/>
                          <w:marTop w:val="0"/>
                          <w:marBottom w:val="0"/>
                          <w:divBdr>
                            <w:top w:val="none" w:sz="0" w:space="0" w:color="auto"/>
                            <w:left w:val="none" w:sz="0" w:space="0" w:color="auto"/>
                            <w:bottom w:val="none" w:sz="0" w:space="0" w:color="auto"/>
                            <w:right w:val="none" w:sz="0" w:space="0" w:color="auto"/>
                          </w:divBdr>
                        </w:div>
                      </w:divsChild>
                    </w:div>
                    <w:div w:id="759524450">
                      <w:marLeft w:val="0"/>
                      <w:marRight w:val="0"/>
                      <w:marTop w:val="0"/>
                      <w:marBottom w:val="0"/>
                      <w:divBdr>
                        <w:top w:val="none" w:sz="0" w:space="0" w:color="auto"/>
                        <w:left w:val="none" w:sz="0" w:space="0" w:color="auto"/>
                        <w:bottom w:val="none" w:sz="0" w:space="0" w:color="auto"/>
                        <w:right w:val="none" w:sz="0" w:space="0" w:color="auto"/>
                      </w:divBdr>
                      <w:divsChild>
                        <w:div w:id="1394039859">
                          <w:marLeft w:val="0"/>
                          <w:marRight w:val="0"/>
                          <w:marTop w:val="0"/>
                          <w:marBottom w:val="0"/>
                          <w:divBdr>
                            <w:top w:val="none" w:sz="0" w:space="0" w:color="auto"/>
                            <w:left w:val="none" w:sz="0" w:space="0" w:color="auto"/>
                            <w:bottom w:val="none" w:sz="0" w:space="0" w:color="auto"/>
                            <w:right w:val="none" w:sz="0" w:space="0" w:color="auto"/>
                          </w:divBdr>
                        </w:div>
                      </w:divsChild>
                    </w:div>
                    <w:div w:id="759570924">
                      <w:marLeft w:val="0"/>
                      <w:marRight w:val="0"/>
                      <w:marTop w:val="0"/>
                      <w:marBottom w:val="0"/>
                      <w:divBdr>
                        <w:top w:val="none" w:sz="0" w:space="0" w:color="auto"/>
                        <w:left w:val="none" w:sz="0" w:space="0" w:color="auto"/>
                        <w:bottom w:val="none" w:sz="0" w:space="0" w:color="auto"/>
                        <w:right w:val="none" w:sz="0" w:space="0" w:color="auto"/>
                      </w:divBdr>
                      <w:divsChild>
                        <w:div w:id="730661469">
                          <w:marLeft w:val="0"/>
                          <w:marRight w:val="0"/>
                          <w:marTop w:val="0"/>
                          <w:marBottom w:val="0"/>
                          <w:divBdr>
                            <w:top w:val="none" w:sz="0" w:space="0" w:color="auto"/>
                            <w:left w:val="none" w:sz="0" w:space="0" w:color="auto"/>
                            <w:bottom w:val="none" w:sz="0" w:space="0" w:color="auto"/>
                            <w:right w:val="none" w:sz="0" w:space="0" w:color="auto"/>
                          </w:divBdr>
                        </w:div>
                      </w:divsChild>
                    </w:div>
                    <w:div w:id="790442509">
                      <w:marLeft w:val="0"/>
                      <w:marRight w:val="0"/>
                      <w:marTop w:val="0"/>
                      <w:marBottom w:val="0"/>
                      <w:divBdr>
                        <w:top w:val="none" w:sz="0" w:space="0" w:color="auto"/>
                        <w:left w:val="none" w:sz="0" w:space="0" w:color="auto"/>
                        <w:bottom w:val="none" w:sz="0" w:space="0" w:color="auto"/>
                        <w:right w:val="none" w:sz="0" w:space="0" w:color="auto"/>
                      </w:divBdr>
                      <w:divsChild>
                        <w:div w:id="414866890">
                          <w:marLeft w:val="0"/>
                          <w:marRight w:val="0"/>
                          <w:marTop w:val="0"/>
                          <w:marBottom w:val="0"/>
                          <w:divBdr>
                            <w:top w:val="none" w:sz="0" w:space="0" w:color="auto"/>
                            <w:left w:val="none" w:sz="0" w:space="0" w:color="auto"/>
                            <w:bottom w:val="none" w:sz="0" w:space="0" w:color="auto"/>
                            <w:right w:val="none" w:sz="0" w:space="0" w:color="auto"/>
                          </w:divBdr>
                        </w:div>
                      </w:divsChild>
                    </w:div>
                    <w:div w:id="806825049">
                      <w:marLeft w:val="0"/>
                      <w:marRight w:val="0"/>
                      <w:marTop w:val="0"/>
                      <w:marBottom w:val="0"/>
                      <w:divBdr>
                        <w:top w:val="none" w:sz="0" w:space="0" w:color="auto"/>
                        <w:left w:val="none" w:sz="0" w:space="0" w:color="auto"/>
                        <w:bottom w:val="none" w:sz="0" w:space="0" w:color="auto"/>
                        <w:right w:val="none" w:sz="0" w:space="0" w:color="auto"/>
                      </w:divBdr>
                      <w:divsChild>
                        <w:div w:id="770246634">
                          <w:marLeft w:val="0"/>
                          <w:marRight w:val="0"/>
                          <w:marTop w:val="0"/>
                          <w:marBottom w:val="0"/>
                          <w:divBdr>
                            <w:top w:val="none" w:sz="0" w:space="0" w:color="auto"/>
                            <w:left w:val="none" w:sz="0" w:space="0" w:color="auto"/>
                            <w:bottom w:val="none" w:sz="0" w:space="0" w:color="auto"/>
                            <w:right w:val="none" w:sz="0" w:space="0" w:color="auto"/>
                          </w:divBdr>
                        </w:div>
                      </w:divsChild>
                    </w:div>
                    <w:div w:id="918100986">
                      <w:marLeft w:val="0"/>
                      <w:marRight w:val="0"/>
                      <w:marTop w:val="0"/>
                      <w:marBottom w:val="0"/>
                      <w:divBdr>
                        <w:top w:val="none" w:sz="0" w:space="0" w:color="auto"/>
                        <w:left w:val="none" w:sz="0" w:space="0" w:color="auto"/>
                        <w:bottom w:val="none" w:sz="0" w:space="0" w:color="auto"/>
                        <w:right w:val="none" w:sz="0" w:space="0" w:color="auto"/>
                      </w:divBdr>
                      <w:divsChild>
                        <w:div w:id="69083333">
                          <w:marLeft w:val="0"/>
                          <w:marRight w:val="0"/>
                          <w:marTop w:val="0"/>
                          <w:marBottom w:val="0"/>
                          <w:divBdr>
                            <w:top w:val="none" w:sz="0" w:space="0" w:color="auto"/>
                            <w:left w:val="none" w:sz="0" w:space="0" w:color="auto"/>
                            <w:bottom w:val="none" w:sz="0" w:space="0" w:color="auto"/>
                            <w:right w:val="none" w:sz="0" w:space="0" w:color="auto"/>
                          </w:divBdr>
                        </w:div>
                      </w:divsChild>
                    </w:div>
                    <w:div w:id="968897771">
                      <w:marLeft w:val="0"/>
                      <w:marRight w:val="0"/>
                      <w:marTop w:val="0"/>
                      <w:marBottom w:val="0"/>
                      <w:divBdr>
                        <w:top w:val="none" w:sz="0" w:space="0" w:color="auto"/>
                        <w:left w:val="none" w:sz="0" w:space="0" w:color="auto"/>
                        <w:bottom w:val="none" w:sz="0" w:space="0" w:color="auto"/>
                        <w:right w:val="none" w:sz="0" w:space="0" w:color="auto"/>
                      </w:divBdr>
                      <w:divsChild>
                        <w:div w:id="575092107">
                          <w:marLeft w:val="0"/>
                          <w:marRight w:val="0"/>
                          <w:marTop w:val="0"/>
                          <w:marBottom w:val="0"/>
                          <w:divBdr>
                            <w:top w:val="none" w:sz="0" w:space="0" w:color="auto"/>
                            <w:left w:val="none" w:sz="0" w:space="0" w:color="auto"/>
                            <w:bottom w:val="none" w:sz="0" w:space="0" w:color="auto"/>
                            <w:right w:val="none" w:sz="0" w:space="0" w:color="auto"/>
                          </w:divBdr>
                        </w:div>
                      </w:divsChild>
                    </w:div>
                    <w:div w:id="1002320143">
                      <w:marLeft w:val="0"/>
                      <w:marRight w:val="0"/>
                      <w:marTop w:val="0"/>
                      <w:marBottom w:val="0"/>
                      <w:divBdr>
                        <w:top w:val="none" w:sz="0" w:space="0" w:color="auto"/>
                        <w:left w:val="none" w:sz="0" w:space="0" w:color="auto"/>
                        <w:bottom w:val="none" w:sz="0" w:space="0" w:color="auto"/>
                        <w:right w:val="none" w:sz="0" w:space="0" w:color="auto"/>
                      </w:divBdr>
                      <w:divsChild>
                        <w:div w:id="407459180">
                          <w:marLeft w:val="0"/>
                          <w:marRight w:val="0"/>
                          <w:marTop w:val="0"/>
                          <w:marBottom w:val="0"/>
                          <w:divBdr>
                            <w:top w:val="none" w:sz="0" w:space="0" w:color="auto"/>
                            <w:left w:val="none" w:sz="0" w:space="0" w:color="auto"/>
                            <w:bottom w:val="none" w:sz="0" w:space="0" w:color="auto"/>
                            <w:right w:val="none" w:sz="0" w:space="0" w:color="auto"/>
                          </w:divBdr>
                        </w:div>
                      </w:divsChild>
                    </w:div>
                    <w:div w:id="1066800921">
                      <w:marLeft w:val="0"/>
                      <w:marRight w:val="0"/>
                      <w:marTop w:val="0"/>
                      <w:marBottom w:val="0"/>
                      <w:divBdr>
                        <w:top w:val="none" w:sz="0" w:space="0" w:color="auto"/>
                        <w:left w:val="none" w:sz="0" w:space="0" w:color="auto"/>
                        <w:bottom w:val="none" w:sz="0" w:space="0" w:color="auto"/>
                        <w:right w:val="none" w:sz="0" w:space="0" w:color="auto"/>
                      </w:divBdr>
                      <w:divsChild>
                        <w:div w:id="957952872">
                          <w:marLeft w:val="0"/>
                          <w:marRight w:val="0"/>
                          <w:marTop w:val="0"/>
                          <w:marBottom w:val="0"/>
                          <w:divBdr>
                            <w:top w:val="none" w:sz="0" w:space="0" w:color="auto"/>
                            <w:left w:val="none" w:sz="0" w:space="0" w:color="auto"/>
                            <w:bottom w:val="none" w:sz="0" w:space="0" w:color="auto"/>
                            <w:right w:val="none" w:sz="0" w:space="0" w:color="auto"/>
                          </w:divBdr>
                        </w:div>
                      </w:divsChild>
                    </w:div>
                    <w:div w:id="1074661481">
                      <w:marLeft w:val="0"/>
                      <w:marRight w:val="0"/>
                      <w:marTop w:val="0"/>
                      <w:marBottom w:val="0"/>
                      <w:divBdr>
                        <w:top w:val="none" w:sz="0" w:space="0" w:color="auto"/>
                        <w:left w:val="none" w:sz="0" w:space="0" w:color="auto"/>
                        <w:bottom w:val="none" w:sz="0" w:space="0" w:color="auto"/>
                        <w:right w:val="none" w:sz="0" w:space="0" w:color="auto"/>
                      </w:divBdr>
                      <w:divsChild>
                        <w:div w:id="1578709694">
                          <w:marLeft w:val="0"/>
                          <w:marRight w:val="0"/>
                          <w:marTop w:val="0"/>
                          <w:marBottom w:val="0"/>
                          <w:divBdr>
                            <w:top w:val="none" w:sz="0" w:space="0" w:color="auto"/>
                            <w:left w:val="none" w:sz="0" w:space="0" w:color="auto"/>
                            <w:bottom w:val="none" w:sz="0" w:space="0" w:color="auto"/>
                            <w:right w:val="none" w:sz="0" w:space="0" w:color="auto"/>
                          </w:divBdr>
                        </w:div>
                      </w:divsChild>
                    </w:div>
                    <w:div w:id="1081292941">
                      <w:marLeft w:val="0"/>
                      <w:marRight w:val="0"/>
                      <w:marTop w:val="0"/>
                      <w:marBottom w:val="0"/>
                      <w:divBdr>
                        <w:top w:val="none" w:sz="0" w:space="0" w:color="auto"/>
                        <w:left w:val="none" w:sz="0" w:space="0" w:color="auto"/>
                        <w:bottom w:val="none" w:sz="0" w:space="0" w:color="auto"/>
                        <w:right w:val="none" w:sz="0" w:space="0" w:color="auto"/>
                      </w:divBdr>
                      <w:divsChild>
                        <w:div w:id="222913571">
                          <w:marLeft w:val="0"/>
                          <w:marRight w:val="0"/>
                          <w:marTop w:val="0"/>
                          <w:marBottom w:val="0"/>
                          <w:divBdr>
                            <w:top w:val="none" w:sz="0" w:space="0" w:color="auto"/>
                            <w:left w:val="none" w:sz="0" w:space="0" w:color="auto"/>
                            <w:bottom w:val="none" w:sz="0" w:space="0" w:color="auto"/>
                            <w:right w:val="none" w:sz="0" w:space="0" w:color="auto"/>
                          </w:divBdr>
                        </w:div>
                      </w:divsChild>
                    </w:div>
                    <w:div w:id="1111704075">
                      <w:marLeft w:val="0"/>
                      <w:marRight w:val="0"/>
                      <w:marTop w:val="0"/>
                      <w:marBottom w:val="0"/>
                      <w:divBdr>
                        <w:top w:val="none" w:sz="0" w:space="0" w:color="auto"/>
                        <w:left w:val="none" w:sz="0" w:space="0" w:color="auto"/>
                        <w:bottom w:val="none" w:sz="0" w:space="0" w:color="auto"/>
                        <w:right w:val="none" w:sz="0" w:space="0" w:color="auto"/>
                      </w:divBdr>
                      <w:divsChild>
                        <w:div w:id="1903328550">
                          <w:marLeft w:val="0"/>
                          <w:marRight w:val="0"/>
                          <w:marTop w:val="0"/>
                          <w:marBottom w:val="0"/>
                          <w:divBdr>
                            <w:top w:val="none" w:sz="0" w:space="0" w:color="auto"/>
                            <w:left w:val="none" w:sz="0" w:space="0" w:color="auto"/>
                            <w:bottom w:val="none" w:sz="0" w:space="0" w:color="auto"/>
                            <w:right w:val="none" w:sz="0" w:space="0" w:color="auto"/>
                          </w:divBdr>
                        </w:div>
                      </w:divsChild>
                    </w:div>
                    <w:div w:id="1122500960">
                      <w:marLeft w:val="0"/>
                      <w:marRight w:val="0"/>
                      <w:marTop w:val="0"/>
                      <w:marBottom w:val="0"/>
                      <w:divBdr>
                        <w:top w:val="none" w:sz="0" w:space="0" w:color="auto"/>
                        <w:left w:val="none" w:sz="0" w:space="0" w:color="auto"/>
                        <w:bottom w:val="none" w:sz="0" w:space="0" w:color="auto"/>
                        <w:right w:val="none" w:sz="0" w:space="0" w:color="auto"/>
                      </w:divBdr>
                      <w:divsChild>
                        <w:div w:id="932976750">
                          <w:marLeft w:val="0"/>
                          <w:marRight w:val="0"/>
                          <w:marTop w:val="0"/>
                          <w:marBottom w:val="0"/>
                          <w:divBdr>
                            <w:top w:val="none" w:sz="0" w:space="0" w:color="auto"/>
                            <w:left w:val="none" w:sz="0" w:space="0" w:color="auto"/>
                            <w:bottom w:val="none" w:sz="0" w:space="0" w:color="auto"/>
                            <w:right w:val="none" w:sz="0" w:space="0" w:color="auto"/>
                          </w:divBdr>
                        </w:div>
                      </w:divsChild>
                    </w:div>
                    <w:div w:id="1148941985">
                      <w:marLeft w:val="0"/>
                      <w:marRight w:val="0"/>
                      <w:marTop w:val="0"/>
                      <w:marBottom w:val="0"/>
                      <w:divBdr>
                        <w:top w:val="none" w:sz="0" w:space="0" w:color="auto"/>
                        <w:left w:val="none" w:sz="0" w:space="0" w:color="auto"/>
                        <w:bottom w:val="none" w:sz="0" w:space="0" w:color="auto"/>
                        <w:right w:val="none" w:sz="0" w:space="0" w:color="auto"/>
                      </w:divBdr>
                      <w:divsChild>
                        <w:div w:id="605847372">
                          <w:marLeft w:val="0"/>
                          <w:marRight w:val="0"/>
                          <w:marTop w:val="0"/>
                          <w:marBottom w:val="0"/>
                          <w:divBdr>
                            <w:top w:val="none" w:sz="0" w:space="0" w:color="auto"/>
                            <w:left w:val="none" w:sz="0" w:space="0" w:color="auto"/>
                            <w:bottom w:val="none" w:sz="0" w:space="0" w:color="auto"/>
                            <w:right w:val="none" w:sz="0" w:space="0" w:color="auto"/>
                          </w:divBdr>
                        </w:div>
                      </w:divsChild>
                    </w:div>
                    <w:div w:id="1170948598">
                      <w:marLeft w:val="0"/>
                      <w:marRight w:val="0"/>
                      <w:marTop w:val="0"/>
                      <w:marBottom w:val="0"/>
                      <w:divBdr>
                        <w:top w:val="none" w:sz="0" w:space="0" w:color="auto"/>
                        <w:left w:val="none" w:sz="0" w:space="0" w:color="auto"/>
                        <w:bottom w:val="none" w:sz="0" w:space="0" w:color="auto"/>
                        <w:right w:val="none" w:sz="0" w:space="0" w:color="auto"/>
                      </w:divBdr>
                      <w:divsChild>
                        <w:div w:id="504826969">
                          <w:marLeft w:val="0"/>
                          <w:marRight w:val="0"/>
                          <w:marTop w:val="0"/>
                          <w:marBottom w:val="0"/>
                          <w:divBdr>
                            <w:top w:val="none" w:sz="0" w:space="0" w:color="auto"/>
                            <w:left w:val="none" w:sz="0" w:space="0" w:color="auto"/>
                            <w:bottom w:val="none" w:sz="0" w:space="0" w:color="auto"/>
                            <w:right w:val="none" w:sz="0" w:space="0" w:color="auto"/>
                          </w:divBdr>
                        </w:div>
                      </w:divsChild>
                    </w:div>
                    <w:div w:id="1173568690">
                      <w:marLeft w:val="0"/>
                      <w:marRight w:val="0"/>
                      <w:marTop w:val="0"/>
                      <w:marBottom w:val="0"/>
                      <w:divBdr>
                        <w:top w:val="none" w:sz="0" w:space="0" w:color="auto"/>
                        <w:left w:val="none" w:sz="0" w:space="0" w:color="auto"/>
                        <w:bottom w:val="none" w:sz="0" w:space="0" w:color="auto"/>
                        <w:right w:val="none" w:sz="0" w:space="0" w:color="auto"/>
                      </w:divBdr>
                      <w:divsChild>
                        <w:div w:id="1124469459">
                          <w:marLeft w:val="0"/>
                          <w:marRight w:val="0"/>
                          <w:marTop w:val="0"/>
                          <w:marBottom w:val="0"/>
                          <w:divBdr>
                            <w:top w:val="none" w:sz="0" w:space="0" w:color="auto"/>
                            <w:left w:val="none" w:sz="0" w:space="0" w:color="auto"/>
                            <w:bottom w:val="none" w:sz="0" w:space="0" w:color="auto"/>
                            <w:right w:val="none" w:sz="0" w:space="0" w:color="auto"/>
                          </w:divBdr>
                        </w:div>
                      </w:divsChild>
                    </w:div>
                    <w:div w:id="1326974737">
                      <w:marLeft w:val="0"/>
                      <w:marRight w:val="0"/>
                      <w:marTop w:val="0"/>
                      <w:marBottom w:val="0"/>
                      <w:divBdr>
                        <w:top w:val="none" w:sz="0" w:space="0" w:color="auto"/>
                        <w:left w:val="none" w:sz="0" w:space="0" w:color="auto"/>
                        <w:bottom w:val="none" w:sz="0" w:space="0" w:color="auto"/>
                        <w:right w:val="none" w:sz="0" w:space="0" w:color="auto"/>
                      </w:divBdr>
                      <w:divsChild>
                        <w:div w:id="759761162">
                          <w:marLeft w:val="0"/>
                          <w:marRight w:val="0"/>
                          <w:marTop w:val="0"/>
                          <w:marBottom w:val="0"/>
                          <w:divBdr>
                            <w:top w:val="none" w:sz="0" w:space="0" w:color="auto"/>
                            <w:left w:val="none" w:sz="0" w:space="0" w:color="auto"/>
                            <w:bottom w:val="none" w:sz="0" w:space="0" w:color="auto"/>
                            <w:right w:val="none" w:sz="0" w:space="0" w:color="auto"/>
                          </w:divBdr>
                        </w:div>
                      </w:divsChild>
                    </w:div>
                    <w:div w:id="1383209317">
                      <w:marLeft w:val="0"/>
                      <w:marRight w:val="0"/>
                      <w:marTop w:val="0"/>
                      <w:marBottom w:val="0"/>
                      <w:divBdr>
                        <w:top w:val="none" w:sz="0" w:space="0" w:color="auto"/>
                        <w:left w:val="none" w:sz="0" w:space="0" w:color="auto"/>
                        <w:bottom w:val="none" w:sz="0" w:space="0" w:color="auto"/>
                        <w:right w:val="none" w:sz="0" w:space="0" w:color="auto"/>
                      </w:divBdr>
                      <w:divsChild>
                        <w:div w:id="1957133473">
                          <w:marLeft w:val="0"/>
                          <w:marRight w:val="0"/>
                          <w:marTop w:val="0"/>
                          <w:marBottom w:val="0"/>
                          <w:divBdr>
                            <w:top w:val="none" w:sz="0" w:space="0" w:color="auto"/>
                            <w:left w:val="none" w:sz="0" w:space="0" w:color="auto"/>
                            <w:bottom w:val="none" w:sz="0" w:space="0" w:color="auto"/>
                            <w:right w:val="none" w:sz="0" w:space="0" w:color="auto"/>
                          </w:divBdr>
                        </w:div>
                      </w:divsChild>
                    </w:div>
                    <w:div w:id="1407066295">
                      <w:marLeft w:val="0"/>
                      <w:marRight w:val="0"/>
                      <w:marTop w:val="0"/>
                      <w:marBottom w:val="0"/>
                      <w:divBdr>
                        <w:top w:val="none" w:sz="0" w:space="0" w:color="auto"/>
                        <w:left w:val="none" w:sz="0" w:space="0" w:color="auto"/>
                        <w:bottom w:val="none" w:sz="0" w:space="0" w:color="auto"/>
                        <w:right w:val="none" w:sz="0" w:space="0" w:color="auto"/>
                      </w:divBdr>
                      <w:divsChild>
                        <w:div w:id="529681966">
                          <w:marLeft w:val="0"/>
                          <w:marRight w:val="0"/>
                          <w:marTop w:val="0"/>
                          <w:marBottom w:val="0"/>
                          <w:divBdr>
                            <w:top w:val="none" w:sz="0" w:space="0" w:color="auto"/>
                            <w:left w:val="none" w:sz="0" w:space="0" w:color="auto"/>
                            <w:bottom w:val="none" w:sz="0" w:space="0" w:color="auto"/>
                            <w:right w:val="none" w:sz="0" w:space="0" w:color="auto"/>
                          </w:divBdr>
                        </w:div>
                      </w:divsChild>
                    </w:div>
                    <w:div w:id="1473213067">
                      <w:marLeft w:val="0"/>
                      <w:marRight w:val="0"/>
                      <w:marTop w:val="0"/>
                      <w:marBottom w:val="0"/>
                      <w:divBdr>
                        <w:top w:val="none" w:sz="0" w:space="0" w:color="auto"/>
                        <w:left w:val="none" w:sz="0" w:space="0" w:color="auto"/>
                        <w:bottom w:val="none" w:sz="0" w:space="0" w:color="auto"/>
                        <w:right w:val="none" w:sz="0" w:space="0" w:color="auto"/>
                      </w:divBdr>
                      <w:divsChild>
                        <w:div w:id="497234002">
                          <w:marLeft w:val="0"/>
                          <w:marRight w:val="0"/>
                          <w:marTop w:val="0"/>
                          <w:marBottom w:val="0"/>
                          <w:divBdr>
                            <w:top w:val="none" w:sz="0" w:space="0" w:color="auto"/>
                            <w:left w:val="none" w:sz="0" w:space="0" w:color="auto"/>
                            <w:bottom w:val="none" w:sz="0" w:space="0" w:color="auto"/>
                            <w:right w:val="none" w:sz="0" w:space="0" w:color="auto"/>
                          </w:divBdr>
                        </w:div>
                      </w:divsChild>
                    </w:div>
                    <w:div w:id="1624653195">
                      <w:marLeft w:val="0"/>
                      <w:marRight w:val="0"/>
                      <w:marTop w:val="0"/>
                      <w:marBottom w:val="0"/>
                      <w:divBdr>
                        <w:top w:val="none" w:sz="0" w:space="0" w:color="auto"/>
                        <w:left w:val="none" w:sz="0" w:space="0" w:color="auto"/>
                        <w:bottom w:val="none" w:sz="0" w:space="0" w:color="auto"/>
                        <w:right w:val="none" w:sz="0" w:space="0" w:color="auto"/>
                      </w:divBdr>
                      <w:divsChild>
                        <w:div w:id="1696737315">
                          <w:marLeft w:val="0"/>
                          <w:marRight w:val="0"/>
                          <w:marTop w:val="0"/>
                          <w:marBottom w:val="0"/>
                          <w:divBdr>
                            <w:top w:val="none" w:sz="0" w:space="0" w:color="auto"/>
                            <w:left w:val="none" w:sz="0" w:space="0" w:color="auto"/>
                            <w:bottom w:val="none" w:sz="0" w:space="0" w:color="auto"/>
                            <w:right w:val="none" w:sz="0" w:space="0" w:color="auto"/>
                          </w:divBdr>
                        </w:div>
                      </w:divsChild>
                    </w:div>
                    <w:div w:id="1701860423">
                      <w:marLeft w:val="0"/>
                      <w:marRight w:val="0"/>
                      <w:marTop w:val="0"/>
                      <w:marBottom w:val="0"/>
                      <w:divBdr>
                        <w:top w:val="none" w:sz="0" w:space="0" w:color="auto"/>
                        <w:left w:val="none" w:sz="0" w:space="0" w:color="auto"/>
                        <w:bottom w:val="none" w:sz="0" w:space="0" w:color="auto"/>
                        <w:right w:val="none" w:sz="0" w:space="0" w:color="auto"/>
                      </w:divBdr>
                      <w:divsChild>
                        <w:div w:id="381951641">
                          <w:marLeft w:val="0"/>
                          <w:marRight w:val="0"/>
                          <w:marTop w:val="0"/>
                          <w:marBottom w:val="0"/>
                          <w:divBdr>
                            <w:top w:val="none" w:sz="0" w:space="0" w:color="auto"/>
                            <w:left w:val="none" w:sz="0" w:space="0" w:color="auto"/>
                            <w:bottom w:val="none" w:sz="0" w:space="0" w:color="auto"/>
                            <w:right w:val="none" w:sz="0" w:space="0" w:color="auto"/>
                          </w:divBdr>
                        </w:div>
                      </w:divsChild>
                    </w:div>
                    <w:div w:id="1721131786">
                      <w:marLeft w:val="0"/>
                      <w:marRight w:val="0"/>
                      <w:marTop w:val="0"/>
                      <w:marBottom w:val="0"/>
                      <w:divBdr>
                        <w:top w:val="none" w:sz="0" w:space="0" w:color="auto"/>
                        <w:left w:val="none" w:sz="0" w:space="0" w:color="auto"/>
                        <w:bottom w:val="none" w:sz="0" w:space="0" w:color="auto"/>
                        <w:right w:val="none" w:sz="0" w:space="0" w:color="auto"/>
                      </w:divBdr>
                      <w:divsChild>
                        <w:div w:id="917130241">
                          <w:marLeft w:val="0"/>
                          <w:marRight w:val="0"/>
                          <w:marTop w:val="0"/>
                          <w:marBottom w:val="0"/>
                          <w:divBdr>
                            <w:top w:val="none" w:sz="0" w:space="0" w:color="auto"/>
                            <w:left w:val="none" w:sz="0" w:space="0" w:color="auto"/>
                            <w:bottom w:val="none" w:sz="0" w:space="0" w:color="auto"/>
                            <w:right w:val="none" w:sz="0" w:space="0" w:color="auto"/>
                          </w:divBdr>
                        </w:div>
                        <w:div w:id="2063938181">
                          <w:marLeft w:val="0"/>
                          <w:marRight w:val="0"/>
                          <w:marTop w:val="0"/>
                          <w:marBottom w:val="0"/>
                          <w:divBdr>
                            <w:top w:val="none" w:sz="0" w:space="0" w:color="auto"/>
                            <w:left w:val="none" w:sz="0" w:space="0" w:color="auto"/>
                            <w:bottom w:val="none" w:sz="0" w:space="0" w:color="auto"/>
                            <w:right w:val="none" w:sz="0" w:space="0" w:color="auto"/>
                          </w:divBdr>
                        </w:div>
                      </w:divsChild>
                    </w:div>
                    <w:div w:id="1750350696">
                      <w:marLeft w:val="0"/>
                      <w:marRight w:val="0"/>
                      <w:marTop w:val="0"/>
                      <w:marBottom w:val="0"/>
                      <w:divBdr>
                        <w:top w:val="none" w:sz="0" w:space="0" w:color="auto"/>
                        <w:left w:val="none" w:sz="0" w:space="0" w:color="auto"/>
                        <w:bottom w:val="none" w:sz="0" w:space="0" w:color="auto"/>
                        <w:right w:val="none" w:sz="0" w:space="0" w:color="auto"/>
                      </w:divBdr>
                      <w:divsChild>
                        <w:div w:id="2044592324">
                          <w:marLeft w:val="0"/>
                          <w:marRight w:val="0"/>
                          <w:marTop w:val="0"/>
                          <w:marBottom w:val="0"/>
                          <w:divBdr>
                            <w:top w:val="none" w:sz="0" w:space="0" w:color="auto"/>
                            <w:left w:val="none" w:sz="0" w:space="0" w:color="auto"/>
                            <w:bottom w:val="none" w:sz="0" w:space="0" w:color="auto"/>
                            <w:right w:val="none" w:sz="0" w:space="0" w:color="auto"/>
                          </w:divBdr>
                        </w:div>
                      </w:divsChild>
                    </w:div>
                    <w:div w:id="1841894714">
                      <w:marLeft w:val="0"/>
                      <w:marRight w:val="0"/>
                      <w:marTop w:val="0"/>
                      <w:marBottom w:val="0"/>
                      <w:divBdr>
                        <w:top w:val="none" w:sz="0" w:space="0" w:color="auto"/>
                        <w:left w:val="none" w:sz="0" w:space="0" w:color="auto"/>
                        <w:bottom w:val="none" w:sz="0" w:space="0" w:color="auto"/>
                        <w:right w:val="none" w:sz="0" w:space="0" w:color="auto"/>
                      </w:divBdr>
                      <w:divsChild>
                        <w:div w:id="624848309">
                          <w:marLeft w:val="0"/>
                          <w:marRight w:val="0"/>
                          <w:marTop w:val="0"/>
                          <w:marBottom w:val="0"/>
                          <w:divBdr>
                            <w:top w:val="none" w:sz="0" w:space="0" w:color="auto"/>
                            <w:left w:val="none" w:sz="0" w:space="0" w:color="auto"/>
                            <w:bottom w:val="none" w:sz="0" w:space="0" w:color="auto"/>
                            <w:right w:val="none" w:sz="0" w:space="0" w:color="auto"/>
                          </w:divBdr>
                        </w:div>
                      </w:divsChild>
                    </w:div>
                    <w:div w:id="1945261425">
                      <w:marLeft w:val="0"/>
                      <w:marRight w:val="0"/>
                      <w:marTop w:val="0"/>
                      <w:marBottom w:val="0"/>
                      <w:divBdr>
                        <w:top w:val="none" w:sz="0" w:space="0" w:color="auto"/>
                        <w:left w:val="none" w:sz="0" w:space="0" w:color="auto"/>
                        <w:bottom w:val="none" w:sz="0" w:space="0" w:color="auto"/>
                        <w:right w:val="none" w:sz="0" w:space="0" w:color="auto"/>
                      </w:divBdr>
                      <w:divsChild>
                        <w:div w:id="1034232207">
                          <w:marLeft w:val="0"/>
                          <w:marRight w:val="0"/>
                          <w:marTop w:val="0"/>
                          <w:marBottom w:val="0"/>
                          <w:divBdr>
                            <w:top w:val="none" w:sz="0" w:space="0" w:color="auto"/>
                            <w:left w:val="none" w:sz="0" w:space="0" w:color="auto"/>
                            <w:bottom w:val="none" w:sz="0" w:space="0" w:color="auto"/>
                            <w:right w:val="none" w:sz="0" w:space="0" w:color="auto"/>
                          </w:divBdr>
                        </w:div>
                      </w:divsChild>
                    </w:div>
                    <w:div w:id="2124494452">
                      <w:marLeft w:val="0"/>
                      <w:marRight w:val="0"/>
                      <w:marTop w:val="0"/>
                      <w:marBottom w:val="0"/>
                      <w:divBdr>
                        <w:top w:val="none" w:sz="0" w:space="0" w:color="auto"/>
                        <w:left w:val="none" w:sz="0" w:space="0" w:color="auto"/>
                        <w:bottom w:val="none" w:sz="0" w:space="0" w:color="auto"/>
                        <w:right w:val="none" w:sz="0" w:space="0" w:color="auto"/>
                      </w:divBdr>
                      <w:divsChild>
                        <w:div w:id="1222592020">
                          <w:marLeft w:val="0"/>
                          <w:marRight w:val="0"/>
                          <w:marTop w:val="0"/>
                          <w:marBottom w:val="0"/>
                          <w:divBdr>
                            <w:top w:val="none" w:sz="0" w:space="0" w:color="auto"/>
                            <w:left w:val="none" w:sz="0" w:space="0" w:color="auto"/>
                            <w:bottom w:val="none" w:sz="0" w:space="0" w:color="auto"/>
                            <w:right w:val="none" w:sz="0" w:space="0" w:color="auto"/>
                          </w:divBdr>
                        </w:div>
                      </w:divsChild>
                    </w:div>
                    <w:div w:id="2129077699">
                      <w:marLeft w:val="0"/>
                      <w:marRight w:val="0"/>
                      <w:marTop w:val="0"/>
                      <w:marBottom w:val="0"/>
                      <w:divBdr>
                        <w:top w:val="none" w:sz="0" w:space="0" w:color="auto"/>
                        <w:left w:val="none" w:sz="0" w:space="0" w:color="auto"/>
                        <w:bottom w:val="none" w:sz="0" w:space="0" w:color="auto"/>
                        <w:right w:val="none" w:sz="0" w:space="0" w:color="auto"/>
                      </w:divBdr>
                      <w:divsChild>
                        <w:div w:id="1420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43598">
              <w:marLeft w:val="0"/>
              <w:marRight w:val="0"/>
              <w:marTop w:val="0"/>
              <w:marBottom w:val="0"/>
              <w:divBdr>
                <w:top w:val="none" w:sz="0" w:space="0" w:color="auto"/>
                <w:left w:val="none" w:sz="0" w:space="0" w:color="auto"/>
                <w:bottom w:val="none" w:sz="0" w:space="0" w:color="auto"/>
                <w:right w:val="none" w:sz="0" w:space="0" w:color="auto"/>
              </w:divBdr>
            </w:div>
            <w:div w:id="1460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3968">
      <w:bodyDiv w:val="1"/>
      <w:marLeft w:val="0"/>
      <w:marRight w:val="0"/>
      <w:marTop w:val="0"/>
      <w:marBottom w:val="0"/>
      <w:divBdr>
        <w:top w:val="none" w:sz="0" w:space="0" w:color="auto"/>
        <w:left w:val="none" w:sz="0" w:space="0" w:color="auto"/>
        <w:bottom w:val="none" w:sz="0" w:space="0" w:color="auto"/>
        <w:right w:val="none" w:sz="0" w:space="0" w:color="auto"/>
      </w:divBdr>
    </w:div>
    <w:div w:id="291904472">
      <w:bodyDiv w:val="1"/>
      <w:marLeft w:val="0"/>
      <w:marRight w:val="0"/>
      <w:marTop w:val="0"/>
      <w:marBottom w:val="0"/>
      <w:divBdr>
        <w:top w:val="none" w:sz="0" w:space="0" w:color="auto"/>
        <w:left w:val="none" w:sz="0" w:space="0" w:color="auto"/>
        <w:bottom w:val="none" w:sz="0" w:space="0" w:color="auto"/>
        <w:right w:val="none" w:sz="0" w:space="0" w:color="auto"/>
      </w:divBdr>
    </w:div>
    <w:div w:id="301808575">
      <w:bodyDiv w:val="1"/>
      <w:marLeft w:val="0"/>
      <w:marRight w:val="0"/>
      <w:marTop w:val="0"/>
      <w:marBottom w:val="0"/>
      <w:divBdr>
        <w:top w:val="none" w:sz="0" w:space="0" w:color="auto"/>
        <w:left w:val="none" w:sz="0" w:space="0" w:color="auto"/>
        <w:bottom w:val="none" w:sz="0" w:space="0" w:color="auto"/>
        <w:right w:val="none" w:sz="0" w:space="0" w:color="auto"/>
      </w:divBdr>
      <w:divsChild>
        <w:div w:id="11035030">
          <w:marLeft w:val="0"/>
          <w:marRight w:val="0"/>
          <w:marTop w:val="0"/>
          <w:marBottom w:val="0"/>
          <w:divBdr>
            <w:top w:val="none" w:sz="0" w:space="0" w:color="auto"/>
            <w:left w:val="none" w:sz="0" w:space="0" w:color="auto"/>
            <w:bottom w:val="none" w:sz="0" w:space="0" w:color="auto"/>
            <w:right w:val="none" w:sz="0" w:space="0" w:color="auto"/>
          </w:divBdr>
          <w:divsChild>
            <w:div w:id="143277724">
              <w:marLeft w:val="0"/>
              <w:marRight w:val="0"/>
              <w:marTop w:val="0"/>
              <w:marBottom w:val="0"/>
              <w:divBdr>
                <w:top w:val="none" w:sz="0" w:space="0" w:color="auto"/>
                <w:left w:val="none" w:sz="0" w:space="0" w:color="auto"/>
                <w:bottom w:val="none" w:sz="0" w:space="0" w:color="auto"/>
                <w:right w:val="none" w:sz="0" w:space="0" w:color="auto"/>
              </w:divBdr>
            </w:div>
          </w:divsChild>
        </w:div>
        <w:div w:id="25956880">
          <w:marLeft w:val="0"/>
          <w:marRight w:val="0"/>
          <w:marTop w:val="0"/>
          <w:marBottom w:val="0"/>
          <w:divBdr>
            <w:top w:val="none" w:sz="0" w:space="0" w:color="auto"/>
            <w:left w:val="none" w:sz="0" w:space="0" w:color="auto"/>
            <w:bottom w:val="none" w:sz="0" w:space="0" w:color="auto"/>
            <w:right w:val="none" w:sz="0" w:space="0" w:color="auto"/>
          </w:divBdr>
          <w:divsChild>
            <w:div w:id="795639487">
              <w:marLeft w:val="0"/>
              <w:marRight w:val="0"/>
              <w:marTop w:val="0"/>
              <w:marBottom w:val="0"/>
              <w:divBdr>
                <w:top w:val="none" w:sz="0" w:space="0" w:color="auto"/>
                <w:left w:val="none" w:sz="0" w:space="0" w:color="auto"/>
                <w:bottom w:val="none" w:sz="0" w:space="0" w:color="auto"/>
                <w:right w:val="none" w:sz="0" w:space="0" w:color="auto"/>
              </w:divBdr>
            </w:div>
          </w:divsChild>
        </w:div>
        <w:div w:id="40177172">
          <w:marLeft w:val="0"/>
          <w:marRight w:val="0"/>
          <w:marTop w:val="0"/>
          <w:marBottom w:val="0"/>
          <w:divBdr>
            <w:top w:val="none" w:sz="0" w:space="0" w:color="auto"/>
            <w:left w:val="none" w:sz="0" w:space="0" w:color="auto"/>
            <w:bottom w:val="none" w:sz="0" w:space="0" w:color="auto"/>
            <w:right w:val="none" w:sz="0" w:space="0" w:color="auto"/>
          </w:divBdr>
          <w:divsChild>
            <w:div w:id="634991496">
              <w:marLeft w:val="0"/>
              <w:marRight w:val="0"/>
              <w:marTop w:val="0"/>
              <w:marBottom w:val="0"/>
              <w:divBdr>
                <w:top w:val="none" w:sz="0" w:space="0" w:color="auto"/>
                <w:left w:val="none" w:sz="0" w:space="0" w:color="auto"/>
                <w:bottom w:val="none" w:sz="0" w:space="0" w:color="auto"/>
                <w:right w:val="none" w:sz="0" w:space="0" w:color="auto"/>
              </w:divBdr>
            </w:div>
          </w:divsChild>
        </w:div>
        <w:div w:id="63190533">
          <w:marLeft w:val="0"/>
          <w:marRight w:val="0"/>
          <w:marTop w:val="0"/>
          <w:marBottom w:val="0"/>
          <w:divBdr>
            <w:top w:val="none" w:sz="0" w:space="0" w:color="auto"/>
            <w:left w:val="none" w:sz="0" w:space="0" w:color="auto"/>
            <w:bottom w:val="none" w:sz="0" w:space="0" w:color="auto"/>
            <w:right w:val="none" w:sz="0" w:space="0" w:color="auto"/>
          </w:divBdr>
          <w:divsChild>
            <w:div w:id="1379358519">
              <w:marLeft w:val="0"/>
              <w:marRight w:val="0"/>
              <w:marTop w:val="0"/>
              <w:marBottom w:val="0"/>
              <w:divBdr>
                <w:top w:val="none" w:sz="0" w:space="0" w:color="auto"/>
                <w:left w:val="none" w:sz="0" w:space="0" w:color="auto"/>
                <w:bottom w:val="none" w:sz="0" w:space="0" w:color="auto"/>
                <w:right w:val="none" w:sz="0" w:space="0" w:color="auto"/>
              </w:divBdr>
            </w:div>
          </w:divsChild>
        </w:div>
        <w:div w:id="191194226">
          <w:marLeft w:val="0"/>
          <w:marRight w:val="0"/>
          <w:marTop w:val="0"/>
          <w:marBottom w:val="0"/>
          <w:divBdr>
            <w:top w:val="none" w:sz="0" w:space="0" w:color="auto"/>
            <w:left w:val="none" w:sz="0" w:space="0" w:color="auto"/>
            <w:bottom w:val="none" w:sz="0" w:space="0" w:color="auto"/>
            <w:right w:val="none" w:sz="0" w:space="0" w:color="auto"/>
          </w:divBdr>
          <w:divsChild>
            <w:div w:id="401101236">
              <w:marLeft w:val="0"/>
              <w:marRight w:val="0"/>
              <w:marTop w:val="0"/>
              <w:marBottom w:val="0"/>
              <w:divBdr>
                <w:top w:val="none" w:sz="0" w:space="0" w:color="auto"/>
                <w:left w:val="none" w:sz="0" w:space="0" w:color="auto"/>
                <w:bottom w:val="none" w:sz="0" w:space="0" w:color="auto"/>
                <w:right w:val="none" w:sz="0" w:space="0" w:color="auto"/>
              </w:divBdr>
            </w:div>
          </w:divsChild>
        </w:div>
        <w:div w:id="215435181">
          <w:marLeft w:val="0"/>
          <w:marRight w:val="0"/>
          <w:marTop w:val="0"/>
          <w:marBottom w:val="0"/>
          <w:divBdr>
            <w:top w:val="none" w:sz="0" w:space="0" w:color="auto"/>
            <w:left w:val="none" w:sz="0" w:space="0" w:color="auto"/>
            <w:bottom w:val="none" w:sz="0" w:space="0" w:color="auto"/>
            <w:right w:val="none" w:sz="0" w:space="0" w:color="auto"/>
          </w:divBdr>
          <w:divsChild>
            <w:div w:id="710961997">
              <w:marLeft w:val="0"/>
              <w:marRight w:val="0"/>
              <w:marTop w:val="0"/>
              <w:marBottom w:val="0"/>
              <w:divBdr>
                <w:top w:val="none" w:sz="0" w:space="0" w:color="auto"/>
                <w:left w:val="none" w:sz="0" w:space="0" w:color="auto"/>
                <w:bottom w:val="none" w:sz="0" w:space="0" w:color="auto"/>
                <w:right w:val="none" w:sz="0" w:space="0" w:color="auto"/>
              </w:divBdr>
            </w:div>
          </w:divsChild>
        </w:div>
        <w:div w:id="240650094">
          <w:marLeft w:val="0"/>
          <w:marRight w:val="0"/>
          <w:marTop w:val="0"/>
          <w:marBottom w:val="0"/>
          <w:divBdr>
            <w:top w:val="none" w:sz="0" w:space="0" w:color="auto"/>
            <w:left w:val="none" w:sz="0" w:space="0" w:color="auto"/>
            <w:bottom w:val="none" w:sz="0" w:space="0" w:color="auto"/>
            <w:right w:val="none" w:sz="0" w:space="0" w:color="auto"/>
          </w:divBdr>
          <w:divsChild>
            <w:div w:id="279189309">
              <w:marLeft w:val="0"/>
              <w:marRight w:val="0"/>
              <w:marTop w:val="0"/>
              <w:marBottom w:val="0"/>
              <w:divBdr>
                <w:top w:val="none" w:sz="0" w:space="0" w:color="auto"/>
                <w:left w:val="none" w:sz="0" w:space="0" w:color="auto"/>
                <w:bottom w:val="none" w:sz="0" w:space="0" w:color="auto"/>
                <w:right w:val="none" w:sz="0" w:space="0" w:color="auto"/>
              </w:divBdr>
            </w:div>
          </w:divsChild>
        </w:div>
        <w:div w:id="358044108">
          <w:marLeft w:val="0"/>
          <w:marRight w:val="0"/>
          <w:marTop w:val="0"/>
          <w:marBottom w:val="0"/>
          <w:divBdr>
            <w:top w:val="none" w:sz="0" w:space="0" w:color="auto"/>
            <w:left w:val="none" w:sz="0" w:space="0" w:color="auto"/>
            <w:bottom w:val="none" w:sz="0" w:space="0" w:color="auto"/>
            <w:right w:val="none" w:sz="0" w:space="0" w:color="auto"/>
          </w:divBdr>
          <w:divsChild>
            <w:div w:id="54814871">
              <w:marLeft w:val="0"/>
              <w:marRight w:val="0"/>
              <w:marTop w:val="0"/>
              <w:marBottom w:val="0"/>
              <w:divBdr>
                <w:top w:val="none" w:sz="0" w:space="0" w:color="auto"/>
                <w:left w:val="none" w:sz="0" w:space="0" w:color="auto"/>
                <w:bottom w:val="none" w:sz="0" w:space="0" w:color="auto"/>
                <w:right w:val="none" w:sz="0" w:space="0" w:color="auto"/>
              </w:divBdr>
            </w:div>
          </w:divsChild>
        </w:div>
        <w:div w:id="380592846">
          <w:marLeft w:val="0"/>
          <w:marRight w:val="0"/>
          <w:marTop w:val="0"/>
          <w:marBottom w:val="0"/>
          <w:divBdr>
            <w:top w:val="none" w:sz="0" w:space="0" w:color="auto"/>
            <w:left w:val="none" w:sz="0" w:space="0" w:color="auto"/>
            <w:bottom w:val="none" w:sz="0" w:space="0" w:color="auto"/>
            <w:right w:val="none" w:sz="0" w:space="0" w:color="auto"/>
          </w:divBdr>
          <w:divsChild>
            <w:div w:id="122844706">
              <w:marLeft w:val="0"/>
              <w:marRight w:val="0"/>
              <w:marTop w:val="0"/>
              <w:marBottom w:val="0"/>
              <w:divBdr>
                <w:top w:val="none" w:sz="0" w:space="0" w:color="auto"/>
                <w:left w:val="none" w:sz="0" w:space="0" w:color="auto"/>
                <w:bottom w:val="none" w:sz="0" w:space="0" w:color="auto"/>
                <w:right w:val="none" w:sz="0" w:space="0" w:color="auto"/>
              </w:divBdr>
            </w:div>
          </w:divsChild>
        </w:div>
        <w:div w:id="384990050">
          <w:marLeft w:val="0"/>
          <w:marRight w:val="0"/>
          <w:marTop w:val="0"/>
          <w:marBottom w:val="0"/>
          <w:divBdr>
            <w:top w:val="none" w:sz="0" w:space="0" w:color="auto"/>
            <w:left w:val="none" w:sz="0" w:space="0" w:color="auto"/>
            <w:bottom w:val="none" w:sz="0" w:space="0" w:color="auto"/>
            <w:right w:val="none" w:sz="0" w:space="0" w:color="auto"/>
          </w:divBdr>
          <w:divsChild>
            <w:div w:id="371418900">
              <w:marLeft w:val="0"/>
              <w:marRight w:val="0"/>
              <w:marTop w:val="0"/>
              <w:marBottom w:val="0"/>
              <w:divBdr>
                <w:top w:val="none" w:sz="0" w:space="0" w:color="auto"/>
                <w:left w:val="none" w:sz="0" w:space="0" w:color="auto"/>
                <w:bottom w:val="none" w:sz="0" w:space="0" w:color="auto"/>
                <w:right w:val="none" w:sz="0" w:space="0" w:color="auto"/>
              </w:divBdr>
            </w:div>
          </w:divsChild>
        </w:div>
        <w:div w:id="392965236">
          <w:marLeft w:val="0"/>
          <w:marRight w:val="0"/>
          <w:marTop w:val="0"/>
          <w:marBottom w:val="0"/>
          <w:divBdr>
            <w:top w:val="none" w:sz="0" w:space="0" w:color="auto"/>
            <w:left w:val="none" w:sz="0" w:space="0" w:color="auto"/>
            <w:bottom w:val="none" w:sz="0" w:space="0" w:color="auto"/>
            <w:right w:val="none" w:sz="0" w:space="0" w:color="auto"/>
          </w:divBdr>
          <w:divsChild>
            <w:div w:id="134876812">
              <w:marLeft w:val="0"/>
              <w:marRight w:val="0"/>
              <w:marTop w:val="0"/>
              <w:marBottom w:val="0"/>
              <w:divBdr>
                <w:top w:val="none" w:sz="0" w:space="0" w:color="auto"/>
                <w:left w:val="none" w:sz="0" w:space="0" w:color="auto"/>
                <w:bottom w:val="none" w:sz="0" w:space="0" w:color="auto"/>
                <w:right w:val="none" w:sz="0" w:space="0" w:color="auto"/>
              </w:divBdr>
            </w:div>
          </w:divsChild>
        </w:div>
        <w:div w:id="574052739">
          <w:marLeft w:val="0"/>
          <w:marRight w:val="0"/>
          <w:marTop w:val="0"/>
          <w:marBottom w:val="0"/>
          <w:divBdr>
            <w:top w:val="none" w:sz="0" w:space="0" w:color="auto"/>
            <w:left w:val="none" w:sz="0" w:space="0" w:color="auto"/>
            <w:bottom w:val="none" w:sz="0" w:space="0" w:color="auto"/>
            <w:right w:val="none" w:sz="0" w:space="0" w:color="auto"/>
          </w:divBdr>
          <w:divsChild>
            <w:div w:id="361904453">
              <w:marLeft w:val="0"/>
              <w:marRight w:val="0"/>
              <w:marTop w:val="0"/>
              <w:marBottom w:val="0"/>
              <w:divBdr>
                <w:top w:val="none" w:sz="0" w:space="0" w:color="auto"/>
                <w:left w:val="none" w:sz="0" w:space="0" w:color="auto"/>
                <w:bottom w:val="none" w:sz="0" w:space="0" w:color="auto"/>
                <w:right w:val="none" w:sz="0" w:space="0" w:color="auto"/>
              </w:divBdr>
            </w:div>
          </w:divsChild>
        </w:div>
        <w:div w:id="618025976">
          <w:marLeft w:val="0"/>
          <w:marRight w:val="0"/>
          <w:marTop w:val="0"/>
          <w:marBottom w:val="0"/>
          <w:divBdr>
            <w:top w:val="none" w:sz="0" w:space="0" w:color="auto"/>
            <w:left w:val="none" w:sz="0" w:space="0" w:color="auto"/>
            <w:bottom w:val="none" w:sz="0" w:space="0" w:color="auto"/>
            <w:right w:val="none" w:sz="0" w:space="0" w:color="auto"/>
          </w:divBdr>
          <w:divsChild>
            <w:div w:id="567572579">
              <w:marLeft w:val="0"/>
              <w:marRight w:val="0"/>
              <w:marTop w:val="0"/>
              <w:marBottom w:val="0"/>
              <w:divBdr>
                <w:top w:val="none" w:sz="0" w:space="0" w:color="auto"/>
                <w:left w:val="none" w:sz="0" w:space="0" w:color="auto"/>
                <w:bottom w:val="none" w:sz="0" w:space="0" w:color="auto"/>
                <w:right w:val="none" w:sz="0" w:space="0" w:color="auto"/>
              </w:divBdr>
            </w:div>
          </w:divsChild>
        </w:div>
        <w:div w:id="645745683">
          <w:marLeft w:val="0"/>
          <w:marRight w:val="0"/>
          <w:marTop w:val="0"/>
          <w:marBottom w:val="0"/>
          <w:divBdr>
            <w:top w:val="none" w:sz="0" w:space="0" w:color="auto"/>
            <w:left w:val="none" w:sz="0" w:space="0" w:color="auto"/>
            <w:bottom w:val="none" w:sz="0" w:space="0" w:color="auto"/>
            <w:right w:val="none" w:sz="0" w:space="0" w:color="auto"/>
          </w:divBdr>
          <w:divsChild>
            <w:div w:id="811750877">
              <w:marLeft w:val="0"/>
              <w:marRight w:val="0"/>
              <w:marTop w:val="0"/>
              <w:marBottom w:val="0"/>
              <w:divBdr>
                <w:top w:val="none" w:sz="0" w:space="0" w:color="auto"/>
                <w:left w:val="none" w:sz="0" w:space="0" w:color="auto"/>
                <w:bottom w:val="none" w:sz="0" w:space="0" w:color="auto"/>
                <w:right w:val="none" w:sz="0" w:space="0" w:color="auto"/>
              </w:divBdr>
            </w:div>
          </w:divsChild>
        </w:div>
        <w:div w:id="674459707">
          <w:marLeft w:val="0"/>
          <w:marRight w:val="0"/>
          <w:marTop w:val="0"/>
          <w:marBottom w:val="0"/>
          <w:divBdr>
            <w:top w:val="none" w:sz="0" w:space="0" w:color="auto"/>
            <w:left w:val="none" w:sz="0" w:space="0" w:color="auto"/>
            <w:bottom w:val="none" w:sz="0" w:space="0" w:color="auto"/>
            <w:right w:val="none" w:sz="0" w:space="0" w:color="auto"/>
          </w:divBdr>
          <w:divsChild>
            <w:div w:id="729353648">
              <w:marLeft w:val="0"/>
              <w:marRight w:val="0"/>
              <w:marTop w:val="0"/>
              <w:marBottom w:val="0"/>
              <w:divBdr>
                <w:top w:val="none" w:sz="0" w:space="0" w:color="auto"/>
                <w:left w:val="none" w:sz="0" w:space="0" w:color="auto"/>
                <w:bottom w:val="none" w:sz="0" w:space="0" w:color="auto"/>
                <w:right w:val="none" w:sz="0" w:space="0" w:color="auto"/>
              </w:divBdr>
            </w:div>
          </w:divsChild>
        </w:div>
        <w:div w:id="705444675">
          <w:marLeft w:val="0"/>
          <w:marRight w:val="0"/>
          <w:marTop w:val="0"/>
          <w:marBottom w:val="0"/>
          <w:divBdr>
            <w:top w:val="none" w:sz="0" w:space="0" w:color="auto"/>
            <w:left w:val="none" w:sz="0" w:space="0" w:color="auto"/>
            <w:bottom w:val="none" w:sz="0" w:space="0" w:color="auto"/>
            <w:right w:val="none" w:sz="0" w:space="0" w:color="auto"/>
          </w:divBdr>
          <w:divsChild>
            <w:div w:id="905840865">
              <w:marLeft w:val="0"/>
              <w:marRight w:val="0"/>
              <w:marTop w:val="0"/>
              <w:marBottom w:val="0"/>
              <w:divBdr>
                <w:top w:val="none" w:sz="0" w:space="0" w:color="auto"/>
                <w:left w:val="none" w:sz="0" w:space="0" w:color="auto"/>
                <w:bottom w:val="none" w:sz="0" w:space="0" w:color="auto"/>
                <w:right w:val="none" w:sz="0" w:space="0" w:color="auto"/>
              </w:divBdr>
            </w:div>
          </w:divsChild>
        </w:div>
        <w:div w:id="708604488">
          <w:marLeft w:val="0"/>
          <w:marRight w:val="0"/>
          <w:marTop w:val="0"/>
          <w:marBottom w:val="0"/>
          <w:divBdr>
            <w:top w:val="none" w:sz="0" w:space="0" w:color="auto"/>
            <w:left w:val="none" w:sz="0" w:space="0" w:color="auto"/>
            <w:bottom w:val="none" w:sz="0" w:space="0" w:color="auto"/>
            <w:right w:val="none" w:sz="0" w:space="0" w:color="auto"/>
          </w:divBdr>
          <w:divsChild>
            <w:div w:id="1027561302">
              <w:marLeft w:val="0"/>
              <w:marRight w:val="0"/>
              <w:marTop w:val="0"/>
              <w:marBottom w:val="0"/>
              <w:divBdr>
                <w:top w:val="none" w:sz="0" w:space="0" w:color="auto"/>
                <w:left w:val="none" w:sz="0" w:space="0" w:color="auto"/>
                <w:bottom w:val="none" w:sz="0" w:space="0" w:color="auto"/>
                <w:right w:val="none" w:sz="0" w:space="0" w:color="auto"/>
              </w:divBdr>
            </w:div>
          </w:divsChild>
        </w:div>
        <w:div w:id="713652207">
          <w:marLeft w:val="0"/>
          <w:marRight w:val="0"/>
          <w:marTop w:val="0"/>
          <w:marBottom w:val="0"/>
          <w:divBdr>
            <w:top w:val="none" w:sz="0" w:space="0" w:color="auto"/>
            <w:left w:val="none" w:sz="0" w:space="0" w:color="auto"/>
            <w:bottom w:val="none" w:sz="0" w:space="0" w:color="auto"/>
            <w:right w:val="none" w:sz="0" w:space="0" w:color="auto"/>
          </w:divBdr>
          <w:divsChild>
            <w:div w:id="1730423528">
              <w:marLeft w:val="0"/>
              <w:marRight w:val="0"/>
              <w:marTop w:val="0"/>
              <w:marBottom w:val="0"/>
              <w:divBdr>
                <w:top w:val="none" w:sz="0" w:space="0" w:color="auto"/>
                <w:left w:val="none" w:sz="0" w:space="0" w:color="auto"/>
                <w:bottom w:val="none" w:sz="0" w:space="0" w:color="auto"/>
                <w:right w:val="none" w:sz="0" w:space="0" w:color="auto"/>
              </w:divBdr>
            </w:div>
          </w:divsChild>
        </w:div>
        <w:div w:id="743376975">
          <w:marLeft w:val="0"/>
          <w:marRight w:val="0"/>
          <w:marTop w:val="0"/>
          <w:marBottom w:val="0"/>
          <w:divBdr>
            <w:top w:val="none" w:sz="0" w:space="0" w:color="auto"/>
            <w:left w:val="none" w:sz="0" w:space="0" w:color="auto"/>
            <w:bottom w:val="none" w:sz="0" w:space="0" w:color="auto"/>
            <w:right w:val="none" w:sz="0" w:space="0" w:color="auto"/>
          </w:divBdr>
          <w:divsChild>
            <w:div w:id="137497101">
              <w:marLeft w:val="0"/>
              <w:marRight w:val="0"/>
              <w:marTop w:val="0"/>
              <w:marBottom w:val="0"/>
              <w:divBdr>
                <w:top w:val="none" w:sz="0" w:space="0" w:color="auto"/>
                <w:left w:val="none" w:sz="0" w:space="0" w:color="auto"/>
                <w:bottom w:val="none" w:sz="0" w:space="0" w:color="auto"/>
                <w:right w:val="none" w:sz="0" w:space="0" w:color="auto"/>
              </w:divBdr>
            </w:div>
          </w:divsChild>
        </w:div>
        <w:div w:id="804852647">
          <w:marLeft w:val="0"/>
          <w:marRight w:val="0"/>
          <w:marTop w:val="0"/>
          <w:marBottom w:val="0"/>
          <w:divBdr>
            <w:top w:val="none" w:sz="0" w:space="0" w:color="auto"/>
            <w:left w:val="none" w:sz="0" w:space="0" w:color="auto"/>
            <w:bottom w:val="none" w:sz="0" w:space="0" w:color="auto"/>
            <w:right w:val="none" w:sz="0" w:space="0" w:color="auto"/>
          </w:divBdr>
          <w:divsChild>
            <w:div w:id="468866676">
              <w:marLeft w:val="0"/>
              <w:marRight w:val="0"/>
              <w:marTop w:val="0"/>
              <w:marBottom w:val="0"/>
              <w:divBdr>
                <w:top w:val="none" w:sz="0" w:space="0" w:color="auto"/>
                <w:left w:val="none" w:sz="0" w:space="0" w:color="auto"/>
                <w:bottom w:val="none" w:sz="0" w:space="0" w:color="auto"/>
                <w:right w:val="none" w:sz="0" w:space="0" w:color="auto"/>
              </w:divBdr>
            </w:div>
          </w:divsChild>
        </w:div>
        <w:div w:id="805321110">
          <w:marLeft w:val="0"/>
          <w:marRight w:val="0"/>
          <w:marTop w:val="0"/>
          <w:marBottom w:val="0"/>
          <w:divBdr>
            <w:top w:val="none" w:sz="0" w:space="0" w:color="auto"/>
            <w:left w:val="none" w:sz="0" w:space="0" w:color="auto"/>
            <w:bottom w:val="none" w:sz="0" w:space="0" w:color="auto"/>
            <w:right w:val="none" w:sz="0" w:space="0" w:color="auto"/>
          </w:divBdr>
          <w:divsChild>
            <w:div w:id="1306742033">
              <w:marLeft w:val="0"/>
              <w:marRight w:val="0"/>
              <w:marTop w:val="0"/>
              <w:marBottom w:val="0"/>
              <w:divBdr>
                <w:top w:val="none" w:sz="0" w:space="0" w:color="auto"/>
                <w:left w:val="none" w:sz="0" w:space="0" w:color="auto"/>
                <w:bottom w:val="none" w:sz="0" w:space="0" w:color="auto"/>
                <w:right w:val="none" w:sz="0" w:space="0" w:color="auto"/>
              </w:divBdr>
            </w:div>
          </w:divsChild>
        </w:div>
        <w:div w:id="833255565">
          <w:marLeft w:val="0"/>
          <w:marRight w:val="0"/>
          <w:marTop w:val="0"/>
          <w:marBottom w:val="0"/>
          <w:divBdr>
            <w:top w:val="none" w:sz="0" w:space="0" w:color="auto"/>
            <w:left w:val="none" w:sz="0" w:space="0" w:color="auto"/>
            <w:bottom w:val="none" w:sz="0" w:space="0" w:color="auto"/>
            <w:right w:val="none" w:sz="0" w:space="0" w:color="auto"/>
          </w:divBdr>
          <w:divsChild>
            <w:div w:id="879166475">
              <w:marLeft w:val="0"/>
              <w:marRight w:val="0"/>
              <w:marTop w:val="0"/>
              <w:marBottom w:val="0"/>
              <w:divBdr>
                <w:top w:val="none" w:sz="0" w:space="0" w:color="auto"/>
                <w:left w:val="none" w:sz="0" w:space="0" w:color="auto"/>
                <w:bottom w:val="none" w:sz="0" w:space="0" w:color="auto"/>
                <w:right w:val="none" w:sz="0" w:space="0" w:color="auto"/>
              </w:divBdr>
            </w:div>
          </w:divsChild>
        </w:div>
        <w:div w:id="877473690">
          <w:marLeft w:val="0"/>
          <w:marRight w:val="0"/>
          <w:marTop w:val="0"/>
          <w:marBottom w:val="0"/>
          <w:divBdr>
            <w:top w:val="none" w:sz="0" w:space="0" w:color="auto"/>
            <w:left w:val="none" w:sz="0" w:space="0" w:color="auto"/>
            <w:bottom w:val="none" w:sz="0" w:space="0" w:color="auto"/>
            <w:right w:val="none" w:sz="0" w:space="0" w:color="auto"/>
          </w:divBdr>
          <w:divsChild>
            <w:div w:id="2053845807">
              <w:marLeft w:val="0"/>
              <w:marRight w:val="0"/>
              <w:marTop w:val="0"/>
              <w:marBottom w:val="0"/>
              <w:divBdr>
                <w:top w:val="none" w:sz="0" w:space="0" w:color="auto"/>
                <w:left w:val="none" w:sz="0" w:space="0" w:color="auto"/>
                <w:bottom w:val="none" w:sz="0" w:space="0" w:color="auto"/>
                <w:right w:val="none" w:sz="0" w:space="0" w:color="auto"/>
              </w:divBdr>
            </w:div>
          </w:divsChild>
        </w:div>
        <w:div w:id="891236753">
          <w:marLeft w:val="0"/>
          <w:marRight w:val="0"/>
          <w:marTop w:val="0"/>
          <w:marBottom w:val="0"/>
          <w:divBdr>
            <w:top w:val="none" w:sz="0" w:space="0" w:color="auto"/>
            <w:left w:val="none" w:sz="0" w:space="0" w:color="auto"/>
            <w:bottom w:val="none" w:sz="0" w:space="0" w:color="auto"/>
            <w:right w:val="none" w:sz="0" w:space="0" w:color="auto"/>
          </w:divBdr>
          <w:divsChild>
            <w:div w:id="1418752223">
              <w:marLeft w:val="0"/>
              <w:marRight w:val="0"/>
              <w:marTop w:val="0"/>
              <w:marBottom w:val="0"/>
              <w:divBdr>
                <w:top w:val="none" w:sz="0" w:space="0" w:color="auto"/>
                <w:left w:val="none" w:sz="0" w:space="0" w:color="auto"/>
                <w:bottom w:val="none" w:sz="0" w:space="0" w:color="auto"/>
                <w:right w:val="none" w:sz="0" w:space="0" w:color="auto"/>
              </w:divBdr>
            </w:div>
          </w:divsChild>
        </w:div>
        <w:div w:id="913971819">
          <w:marLeft w:val="0"/>
          <w:marRight w:val="0"/>
          <w:marTop w:val="0"/>
          <w:marBottom w:val="0"/>
          <w:divBdr>
            <w:top w:val="none" w:sz="0" w:space="0" w:color="auto"/>
            <w:left w:val="none" w:sz="0" w:space="0" w:color="auto"/>
            <w:bottom w:val="none" w:sz="0" w:space="0" w:color="auto"/>
            <w:right w:val="none" w:sz="0" w:space="0" w:color="auto"/>
          </w:divBdr>
          <w:divsChild>
            <w:div w:id="1112243924">
              <w:marLeft w:val="0"/>
              <w:marRight w:val="0"/>
              <w:marTop w:val="0"/>
              <w:marBottom w:val="0"/>
              <w:divBdr>
                <w:top w:val="none" w:sz="0" w:space="0" w:color="auto"/>
                <w:left w:val="none" w:sz="0" w:space="0" w:color="auto"/>
                <w:bottom w:val="none" w:sz="0" w:space="0" w:color="auto"/>
                <w:right w:val="none" w:sz="0" w:space="0" w:color="auto"/>
              </w:divBdr>
            </w:div>
          </w:divsChild>
        </w:div>
        <w:div w:id="947740187">
          <w:marLeft w:val="0"/>
          <w:marRight w:val="0"/>
          <w:marTop w:val="0"/>
          <w:marBottom w:val="0"/>
          <w:divBdr>
            <w:top w:val="none" w:sz="0" w:space="0" w:color="auto"/>
            <w:left w:val="none" w:sz="0" w:space="0" w:color="auto"/>
            <w:bottom w:val="none" w:sz="0" w:space="0" w:color="auto"/>
            <w:right w:val="none" w:sz="0" w:space="0" w:color="auto"/>
          </w:divBdr>
          <w:divsChild>
            <w:div w:id="1229464093">
              <w:marLeft w:val="0"/>
              <w:marRight w:val="0"/>
              <w:marTop w:val="0"/>
              <w:marBottom w:val="0"/>
              <w:divBdr>
                <w:top w:val="none" w:sz="0" w:space="0" w:color="auto"/>
                <w:left w:val="none" w:sz="0" w:space="0" w:color="auto"/>
                <w:bottom w:val="none" w:sz="0" w:space="0" w:color="auto"/>
                <w:right w:val="none" w:sz="0" w:space="0" w:color="auto"/>
              </w:divBdr>
            </w:div>
          </w:divsChild>
        </w:div>
        <w:div w:id="948783033">
          <w:marLeft w:val="0"/>
          <w:marRight w:val="0"/>
          <w:marTop w:val="0"/>
          <w:marBottom w:val="0"/>
          <w:divBdr>
            <w:top w:val="none" w:sz="0" w:space="0" w:color="auto"/>
            <w:left w:val="none" w:sz="0" w:space="0" w:color="auto"/>
            <w:bottom w:val="none" w:sz="0" w:space="0" w:color="auto"/>
            <w:right w:val="none" w:sz="0" w:space="0" w:color="auto"/>
          </w:divBdr>
          <w:divsChild>
            <w:div w:id="246380484">
              <w:marLeft w:val="0"/>
              <w:marRight w:val="0"/>
              <w:marTop w:val="0"/>
              <w:marBottom w:val="0"/>
              <w:divBdr>
                <w:top w:val="none" w:sz="0" w:space="0" w:color="auto"/>
                <w:left w:val="none" w:sz="0" w:space="0" w:color="auto"/>
                <w:bottom w:val="none" w:sz="0" w:space="0" w:color="auto"/>
                <w:right w:val="none" w:sz="0" w:space="0" w:color="auto"/>
              </w:divBdr>
            </w:div>
          </w:divsChild>
        </w:div>
        <w:div w:id="952130489">
          <w:marLeft w:val="0"/>
          <w:marRight w:val="0"/>
          <w:marTop w:val="0"/>
          <w:marBottom w:val="0"/>
          <w:divBdr>
            <w:top w:val="none" w:sz="0" w:space="0" w:color="auto"/>
            <w:left w:val="none" w:sz="0" w:space="0" w:color="auto"/>
            <w:bottom w:val="none" w:sz="0" w:space="0" w:color="auto"/>
            <w:right w:val="none" w:sz="0" w:space="0" w:color="auto"/>
          </w:divBdr>
          <w:divsChild>
            <w:div w:id="1894581149">
              <w:marLeft w:val="0"/>
              <w:marRight w:val="0"/>
              <w:marTop w:val="0"/>
              <w:marBottom w:val="0"/>
              <w:divBdr>
                <w:top w:val="none" w:sz="0" w:space="0" w:color="auto"/>
                <w:left w:val="none" w:sz="0" w:space="0" w:color="auto"/>
                <w:bottom w:val="none" w:sz="0" w:space="0" w:color="auto"/>
                <w:right w:val="none" w:sz="0" w:space="0" w:color="auto"/>
              </w:divBdr>
            </w:div>
          </w:divsChild>
        </w:div>
        <w:div w:id="953756398">
          <w:marLeft w:val="0"/>
          <w:marRight w:val="0"/>
          <w:marTop w:val="0"/>
          <w:marBottom w:val="0"/>
          <w:divBdr>
            <w:top w:val="none" w:sz="0" w:space="0" w:color="auto"/>
            <w:left w:val="none" w:sz="0" w:space="0" w:color="auto"/>
            <w:bottom w:val="none" w:sz="0" w:space="0" w:color="auto"/>
            <w:right w:val="none" w:sz="0" w:space="0" w:color="auto"/>
          </w:divBdr>
          <w:divsChild>
            <w:div w:id="994647741">
              <w:marLeft w:val="0"/>
              <w:marRight w:val="0"/>
              <w:marTop w:val="0"/>
              <w:marBottom w:val="0"/>
              <w:divBdr>
                <w:top w:val="none" w:sz="0" w:space="0" w:color="auto"/>
                <w:left w:val="none" w:sz="0" w:space="0" w:color="auto"/>
                <w:bottom w:val="none" w:sz="0" w:space="0" w:color="auto"/>
                <w:right w:val="none" w:sz="0" w:space="0" w:color="auto"/>
              </w:divBdr>
            </w:div>
          </w:divsChild>
        </w:div>
        <w:div w:id="971056381">
          <w:marLeft w:val="0"/>
          <w:marRight w:val="0"/>
          <w:marTop w:val="0"/>
          <w:marBottom w:val="0"/>
          <w:divBdr>
            <w:top w:val="none" w:sz="0" w:space="0" w:color="auto"/>
            <w:left w:val="none" w:sz="0" w:space="0" w:color="auto"/>
            <w:bottom w:val="none" w:sz="0" w:space="0" w:color="auto"/>
            <w:right w:val="none" w:sz="0" w:space="0" w:color="auto"/>
          </w:divBdr>
          <w:divsChild>
            <w:div w:id="951014821">
              <w:marLeft w:val="0"/>
              <w:marRight w:val="0"/>
              <w:marTop w:val="0"/>
              <w:marBottom w:val="0"/>
              <w:divBdr>
                <w:top w:val="none" w:sz="0" w:space="0" w:color="auto"/>
                <w:left w:val="none" w:sz="0" w:space="0" w:color="auto"/>
                <w:bottom w:val="none" w:sz="0" w:space="0" w:color="auto"/>
                <w:right w:val="none" w:sz="0" w:space="0" w:color="auto"/>
              </w:divBdr>
            </w:div>
          </w:divsChild>
        </w:div>
        <w:div w:id="1009061920">
          <w:marLeft w:val="0"/>
          <w:marRight w:val="0"/>
          <w:marTop w:val="0"/>
          <w:marBottom w:val="0"/>
          <w:divBdr>
            <w:top w:val="none" w:sz="0" w:space="0" w:color="auto"/>
            <w:left w:val="none" w:sz="0" w:space="0" w:color="auto"/>
            <w:bottom w:val="none" w:sz="0" w:space="0" w:color="auto"/>
            <w:right w:val="none" w:sz="0" w:space="0" w:color="auto"/>
          </w:divBdr>
          <w:divsChild>
            <w:div w:id="1791821386">
              <w:marLeft w:val="0"/>
              <w:marRight w:val="0"/>
              <w:marTop w:val="0"/>
              <w:marBottom w:val="0"/>
              <w:divBdr>
                <w:top w:val="none" w:sz="0" w:space="0" w:color="auto"/>
                <w:left w:val="none" w:sz="0" w:space="0" w:color="auto"/>
                <w:bottom w:val="none" w:sz="0" w:space="0" w:color="auto"/>
                <w:right w:val="none" w:sz="0" w:space="0" w:color="auto"/>
              </w:divBdr>
            </w:div>
          </w:divsChild>
        </w:div>
        <w:div w:id="1104031575">
          <w:marLeft w:val="0"/>
          <w:marRight w:val="0"/>
          <w:marTop w:val="0"/>
          <w:marBottom w:val="0"/>
          <w:divBdr>
            <w:top w:val="none" w:sz="0" w:space="0" w:color="auto"/>
            <w:left w:val="none" w:sz="0" w:space="0" w:color="auto"/>
            <w:bottom w:val="none" w:sz="0" w:space="0" w:color="auto"/>
            <w:right w:val="none" w:sz="0" w:space="0" w:color="auto"/>
          </w:divBdr>
          <w:divsChild>
            <w:div w:id="44330984">
              <w:marLeft w:val="0"/>
              <w:marRight w:val="0"/>
              <w:marTop w:val="0"/>
              <w:marBottom w:val="0"/>
              <w:divBdr>
                <w:top w:val="none" w:sz="0" w:space="0" w:color="auto"/>
                <w:left w:val="none" w:sz="0" w:space="0" w:color="auto"/>
                <w:bottom w:val="none" w:sz="0" w:space="0" w:color="auto"/>
                <w:right w:val="none" w:sz="0" w:space="0" w:color="auto"/>
              </w:divBdr>
            </w:div>
          </w:divsChild>
        </w:div>
        <w:div w:id="1114858924">
          <w:marLeft w:val="0"/>
          <w:marRight w:val="0"/>
          <w:marTop w:val="0"/>
          <w:marBottom w:val="0"/>
          <w:divBdr>
            <w:top w:val="none" w:sz="0" w:space="0" w:color="auto"/>
            <w:left w:val="none" w:sz="0" w:space="0" w:color="auto"/>
            <w:bottom w:val="none" w:sz="0" w:space="0" w:color="auto"/>
            <w:right w:val="none" w:sz="0" w:space="0" w:color="auto"/>
          </w:divBdr>
          <w:divsChild>
            <w:div w:id="1041981395">
              <w:marLeft w:val="0"/>
              <w:marRight w:val="0"/>
              <w:marTop w:val="0"/>
              <w:marBottom w:val="0"/>
              <w:divBdr>
                <w:top w:val="none" w:sz="0" w:space="0" w:color="auto"/>
                <w:left w:val="none" w:sz="0" w:space="0" w:color="auto"/>
                <w:bottom w:val="none" w:sz="0" w:space="0" w:color="auto"/>
                <w:right w:val="none" w:sz="0" w:space="0" w:color="auto"/>
              </w:divBdr>
            </w:div>
          </w:divsChild>
        </w:div>
        <w:div w:id="1129472305">
          <w:marLeft w:val="0"/>
          <w:marRight w:val="0"/>
          <w:marTop w:val="0"/>
          <w:marBottom w:val="0"/>
          <w:divBdr>
            <w:top w:val="none" w:sz="0" w:space="0" w:color="auto"/>
            <w:left w:val="none" w:sz="0" w:space="0" w:color="auto"/>
            <w:bottom w:val="none" w:sz="0" w:space="0" w:color="auto"/>
            <w:right w:val="none" w:sz="0" w:space="0" w:color="auto"/>
          </w:divBdr>
          <w:divsChild>
            <w:div w:id="1173642412">
              <w:marLeft w:val="0"/>
              <w:marRight w:val="0"/>
              <w:marTop w:val="0"/>
              <w:marBottom w:val="0"/>
              <w:divBdr>
                <w:top w:val="none" w:sz="0" w:space="0" w:color="auto"/>
                <w:left w:val="none" w:sz="0" w:space="0" w:color="auto"/>
                <w:bottom w:val="none" w:sz="0" w:space="0" w:color="auto"/>
                <w:right w:val="none" w:sz="0" w:space="0" w:color="auto"/>
              </w:divBdr>
            </w:div>
          </w:divsChild>
        </w:div>
        <w:div w:id="1136946727">
          <w:marLeft w:val="0"/>
          <w:marRight w:val="0"/>
          <w:marTop w:val="0"/>
          <w:marBottom w:val="0"/>
          <w:divBdr>
            <w:top w:val="none" w:sz="0" w:space="0" w:color="auto"/>
            <w:left w:val="none" w:sz="0" w:space="0" w:color="auto"/>
            <w:bottom w:val="none" w:sz="0" w:space="0" w:color="auto"/>
            <w:right w:val="none" w:sz="0" w:space="0" w:color="auto"/>
          </w:divBdr>
          <w:divsChild>
            <w:div w:id="149253393">
              <w:marLeft w:val="0"/>
              <w:marRight w:val="0"/>
              <w:marTop w:val="0"/>
              <w:marBottom w:val="0"/>
              <w:divBdr>
                <w:top w:val="none" w:sz="0" w:space="0" w:color="auto"/>
                <w:left w:val="none" w:sz="0" w:space="0" w:color="auto"/>
                <w:bottom w:val="none" w:sz="0" w:space="0" w:color="auto"/>
                <w:right w:val="none" w:sz="0" w:space="0" w:color="auto"/>
              </w:divBdr>
            </w:div>
          </w:divsChild>
        </w:div>
        <w:div w:id="1168444382">
          <w:marLeft w:val="0"/>
          <w:marRight w:val="0"/>
          <w:marTop w:val="0"/>
          <w:marBottom w:val="0"/>
          <w:divBdr>
            <w:top w:val="none" w:sz="0" w:space="0" w:color="auto"/>
            <w:left w:val="none" w:sz="0" w:space="0" w:color="auto"/>
            <w:bottom w:val="none" w:sz="0" w:space="0" w:color="auto"/>
            <w:right w:val="none" w:sz="0" w:space="0" w:color="auto"/>
          </w:divBdr>
          <w:divsChild>
            <w:div w:id="1129126795">
              <w:marLeft w:val="0"/>
              <w:marRight w:val="0"/>
              <w:marTop w:val="0"/>
              <w:marBottom w:val="0"/>
              <w:divBdr>
                <w:top w:val="none" w:sz="0" w:space="0" w:color="auto"/>
                <w:left w:val="none" w:sz="0" w:space="0" w:color="auto"/>
                <w:bottom w:val="none" w:sz="0" w:space="0" w:color="auto"/>
                <w:right w:val="none" w:sz="0" w:space="0" w:color="auto"/>
              </w:divBdr>
            </w:div>
          </w:divsChild>
        </w:div>
        <w:div w:id="1180970267">
          <w:marLeft w:val="0"/>
          <w:marRight w:val="0"/>
          <w:marTop w:val="0"/>
          <w:marBottom w:val="0"/>
          <w:divBdr>
            <w:top w:val="none" w:sz="0" w:space="0" w:color="auto"/>
            <w:left w:val="none" w:sz="0" w:space="0" w:color="auto"/>
            <w:bottom w:val="none" w:sz="0" w:space="0" w:color="auto"/>
            <w:right w:val="none" w:sz="0" w:space="0" w:color="auto"/>
          </w:divBdr>
          <w:divsChild>
            <w:div w:id="1688365802">
              <w:marLeft w:val="0"/>
              <w:marRight w:val="0"/>
              <w:marTop w:val="0"/>
              <w:marBottom w:val="0"/>
              <w:divBdr>
                <w:top w:val="none" w:sz="0" w:space="0" w:color="auto"/>
                <w:left w:val="none" w:sz="0" w:space="0" w:color="auto"/>
                <w:bottom w:val="none" w:sz="0" w:space="0" w:color="auto"/>
                <w:right w:val="none" w:sz="0" w:space="0" w:color="auto"/>
              </w:divBdr>
            </w:div>
          </w:divsChild>
        </w:div>
        <w:div w:id="1208565551">
          <w:marLeft w:val="0"/>
          <w:marRight w:val="0"/>
          <w:marTop w:val="0"/>
          <w:marBottom w:val="0"/>
          <w:divBdr>
            <w:top w:val="none" w:sz="0" w:space="0" w:color="auto"/>
            <w:left w:val="none" w:sz="0" w:space="0" w:color="auto"/>
            <w:bottom w:val="none" w:sz="0" w:space="0" w:color="auto"/>
            <w:right w:val="none" w:sz="0" w:space="0" w:color="auto"/>
          </w:divBdr>
          <w:divsChild>
            <w:div w:id="1031416263">
              <w:marLeft w:val="0"/>
              <w:marRight w:val="0"/>
              <w:marTop w:val="0"/>
              <w:marBottom w:val="0"/>
              <w:divBdr>
                <w:top w:val="none" w:sz="0" w:space="0" w:color="auto"/>
                <w:left w:val="none" w:sz="0" w:space="0" w:color="auto"/>
                <w:bottom w:val="none" w:sz="0" w:space="0" w:color="auto"/>
                <w:right w:val="none" w:sz="0" w:space="0" w:color="auto"/>
              </w:divBdr>
            </w:div>
          </w:divsChild>
        </w:div>
        <w:div w:id="1224680863">
          <w:marLeft w:val="0"/>
          <w:marRight w:val="0"/>
          <w:marTop w:val="0"/>
          <w:marBottom w:val="0"/>
          <w:divBdr>
            <w:top w:val="none" w:sz="0" w:space="0" w:color="auto"/>
            <w:left w:val="none" w:sz="0" w:space="0" w:color="auto"/>
            <w:bottom w:val="none" w:sz="0" w:space="0" w:color="auto"/>
            <w:right w:val="none" w:sz="0" w:space="0" w:color="auto"/>
          </w:divBdr>
          <w:divsChild>
            <w:div w:id="116679926">
              <w:marLeft w:val="0"/>
              <w:marRight w:val="0"/>
              <w:marTop w:val="0"/>
              <w:marBottom w:val="0"/>
              <w:divBdr>
                <w:top w:val="none" w:sz="0" w:space="0" w:color="auto"/>
                <w:left w:val="none" w:sz="0" w:space="0" w:color="auto"/>
                <w:bottom w:val="none" w:sz="0" w:space="0" w:color="auto"/>
                <w:right w:val="none" w:sz="0" w:space="0" w:color="auto"/>
              </w:divBdr>
            </w:div>
          </w:divsChild>
        </w:div>
        <w:div w:id="1226716425">
          <w:marLeft w:val="0"/>
          <w:marRight w:val="0"/>
          <w:marTop w:val="0"/>
          <w:marBottom w:val="0"/>
          <w:divBdr>
            <w:top w:val="none" w:sz="0" w:space="0" w:color="auto"/>
            <w:left w:val="none" w:sz="0" w:space="0" w:color="auto"/>
            <w:bottom w:val="none" w:sz="0" w:space="0" w:color="auto"/>
            <w:right w:val="none" w:sz="0" w:space="0" w:color="auto"/>
          </w:divBdr>
          <w:divsChild>
            <w:div w:id="625090260">
              <w:marLeft w:val="0"/>
              <w:marRight w:val="0"/>
              <w:marTop w:val="0"/>
              <w:marBottom w:val="0"/>
              <w:divBdr>
                <w:top w:val="none" w:sz="0" w:space="0" w:color="auto"/>
                <w:left w:val="none" w:sz="0" w:space="0" w:color="auto"/>
                <w:bottom w:val="none" w:sz="0" w:space="0" w:color="auto"/>
                <w:right w:val="none" w:sz="0" w:space="0" w:color="auto"/>
              </w:divBdr>
            </w:div>
          </w:divsChild>
        </w:div>
        <w:div w:id="1297831456">
          <w:marLeft w:val="0"/>
          <w:marRight w:val="0"/>
          <w:marTop w:val="0"/>
          <w:marBottom w:val="0"/>
          <w:divBdr>
            <w:top w:val="none" w:sz="0" w:space="0" w:color="auto"/>
            <w:left w:val="none" w:sz="0" w:space="0" w:color="auto"/>
            <w:bottom w:val="none" w:sz="0" w:space="0" w:color="auto"/>
            <w:right w:val="none" w:sz="0" w:space="0" w:color="auto"/>
          </w:divBdr>
          <w:divsChild>
            <w:div w:id="391272506">
              <w:marLeft w:val="0"/>
              <w:marRight w:val="0"/>
              <w:marTop w:val="0"/>
              <w:marBottom w:val="0"/>
              <w:divBdr>
                <w:top w:val="none" w:sz="0" w:space="0" w:color="auto"/>
                <w:left w:val="none" w:sz="0" w:space="0" w:color="auto"/>
                <w:bottom w:val="none" w:sz="0" w:space="0" w:color="auto"/>
                <w:right w:val="none" w:sz="0" w:space="0" w:color="auto"/>
              </w:divBdr>
            </w:div>
          </w:divsChild>
        </w:div>
        <w:div w:id="1359812714">
          <w:marLeft w:val="0"/>
          <w:marRight w:val="0"/>
          <w:marTop w:val="0"/>
          <w:marBottom w:val="0"/>
          <w:divBdr>
            <w:top w:val="none" w:sz="0" w:space="0" w:color="auto"/>
            <w:left w:val="none" w:sz="0" w:space="0" w:color="auto"/>
            <w:bottom w:val="none" w:sz="0" w:space="0" w:color="auto"/>
            <w:right w:val="none" w:sz="0" w:space="0" w:color="auto"/>
          </w:divBdr>
          <w:divsChild>
            <w:div w:id="380059805">
              <w:marLeft w:val="0"/>
              <w:marRight w:val="0"/>
              <w:marTop w:val="0"/>
              <w:marBottom w:val="0"/>
              <w:divBdr>
                <w:top w:val="none" w:sz="0" w:space="0" w:color="auto"/>
                <w:left w:val="none" w:sz="0" w:space="0" w:color="auto"/>
                <w:bottom w:val="none" w:sz="0" w:space="0" w:color="auto"/>
                <w:right w:val="none" w:sz="0" w:space="0" w:color="auto"/>
              </w:divBdr>
            </w:div>
          </w:divsChild>
        </w:div>
        <w:div w:id="1367293424">
          <w:marLeft w:val="0"/>
          <w:marRight w:val="0"/>
          <w:marTop w:val="0"/>
          <w:marBottom w:val="0"/>
          <w:divBdr>
            <w:top w:val="none" w:sz="0" w:space="0" w:color="auto"/>
            <w:left w:val="none" w:sz="0" w:space="0" w:color="auto"/>
            <w:bottom w:val="none" w:sz="0" w:space="0" w:color="auto"/>
            <w:right w:val="none" w:sz="0" w:space="0" w:color="auto"/>
          </w:divBdr>
          <w:divsChild>
            <w:div w:id="1355299953">
              <w:marLeft w:val="0"/>
              <w:marRight w:val="0"/>
              <w:marTop w:val="0"/>
              <w:marBottom w:val="0"/>
              <w:divBdr>
                <w:top w:val="none" w:sz="0" w:space="0" w:color="auto"/>
                <w:left w:val="none" w:sz="0" w:space="0" w:color="auto"/>
                <w:bottom w:val="none" w:sz="0" w:space="0" w:color="auto"/>
                <w:right w:val="none" w:sz="0" w:space="0" w:color="auto"/>
              </w:divBdr>
            </w:div>
          </w:divsChild>
        </w:div>
        <w:div w:id="1405565379">
          <w:marLeft w:val="0"/>
          <w:marRight w:val="0"/>
          <w:marTop w:val="0"/>
          <w:marBottom w:val="0"/>
          <w:divBdr>
            <w:top w:val="none" w:sz="0" w:space="0" w:color="auto"/>
            <w:left w:val="none" w:sz="0" w:space="0" w:color="auto"/>
            <w:bottom w:val="none" w:sz="0" w:space="0" w:color="auto"/>
            <w:right w:val="none" w:sz="0" w:space="0" w:color="auto"/>
          </w:divBdr>
          <w:divsChild>
            <w:div w:id="704135932">
              <w:marLeft w:val="0"/>
              <w:marRight w:val="0"/>
              <w:marTop w:val="0"/>
              <w:marBottom w:val="0"/>
              <w:divBdr>
                <w:top w:val="none" w:sz="0" w:space="0" w:color="auto"/>
                <w:left w:val="none" w:sz="0" w:space="0" w:color="auto"/>
                <w:bottom w:val="none" w:sz="0" w:space="0" w:color="auto"/>
                <w:right w:val="none" w:sz="0" w:space="0" w:color="auto"/>
              </w:divBdr>
            </w:div>
          </w:divsChild>
        </w:div>
        <w:div w:id="1420253931">
          <w:marLeft w:val="0"/>
          <w:marRight w:val="0"/>
          <w:marTop w:val="0"/>
          <w:marBottom w:val="0"/>
          <w:divBdr>
            <w:top w:val="none" w:sz="0" w:space="0" w:color="auto"/>
            <w:left w:val="none" w:sz="0" w:space="0" w:color="auto"/>
            <w:bottom w:val="none" w:sz="0" w:space="0" w:color="auto"/>
            <w:right w:val="none" w:sz="0" w:space="0" w:color="auto"/>
          </w:divBdr>
          <w:divsChild>
            <w:div w:id="1885219131">
              <w:marLeft w:val="0"/>
              <w:marRight w:val="0"/>
              <w:marTop w:val="0"/>
              <w:marBottom w:val="0"/>
              <w:divBdr>
                <w:top w:val="none" w:sz="0" w:space="0" w:color="auto"/>
                <w:left w:val="none" w:sz="0" w:space="0" w:color="auto"/>
                <w:bottom w:val="none" w:sz="0" w:space="0" w:color="auto"/>
                <w:right w:val="none" w:sz="0" w:space="0" w:color="auto"/>
              </w:divBdr>
            </w:div>
          </w:divsChild>
        </w:div>
        <w:div w:id="1439443397">
          <w:marLeft w:val="0"/>
          <w:marRight w:val="0"/>
          <w:marTop w:val="0"/>
          <w:marBottom w:val="0"/>
          <w:divBdr>
            <w:top w:val="none" w:sz="0" w:space="0" w:color="auto"/>
            <w:left w:val="none" w:sz="0" w:space="0" w:color="auto"/>
            <w:bottom w:val="none" w:sz="0" w:space="0" w:color="auto"/>
            <w:right w:val="none" w:sz="0" w:space="0" w:color="auto"/>
          </w:divBdr>
          <w:divsChild>
            <w:div w:id="417560086">
              <w:marLeft w:val="0"/>
              <w:marRight w:val="0"/>
              <w:marTop w:val="0"/>
              <w:marBottom w:val="0"/>
              <w:divBdr>
                <w:top w:val="none" w:sz="0" w:space="0" w:color="auto"/>
                <w:left w:val="none" w:sz="0" w:space="0" w:color="auto"/>
                <w:bottom w:val="none" w:sz="0" w:space="0" w:color="auto"/>
                <w:right w:val="none" w:sz="0" w:space="0" w:color="auto"/>
              </w:divBdr>
            </w:div>
          </w:divsChild>
        </w:div>
        <w:div w:id="1450972076">
          <w:marLeft w:val="0"/>
          <w:marRight w:val="0"/>
          <w:marTop w:val="0"/>
          <w:marBottom w:val="0"/>
          <w:divBdr>
            <w:top w:val="none" w:sz="0" w:space="0" w:color="auto"/>
            <w:left w:val="none" w:sz="0" w:space="0" w:color="auto"/>
            <w:bottom w:val="none" w:sz="0" w:space="0" w:color="auto"/>
            <w:right w:val="none" w:sz="0" w:space="0" w:color="auto"/>
          </w:divBdr>
          <w:divsChild>
            <w:div w:id="1972393815">
              <w:marLeft w:val="0"/>
              <w:marRight w:val="0"/>
              <w:marTop w:val="0"/>
              <w:marBottom w:val="0"/>
              <w:divBdr>
                <w:top w:val="none" w:sz="0" w:space="0" w:color="auto"/>
                <w:left w:val="none" w:sz="0" w:space="0" w:color="auto"/>
                <w:bottom w:val="none" w:sz="0" w:space="0" w:color="auto"/>
                <w:right w:val="none" w:sz="0" w:space="0" w:color="auto"/>
              </w:divBdr>
            </w:div>
          </w:divsChild>
        </w:div>
        <w:div w:id="1473450067">
          <w:marLeft w:val="0"/>
          <w:marRight w:val="0"/>
          <w:marTop w:val="0"/>
          <w:marBottom w:val="0"/>
          <w:divBdr>
            <w:top w:val="none" w:sz="0" w:space="0" w:color="auto"/>
            <w:left w:val="none" w:sz="0" w:space="0" w:color="auto"/>
            <w:bottom w:val="none" w:sz="0" w:space="0" w:color="auto"/>
            <w:right w:val="none" w:sz="0" w:space="0" w:color="auto"/>
          </w:divBdr>
          <w:divsChild>
            <w:div w:id="31269442">
              <w:marLeft w:val="0"/>
              <w:marRight w:val="0"/>
              <w:marTop w:val="0"/>
              <w:marBottom w:val="0"/>
              <w:divBdr>
                <w:top w:val="none" w:sz="0" w:space="0" w:color="auto"/>
                <w:left w:val="none" w:sz="0" w:space="0" w:color="auto"/>
                <w:bottom w:val="none" w:sz="0" w:space="0" w:color="auto"/>
                <w:right w:val="none" w:sz="0" w:space="0" w:color="auto"/>
              </w:divBdr>
            </w:div>
          </w:divsChild>
        </w:div>
        <w:div w:id="1483812204">
          <w:marLeft w:val="0"/>
          <w:marRight w:val="0"/>
          <w:marTop w:val="0"/>
          <w:marBottom w:val="0"/>
          <w:divBdr>
            <w:top w:val="none" w:sz="0" w:space="0" w:color="auto"/>
            <w:left w:val="none" w:sz="0" w:space="0" w:color="auto"/>
            <w:bottom w:val="none" w:sz="0" w:space="0" w:color="auto"/>
            <w:right w:val="none" w:sz="0" w:space="0" w:color="auto"/>
          </w:divBdr>
          <w:divsChild>
            <w:div w:id="1870406918">
              <w:marLeft w:val="0"/>
              <w:marRight w:val="0"/>
              <w:marTop w:val="0"/>
              <w:marBottom w:val="0"/>
              <w:divBdr>
                <w:top w:val="none" w:sz="0" w:space="0" w:color="auto"/>
                <w:left w:val="none" w:sz="0" w:space="0" w:color="auto"/>
                <w:bottom w:val="none" w:sz="0" w:space="0" w:color="auto"/>
                <w:right w:val="none" w:sz="0" w:space="0" w:color="auto"/>
              </w:divBdr>
            </w:div>
          </w:divsChild>
        </w:div>
        <w:div w:id="1546679689">
          <w:marLeft w:val="0"/>
          <w:marRight w:val="0"/>
          <w:marTop w:val="0"/>
          <w:marBottom w:val="0"/>
          <w:divBdr>
            <w:top w:val="none" w:sz="0" w:space="0" w:color="auto"/>
            <w:left w:val="none" w:sz="0" w:space="0" w:color="auto"/>
            <w:bottom w:val="none" w:sz="0" w:space="0" w:color="auto"/>
            <w:right w:val="none" w:sz="0" w:space="0" w:color="auto"/>
          </w:divBdr>
          <w:divsChild>
            <w:div w:id="76830638">
              <w:marLeft w:val="0"/>
              <w:marRight w:val="0"/>
              <w:marTop w:val="0"/>
              <w:marBottom w:val="0"/>
              <w:divBdr>
                <w:top w:val="none" w:sz="0" w:space="0" w:color="auto"/>
                <w:left w:val="none" w:sz="0" w:space="0" w:color="auto"/>
                <w:bottom w:val="none" w:sz="0" w:space="0" w:color="auto"/>
                <w:right w:val="none" w:sz="0" w:space="0" w:color="auto"/>
              </w:divBdr>
            </w:div>
          </w:divsChild>
        </w:div>
        <w:div w:id="1548226719">
          <w:marLeft w:val="0"/>
          <w:marRight w:val="0"/>
          <w:marTop w:val="0"/>
          <w:marBottom w:val="0"/>
          <w:divBdr>
            <w:top w:val="none" w:sz="0" w:space="0" w:color="auto"/>
            <w:left w:val="none" w:sz="0" w:space="0" w:color="auto"/>
            <w:bottom w:val="none" w:sz="0" w:space="0" w:color="auto"/>
            <w:right w:val="none" w:sz="0" w:space="0" w:color="auto"/>
          </w:divBdr>
          <w:divsChild>
            <w:div w:id="1394236285">
              <w:marLeft w:val="0"/>
              <w:marRight w:val="0"/>
              <w:marTop w:val="0"/>
              <w:marBottom w:val="0"/>
              <w:divBdr>
                <w:top w:val="none" w:sz="0" w:space="0" w:color="auto"/>
                <w:left w:val="none" w:sz="0" w:space="0" w:color="auto"/>
                <w:bottom w:val="none" w:sz="0" w:space="0" w:color="auto"/>
                <w:right w:val="none" w:sz="0" w:space="0" w:color="auto"/>
              </w:divBdr>
            </w:div>
          </w:divsChild>
        </w:div>
        <w:div w:id="1567112019">
          <w:marLeft w:val="0"/>
          <w:marRight w:val="0"/>
          <w:marTop w:val="0"/>
          <w:marBottom w:val="0"/>
          <w:divBdr>
            <w:top w:val="none" w:sz="0" w:space="0" w:color="auto"/>
            <w:left w:val="none" w:sz="0" w:space="0" w:color="auto"/>
            <w:bottom w:val="none" w:sz="0" w:space="0" w:color="auto"/>
            <w:right w:val="none" w:sz="0" w:space="0" w:color="auto"/>
          </w:divBdr>
          <w:divsChild>
            <w:div w:id="53622867">
              <w:marLeft w:val="0"/>
              <w:marRight w:val="0"/>
              <w:marTop w:val="0"/>
              <w:marBottom w:val="0"/>
              <w:divBdr>
                <w:top w:val="none" w:sz="0" w:space="0" w:color="auto"/>
                <w:left w:val="none" w:sz="0" w:space="0" w:color="auto"/>
                <w:bottom w:val="none" w:sz="0" w:space="0" w:color="auto"/>
                <w:right w:val="none" w:sz="0" w:space="0" w:color="auto"/>
              </w:divBdr>
            </w:div>
          </w:divsChild>
        </w:div>
        <w:div w:id="1592229143">
          <w:marLeft w:val="0"/>
          <w:marRight w:val="0"/>
          <w:marTop w:val="0"/>
          <w:marBottom w:val="0"/>
          <w:divBdr>
            <w:top w:val="none" w:sz="0" w:space="0" w:color="auto"/>
            <w:left w:val="none" w:sz="0" w:space="0" w:color="auto"/>
            <w:bottom w:val="none" w:sz="0" w:space="0" w:color="auto"/>
            <w:right w:val="none" w:sz="0" w:space="0" w:color="auto"/>
          </w:divBdr>
          <w:divsChild>
            <w:div w:id="873732664">
              <w:marLeft w:val="0"/>
              <w:marRight w:val="0"/>
              <w:marTop w:val="0"/>
              <w:marBottom w:val="0"/>
              <w:divBdr>
                <w:top w:val="none" w:sz="0" w:space="0" w:color="auto"/>
                <w:left w:val="none" w:sz="0" w:space="0" w:color="auto"/>
                <w:bottom w:val="none" w:sz="0" w:space="0" w:color="auto"/>
                <w:right w:val="none" w:sz="0" w:space="0" w:color="auto"/>
              </w:divBdr>
            </w:div>
          </w:divsChild>
        </w:div>
        <w:div w:id="1607224638">
          <w:marLeft w:val="0"/>
          <w:marRight w:val="0"/>
          <w:marTop w:val="0"/>
          <w:marBottom w:val="0"/>
          <w:divBdr>
            <w:top w:val="none" w:sz="0" w:space="0" w:color="auto"/>
            <w:left w:val="none" w:sz="0" w:space="0" w:color="auto"/>
            <w:bottom w:val="none" w:sz="0" w:space="0" w:color="auto"/>
            <w:right w:val="none" w:sz="0" w:space="0" w:color="auto"/>
          </w:divBdr>
          <w:divsChild>
            <w:div w:id="298152914">
              <w:marLeft w:val="0"/>
              <w:marRight w:val="0"/>
              <w:marTop w:val="0"/>
              <w:marBottom w:val="0"/>
              <w:divBdr>
                <w:top w:val="none" w:sz="0" w:space="0" w:color="auto"/>
                <w:left w:val="none" w:sz="0" w:space="0" w:color="auto"/>
                <w:bottom w:val="none" w:sz="0" w:space="0" w:color="auto"/>
                <w:right w:val="none" w:sz="0" w:space="0" w:color="auto"/>
              </w:divBdr>
            </w:div>
          </w:divsChild>
        </w:div>
        <w:div w:id="1625307181">
          <w:marLeft w:val="0"/>
          <w:marRight w:val="0"/>
          <w:marTop w:val="0"/>
          <w:marBottom w:val="0"/>
          <w:divBdr>
            <w:top w:val="none" w:sz="0" w:space="0" w:color="auto"/>
            <w:left w:val="none" w:sz="0" w:space="0" w:color="auto"/>
            <w:bottom w:val="none" w:sz="0" w:space="0" w:color="auto"/>
            <w:right w:val="none" w:sz="0" w:space="0" w:color="auto"/>
          </w:divBdr>
          <w:divsChild>
            <w:div w:id="1878153815">
              <w:marLeft w:val="0"/>
              <w:marRight w:val="0"/>
              <w:marTop w:val="0"/>
              <w:marBottom w:val="0"/>
              <w:divBdr>
                <w:top w:val="none" w:sz="0" w:space="0" w:color="auto"/>
                <w:left w:val="none" w:sz="0" w:space="0" w:color="auto"/>
                <w:bottom w:val="none" w:sz="0" w:space="0" w:color="auto"/>
                <w:right w:val="none" w:sz="0" w:space="0" w:color="auto"/>
              </w:divBdr>
            </w:div>
          </w:divsChild>
        </w:div>
        <w:div w:id="1727147616">
          <w:marLeft w:val="0"/>
          <w:marRight w:val="0"/>
          <w:marTop w:val="0"/>
          <w:marBottom w:val="0"/>
          <w:divBdr>
            <w:top w:val="none" w:sz="0" w:space="0" w:color="auto"/>
            <w:left w:val="none" w:sz="0" w:space="0" w:color="auto"/>
            <w:bottom w:val="none" w:sz="0" w:space="0" w:color="auto"/>
            <w:right w:val="none" w:sz="0" w:space="0" w:color="auto"/>
          </w:divBdr>
          <w:divsChild>
            <w:div w:id="1264920221">
              <w:marLeft w:val="0"/>
              <w:marRight w:val="0"/>
              <w:marTop w:val="0"/>
              <w:marBottom w:val="0"/>
              <w:divBdr>
                <w:top w:val="none" w:sz="0" w:space="0" w:color="auto"/>
                <w:left w:val="none" w:sz="0" w:space="0" w:color="auto"/>
                <w:bottom w:val="none" w:sz="0" w:space="0" w:color="auto"/>
                <w:right w:val="none" w:sz="0" w:space="0" w:color="auto"/>
              </w:divBdr>
            </w:div>
          </w:divsChild>
        </w:div>
        <w:div w:id="1728263776">
          <w:marLeft w:val="0"/>
          <w:marRight w:val="0"/>
          <w:marTop w:val="0"/>
          <w:marBottom w:val="0"/>
          <w:divBdr>
            <w:top w:val="none" w:sz="0" w:space="0" w:color="auto"/>
            <w:left w:val="none" w:sz="0" w:space="0" w:color="auto"/>
            <w:bottom w:val="none" w:sz="0" w:space="0" w:color="auto"/>
            <w:right w:val="none" w:sz="0" w:space="0" w:color="auto"/>
          </w:divBdr>
          <w:divsChild>
            <w:div w:id="689526239">
              <w:marLeft w:val="0"/>
              <w:marRight w:val="0"/>
              <w:marTop w:val="0"/>
              <w:marBottom w:val="0"/>
              <w:divBdr>
                <w:top w:val="none" w:sz="0" w:space="0" w:color="auto"/>
                <w:left w:val="none" w:sz="0" w:space="0" w:color="auto"/>
                <w:bottom w:val="none" w:sz="0" w:space="0" w:color="auto"/>
                <w:right w:val="none" w:sz="0" w:space="0" w:color="auto"/>
              </w:divBdr>
            </w:div>
          </w:divsChild>
        </w:div>
        <w:div w:id="1794054805">
          <w:marLeft w:val="0"/>
          <w:marRight w:val="0"/>
          <w:marTop w:val="0"/>
          <w:marBottom w:val="0"/>
          <w:divBdr>
            <w:top w:val="none" w:sz="0" w:space="0" w:color="auto"/>
            <w:left w:val="none" w:sz="0" w:space="0" w:color="auto"/>
            <w:bottom w:val="none" w:sz="0" w:space="0" w:color="auto"/>
            <w:right w:val="none" w:sz="0" w:space="0" w:color="auto"/>
          </w:divBdr>
          <w:divsChild>
            <w:div w:id="819929140">
              <w:marLeft w:val="0"/>
              <w:marRight w:val="0"/>
              <w:marTop w:val="0"/>
              <w:marBottom w:val="0"/>
              <w:divBdr>
                <w:top w:val="none" w:sz="0" w:space="0" w:color="auto"/>
                <w:left w:val="none" w:sz="0" w:space="0" w:color="auto"/>
                <w:bottom w:val="none" w:sz="0" w:space="0" w:color="auto"/>
                <w:right w:val="none" w:sz="0" w:space="0" w:color="auto"/>
              </w:divBdr>
            </w:div>
          </w:divsChild>
        </w:div>
        <w:div w:id="1801141845">
          <w:marLeft w:val="0"/>
          <w:marRight w:val="0"/>
          <w:marTop w:val="0"/>
          <w:marBottom w:val="0"/>
          <w:divBdr>
            <w:top w:val="none" w:sz="0" w:space="0" w:color="auto"/>
            <w:left w:val="none" w:sz="0" w:space="0" w:color="auto"/>
            <w:bottom w:val="none" w:sz="0" w:space="0" w:color="auto"/>
            <w:right w:val="none" w:sz="0" w:space="0" w:color="auto"/>
          </w:divBdr>
          <w:divsChild>
            <w:div w:id="995764309">
              <w:marLeft w:val="0"/>
              <w:marRight w:val="0"/>
              <w:marTop w:val="0"/>
              <w:marBottom w:val="0"/>
              <w:divBdr>
                <w:top w:val="none" w:sz="0" w:space="0" w:color="auto"/>
                <w:left w:val="none" w:sz="0" w:space="0" w:color="auto"/>
                <w:bottom w:val="none" w:sz="0" w:space="0" w:color="auto"/>
                <w:right w:val="none" w:sz="0" w:space="0" w:color="auto"/>
              </w:divBdr>
            </w:div>
          </w:divsChild>
        </w:div>
        <w:div w:id="1821381221">
          <w:marLeft w:val="0"/>
          <w:marRight w:val="0"/>
          <w:marTop w:val="0"/>
          <w:marBottom w:val="0"/>
          <w:divBdr>
            <w:top w:val="none" w:sz="0" w:space="0" w:color="auto"/>
            <w:left w:val="none" w:sz="0" w:space="0" w:color="auto"/>
            <w:bottom w:val="none" w:sz="0" w:space="0" w:color="auto"/>
            <w:right w:val="none" w:sz="0" w:space="0" w:color="auto"/>
          </w:divBdr>
          <w:divsChild>
            <w:div w:id="1627660089">
              <w:marLeft w:val="0"/>
              <w:marRight w:val="0"/>
              <w:marTop w:val="0"/>
              <w:marBottom w:val="0"/>
              <w:divBdr>
                <w:top w:val="none" w:sz="0" w:space="0" w:color="auto"/>
                <w:left w:val="none" w:sz="0" w:space="0" w:color="auto"/>
                <w:bottom w:val="none" w:sz="0" w:space="0" w:color="auto"/>
                <w:right w:val="none" w:sz="0" w:space="0" w:color="auto"/>
              </w:divBdr>
            </w:div>
          </w:divsChild>
        </w:div>
        <w:div w:id="1883594148">
          <w:marLeft w:val="0"/>
          <w:marRight w:val="0"/>
          <w:marTop w:val="0"/>
          <w:marBottom w:val="0"/>
          <w:divBdr>
            <w:top w:val="none" w:sz="0" w:space="0" w:color="auto"/>
            <w:left w:val="none" w:sz="0" w:space="0" w:color="auto"/>
            <w:bottom w:val="none" w:sz="0" w:space="0" w:color="auto"/>
            <w:right w:val="none" w:sz="0" w:space="0" w:color="auto"/>
          </w:divBdr>
          <w:divsChild>
            <w:div w:id="2050109426">
              <w:marLeft w:val="0"/>
              <w:marRight w:val="0"/>
              <w:marTop w:val="0"/>
              <w:marBottom w:val="0"/>
              <w:divBdr>
                <w:top w:val="none" w:sz="0" w:space="0" w:color="auto"/>
                <w:left w:val="none" w:sz="0" w:space="0" w:color="auto"/>
                <w:bottom w:val="none" w:sz="0" w:space="0" w:color="auto"/>
                <w:right w:val="none" w:sz="0" w:space="0" w:color="auto"/>
              </w:divBdr>
            </w:div>
          </w:divsChild>
        </w:div>
        <w:div w:id="1884442323">
          <w:marLeft w:val="0"/>
          <w:marRight w:val="0"/>
          <w:marTop w:val="0"/>
          <w:marBottom w:val="0"/>
          <w:divBdr>
            <w:top w:val="none" w:sz="0" w:space="0" w:color="auto"/>
            <w:left w:val="none" w:sz="0" w:space="0" w:color="auto"/>
            <w:bottom w:val="none" w:sz="0" w:space="0" w:color="auto"/>
            <w:right w:val="none" w:sz="0" w:space="0" w:color="auto"/>
          </w:divBdr>
          <w:divsChild>
            <w:div w:id="1483232058">
              <w:marLeft w:val="0"/>
              <w:marRight w:val="0"/>
              <w:marTop w:val="0"/>
              <w:marBottom w:val="0"/>
              <w:divBdr>
                <w:top w:val="none" w:sz="0" w:space="0" w:color="auto"/>
                <w:left w:val="none" w:sz="0" w:space="0" w:color="auto"/>
                <w:bottom w:val="none" w:sz="0" w:space="0" w:color="auto"/>
                <w:right w:val="none" w:sz="0" w:space="0" w:color="auto"/>
              </w:divBdr>
            </w:div>
          </w:divsChild>
        </w:div>
        <w:div w:id="1892573374">
          <w:marLeft w:val="0"/>
          <w:marRight w:val="0"/>
          <w:marTop w:val="0"/>
          <w:marBottom w:val="0"/>
          <w:divBdr>
            <w:top w:val="none" w:sz="0" w:space="0" w:color="auto"/>
            <w:left w:val="none" w:sz="0" w:space="0" w:color="auto"/>
            <w:bottom w:val="none" w:sz="0" w:space="0" w:color="auto"/>
            <w:right w:val="none" w:sz="0" w:space="0" w:color="auto"/>
          </w:divBdr>
          <w:divsChild>
            <w:div w:id="722028158">
              <w:marLeft w:val="0"/>
              <w:marRight w:val="0"/>
              <w:marTop w:val="0"/>
              <w:marBottom w:val="0"/>
              <w:divBdr>
                <w:top w:val="none" w:sz="0" w:space="0" w:color="auto"/>
                <w:left w:val="none" w:sz="0" w:space="0" w:color="auto"/>
                <w:bottom w:val="none" w:sz="0" w:space="0" w:color="auto"/>
                <w:right w:val="none" w:sz="0" w:space="0" w:color="auto"/>
              </w:divBdr>
            </w:div>
          </w:divsChild>
        </w:div>
        <w:div w:id="1924217364">
          <w:marLeft w:val="0"/>
          <w:marRight w:val="0"/>
          <w:marTop w:val="0"/>
          <w:marBottom w:val="0"/>
          <w:divBdr>
            <w:top w:val="none" w:sz="0" w:space="0" w:color="auto"/>
            <w:left w:val="none" w:sz="0" w:space="0" w:color="auto"/>
            <w:bottom w:val="none" w:sz="0" w:space="0" w:color="auto"/>
            <w:right w:val="none" w:sz="0" w:space="0" w:color="auto"/>
          </w:divBdr>
          <w:divsChild>
            <w:div w:id="266695164">
              <w:marLeft w:val="0"/>
              <w:marRight w:val="0"/>
              <w:marTop w:val="0"/>
              <w:marBottom w:val="0"/>
              <w:divBdr>
                <w:top w:val="none" w:sz="0" w:space="0" w:color="auto"/>
                <w:left w:val="none" w:sz="0" w:space="0" w:color="auto"/>
                <w:bottom w:val="none" w:sz="0" w:space="0" w:color="auto"/>
                <w:right w:val="none" w:sz="0" w:space="0" w:color="auto"/>
              </w:divBdr>
            </w:div>
          </w:divsChild>
        </w:div>
        <w:div w:id="1927955878">
          <w:marLeft w:val="0"/>
          <w:marRight w:val="0"/>
          <w:marTop w:val="0"/>
          <w:marBottom w:val="0"/>
          <w:divBdr>
            <w:top w:val="none" w:sz="0" w:space="0" w:color="auto"/>
            <w:left w:val="none" w:sz="0" w:space="0" w:color="auto"/>
            <w:bottom w:val="none" w:sz="0" w:space="0" w:color="auto"/>
            <w:right w:val="none" w:sz="0" w:space="0" w:color="auto"/>
          </w:divBdr>
          <w:divsChild>
            <w:div w:id="1251233327">
              <w:marLeft w:val="0"/>
              <w:marRight w:val="0"/>
              <w:marTop w:val="0"/>
              <w:marBottom w:val="0"/>
              <w:divBdr>
                <w:top w:val="none" w:sz="0" w:space="0" w:color="auto"/>
                <w:left w:val="none" w:sz="0" w:space="0" w:color="auto"/>
                <w:bottom w:val="none" w:sz="0" w:space="0" w:color="auto"/>
                <w:right w:val="none" w:sz="0" w:space="0" w:color="auto"/>
              </w:divBdr>
            </w:div>
          </w:divsChild>
        </w:div>
        <w:div w:id="1955794617">
          <w:marLeft w:val="0"/>
          <w:marRight w:val="0"/>
          <w:marTop w:val="0"/>
          <w:marBottom w:val="0"/>
          <w:divBdr>
            <w:top w:val="none" w:sz="0" w:space="0" w:color="auto"/>
            <w:left w:val="none" w:sz="0" w:space="0" w:color="auto"/>
            <w:bottom w:val="none" w:sz="0" w:space="0" w:color="auto"/>
            <w:right w:val="none" w:sz="0" w:space="0" w:color="auto"/>
          </w:divBdr>
          <w:divsChild>
            <w:div w:id="1351222569">
              <w:marLeft w:val="0"/>
              <w:marRight w:val="0"/>
              <w:marTop w:val="0"/>
              <w:marBottom w:val="0"/>
              <w:divBdr>
                <w:top w:val="none" w:sz="0" w:space="0" w:color="auto"/>
                <w:left w:val="none" w:sz="0" w:space="0" w:color="auto"/>
                <w:bottom w:val="none" w:sz="0" w:space="0" w:color="auto"/>
                <w:right w:val="none" w:sz="0" w:space="0" w:color="auto"/>
              </w:divBdr>
            </w:div>
          </w:divsChild>
        </w:div>
        <w:div w:id="1975136315">
          <w:marLeft w:val="0"/>
          <w:marRight w:val="0"/>
          <w:marTop w:val="0"/>
          <w:marBottom w:val="0"/>
          <w:divBdr>
            <w:top w:val="none" w:sz="0" w:space="0" w:color="auto"/>
            <w:left w:val="none" w:sz="0" w:space="0" w:color="auto"/>
            <w:bottom w:val="none" w:sz="0" w:space="0" w:color="auto"/>
            <w:right w:val="none" w:sz="0" w:space="0" w:color="auto"/>
          </w:divBdr>
          <w:divsChild>
            <w:div w:id="197471642">
              <w:marLeft w:val="0"/>
              <w:marRight w:val="0"/>
              <w:marTop w:val="0"/>
              <w:marBottom w:val="0"/>
              <w:divBdr>
                <w:top w:val="none" w:sz="0" w:space="0" w:color="auto"/>
                <w:left w:val="none" w:sz="0" w:space="0" w:color="auto"/>
                <w:bottom w:val="none" w:sz="0" w:space="0" w:color="auto"/>
                <w:right w:val="none" w:sz="0" w:space="0" w:color="auto"/>
              </w:divBdr>
            </w:div>
          </w:divsChild>
        </w:div>
        <w:div w:id="1978684875">
          <w:marLeft w:val="0"/>
          <w:marRight w:val="0"/>
          <w:marTop w:val="0"/>
          <w:marBottom w:val="0"/>
          <w:divBdr>
            <w:top w:val="none" w:sz="0" w:space="0" w:color="auto"/>
            <w:left w:val="none" w:sz="0" w:space="0" w:color="auto"/>
            <w:bottom w:val="none" w:sz="0" w:space="0" w:color="auto"/>
            <w:right w:val="none" w:sz="0" w:space="0" w:color="auto"/>
          </w:divBdr>
          <w:divsChild>
            <w:div w:id="1865635692">
              <w:marLeft w:val="0"/>
              <w:marRight w:val="0"/>
              <w:marTop w:val="0"/>
              <w:marBottom w:val="0"/>
              <w:divBdr>
                <w:top w:val="none" w:sz="0" w:space="0" w:color="auto"/>
                <w:left w:val="none" w:sz="0" w:space="0" w:color="auto"/>
                <w:bottom w:val="none" w:sz="0" w:space="0" w:color="auto"/>
                <w:right w:val="none" w:sz="0" w:space="0" w:color="auto"/>
              </w:divBdr>
            </w:div>
          </w:divsChild>
        </w:div>
        <w:div w:id="2001929327">
          <w:marLeft w:val="0"/>
          <w:marRight w:val="0"/>
          <w:marTop w:val="0"/>
          <w:marBottom w:val="0"/>
          <w:divBdr>
            <w:top w:val="none" w:sz="0" w:space="0" w:color="auto"/>
            <w:left w:val="none" w:sz="0" w:space="0" w:color="auto"/>
            <w:bottom w:val="none" w:sz="0" w:space="0" w:color="auto"/>
            <w:right w:val="none" w:sz="0" w:space="0" w:color="auto"/>
          </w:divBdr>
          <w:divsChild>
            <w:div w:id="426000118">
              <w:marLeft w:val="0"/>
              <w:marRight w:val="0"/>
              <w:marTop w:val="0"/>
              <w:marBottom w:val="0"/>
              <w:divBdr>
                <w:top w:val="none" w:sz="0" w:space="0" w:color="auto"/>
                <w:left w:val="none" w:sz="0" w:space="0" w:color="auto"/>
                <w:bottom w:val="none" w:sz="0" w:space="0" w:color="auto"/>
                <w:right w:val="none" w:sz="0" w:space="0" w:color="auto"/>
              </w:divBdr>
            </w:div>
          </w:divsChild>
        </w:div>
        <w:div w:id="2048987900">
          <w:marLeft w:val="0"/>
          <w:marRight w:val="0"/>
          <w:marTop w:val="0"/>
          <w:marBottom w:val="0"/>
          <w:divBdr>
            <w:top w:val="none" w:sz="0" w:space="0" w:color="auto"/>
            <w:left w:val="none" w:sz="0" w:space="0" w:color="auto"/>
            <w:bottom w:val="none" w:sz="0" w:space="0" w:color="auto"/>
            <w:right w:val="none" w:sz="0" w:space="0" w:color="auto"/>
          </w:divBdr>
          <w:divsChild>
            <w:div w:id="133372386">
              <w:marLeft w:val="0"/>
              <w:marRight w:val="0"/>
              <w:marTop w:val="0"/>
              <w:marBottom w:val="0"/>
              <w:divBdr>
                <w:top w:val="none" w:sz="0" w:space="0" w:color="auto"/>
                <w:left w:val="none" w:sz="0" w:space="0" w:color="auto"/>
                <w:bottom w:val="none" w:sz="0" w:space="0" w:color="auto"/>
                <w:right w:val="none" w:sz="0" w:space="0" w:color="auto"/>
              </w:divBdr>
            </w:div>
          </w:divsChild>
        </w:div>
        <w:div w:id="2050763671">
          <w:marLeft w:val="0"/>
          <w:marRight w:val="0"/>
          <w:marTop w:val="0"/>
          <w:marBottom w:val="0"/>
          <w:divBdr>
            <w:top w:val="none" w:sz="0" w:space="0" w:color="auto"/>
            <w:left w:val="none" w:sz="0" w:space="0" w:color="auto"/>
            <w:bottom w:val="none" w:sz="0" w:space="0" w:color="auto"/>
            <w:right w:val="none" w:sz="0" w:space="0" w:color="auto"/>
          </w:divBdr>
          <w:divsChild>
            <w:div w:id="353969127">
              <w:marLeft w:val="0"/>
              <w:marRight w:val="0"/>
              <w:marTop w:val="0"/>
              <w:marBottom w:val="0"/>
              <w:divBdr>
                <w:top w:val="none" w:sz="0" w:space="0" w:color="auto"/>
                <w:left w:val="none" w:sz="0" w:space="0" w:color="auto"/>
                <w:bottom w:val="none" w:sz="0" w:space="0" w:color="auto"/>
                <w:right w:val="none" w:sz="0" w:space="0" w:color="auto"/>
              </w:divBdr>
            </w:div>
          </w:divsChild>
        </w:div>
        <w:div w:id="2068256584">
          <w:marLeft w:val="0"/>
          <w:marRight w:val="0"/>
          <w:marTop w:val="0"/>
          <w:marBottom w:val="0"/>
          <w:divBdr>
            <w:top w:val="none" w:sz="0" w:space="0" w:color="auto"/>
            <w:left w:val="none" w:sz="0" w:space="0" w:color="auto"/>
            <w:bottom w:val="none" w:sz="0" w:space="0" w:color="auto"/>
            <w:right w:val="none" w:sz="0" w:space="0" w:color="auto"/>
          </w:divBdr>
          <w:divsChild>
            <w:div w:id="1275362319">
              <w:marLeft w:val="0"/>
              <w:marRight w:val="0"/>
              <w:marTop w:val="0"/>
              <w:marBottom w:val="0"/>
              <w:divBdr>
                <w:top w:val="none" w:sz="0" w:space="0" w:color="auto"/>
                <w:left w:val="none" w:sz="0" w:space="0" w:color="auto"/>
                <w:bottom w:val="none" w:sz="0" w:space="0" w:color="auto"/>
                <w:right w:val="none" w:sz="0" w:space="0" w:color="auto"/>
              </w:divBdr>
            </w:div>
          </w:divsChild>
        </w:div>
        <w:div w:id="2083720931">
          <w:marLeft w:val="0"/>
          <w:marRight w:val="0"/>
          <w:marTop w:val="0"/>
          <w:marBottom w:val="0"/>
          <w:divBdr>
            <w:top w:val="none" w:sz="0" w:space="0" w:color="auto"/>
            <w:left w:val="none" w:sz="0" w:space="0" w:color="auto"/>
            <w:bottom w:val="none" w:sz="0" w:space="0" w:color="auto"/>
            <w:right w:val="none" w:sz="0" w:space="0" w:color="auto"/>
          </w:divBdr>
          <w:divsChild>
            <w:div w:id="61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5913">
      <w:bodyDiv w:val="1"/>
      <w:marLeft w:val="0"/>
      <w:marRight w:val="0"/>
      <w:marTop w:val="0"/>
      <w:marBottom w:val="0"/>
      <w:divBdr>
        <w:top w:val="none" w:sz="0" w:space="0" w:color="auto"/>
        <w:left w:val="none" w:sz="0" w:space="0" w:color="auto"/>
        <w:bottom w:val="none" w:sz="0" w:space="0" w:color="auto"/>
        <w:right w:val="none" w:sz="0" w:space="0" w:color="auto"/>
      </w:divBdr>
    </w:div>
    <w:div w:id="380061306">
      <w:bodyDiv w:val="1"/>
      <w:marLeft w:val="0"/>
      <w:marRight w:val="0"/>
      <w:marTop w:val="0"/>
      <w:marBottom w:val="0"/>
      <w:divBdr>
        <w:top w:val="none" w:sz="0" w:space="0" w:color="auto"/>
        <w:left w:val="none" w:sz="0" w:space="0" w:color="auto"/>
        <w:bottom w:val="none" w:sz="0" w:space="0" w:color="auto"/>
        <w:right w:val="none" w:sz="0" w:space="0" w:color="auto"/>
      </w:divBdr>
    </w:div>
    <w:div w:id="403260925">
      <w:bodyDiv w:val="1"/>
      <w:marLeft w:val="0"/>
      <w:marRight w:val="0"/>
      <w:marTop w:val="0"/>
      <w:marBottom w:val="0"/>
      <w:divBdr>
        <w:top w:val="none" w:sz="0" w:space="0" w:color="auto"/>
        <w:left w:val="none" w:sz="0" w:space="0" w:color="auto"/>
        <w:bottom w:val="none" w:sz="0" w:space="0" w:color="auto"/>
        <w:right w:val="none" w:sz="0" w:space="0" w:color="auto"/>
      </w:divBdr>
      <w:divsChild>
        <w:div w:id="751782079">
          <w:marLeft w:val="0"/>
          <w:marRight w:val="0"/>
          <w:marTop w:val="0"/>
          <w:marBottom w:val="0"/>
          <w:divBdr>
            <w:top w:val="none" w:sz="0" w:space="0" w:color="auto"/>
            <w:left w:val="none" w:sz="0" w:space="0" w:color="auto"/>
            <w:bottom w:val="none" w:sz="0" w:space="0" w:color="auto"/>
            <w:right w:val="none" w:sz="0" w:space="0" w:color="auto"/>
          </w:divBdr>
        </w:div>
        <w:div w:id="1409352144">
          <w:marLeft w:val="0"/>
          <w:marRight w:val="0"/>
          <w:marTop w:val="0"/>
          <w:marBottom w:val="0"/>
          <w:divBdr>
            <w:top w:val="none" w:sz="0" w:space="0" w:color="auto"/>
            <w:left w:val="none" w:sz="0" w:space="0" w:color="auto"/>
            <w:bottom w:val="none" w:sz="0" w:space="0" w:color="auto"/>
            <w:right w:val="none" w:sz="0" w:space="0" w:color="auto"/>
          </w:divBdr>
        </w:div>
      </w:divsChild>
    </w:div>
    <w:div w:id="414938376">
      <w:bodyDiv w:val="1"/>
      <w:marLeft w:val="0"/>
      <w:marRight w:val="0"/>
      <w:marTop w:val="0"/>
      <w:marBottom w:val="0"/>
      <w:divBdr>
        <w:top w:val="none" w:sz="0" w:space="0" w:color="auto"/>
        <w:left w:val="none" w:sz="0" w:space="0" w:color="auto"/>
        <w:bottom w:val="none" w:sz="0" w:space="0" w:color="auto"/>
        <w:right w:val="none" w:sz="0" w:space="0" w:color="auto"/>
      </w:divBdr>
    </w:div>
    <w:div w:id="441149888">
      <w:bodyDiv w:val="1"/>
      <w:marLeft w:val="0"/>
      <w:marRight w:val="0"/>
      <w:marTop w:val="0"/>
      <w:marBottom w:val="0"/>
      <w:divBdr>
        <w:top w:val="none" w:sz="0" w:space="0" w:color="auto"/>
        <w:left w:val="none" w:sz="0" w:space="0" w:color="auto"/>
        <w:bottom w:val="none" w:sz="0" w:space="0" w:color="auto"/>
        <w:right w:val="none" w:sz="0" w:space="0" w:color="auto"/>
      </w:divBdr>
      <w:divsChild>
        <w:div w:id="416558938">
          <w:marLeft w:val="0"/>
          <w:marRight w:val="0"/>
          <w:marTop w:val="0"/>
          <w:marBottom w:val="0"/>
          <w:divBdr>
            <w:top w:val="none" w:sz="0" w:space="0" w:color="auto"/>
            <w:left w:val="none" w:sz="0" w:space="0" w:color="auto"/>
            <w:bottom w:val="none" w:sz="0" w:space="0" w:color="auto"/>
            <w:right w:val="none" w:sz="0" w:space="0" w:color="auto"/>
          </w:divBdr>
        </w:div>
        <w:div w:id="838161223">
          <w:marLeft w:val="0"/>
          <w:marRight w:val="0"/>
          <w:marTop w:val="0"/>
          <w:marBottom w:val="0"/>
          <w:divBdr>
            <w:top w:val="none" w:sz="0" w:space="0" w:color="auto"/>
            <w:left w:val="none" w:sz="0" w:space="0" w:color="auto"/>
            <w:bottom w:val="none" w:sz="0" w:space="0" w:color="auto"/>
            <w:right w:val="none" w:sz="0" w:space="0" w:color="auto"/>
          </w:divBdr>
        </w:div>
      </w:divsChild>
    </w:div>
    <w:div w:id="452789476">
      <w:bodyDiv w:val="1"/>
      <w:marLeft w:val="0"/>
      <w:marRight w:val="0"/>
      <w:marTop w:val="0"/>
      <w:marBottom w:val="0"/>
      <w:divBdr>
        <w:top w:val="none" w:sz="0" w:space="0" w:color="auto"/>
        <w:left w:val="none" w:sz="0" w:space="0" w:color="auto"/>
        <w:bottom w:val="none" w:sz="0" w:space="0" w:color="auto"/>
        <w:right w:val="none" w:sz="0" w:space="0" w:color="auto"/>
      </w:divBdr>
      <w:divsChild>
        <w:div w:id="859316593">
          <w:marLeft w:val="0"/>
          <w:marRight w:val="0"/>
          <w:marTop w:val="0"/>
          <w:marBottom w:val="0"/>
          <w:divBdr>
            <w:top w:val="none" w:sz="0" w:space="0" w:color="auto"/>
            <w:left w:val="none" w:sz="0" w:space="0" w:color="auto"/>
            <w:bottom w:val="none" w:sz="0" w:space="0" w:color="auto"/>
            <w:right w:val="none" w:sz="0" w:space="0" w:color="auto"/>
          </w:divBdr>
        </w:div>
        <w:div w:id="890923897">
          <w:marLeft w:val="0"/>
          <w:marRight w:val="0"/>
          <w:marTop w:val="0"/>
          <w:marBottom w:val="0"/>
          <w:divBdr>
            <w:top w:val="none" w:sz="0" w:space="0" w:color="auto"/>
            <w:left w:val="none" w:sz="0" w:space="0" w:color="auto"/>
            <w:bottom w:val="none" w:sz="0" w:space="0" w:color="auto"/>
            <w:right w:val="none" w:sz="0" w:space="0" w:color="auto"/>
          </w:divBdr>
        </w:div>
        <w:div w:id="1631738387">
          <w:marLeft w:val="0"/>
          <w:marRight w:val="0"/>
          <w:marTop w:val="0"/>
          <w:marBottom w:val="0"/>
          <w:divBdr>
            <w:top w:val="none" w:sz="0" w:space="0" w:color="auto"/>
            <w:left w:val="none" w:sz="0" w:space="0" w:color="auto"/>
            <w:bottom w:val="none" w:sz="0" w:space="0" w:color="auto"/>
            <w:right w:val="none" w:sz="0" w:space="0" w:color="auto"/>
          </w:divBdr>
        </w:div>
        <w:div w:id="2011059713">
          <w:marLeft w:val="0"/>
          <w:marRight w:val="0"/>
          <w:marTop w:val="0"/>
          <w:marBottom w:val="0"/>
          <w:divBdr>
            <w:top w:val="none" w:sz="0" w:space="0" w:color="auto"/>
            <w:left w:val="none" w:sz="0" w:space="0" w:color="auto"/>
            <w:bottom w:val="none" w:sz="0" w:space="0" w:color="auto"/>
            <w:right w:val="none" w:sz="0" w:space="0" w:color="auto"/>
          </w:divBdr>
        </w:div>
        <w:div w:id="2138059672">
          <w:marLeft w:val="0"/>
          <w:marRight w:val="0"/>
          <w:marTop w:val="0"/>
          <w:marBottom w:val="0"/>
          <w:divBdr>
            <w:top w:val="none" w:sz="0" w:space="0" w:color="auto"/>
            <w:left w:val="none" w:sz="0" w:space="0" w:color="auto"/>
            <w:bottom w:val="none" w:sz="0" w:space="0" w:color="auto"/>
            <w:right w:val="none" w:sz="0" w:space="0" w:color="auto"/>
          </w:divBdr>
        </w:div>
      </w:divsChild>
    </w:div>
    <w:div w:id="510216726">
      <w:bodyDiv w:val="1"/>
      <w:marLeft w:val="0"/>
      <w:marRight w:val="0"/>
      <w:marTop w:val="0"/>
      <w:marBottom w:val="0"/>
      <w:divBdr>
        <w:top w:val="none" w:sz="0" w:space="0" w:color="auto"/>
        <w:left w:val="none" w:sz="0" w:space="0" w:color="auto"/>
        <w:bottom w:val="none" w:sz="0" w:space="0" w:color="auto"/>
        <w:right w:val="none" w:sz="0" w:space="0" w:color="auto"/>
      </w:divBdr>
      <w:divsChild>
        <w:div w:id="89860908">
          <w:marLeft w:val="0"/>
          <w:marRight w:val="0"/>
          <w:marTop w:val="0"/>
          <w:marBottom w:val="0"/>
          <w:divBdr>
            <w:top w:val="none" w:sz="0" w:space="0" w:color="auto"/>
            <w:left w:val="none" w:sz="0" w:space="0" w:color="auto"/>
            <w:bottom w:val="none" w:sz="0" w:space="0" w:color="auto"/>
            <w:right w:val="none" w:sz="0" w:space="0" w:color="auto"/>
          </w:divBdr>
          <w:divsChild>
            <w:div w:id="823817438">
              <w:marLeft w:val="0"/>
              <w:marRight w:val="0"/>
              <w:marTop w:val="0"/>
              <w:marBottom w:val="0"/>
              <w:divBdr>
                <w:top w:val="none" w:sz="0" w:space="0" w:color="auto"/>
                <w:left w:val="none" w:sz="0" w:space="0" w:color="auto"/>
                <w:bottom w:val="none" w:sz="0" w:space="0" w:color="auto"/>
                <w:right w:val="none" w:sz="0" w:space="0" w:color="auto"/>
              </w:divBdr>
            </w:div>
          </w:divsChild>
        </w:div>
        <w:div w:id="149445281">
          <w:marLeft w:val="0"/>
          <w:marRight w:val="0"/>
          <w:marTop w:val="0"/>
          <w:marBottom w:val="0"/>
          <w:divBdr>
            <w:top w:val="none" w:sz="0" w:space="0" w:color="auto"/>
            <w:left w:val="none" w:sz="0" w:space="0" w:color="auto"/>
            <w:bottom w:val="none" w:sz="0" w:space="0" w:color="auto"/>
            <w:right w:val="none" w:sz="0" w:space="0" w:color="auto"/>
          </w:divBdr>
          <w:divsChild>
            <w:div w:id="598638398">
              <w:marLeft w:val="0"/>
              <w:marRight w:val="0"/>
              <w:marTop w:val="0"/>
              <w:marBottom w:val="0"/>
              <w:divBdr>
                <w:top w:val="none" w:sz="0" w:space="0" w:color="auto"/>
                <w:left w:val="none" w:sz="0" w:space="0" w:color="auto"/>
                <w:bottom w:val="none" w:sz="0" w:space="0" w:color="auto"/>
                <w:right w:val="none" w:sz="0" w:space="0" w:color="auto"/>
              </w:divBdr>
            </w:div>
          </w:divsChild>
        </w:div>
        <w:div w:id="245236783">
          <w:marLeft w:val="0"/>
          <w:marRight w:val="0"/>
          <w:marTop w:val="0"/>
          <w:marBottom w:val="0"/>
          <w:divBdr>
            <w:top w:val="none" w:sz="0" w:space="0" w:color="auto"/>
            <w:left w:val="none" w:sz="0" w:space="0" w:color="auto"/>
            <w:bottom w:val="none" w:sz="0" w:space="0" w:color="auto"/>
            <w:right w:val="none" w:sz="0" w:space="0" w:color="auto"/>
          </w:divBdr>
          <w:divsChild>
            <w:div w:id="1239049907">
              <w:marLeft w:val="0"/>
              <w:marRight w:val="0"/>
              <w:marTop w:val="0"/>
              <w:marBottom w:val="0"/>
              <w:divBdr>
                <w:top w:val="none" w:sz="0" w:space="0" w:color="auto"/>
                <w:left w:val="none" w:sz="0" w:space="0" w:color="auto"/>
                <w:bottom w:val="none" w:sz="0" w:space="0" w:color="auto"/>
                <w:right w:val="none" w:sz="0" w:space="0" w:color="auto"/>
              </w:divBdr>
            </w:div>
          </w:divsChild>
        </w:div>
        <w:div w:id="247278457">
          <w:marLeft w:val="0"/>
          <w:marRight w:val="0"/>
          <w:marTop w:val="0"/>
          <w:marBottom w:val="0"/>
          <w:divBdr>
            <w:top w:val="none" w:sz="0" w:space="0" w:color="auto"/>
            <w:left w:val="none" w:sz="0" w:space="0" w:color="auto"/>
            <w:bottom w:val="none" w:sz="0" w:space="0" w:color="auto"/>
            <w:right w:val="none" w:sz="0" w:space="0" w:color="auto"/>
          </w:divBdr>
          <w:divsChild>
            <w:div w:id="1789928831">
              <w:marLeft w:val="0"/>
              <w:marRight w:val="0"/>
              <w:marTop w:val="0"/>
              <w:marBottom w:val="0"/>
              <w:divBdr>
                <w:top w:val="none" w:sz="0" w:space="0" w:color="auto"/>
                <w:left w:val="none" w:sz="0" w:space="0" w:color="auto"/>
                <w:bottom w:val="none" w:sz="0" w:space="0" w:color="auto"/>
                <w:right w:val="none" w:sz="0" w:space="0" w:color="auto"/>
              </w:divBdr>
            </w:div>
          </w:divsChild>
        </w:div>
        <w:div w:id="271204267">
          <w:marLeft w:val="0"/>
          <w:marRight w:val="0"/>
          <w:marTop w:val="0"/>
          <w:marBottom w:val="0"/>
          <w:divBdr>
            <w:top w:val="none" w:sz="0" w:space="0" w:color="auto"/>
            <w:left w:val="none" w:sz="0" w:space="0" w:color="auto"/>
            <w:bottom w:val="none" w:sz="0" w:space="0" w:color="auto"/>
            <w:right w:val="none" w:sz="0" w:space="0" w:color="auto"/>
          </w:divBdr>
          <w:divsChild>
            <w:div w:id="1422094731">
              <w:marLeft w:val="0"/>
              <w:marRight w:val="0"/>
              <w:marTop w:val="0"/>
              <w:marBottom w:val="0"/>
              <w:divBdr>
                <w:top w:val="none" w:sz="0" w:space="0" w:color="auto"/>
                <w:left w:val="none" w:sz="0" w:space="0" w:color="auto"/>
                <w:bottom w:val="none" w:sz="0" w:space="0" w:color="auto"/>
                <w:right w:val="none" w:sz="0" w:space="0" w:color="auto"/>
              </w:divBdr>
            </w:div>
          </w:divsChild>
        </w:div>
        <w:div w:id="282545800">
          <w:marLeft w:val="0"/>
          <w:marRight w:val="0"/>
          <w:marTop w:val="0"/>
          <w:marBottom w:val="0"/>
          <w:divBdr>
            <w:top w:val="none" w:sz="0" w:space="0" w:color="auto"/>
            <w:left w:val="none" w:sz="0" w:space="0" w:color="auto"/>
            <w:bottom w:val="none" w:sz="0" w:space="0" w:color="auto"/>
            <w:right w:val="none" w:sz="0" w:space="0" w:color="auto"/>
          </w:divBdr>
          <w:divsChild>
            <w:div w:id="771097407">
              <w:marLeft w:val="0"/>
              <w:marRight w:val="0"/>
              <w:marTop w:val="0"/>
              <w:marBottom w:val="0"/>
              <w:divBdr>
                <w:top w:val="none" w:sz="0" w:space="0" w:color="auto"/>
                <w:left w:val="none" w:sz="0" w:space="0" w:color="auto"/>
                <w:bottom w:val="none" w:sz="0" w:space="0" w:color="auto"/>
                <w:right w:val="none" w:sz="0" w:space="0" w:color="auto"/>
              </w:divBdr>
            </w:div>
          </w:divsChild>
        </w:div>
        <w:div w:id="372851321">
          <w:marLeft w:val="0"/>
          <w:marRight w:val="0"/>
          <w:marTop w:val="0"/>
          <w:marBottom w:val="0"/>
          <w:divBdr>
            <w:top w:val="none" w:sz="0" w:space="0" w:color="auto"/>
            <w:left w:val="none" w:sz="0" w:space="0" w:color="auto"/>
            <w:bottom w:val="none" w:sz="0" w:space="0" w:color="auto"/>
            <w:right w:val="none" w:sz="0" w:space="0" w:color="auto"/>
          </w:divBdr>
          <w:divsChild>
            <w:div w:id="1394159737">
              <w:marLeft w:val="0"/>
              <w:marRight w:val="0"/>
              <w:marTop w:val="0"/>
              <w:marBottom w:val="0"/>
              <w:divBdr>
                <w:top w:val="none" w:sz="0" w:space="0" w:color="auto"/>
                <w:left w:val="none" w:sz="0" w:space="0" w:color="auto"/>
                <w:bottom w:val="none" w:sz="0" w:space="0" w:color="auto"/>
                <w:right w:val="none" w:sz="0" w:space="0" w:color="auto"/>
              </w:divBdr>
            </w:div>
          </w:divsChild>
        </w:div>
        <w:div w:id="467087080">
          <w:marLeft w:val="0"/>
          <w:marRight w:val="0"/>
          <w:marTop w:val="0"/>
          <w:marBottom w:val="0"/>
          <w:divBdr>
            <w:top w:val="none" w:sz="0" w:space="0" w:color="auto"/>
            <w:left w:val="none" w:sz="0" w:space="0" w:color="auto"/>
            <w:bottom w:val="none" w:sz="0" w:space="0" w:color="auto"/>
            <w:right w:val="none" w:sz="0" w:space="0" w:color="auto"/>
          </w:divBdr>
          <w:divsChild>
            <w:div w:id="1153596118">
              <w:marLeft w:val="0"/>
              <w:marRight w:val="0"/>
              <w:marTop w:val="0"/>
              <w:marBottom w:val="0"/>
              <w:divBdr>
                <w:top w:val="none" w:sz="0" w:space="0" w:color="auto"/>
                <w:left w:val="none" w:sz="0" w:space="0" w:color="auto"/>
                <w:bottom w:val="none" w:sz="0" w:space="0" w:color="auto"/>
                <w:right w:val="none" w:sz="0" w:space="0" w:color="auto"/>
              </w:divBdr>
            </w:div>
          </w:divsChild>
        </w:div>
        <w:div w:id="481894595">
          <w:marLeft w:val="0"/>
          <w:marRight w:val="0"/>
          <w:marTop w:val="0"/>
          <w:marBottom w:val="0"/>
          <w:divBdr>
            <w:top w:val="none" w:sz="0" w:space="0" w:color="auto"/>
            <w:left w:val="none" w:sz="0" w:space="0" w:color="auto"/>
            <w:bottom w:val="none" w:sz="0" w:space="0" w:color="auto"/>
            <w:right w:val="none" w:sz="0" w:space="0" w:color="auto"/>
          </w:divBdr>
          <w:divsChild>
            <w:div w:id="978612753">
              <w:marLeft w:val="0"/>
              <w:marRight w:val="0"/>
              <w:marTop w:val="0"/>
              <w:marBottom w:val="0"/>
              <w:divBdr>
                <w:top w:val="none" w:sz="0" w:space="0" w:color="auto"/>
                <w:left w:val="none" w:sz="0" w:space="0" w:color="auto"/>
                <w:bottom w:val="none" w:sz="0" w:space="0" w:color="auto"/>
                <w:right w:val="none" w:sz="0" w:space="0" w:color="auto"/>
              </w:divBdr>
            </w:div>
          </w:divsChild>
        </w:div>
        <w:div w:id="506941912">
          <w:marLeft w:val="0"/>
          <w:marRight w:val="0"/>
          <w:marTop w:val="0"/>
          <w:marBottom w:val="0"/>
          <w:divBdr>
            <w:top w:val="none" w:sz="0" w:space="0" w:color="auto"/>
            <w:left w:val="none" w:sz="0" w:space="0" w:color="auto"/>
            <w:bottom w:val="none" w:sz="0" w:space="0" w:color="auto"/>
            <w:right w:val="none" w:sz="0" w:space="0" w:color="auto"/>
          </w:divBdr>
          <w:divsChild>
            <w:div w:id="1952206564">
              <w:marLeft w:val="0"/>
              <w:marRight w:val="0"/>
              <w:marTop w:val="0"/>
              <w:marBottom w:val="0"/>
              <w:divBdr>
                <w:top w:val="none" w:sz="0" w:space="0" w:color="auto"/>
                <w:left w:val="none" w:sz="0" w:space="0" w:color="auto"/>
                <w:bottom w:val="none" w:sz="0" w:space="0" w:color="auto"/>
                <w:right w:val="none" w:sz="0" w:space="0" w:color="auto"/>
              </w:divBdr>
            </w:div>
          </w:divsChild>
        </w:div>
        <w:div w:id="602961883">
          <w:marLeft w:val="0"/>
          <w:marRight w:val="0"/>
          <w:marTop w:val="0"/>
          <w:marBottom w:val="0"/>
          <w:divBdr>
            <w:top w:val="none" w:sz="0" w:space="0" w:color="auto"/>
            <w:left w:val="none" w:sz="0" w:space="0" w:color="auto"/>
            <w:bottom w:val="none" w:sz="0" w:space="0" w:color="auto"/>
            <w:right w:val="none" w:sz="0" w:space="0" w:color="auto"/>
          </w:divBdr>
          <w:divsChild>
            <w:div w:id="301930048">
              <w:marLeft w:val="0"/>
              <w:marRight w:val="0"/>
              <w:marTop w:val="0"/>
              <w:marBottom w:val="0"/>
              <w:divBdr>
                <w:top w:val="none" w:sz="0" w:space="0" w:color="auto"/>
                <w:left w:val="none" w:sz="0" w:space="0" w:color="auto"/>
                <w:bottom w:val="none" w:sz="0" w:space="0" w:color="auto"/>
                <w:right w:val="none" w:sz="0" w:space="0" w:color="auto"/>
              </w:divBdr>
            </w:div>
          </w:divsChild>
        </w:div>
        <w:div w:id="748617916">
          <w:marLeft w:val="0"/>
          <w:marRight w:val="0"/>
          <w:marTop w:val="0"/>
          <w:marBottom w:val="0"/>
          <w:divBdr>
            <w:top w:val="none" w:sz="0" w:space="0" w:color="auto"/>
            <w:left w:val="none" w:sz="0" w:space="0" w:color="auto"/>
            <w:bottom w:val="none" w:sz="0" w:space="0" w:color="auto"/>
            <w:right w:val="none" w:sz="0" w:space="0" w:color="auto"/>
          </w:divBdr>
          <w:divsChild>
            <w:div w:id="1591038115">
              <w:marLeft w:val="0"/>
              <w:marRight w:val="0"/>
              <w:marTop w:val="0"/>
              <w:marBottom w:val="0"/>
              <w:divBdr>
                <w:top w:val="none" w:sz="0" w:space="0" w:color="auto"/>
                <w:left w:val="none" w:sz="0" w:space="0" w:color="auto"/>
                <w:bottom w:val="none" w:sz="0" w:space="0" w:color="auto"/>
                <w:right w:val="none" w:sz="0" w:space="0" w:color="auto"/>
              </w:divBdr>
            </w:div>
          </w:divsChild>
        </w:div>
        <w:div w:id="990136567">
          <w:marLeft w:val="0"/>
          <w:marRight w:val="0"/>
          <w:marTop w:val="0"/>
          <w:marBottom w:val="0"/>
          <w:divBdr>
            <w:top w:val="none" w:sz="0" w:space="0" w:color="auto"/>
            <w:left w:val="none" w:sz="0" w:space="0" w:color="auto"/>
            <w:bottom w:val="none" w:sz="0" w:space="0" w:color="auto"/>
            <w:right w:val="none" w:sz="0" w:space="0" w:color="auto"/>
          </w:divBdr>
          <w:divsChild>
            <w:div w:id="2111121766">
              <w:marLeft w:val="0"/>
              <w:marRight w:val="0"/>
              <w:marTop w:val="0"/>
              <w:marBottom w:val="0"/>
              <w:divBdr>
                <w:top w:val="none" w:sz="0" w:space="0" w:color="auto"/>
                <w:left w:val="none" w:sz="0" w:space="0" w:color="auto"/>
                <w:bottom w:val="none" w:sz="0" w:space="0" w:color="auto"/>
                <w:right w:val="none" w:sz="0" w:space="0" w:color="auto"/>
              </w:divBdr>
            </w:div>
          </w:divsChild>
        </w:div>
        <w:div w:id="1115127753">
          <w:marLeft w:val="0"/>
          <w:marRight w:val="0"/>
          <w:marTop w:val="0"/>
          <w:marBottom w:val="0"/>
          <w:divBdr>
            <w:top w:val="none" w:sz="0" w:space="0" w:color="auto"/>
            <w:left w:val="none" w:sz="0" w:space="0" w:color="auto"/>
            <w:bottom w:val="none" w:sz="0" w:space="0" w:color="auto"/>
            <w:right w:val="none" w:sz="0" w:space="0" w:color="auto"/>
          </w:divBdr>
          <w:divsChild>
            <w:div w:id="520506995">
              <w:marLeft w:val="0"/>
              <w:marRight w:val="0"/>
              <w:marTop w:val="0"/>
              <w:marBottom w:val="0"/>
              <w:divBdr>
                <w:top w:val="none" w:sz="0" w:space="0" w:color="auto"/>
                <w:left w:val="none" w:sz="0" w:space="0" w:color="auto"/>
                <w:bottom w:val="none" w:sz="0" w:space="0" w:color="auto"/>
                <w:right w:val="none" w:sz="0" w:space="0" w:color="auto"/>
              </w:divBdr>
            </w:div>
          </w:divsChild>
        </w:div>
        <w:div w:id="1303148802">
          <w:marLeft w:val="0"/>
          <w:marRight w:val="0"/>
          <w:marTop w:val="0"/>
          <w:marBottom w:val="0"/>
          <w:divBdr>
            <w:top w:val="none" w:sz="0" w:space="0" w:color="auto"/>
            <w:left w:val="none" w:sz="0" w:space="0" w:color="auto"/>
            <w:bottom w:val="none" w:sz="0" w:space="0" w:color="auto"/>
            <w:right w:val="none" w:sz="0" w:space="0" w:color="auto"/>
          </w:divBdr>
          <w:divsChild>
            <w:div w:id="313995997">
              <w:marLeft w:val="0"/>
              <w:marRight w:val="0"/>
              <w:marTop w:val="0"/>
              <w:marBottom w:val="0"/>
              <w:divBdr>
                <w:top w:val="none" w:sz="0" w:space="0" w:color="auto"/>
                <w:left w:val="none" w:sz="0" w:space="0" w:color="auto"/>
                <w:bottom w:val="none" w:sz="0" w:space="0" w:color="auto"/>
                <w:right w:val="none" w:sz="0" w:space="0" w:color="auto"/>
              </w:divBdr>
            </w:div>
          </w:divsChild>
        </w:div>
        <w:div w:id="1394549962">
          <w:marLeft w:val="0"/>
          <w:marRight w:val="0"/>
          <w:marTop w:val="0"/>
          <w:marBottom w:val="0"/>
          <w:divBdr>
            <w:top w:val="none" w:sz="0" w:space="0" w:color="auto"/>
            <w:left w:val="none" w:sz="0" w:space="0" w:color="auto"/>
            <w:bottom w:val="none" w:sz="0" w:space="0" w:color="auto"/>
            <w:right w:val="none" w:sz="0" w:space="0" w:color="auto"/>
          </w:divBdr>
          <w:divsChild>
            <w:div w:id="94909119">
              <w:marLeft w:val="0"/>
              <w:marRight w:val="0"/>
              <w:marTop w:val="0"/>
              <w:marBottom w:val="0"/>
              <w:divBdr>
                <w:top w:val="none" w:sz="0" w:space="0" w:color="auto"/>
                <w:left w:val="none" w:sz="0" w:space="0" w:color="auto"/>
                <w:bottom w:val="none" w:sz="0" w:space="0" w:color="auto"/>
                <w:right w:val="none" w:sz="0" w:space="0" w:color="auto"/>
              </w:divBdr>
            </w:div>
          </w:divsChild>
        </w:div>
        <w:div w:id="1425300056">
          <w:marLeft w:val="0"/>
          <w:marRight w:val="0"/>
          <w:marTop w:val="0"/>
          <w:marBottom w:val="0"/>
          <w:divBdr>
            <w:top w:val="none" w:sz="0" w:space="0" w:color="auto"/>
            <w:left w:val="none" w:sz="0" w:space="0" w:color="auto"/>
            <w:bottom w:val="none" w:sz="0" w:space="0" w:color="auto"/>
            <w:right w:val="none" w:sz="0" w:space="0" w:color="auto"/>
          </w:divBdr>
          <w:divsChild>
            <w:div w:id="1616987940">
              <w:marLeft w:val="0"/>
              <w:marRight w:val="0"/>
              <w:marTop w:val="0"/>
              <w:marBottom w:val="0"/>
              <w:divBdr>
                <w:top w:val="none" w:sz="0" w:space="0" w:color="auto"/>
                <w:left w:val="none" w:sz="0" w:space="0" w:color="auto"/>
                <w:bottom w:val="none" w:sz="0" w:space="0" w:color="auto"/>
                <w:right w:val="none" w:sz="0" w:space="0" w:color="auto"/>
              </w:divBdr>
            </w:div>
          </w:divsChild>
        </w:div>
        <w:div w:id="1440491609">
          <w:marLeft w:val="0"/>
          <w:marRight w:val="0"/>
          <w:marTop w:val="0"/>
          <w:marBottom w:val="0"/>
          <w:divBdr>
            <w:top w:val="none" w:sz="0" w:space="0" w:color="auto"/>
            <w:left w:val="none" w:sz="0" w:space="0" w:color="auto"/>
            <w:bottom w:val="none" w:sz="0" w:space="0" w:color="auto"/>
            <w:right w:val="none" w:sz="0" w:space="0" w:color="auto"/>
          </w:divBdr>
          <w:divsChild>
            <w:div w:id="2054847175">
              <w:marLeft w:val="0"/>
              <w:marRight w:val="0"/>
              <w:marTop w:val="0"/>
              <w:marBottom w:val="0"/>
              <w:divBdr>
                <w:top w:val="none" w:sz="0" w:space="0" w:color="auto"/>
                <w:left w:val="none" w:sz="0" w:space="0" w:color="auto"/>
                <w:bottom w:val="none" w:sz="0" w:space="0" w:color="auto"/>
                <w:right w:val="none" w:sz="0" w:space="0" w:color="auto"/>
              </w:divBdr>
            </w:div>
          </w:divsChild>
        </w:div>
        <w:div w:id="1516072118">
          <w:marLeft w:val="0"/>
          <w:marRight w:val="0"/>
          <w:marTop w:val="0"/>
          <w:marBottom w:val="0"/>
          <w:divBdr>
            <w:top w:val="none" w:sz="0" w:space="0" w:color="auto"/>
            <w:left w:val="none" w:sz="0" w:space="0" w:color="auto"/>
            <w:bottom w:val="none" w:sz="0" w:space="0" w:color="auto"/>
            <w:right w:val="none" w:sz="0" w:space="0" w:color="auto"/>
          </w:divBdr>
          <w:divsChild>
            <w:div w:id="2119718146">
              <w:marLeft w:val="0"/>
              <w:marRight w:val="0"/>
              <w:marTop w:val="0"/>
              <w:marBottom w:val="0"/>
              <w:divBdr>
                <w:top w:val="none" w:sz="0" w:space="0" w:color="auto"/>
                <w:left w:val="none" w:sz="0" w:space="0" w:color="auto"/>
                <w:bottom w:val="none" w:sz="0" w:space="0" w:color="auto"/>
                <w:right w:val="none" w:sz="0" w:space="0" w:color="auto"/>
              </w:divBdr>
            </w:div>
          </w:divsChild>
        </w:div>
        <w:div w:id="1524171061">
          <w:marLeft w:val="0"/>
          <w:marRight w:val="0"/>
          <w:marTop w:val="0"/>
          <w:marBottom w:val="0"/>
          <w:divBdr>
            <w:top w:val="none" w:sz="0" w:space="0" w:color="auto"/>
            <w:left w:val="none" w:sz="0" w:space="0" w:color="auto"/>
            <w:bottom w:val="none" w:sz="0" w:space="0" w:color="auto"/>
            <w:right w:val="none" w:sz="0" w:space="0" w:color="auto"/>
          </w:divBdr>
          <w:divsChild>
            <w:div w:id="992373359">
              <w:marLeft w:val="0"/>
              <w:marRight w:val="0"/>
              <w:marTop w:val="0"/>
              <w:marBottom w:val="0"/>
              <w:divBdr>
                <w:top w:val="none" w:sz="0" w:space="0" w:color="auto"/>
                <w:left w:val="none" w:sz="0" w:space="0" w:color="auto"/>
                <w:bottom w:val="none" w:sz="0" w:space="0" w:color="auto"/>
                <w:right w:val="none" w:sz="0" w:space="0" w:color="auto"/>
              </w:divBdr>
            </w:div>
          </w:divsChild>
        </w:div>
        <w:div w:id="1615290086">
          <w:marLeft w:val="0"/>
          <w:marRight w:val="0"/>
          <w:marTop w:val="0"/>
          <w:marBottom w:val="0"/>
          <w:divBdr>
            <w:top w:val="none" w:sz="0" w:space="0" w:color="auto"/>
            <w:left w:val="none" w:sz="0" w:space="0" w:color="auto"/>
            <w:bottom w:val="none" w:sz="0" w:space="0" w:color="auto"/>
            <w:right w:val="none" w:sz="0" w:space="0" w:color="auto"/>
          </w:divBdr>
          <w:divsChild>
            <w:div w:id="362363854">
              <w:marLeft w:val="0"/>
              <w:marRight w:val="0"/>
              <w:marTop w:val="0"/>
              <w:marBottom w:val="0"/>
              <w:divBdr>
                <w:top w:val="none" w:sz="0" w:space="0" w:color="auto"/>
                <w:left w:val="none" w:sz="0" w:space="0" w:color="auto"/>
                <w:bottom w:val="none" w:sz="0" w:space="0" w:color="auto"/>
                <w:right w:val="none" w:sz="0" w:space="0" w:color="auto"/>
              </w:divBdr>
            </w:div>
          </w:divsChild>
        </w:div>
        <w:div w:id="1711605677">
          <w:marLeft w:val="0"/>
          <w:marRight w:val="0"/>
          <w:marTop w:val="0"/>
          <w:marBottom w:val="0"/>
          <w:divBdr>
            <w:top w:val="none" w:sz="0" w:space="0" w:color="auto"/>
            <w:left w:val="none" w:sz="0" w:space="0" w:color="auto"/>
            <w:bottom w:val="none" w:sz="0" w:space="0" w:color="auto"/>
            <w:right w:val="none" w:sz="0" w:space="0" w:color="auto"/>
          </w:divBdr>
          <w:divsChild>
            <w:div w:id="1013605422">
              <w:marLeft w:val="0"/>
              <w:marRight w:val="0"/>
              <w:marTop w:val="0"/>
              <w:marBottom w:val="0"/>
              <w:divBdr>
                <w:top w:val="none" w:sz="0" w:space="0" w:color="auto"/>
                <w:left w:val="none" w:sz="0" w:space="0" w:color="auto"/>
                <w:bottom w:val="none" w:sz="0" w:space="0" w:color="auto"/>
                <w:right w:val="none" w:sz="0" w:space="0" w:color="auto"/>
              </w:divBdr>
            </w:div>
          </w:divsChild>
        </w:div>
        <w:div w:id="1777797395">
          <w:marLeft w:val="0"/>
          <w:marRight w:val="0"/>
          <w:marTop w:val="0"/>
          <w:marBottom w:val="0"/>
          <w:divBdr>
            <w:top w:val="none" w:sz="0" w:space="0" w:color="auto"/>
            <w:left w:val="none" w:sz="0" w:space="0" w:color="auto"/>
            <w:bottom w:val="none" w:sz="0" w:space="0" w:color="auto"/>
            <w:right w:val="none" w:sz="0" w:space="0" w:color="auto"/>
          </w:divBdr>
          <w:divsChild>
            <w:div w:id="1519391268">
              <w:marLeft w:val="0"/>
              <w:marRight w:val="0"/>
              <w:marTop w:val="0"/>
              <w:marBottom w:val="0"/>
              <w:divBdr>
                <w:top w:val="none" w:sz="0" w:space="0" w:color="auto"/>
                <w:left w:val="none" w:sz="0" w:space="0" w:color="auto"/>
                <w:bottom w:val="none" w:sz="0" w:space="0" w:color="auto"/>
                <w:right w:val="none" w:sz="0" w:space="0" w:color="auto"/>
              </w:divBdr>
            </w:div>
          </w:divsChild>
        </w:div>
        <w:div w:id="1813130794">
          <w:marLeft w:val="0"/>
          <w:marRight w:val="0"/>
          <w:marTop w:val="0"/>
          <w:marBottom w:val="0"/>
          <w:divBdr>
            <w:top w:val="none" w:sz="0" w:space="0" w:color="auto"/>
            <w:left w:val="none" w:sz="0" w:space="0" w:color="auto"/>
            <w:bottom w:val="none" w:sz="0" w:space="0" w:color="auto"/>
            <w:right w:val="none" w:sz="0" w:space="0" w:color="auto"/>
          </w:divBdr>
          <w:divsChild>
            <w:div w:id="1630890034">
              <w:marLeft w:val="0"/>
              <w:marRight w:val="0"/>
              <w:marTop w:val="0"/>
              <w:marBottom w:val="0"/>
              <w:divBdr>
                <w:top w:val="none" w:sz="0" w:space="0" w:color="auto"/>
                <w:left w:val="none" w:sz="0" w:space="0" w:color="auto"/>
                <w:bottom w:val="none" w:sz="0" w:space="0" w:color="auto"/>
                <w:right w:val="none" w:sz="0" w:space="0" w:color="auto"/>
              </w:divBdr>
            </w:div>
          </w:divsChild>
        </w:div>
        <w:div w:id="1819495064">
          <w:marLeft w:val="0"/>
          <w:marRight w:val="0"/>
          <w:marTop w:val="0"/>
          <w:marBottom w:val="0"/>
          <w:divBdr>
            <w:top w:val="none" w:sz="0" w:space="0" w:color="auto"/>
            <w:left w:val="none" w:sz="0" w:space="0" w:color="auto"/>
            <w:bottom w:val="none" w:sz="0" w:space="0" w:color="auto"/>
            <w:right w:val="none" w:sz="0" w:space="0" w:color="auto"/>
          </w:divBdr>
          <w:divsChild>
            <w:div w:id="450825370">
              <w:marLeft w:val="0"/>
              <w:marRight w:val="0"/>
              <w:marTop w:val="0"/>
              <w:marBottom w:val="0"/>
              <w:divBdr>
                <w:top w:val="none" w:sz="0" w:space="0" w:color="auto"/>
                <w:left w:val="none" w:sz="0" w:space="0" w:color="auto"/>
                <w:bottom w:val="none" w:sz="0" w:space="0" w:color="auto"/>
                <w:right w:val="none" w:sz="0" w:space="0" w:color="auto"/>
              </w:divBdr>
            </w:div>
          </w:divsChild>
        </w:div>
        <w:div w:id="1946037032">
          <w:marLeft w:val="0"/>
          <w:marRight w:val="0"/>
          <w:marTop w:val="0"/>
          <w:marBottom w:val="0"/>
          <w:divBdr>
            <w:top w:val="none" w:sz="0" w:space="0" w:color="auto"/>
            <w:left w:val="none" w:sz="0" w:space="0" w:color="auto"/>
            <w:bottom w:val="none" w:sz="0" w:space="0" w:color="auto"/>
            <w:right w:val="none" w:sz="0" w:space="0" w:color="auto"/>
          </w:divBdr>
          <w:divsChild>
            <w:div w:id="1321807041">
              <w:marLeft w:val="0"/>
              <w:marRight w:val="0"/>
              <w:marTop w:val="0"/>
              <w:marBottom w:val="0"/>
              <w:divBdr>
                <w:top w:val="none" w:sz="0" w:space="0" w:color="auto"/>
                <w:left w:val="none" w:sz="0" w:space="0" w:color="auto"/>
                <w:bottom w:val="none" w:sz="0" w:space="0" w:color="auto"/>
                <w:right w:val="none" w:sz="0" w:space="0" w:color="auto"/>
              </w:divBdr>
            </w:div>
          </w:divsChild>
        </w:div>
        <w:div w:id="2045129420">
          <w:marLeft w:val="0"/>
          <w:marRight w:val="0"/>
          <w:marTop w:val="0"/>
          <w:marBottom w:val="0"/>
          <w:divBdr>
            <w:top w:val="none" w:sz="0" w:space="0" w:color="auto"/>
            <w:left w:val="none" w:sz="0" w:space="0" w:color="auto"/>
            <w:bottom w:val="none" w:sz="0" w:space="0" w:color="auto"/>
            <w:right w:val="none" w:sz="0" w:space="0" w:color="auto"/>
          </w:divBdr>
          <w:divsChild>
            <w:div w:id="1941133395">
              <w:marLeft w:val="0"/>
              <w:marRight w:val="0"/>
              <w:marTop w:val="0"/>
              <w:marBottom w:val="0"/>
              <w:divBdr>
                <w:top w:val="none" w:sz="0" w:space="0" w:color="auto"/>
                <w:left w:val="none" w:sz="0" w:space="0" w:color="auto"/>
                <w:bottom w:val="none" w:sz="0" w:space="0" w:color="auto"/>
                <w:right w:val="none" w:sz="0" w:space="0" w:color="auto"/>
              </w:divBdr>
            </w:div>
          </w:divsChild>
        </w:div>
        <w:div w:id="2113502670">
          <w:marLeft w:val="0"/>
          <w:marRight w:val="0"/>
          <w:marTop w:val="0"/>
          <w:marBottom w:val="0"/>
          <w:divBdr>
            <w:top w:val="none" w:sz="0" w:space="0" w:color="auto"/>
            <w:left w:val="none" w:sz="0" w:space="0" w:color="auto"/>
            <w:bottom w:val="none" w:sz="0" w:space="0" w:color="auto"/>
            <w:right w:val="none" w:sz="0" w:space="0" w:color="auto"/>
          </w:divBdr>
          <w:divsChild>
            <w:div w:id="9253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20541">
      <w:bodyDiv w:val="1"/>
      <w:marLeft w:val="0"/>
      <w:marRight w:val="0"/>
      <w:marTop w:val="0"/>
      <w:marBottom w:val="0"/>
      <w:divBdr>
        <w:top w:val="none" w:sz="0" w:space="0" w:color="auto"/>
        <w:left w:val="none" w:sz="0" w:space="0" w:color="auto"/>
        <w:bottom w:val="none" w:sz="0" w:space="0" w:color="auto"/>
        <w:right w:val="none" w:sz="0" w:space="0" w:color="auto"/>
      </w:divBdr>
      <w:divsChild>
        <w:div w:id="142892433">
          <w:marLeft w:val="0"/>
          <w:marRight w:val="0"/>
          <w:marTop w:val="0"/>
          <w:marBottom w:val="0"/>
          <w:divBdr>
            <w:top w:val="none" w:sz="0" w:space="0" w:color="auto"/>
            <w:left w:val="none" w:sz="0" w:space="0" w:color="auto"/>
            <w:bottom w:val="none" w:sz="0" w:space="0" w:color="auto"/>
            <w:right w:val="none" w:sz="0" w:space="0" w:color="auto"/>
          </w:divBdr>
        </w:div>
        <w:div w:id="357241569">
          <w:marLeft w:val="0"/>
          <w:marRight w:val="0"/>
          <w:marTop w:val="0"/>
          <w:marBottom w:val="0"/>
          <w:divBdr>
            <w:top w:val="none" w:sz="0" w:space="0" w:color="auto"/>
            <w:left w:val="none" w:sz="0" w:space="0" w:color="auto"/>
            <w:bottom w:val="none" w:sz="0" w:space="0" w:color="auto"/>
            <w:right w:val="none" w:sz="0" w:space="0" w:color="auto"/>
          </w:divBdr>
        </w:div>
        <w:div w:id="408311675">
          <w:marLeft w:val="0"/>
          <w:marRight w:val="0"/>
          <w:marTop w:val="0"/>
          <w:marBottom w:val="0"/>
          <w:divBdr>
            <w:top w:val="none" w:sz="0" w:space="0" w:color="auto"/>
            <w:left w:val="none" w:sz="0" w:space="0" w:color="auto"/>
            <w:bottom w:val="none" w:sz="0" w:space="0" w:color="auto"/>
            <w:right w:val="none" w:sz="0" w:space="0" w:color="auto"/>
          </w:divBdr>
        </w:div>
        <w:div w:id="1555505229">
          <w:marLeft w:val="0"/>
          <w:marRight w:val="0"/>
          <w:marTop w:val="0"/>
          <w:marBottom w:val="0"/>
          <w:divBdr>
            <w:top w:val="none" w:sz="0" w:space="0" w:color="auto"/>
            <w:left w:val="none" w:sz="0" w:space="0" w:color="auto"/>
            <w:bottom w:val="none" w:sz="0" w:space="0" w:color="auto"/>
            <w:right w:val="none" w:sz="0" w:space="0" w:color="auto"/>
          </w:divBdr>
        </w:div>
        <w:div w:id="1780953410">
          <w:marLeft w:val="0"/>
          <w:marRight w:val="0"/>
          <w:marTop w:val="0"/>
          <w:marBottom w:val="0"/>
          <w:divBdr>
            <w:top w:val="none" w:sz="0" w:space="0" w:color="auto"/>
            <w:left w:val="none" w:sz="0" w:space="0" w:color="auto"/>
            <w:bottom w:val="none" w:sz="0" w:space="0" w:color="auto"/>
            <w:right w:val="none" w:sz="0" w:space="0" w:color="auto"/>
          </w:divBdr>
        </w:div>
        <w:div w:id="1924141482">
          <w:marLeft w:val="0"/>
          <w:marRight w:val="0"/>
          <w:marTop w:val="0"/>
          <w:marBottom w:val="0"/>
          <w:divBdr>
            <w:top w:val="none" w:sz="0" w:space="0" w:color="auto"/>
            <w:left w:val="none" w:sz="0" w:space="0" w:color="auto"/>
            <w:bottom w:val="none" w:sz="0" w:space="0" w:color="auto"/>
            <w:right w:val="none" w:sz="0" w:space="0" w:color="auto"/>
          </w:divBdr>
        </w:div>
      </w:divsChild>
    </w:div>
    <w:div w:id="539048668">
      <w:bodyDiv w:val="1"/>
      <w:marLeft w:val="0"/>
      <w:marRight w:val="0"/>
      <w:marTop w:val="0"/>
      <w:marBottom w:val="0"/>
      <w:divBdr>
        <w:top w:val="none" w:sz="0" w:space="0" w:color="auto"/>
        <w:left w:val="none" w:sz="0" w:space="0" w:color="auto"/>
        <w:bottom w:val="none" w:sz="0" w:space="0" w:color="auto"/>
        <w:right w:val="none" w:sz="0" w:space="0" w:color="auto"/>
      </w:divBdr>
    </w:div>
    <w:div w:id="628437085">
      <w:bodyDiv w:val="1"/>
      <w:marLeft w:val="0"/>
      <w:marRight w:val="0"/>
      <w:marTop w:val="0"/>
      <w:marBottom w:val="0"/>
      <w:divBdr>
        <w:top w:val="none" w:sz="0" w:space="0" w:color="auto"/>
        <w:left w:val="none" w:sz="0" w:space="0" w:color="auto"/>
        <w:bottom w:val="none" w:sz="0" w:space="0" w:color="auto"/>
        <w:right w:val="none" w:sz="0" w:space="0" w:color="auto"/>
      </w:divBdr>
    </w:div>
    <w:div w:id="646125401">
      <w:bodyDiv w:val="1"/>
      <w:marLeft w:val="0"/>
      <w:marRight w:val="0"/>
      <w:marTop w:val="0"/>
      <w:marBottom w:val="0"/>
      <w:divBdr>
        <w:top w:val="none" w:sz="0" w:space="0" w:color="auto"/>
        <w:left w:val="none" w:sz="0" w:space="0" w:color="auto"/>
        <w:bottom w:val="none" w:sz="0" w:space="0" w:color="auto"/>
        <w:right w:val="none" w:sz="0" w:space="0" w:color="auto"/>
      </w:divBdr>
    </w:div>
    <w:div w:id="703675414">
      <w:bodyDiv w:val="1"/>
      <w:marLeft w:val="0"/>
      <w:marRight w:val="0"/>
      <w:marTop w:val="0"/>
      <w:marBottom w:val="0"/>
      <w:divBdr>
        <w:top w:val="none" w:sz="0" w:space="0" w:color="auto"/>
        <w:left w:val="none" w:sz="0" w:space="0" w:color="auto"/>
        <w:bottom w:val="none" w:sz="0" w:space="0" w:color="auto"/>
        <w:right w:val="none" w:sz="0" w:space="0" w:color="auto"/>
      </w:divBdr>
      <w:divsChild>
        <w:div w:id="18169120">
          <w:marLeft w:val="0"/>
          <w:marRight w:val="0"/>
          <w:marTop w:val="0"/>
          <w:marBottom w:val="0"/>
          <w:divBdr>
            <w:top w:val="none" w:sz="0" w:space="0" w:color="auto"/>
            <w:left w:val="none" w:sz="0" w:space="0" w:color="auto"/>
            <w:bottom w:val="none" w:sz="0" w:space="0" w:color="auto"/>
            <w:right w:val="none" w:sz="0" w:space="0" w:color="auto"/>
          </w:divBdr>
          <w:divsChild>
            <w:div w:id="487405652">
              <w:marLeft w:val="0"/>
              <w:marRight w:val="0"/>
              <w:marTop w:val="0"/>
              <w:marBottom w:val="0"/>
              <w:divBdr>
                <w:top w:val="none" w:sz="0" w:space="0" w:color="auto"/>
                <w:left w:val="none" w:sz="0" w:space="0" w:color="auto"/>
                <w:bottom w:val="none" w:sz="0" w:space="0" w:color="auto"/>
                <w:right w:val="none" w:sz="0" w:space="0" w:color="auto"/>
              </w:divBdr>
            </w:div>
          </w:divsChild>
        </w:div>
        <w:div w:id="26180687">
          <w:marLeft w:val="0"/>
          <w:marRight w:val="0"/>
          <w:marTop w:val="0"/>
          <w:marBottom w:val="0"/>
          <w:divBdr>
            <w:top w:val="none" w:sz="0" w:space="0" w:color="auto"/>
            <w:left w:val="none" w:sz="0" w:space="0" w:color="auto"/>
            <w:bottom w:val="none" w:sz="0" w:space="0" w:color="auto"/>
            <w:right w:val="none" w:sz="0" w:space="0" w:color="auto"/>
          </w:divBdr>
          <w:divsChild>
            <w:div w:id="336932253">
              <w:marLeft w:val="0"/>
              <w:marRight w:val="0"/>
              <w:marTop w:val="0"/>
              <w:marBottom w:val="0"/>
              <w:divBdr>
                <w:top w:val="none" w:sz="0" w:space="0" w:color="auto"/>
                <w:left w:val="none" w:sz="0" w:space="0" w:color="auto"/>
                <w:bottom w:val="none" w:sz="0" w:space="0" w:color="auto"/>
                <w:right w:val="none" w:sz="0" w:space="0" w:color="auto"/>
              </w:divBdr>
            </w:div>
          </w:divsChild>
        </w:div>
        <w:div w:id="82649075">
          <w:marLeft w:val="0"/>
          <w:marRight w:val="0"/>
          <w:marTop w:val="0"/>
          <w:marBottom w:val="0"/>
          <w:divBdr>
            <w:top w:val="none" w:sz="0" w:space="0" w:color="auto"/>
            <w:left w:val="none" w:sz="0" w:space="0" w:color="auto"/>
            <w:bottom w:val="none" w:sz="0" w:space="0" w:color="auto"/>
            <w:right w:val="none" w:sz="0" w:space="0" w:color="auto"/>
          </w:divBdr>
          <w:divsChild>
            <w:div w:id="1323237609">
              <w:marLeft w:val="0"/>
              <w:marRight w:val="0"/>
              <w:marTop w:val="0"/>
              <w:marBottom w:val="0"/>
              <w:divBdr>
                <w:top w:val="none" w:sz="0" w:space="0" w:color="auto"/>
                <w:left w:val="none" w:sz="0" w:space="0" w:color="auto"/>
                <w:bottom w:val="none" w:sz="0" w:space="0" w:color="auto"/>
                <w:right w:val="none" w:sz="0" w:space="0" w:color="auto"/>
              </w:divBdr>
            </w:div>
          </w:divsChild>
        </w:div>
        <w:div w:id="107552119">
          <w:marLeft w:val="0"/>
          <w:marRight w:val="0"/>
          <w:marTop w:val="0"/>
          <w:marBottom w:val="0"/>
          <w:divBdr>
            <w:top w:val="none" w:sz="0" w:space="0" w:color="auto"/>
            <w:left w:val="none" w:sz="0" w:space="0" w:color="auto"/>
            <w:bottom w:val="none" w:sz="0" w:space="0" w:color="auto"/>
            <w:right w:val="none" w:sz="0" w:space="0" w:color="auto"/>
          </w:divBdr>
          <w:divsChild>
            <w:div w:id="606698955">
              <w:marLeft w:val="0"/>
              <w:marRight w:val="0"/>
              <w:marTop w:val="0"/>
              <w:marBottom w:val="0"/>
              <w:divBdr>
                <w:top w:val="none" w:sz="0" w:space="0" w:color="auto"/>
                <w:left w:val="none" w:sz="0" w:space="0" w:color="auto"/>
                <w:bottom w:val="none" w:sz="0" w:space="0" w:color="auto"/>
                <w:right w:val="none" w:sz="0" w:space="0" w:color="auto"/>
              </w:divBdr>
            </w:div>
          </w:divsChild>
        </w:div>
        <w:div w:id="135731765">
          <w:marLeft w:val="0"/>
          <w:marRight w:val="0"/>
          <w:marTop w:val="0"/>
          <w:marBottom w:val="0"/>
          <w:divBdr>
            <w:top w:val="none" w:sz="0" w:space="0" w:color="auto"/>
            <w:left w:val="none" w:sz="0" w:space="0" w:color="auto"/>
            <w:bottom w:val="none" w:sz="0" w:space="0" w:color="auto"/>
            <w:right w:val="none" w:sz="0" w:space="0" w:color="auto"/>
          </w:divBdr>
          <w:divsChild>
            <w:div w:id="447744301">
              <w:marLeft w:val="0"/>
              <w:marRight w:val="0"/>
              <w:marTop w:val="0"/>
              <w:marBottom w:val="0"/>
              <w:divBdr>
                <w:top w:val="none" w:sz="0" w:space="0" w:color="auto"/>
                <w:left w:val="none" w:sz="0" w:space="0" w:color="auto"/>
                <w:bottom w:val="none" w:sz="0" w:space="0" w:color="auto"/>
                <w:right w:val="none" w:sz="0" w:space="0" w:color="auto"/>
              </w:divBdr>
            </w:div>
          </w:divsChild>
        </w:div>
        <w:div w:id="213546325">
          <w:marLeft w:val="0"/>
          <w:marRight w:val="0"/>
          <w:marTop w:val="0"/>
          <w:marBottom w:val="0"/>
          <w:divBdr>
            <w:top w:val="none" w:sz="0" w:space="0" w:color="auto"/>
            <w:left w:val="none" w:sz="0" w:space="0" w:color="auto"/>
            <w:bottom w:val="none" w:sz="0" w:space="0" w:color="auto"/>
            <w:right w:val="none" w:sz="0" w:space="0" w:color="auto"/>
          </w:divBdr>
          <w:divsChild>
            <w:div w:id="9913402">
              <w:marLeft w:val="0"/>
              <w:marRight w:val="0"/>
              <w:marTop w:val="0"/>
              <w:marBottom w:val="0"/>
              <w:divBdr>
                <w:top w:val="none" w:sz="0" w:space="0" w:color="auto"/>
                <w:left w:val="none" w:sz="0" w:space="0" w:color="auto"/>
                <w:bottom w:val="none" w:sz="0" w:space="0" w:color="auto"/>
                <w:right w:val="none" w:sz="0" w:space="0" w:color="auto"/>
              </w:divBdr>
            </w:div>
          </w:divsChild>
        </w:div>
        <w:div w:id="233007090">
          <w:marLeft w:val="0"/>
          <w:marRight w:val="0"/>
          <w:marTop w:val="0"/>
          <w:marBottom w:val="0"/>
          <w:divBdr>
            <w:top w:val="none" w:sz="0" w:space="0" w:color="auto"/>
            <w:left w:val="none" w:sz="0" w:space="0" w:color="auto"/>
            <w:bottom w:val="none" w:sz="0" w:space="0" w:color="auto"/>
            <w:right w:val="none" w:sz="0" w:space="0" w:color="auto"/>
          </w:divBdr>
          <w:divsChild>
            <w:div w:id="533268344">
              <w:marLeft w:val="0"/>
              <w:marRight w:val="0"/>
              <w:marTop w:val="0"/>
              <w:marBottom w:val="0"/>
              <w:divBdr>
                <w:top w:val="none" w:sz="0" w:space="0" w:color="auto"/>
                <w:left w:val="none" w:sz="0" w:space="0" w:color="auto"/>
                <w:bottom w:val="none" w:sz="0" w:space="0" w:color="auto"/>
                <w:right w:val="none" w:sz="0" w:space="0" w:color="auto"/>
              </w:divBdr>
            </w:div>
          </w:divsChild>
        </w:div>
        <w:div w:id="260719250">
          <w:marLeft w:val="0"/>
          <w:marRight w:val="0"/>
          <w:marTop w:val="0"/>
          <w:marBottom w:val="0"/>
          <w:divBdr>
            <w:top w:val="none" w:sz="0" w:space="0" w:color="auto"/>
            <w:left w:val="none" w:sz="0" w:space="0" w:color="auto"/>
            <w:bottom w:val="none" w:sz="0" w:space="0" w:color="auto"/>
            <w:right w:val="none" w:sz="0" w:space="0" w:color="auto"/>
          </w:divBdr>
          <w:divsChild>
            <w:div w:id="1507593544">
              <w:marLeft w:val="0"/>
              <w:marRight w:val="0"/>
              <w:marTop w:val="0"/>
              <w:marBottom w:val="0"/>
              <w:divBdr>
                <w:top w:val="none" w:sz="0" w:space="0" w:color="auto"/>
                <w:left w:val="none" w:sz="0" w:space="0" w:color="auto"/>
                <w:bottom w:val="none" w:sz="0" w:space="0" w:color="auto"/>
                <w:right w:val="none" w:sz="0" w:space="0" w:color="auto"/>
              </w:divBdr>
            </w:div>
          </w:divsChild>
        </w:div>
        <w:div w:id="275141312">
          <w:marLeft w:val="0"/>
          <w:marRight w:val="0"/>
          <w:marTop w:val="0"/>
          <w:marBottom w:val="0"/>
          <w:divBdr>
            <w:top w:val="none" w:sz="0" w:space="0" w:color="auto"/>
            <w:left w:val="none" w:sz="0" w:space="0" w:color="auto"/>
            <w:bottom w:val="none" w:sz="0" w:space="0" w:color="auto"/>
            <w:right w:val="none" w:sz="0" w:space="0" w:color="auto"/>
          </w:divBdr>
          <w:divsChild>
            <w:div w:id="983894320">
              <w:marLeft w:val="0"/>
              <w:marRight w:val="0"/>
              <w:marTop w:val="0"/>
              <w:marBottom w:val="0"/>
              <w:divBdr>
                <w:top w:val="none" w:sz="0" w:space="0" w:color="auto"/>
                <w:left w:val="none" w:sz="0" w:space="0" w:color="auto"/>
                <w:bottom w:val="none" w:sz="0" w:space="0" w:color="auto"/>
                <w:right w:val="none" w:sz="0" w:space="0" w:color="auto"/>
              </w:divBdr>
            </w:div>
          </w:divsChild>
        </w:div>
        <w:div w:id="331377314">
          <w:marLeft w:val="0"/>
          <w:marRight w:val="0"/>
          <w:marTop w:val="0"/>
          <w:marBottom w:val="0"/>
          <w:divBdr>
            <w:top w:val="none" w:sz="0" w:space="0" w:color="auto"/>
            <w:left w:val="none" w:sz="0" w:space="0" w:color="auto"/>
            <w:bottom w:val="none" w:sz="0" w:space="0" w:color="auto"/>
            <w:right w:val="none" w:sz="0" w:space="0" w:color="auto"/>
          </w:divBdr>
          <w:divsChild>
            <w:div w:id="1876234088">
              <w:marLeft w:val="0"/>
              <w:marRight w:val="0"/>
              <w:marTop w:val="0"/>
              <w:marBottom w:val="0"/>
              <w:divBdr>
                <w:top w:val="none" w:sz="0" w:space="0" w:color="auto"/>
                <w:left w:val="none" w:sz="0" w:space="0" w:color="auto"/>
                <w:bottom w:val="none" w:sz="0" w:space="0" w:color="auto"/>
                <w:right w:val="none" w:sz="0" w:space="0" w:color="auto"/>
              </w:divBdr>
            </w:div>
          </w:divsChild>
        </w:div>
        <w:div w:id="501049142">
          <w:marLeft w:val="0"/>
          <w:marRight w:val="0"/>
          <w:marTop w:val="0"/>
          <w:marBottom w:val="0"/>
          <w:divBdr>
            <w:top w:val="none" w:sz="0" w:space="0" w:color="auto"/>
            <w:left w:val="none" w:sz="0" w:space="0" w:color="auto"/>
            <w:bottom w:val="none" w:sz="0" w:space="0" w:color="auto"/>
            <w:right w:val="none" w:sz="0" w:space="0" w:color="auto"/>
          </w:divBdr>
          <w:divsChild>
            <w:div w:id="480005343">
              <w:marLeft w:val="0"/>
              <w:marRight w:val="0"/>
              <w:marTop w:val="0"/>
              <w:marBottom w:val="0"/>
              <w:divBdr>
                <w:top w:val="none" w:sz="0" w:space="0" w:color="auto"/>
                <w:left w:val="none" w:sz="0" w:space="0" w:color="auto"/>
                <w:bottom w:val="none" w:sz="0" w:space="0" w:color="auto"/>
                <w:right w:val="none" w:sz="0" w:space="0" w:color="auto"/>
              </w:divBdr>
            </w:div>
          </w:divsChild>
        </w:div>
        <w:div w:id="516777152">
          <w:marLeft w:val="0"/>
          <w:marRight w:val="0"/>
          <w:marTop w:val="0"/>
          <w:marBottom w:val="0"/>
          <w:divBdr>
            <w:top w:val="none" w:sz="0" w:space="0" w:color="auto"/>
            <w:left w:val="none" w:sz="0" w:space="0" w:color="auto"/>
            <w:bottom w:val="none" w:sz="0" w:space="0" w:color="auto"/>
            <w:right w:val="none" w:sz="0" w:space="0" w:color="auto"/>
          </w:divBdr>
          <w:divsChild>
            <w:div w:id="958875096">
              <w:marLeft w:val="0"/>
              <w:marRight w:val="0"/>
              <w:marTop w:val="0"/>
              <w:marBottom w:val="0"/>
              <w:divBdr>
                <w:top w:val="none" w:sz="0" w:space="0" w:color="auto"/>
                <w:left w:val="none" w:sz="0" w:space="0" w:color="auto"/>
                <w:bottom w:val="none" w:sz="0" w:space="0" w:color="auto"/>
                <w:right w:val="none" w:sz="0" w:space="0" w:color="auto"/>
              </w:divBdr>
            </w:div>
          </w:divsChild>
        </w:div>
        <w:div w:id="555893248">
          <w:marLeft w:val="0"/>
          <w:marRight w:val="0"/>
          <w:marTop w:val="0"/>
          <w:marBottom w:val="0"/>
          <w:divBdr>
            <w:top w:val="none" w:sz="0" w:space="0" w:color="auto"/>
            <w:left w:val="none" w:sz="0" w:space="0" w:color="auto"/>
            <w:bottom w:val="none" w:sz="0" w:space="0" w:color="auto"/>
            <w:right w:val="none" w:sz="0" w:space="0" w:color="auto"/>
          </w:divBdr>
          <w:divsChild>
            <w:div w:id="680395854">
              <w:marLeft w:val="0"/>
              <w:marRight w:val="0"/>
              <w:marTop w:val="0"/>
              <w:marBottom w:val="0"/>
              <w:divBdr>
                <w:top w:val="none" w:sz="0" w:space="0" w:color="auto"/>
                <w:left w:val="none" w:sz="0" w:space="0" w:color="auto"/>
                <w:bottom w:val="none" w:sz="0" w:space="0" w:color="auto"/>
                <w:right w:val="none" w:sz="0" w:space="0" w:color="auto"/>
              </w:divBdr>
            </w:div>
          </w:divsChild>
        </w:div>
        <w:div w:id="592397961">
          <w:marLeft w:val="0"/>
          <w:marRight w:val="0"/>
          <w:marTop w:val="0"/>
          <w:marBottom w:val="0"/>
          <w:divBdr>
            <w:top w:val="none" w:sz="0" w:space="0" w:color="auto"/>
            <w:left w:val="none" w:sz="0" w:space="0" w:color="auto"/>
            <w:bottom w:val="none" w:sz="0" w:space="0" w:color="auto"/>
            <w:right w:val="none" w:sz="0" w:space="0" w:color="auto"/>
          </w:divBdr>
          <w:divsChild>
            <w:div w:id="538512109">
              <w:marLeft w:val="0"/>
              <w:marRight w:val="0"/>
              <w:marTop w:val="0"/>
              <w:marBottom w:val="0"/>
              <w:divBdr>
                <w:top w:val="none" w:sz="0" w:space="0" w:color="auto"/>
                <w:left w:val="none" w:sz="0" w:space="0" w:color="auto"/>
                <w:bottom w:val="none" w:sz="0" w:space="0" w:color="auto"/>
                <w:right w:val="none" w:sz="0" w:space="0" w:color="auto"/>
              </w:divBdr>
            </w:div>
          </w:divsChild>
        </w:div>
        <w:div w:id="603617240">
          <w:marLeft w:val="0"/>
          <w:marRight w:val="0"/>
          <w:marTop w:val="0"/>
          <w:marBottom w:val="0"/>
          <w:divBdr>
            <w:top w:val="none" w:sz="0" w:space="0" w:color="auto"/>
            <w:left w:val="none" w:sz="0" w:space="0" w:color="auto"/>
            <w:bottom w:val="none" w:sz="0" w:space="0" w:color="auto"/>
            <w:right w:val="none" w:sz="0" w:space="0" w:color="auto"/>
          </w:divBdr>
          <w:divsChild>
            <w:div w:id="1299915846">
              <w:marLeft w:val="0"/>
              <w:marRight w:val="0"/>
              <w:marTop w:val="0"/>
              <w:marBottom w:val="0"/>
              <w:divBdr>
                <w:top w:val="none" w:sz="0" w:space="0" w:color="auto"/>
                <w:left w:val="none" w:sz="0" w:space="0" w:color="auto"/>
                <w:bottom w:val="none" w:sz="0" w:space="0" w:color="auto"/>
                <w:right w:val="none" w:sz="0" w:space="0" w:color="auto"/>
              </w:divBdr>
            </w:div>
          </w:divsChild>
        </w:div>
        <w:div w:id="688482820">
          <w:marLeft w:val="0"/>
          <w:marRight w:val="0"/>
          <w:marTop w:val="0"/>
          <w:marBottom w:val="0"/>
          <w:divBdr>
            <w:top w:val="none" w:sz="0" w:space="0" w:color="auto"/>
            <w:left w:val="none" w:sz="0" w:space="0" w:color="auto"/>
            <w:bottom w:val="none" w:sz="0" w:space="0" w:color="auto"/>
            <w:right w:val="none" w:sz="0" w:space="0" w:color="auto"/>
          </w:divBdr>
          <w:divsChild>
            <w:div w:id="462577421">
              <w:marLeft w:val="0"/>
              <w:marRight w:val="0"/>
              <w:marTop w:val="0"/>
              <w:marBottom w:val="0"/>
              <w:divBdr>
                <w:top w:val="none" w:sz="0" w:space="0" w:color="auto"/>
                <w:left w:val="none" w:sz="0" w:space="0" w:color="auto"/>
                <w:bottom w:val="none" w:sz="0" w:space="0" w:color="auto"/>
                <w:right w:val="none" w:sz="0" w:space="0" w:color="auto"/>
              </w:divBdr>
            </w:div>
          </w:divsChild>
        </w:div>
        <w:div w:id="715858076">
          <w:marLeft w:val="0"/>
          <w:marRight w:val="0"/>
          <w:marTop w:val="0"/>
          <w:marBottom w:val="0"/>
          <w:divBdr>
            <w:top w:val="none" w:sz="0" w:space="0" w:color="auto"/>
            <w:left w:val="none" w:sz="0" w:space="0" w:color="auto"/>
            <w:bottom w:val="none" w:sz="0" w:space="0" w:color="auto"/>
            <w:right w:val="none" w:sz="0" w:space="0" w:color="auto"/>
          </w:divBdr>
          <w:divsChild>
            <w:div w:id="1091201393">
              <w:marLeft w:val="0"/>
              <w:marRight w:val="0"/>
              <w:marTop w:val="0"/>
              <w:marBottom w:val="0"/>
              <w:divBdr>
                <w:top w:val="none" w:sz="0" w:space="0" w:color="auto"/>
                <w:left w:val="none" w:sz="0" w:space="0" w:color="auto"/>
                <w:bottom w:val="none" w:sz="0" w:space="0" w:color="auto"/>
                <w:right w:val="none" w:sz="0" w:space="0" w:color="auto"/>
              </w:divBdr>
            </w:div>
          </w:divsChild>
        </w:div>
        <w:div w:id="784229136">
          <w:marLeft w:val="0"/>
          <w:marRight w:val="0"/>
          <w:marTop w:val="0"/>
          <w:marBottom w:val="0"/>
          <w:divBdr>
            <w:top w:val="none" w:sz="0" w:space="0" w:color="auto"/>
            <w:left w:val="none" w:sz="0" w:space="0" w:color="auto"/>
            <w:bottom w:val="none" w:sz="0" w:space="0" w:color="auto"/>
            <w:right w:val="none" w:sz="0" w:space="0" w:color="auto"/>
          </w:divBdr>
          <w:divsChild>
            <w:div w:id="757336029">
              <w:marLeft w:val="0"/>
              <w:marRight w:val="0"/>
              <w:marTop w:val="0"/>
              <w:marBottom w:val="0"/>
              <w:divBdr>
                <w:top w:val="none" w:sz="0" w:space="0" w:color="auto"/>
                <w:left w:val="none" w:sz="0" w:space="0" w:color="auto"/>
                <w:bottom w:val="none" w:sz="0" w:space="0" w:color="auto"/>
                <w:right w:val="none" w:sz="0" w:space="0" w:color="auto"/>
              </w:divBdr>
            </w:div>
          </w:divsChild>
        </w:div>
        <w:div w:id="787048016">
          <w:marLeft w:val="0"/>
          <w:marRight w:val="0"/>
          <w:marTop w:val="0"/>
          <w:marBottom w:val="0"/>
          <w:divBdr>
            <w:top w:val="none" w:sz="0" w:space="0" w:color="auto"/>
            <w:left w:val="none" w:sz="0" w:space="0" w:color="auto"/>
            <w:bottom w:val="none" w:sz="0" w:space="0" w:color="auto"/>
            <w:right w:val="none" w:sz="0" w:space="0" w:color="auto"/>
          </w:divBdr>
          <w:divsChild>
            <w:div w:id="2031758617">
              <w:marLeft w:val="0"/>
              <w:marRight w:val="0"/>
              <w:marTop w:val="0"/>
              <w:marBottom w:val="0"/>
              <w:divBdr>
                <w:top w:val="none" w:sz="0" w:space="0" w:color="auto"/>
                <w:left w:val="none" w:sz="0" w:space="0" w:color="auto"/>
                <w:bottom w:val="none" w:sz="0" w:space="0" w:color="auto"/>
                <w:right w:val="none" w:sz="0" w:space="0" w:color="auto"/>
              </w:divBdr>
            </w:div>
          </w:divsChild>
        </w:div>
        <w:div w:id="855264566">
          <w:marLeft w:val="0"/>
          <w:marRight w:val="0"/>
          <w:marTop w:val="0"/>
          <w:marBottom w:val="0"/>
          <w:divBdr>
            <w:top w:val="none" w:sz="0" w:space="0" w:color="auto"/>
            <w:left w:val="none" w:sz="0" w:space="0" w:color="auto"/>
            <w:bottom w:val="none" w:sz="0" w:space="0" w:color="auto"/>
            <w:right w:val="none" w:sz="0" w:space="0" w:color="auto"/>
          </w:divBdr>
          <w:divsChild>
            <w:div w:id="864175153">
              <w:marLeft w:val="0"/>
              <w:marRight w:val="0"/>
              <w:marTop w:val="0"/>
              <w:marBottom w:val="0"/>
              <w:divBdr>
                <w:top w:val="none" w:sz="0" w:space="0" w:color="auto"/>
                <w:left w:val="none" w:sz="0" w:space="0" w:color="auto"/>
                <w:bottom w:val="none" w:sz="0" w:space="0" w:color="auto"/>
                <w:right w:val="none" w:sz="0" w:space="0" w:color="auto"/>
              </w:divBdr>
            </w:div>
          </w:divsChild>
        </w:div>
        <w:div w:id="895707090">
          <w:marLeft w:val="0"/>
          <w:marRight w:val="0"/>
          <w:marTop w:val="0"/>
          <w:marBottom w:val="0"/>
          <w:divBdr>
            <w:top w:val="none" w:sz="0" w:space="0" w:color="auto"/>
            <w:left w:val="none" w:sz="0" w:space="0" w:color="auto"/>
            <w:bottom w:val="none" w:sz="0" w:space="0" w:color="auto"/>
            <w:right w:val="none" w:sz="0" w:space="0" w:color="auto"/>
          </w:divBdr>
          <w:divsChild>
            <w:div w:id="551310777">
              <w:marLeft w:val="0"/>
              <w:marRight w:val="0"/>
              <w:marTop w:val="0"/>
              <w:marBottom w:val="0"/>
              <w:divBdr>
                <w:top w:val="none" w:sz="0" w:space="0" w:color="auto"/>
                <w:left w:val="none" w:sz="0" w:space="0" w:color="auto"/>
                <w:bottom w:val="none" w:sz="0" w:space="0" w:color="auto"/>
                <w:right w:val="none" w:sz="0" w:space="0" w:color="auto"/>
              </w:divBdr>
            </w:div>
          </w:divsChild>
        </w:div>
        <w:div w:id="905996114">
          <w:marLeft w:val="0"/>
          <w:marRight w:val="0"/>
          <w:marTop w:val="0"/>
          <w:marBottom w:val="0"/>
          <w:divBdr>
            <w:top w:val="none" w:sz="0" w:space="0" w:color="auto"/>
            <w:left w:val="none" w:sz="0" w:space="0" w:color="auto"/>
            <w:bottom w:val="none" w:sz="0" w:space="0" w:color="auto"/>
            <w:right w:val="none" w:sz="0" w:space="0" w:color="auto"/>
          </w:divBdr>
          <w:divsChild>
            <w:div w:id="1156458443">
              <w:marLeft w:val="0"/>
              <w:marRight w:val="0"/>
              <w:marTop w:val="0"/>
              <w:marBottom w:val="0"/>
              <w:divBdr>
                <w:top w:val="none" w:sz="0" w:space="0" w:color="auto"/>
                <w:left w:val="none" w:sz="0" w:space="0" w:color="auto"/>
                <w:bottom w:val="none" w:sz="0" w:space="0" w:color="auto"/>
                <w:right w:val="none" w:sz="0" w:space="0" w:color="auto"/>
              </w:divBdr>
            </w:div>
          </w:divsChild>
        </w:div>
        <w:div w:id="957762491">
          <w:marLeft w:val="0"/>
          <w:marRight w:val="0"/>
          <w:marTop w:val="0"/>
          <w:marBottom w:val="0"/>
          <w:divBdr>
            <w:top w:val="none" w:sz="0" w:space="0" w:color="auto"/>
            <w:left w:val="none" w:sz="0" w:space="0" w:color="auto"/>
            <w:bottom w:val="none" w:sz="0" w:space="0" w:color="auto"/>
            <w:right w:val="none" w:sz="0" w:space="0" w:color="auto"/>
          </w:divBdr>
          <w:divsChild>
            <w:div w:id="727384652">
              <w:marLeft w:val="0"/>
              <w:marRight w:val="0"/>
              <w:marTop w:val="0"/>
              <w:marBottom w:val="0"/>
              <w:divBdr>
                <w:top w:val="none" w:sz="0" w:space="0" w:color="auto"/>
                <w:left w:val="none" w:sz="0" w:space="0" w:color="auto"/>
                <w:bottom w:val="none" w:sz="0" w:space="0" w:color="auto"/>
                <w:right w:val="none" w:sz="0" w:space="0" w:color="auto"/>
              </w:divBdr>
            </w:div>
          </w:divsChild>
        </w:div>
        <w:div w:id="1000734905">
          <w:marLeft w:val="0"/>
          <w:marRight w:val="0"/>
          <w:marTop w:val="0"/>
          <w:marBottom w:val="0"/>
          <w:divBdr>
            <w:top w:val="none" w:sz="0" w:space="0" w:color="auto"/>
            <w:left w:val="none" w:sz="0" w:space="0" w:color="auto"/>
            <w:bottom w:val="none" w:sz="0" w:space="0" w:color="auto"/>
            <w:right w:val="none" w:sz="0" w:space="0" w:color="auto"/>
          </w:divBdr>
          <w:divsChild>
            <w:div w:id="1443188296">
              <w:marLeft w:val="0"/>
              <w:marRight w:val="0"/>
              <w:marTop w:val="0"/>
              <w:marBottom w:val="0"/>
              <w:divBdr>
                <w:top w:val="none" w:sz="0" w:space="0" w:color="auto"/>
                <w:left w:val="none" w:sz="0" w:space="0" w:color="auto"/>
                <w:bottom w:val="none" w:sz="0" w:space="0" w:color="auto"/>
                <w:right w:val="none" w:sz="0" w:space="0" w:color="auto"/>
              </w:divBdr>
            </w:div>
          </w:divsChild>
        </w:div>
        <w:div w:id="1084302942">
          <w:marLeft w:val="0"/>
          <w:marRight w:val="0"/>
          <w:marTop w:val="0"/>
          <w:marBottom w:val="0"/>
          <w:divBdr>
            <w:top w:val="none" w:sz="0" w:space="0" w:color="auto"/>
            <w:left w:val="none" w:sz="0" w:space="0" w:color="auto"/>
            <w:bottom w:val="none" w:sz="0" w:space="0" w:color="auto"/>
            <w:right w:val="none" w:sz="0" w:space="0" w:color="auto"/>
          </w:divBdr>
          <w:divsChild>
            <w:div w:id="1264923646">
              <w:marLeft w:val="0"/>
              <w:marRight w:val="0"/>
              <w:marTop w:val="0"/>
              <w:marBottom w:val="0"/>
              <w:divBdr>
                <w:top w:val="none" w:sz="0" w:space="0" w:color="auto"/>
                <w:left w:val="none" w:sz="0" w:space="0" w:color="auto"/>
                <w:bottom w:val="none" w:sz="0" w:space="0" w:color="auto"/>
                <w:right w:val="none" w:sz="0" w:space="0" w:color="auto"/>
              </w:divBdr>
            </w:div>
          </w:divsChild>
        </w:div>
        <w:div w:id="1170174775">
          <w:marLeft w:val="0"/>
          <w:marRight w:val="0"/>
          <w:marTop w:val="0"/>
          <w:marBottom w:val="0"/>
          <w:divBdr>
            <w:top w:val="none" w:sz="0" w:space="0" w:color="auto"/>
            <w:left w:val="none" w:sz="0" w:space="0" w:color="auto"/>
            <w:bottom w:val="none" w:sz="0" w:space="0" w:color="auto"/>
            <w:right w:val="none" w:sz="0" w:space="0" w:color="auto"/>
          </w:divBdr>
          <w:divsChild>
            <w:div w:id="905412522">
              <w:marLeft w:val="0"/>
              <w:marRight w:val="0"/>
              <w:marTop w:val="0"/>
              <w:marBottom w:val="0"/>
              <w:divBdr>
                <w:top w:val="none" w:sz="0" w:space="0" w:color="auto"/>
                <w:left w:val="none" w:sz="0" w:space="0" w:color="auto"/>
                <w:bottom w:val="none" w:sz="0" w:space="0" w:color="auto"/>
                <w:right w:val="none" w:sz="0" w:space="0" w:color="auto"/>
              </w:divBdr>
            </w:div>
          </w:divsChild>
        </w:div>
        <w:div w:id="1172572298">
          <w:marLeft w:val="0"/>
          <w:marRight w:val="0"/>
          <w:marTop w:val="0"/>
          <w:marBottom w:val="0"/>
          <w:divBdr>
            <w:top w:val="none" w:sz="0" w:space="0" w:color="auto"/>
            <w:left w:val="none" w:sz="0" w:space="0" w:color="auto"/>
            <w:bottom w:val="none" w:sz="0" w:space="0" w:color="auto"/>
            <w:right w:val="none" w:sz="0" w:space="0" w:color="auto"/>
          </w:divBdr>
          <w:divsChild>
            <w:div w:id="1086462155">
              <w:marLeft w:val="0"/>
              <w:marRight w:val="0"/>
              <w:marTop w:val="0"/>
              <w:marBottom w:val="0"/>
              <w:divBdr>
                <w:top w:val="none" w:sz="0" w:space="0" w:color="auto"/>
                <w:left w:val="none" w:sz="0" w:space="0" w:color="auto"/>
                <w:bottom w:val="none" w:sz="0" w:space="0" w:color="auto"/>
                <w:right w:val="none" w:sz="0" w:space="0" w:color="auto"/>
              </w:divBdr>
            </w:div>
          </w:divsChild>
        </w:div>
        <w:div w:id="1188954667">
          <w:marLeft w:val="0"/>
          <w:marRight w:val="0"/>
          <w:marTop w:val="0"/>
          <w:marBottom w:val="0"/>
          <w:divBdr>
            <w:top w:val="none" w:sz="0" w:space="0" w:color="auto"/>
            <w:left w:val="none" w:sz="0" w:space="0" w:color="auto"/>
            <w:bottom w:val="none" w:sz="0" w:space="0" w:color="auto"/>
            <w:right w:val="none" w:sz="0" w:space="0" w:color="auto"/>
          </w:divBdr>
          <w:divsChild>
            <w:div w:id="965741941">
              <w:marLeft w:val="0"/>
              <w:marRight w:val="0"/>
              <w:marTop w:val="0"/>
              <w:marBottom w:val="0"/>
              <w:divBdr>
                <w:top w:val="none" w:sz="0" w:space="0" w:color="auto"/>
                <w:left w:val="none" w:sz="0" w:space="0" w:color="auto"/>
                <w:bottom w:val="none" w:sz="0" w:space="0" w:color="auto"/>
                <w:right w:val="none" w:sz="0" w:space="0" w:color="auto"/>
              </w:divBdr>
            </w:div>
          </w:divsChild>
        </w:div>
        <w:div w:id="1196507929">
          <w:marLeft w:val="0"/>
          <w:marRight w:val="0"/>
          <w:marTop w:val="0"/>
          <w:marBottom w:val="0"/>
          <w:divBdr>
            <w:top w:val="none" w:sz="0" w:space="0" w:color="auto"/>
            <w:left w:val="none" w:sz="0" w:space="0" w:color="auto"/>
            <w:bottom w:val="none" w:sz="0" w:space="0" w:color="auto"/>
            <w:right w:val="none" w:sz="0" w:space="0" w:color="auto"/>
          </w:divBdr>
          <w:divsChild>
            <w:div w:id="1711296159">
              <w:marLeft w:val="0"/>
              <w:marRight w:val="0"/>
              <w:marTop w:val="0"/>
              <w:marBottom w:val="0"/>
              <w:divBdr>
                <w:top w:val="none" w:sz="0" w:space="0" w:color="auto"/>
                <w:left w:val="none" w:sz="0" w:space="0" w:color="auto"/>
                <w:bottom w:val="none" w:sz="0" w:space="0" w:color="auto"/>
                <w:right w:val="none" w:sz="0" w:space="0" w:color="auto"/>
              </w:divBdr>
            </w:div>
          </w:divsChild>
        </w:div>
        <w:div w:id="1311328242">
          <w:marLeft w:val="0"/>
          <w:marRight w:val="0"/>
          <w:marTop w:val="0"/>
          <w:marBottom w:val="0"/>
          <w:divBdr>
            <w:top w:val="none" w:sz="0" w:space="0" w:color="auto"/>
            <w:left w:val="none" w:sz="0" w:space="0" w:color="auto"/>
            <w:bottom w:val="none" w:sz="0" w:space="0" w:color="auto"/>
            <w:right w:val="none" w:sz="0" w:space="0" w:color="auto"/>
          </w:divBdr>
          <w:divsChild>
            <w:div w:id="1293094148">
              <w:marLeft w:val="0"/>
              <w:marRight w:val="0"/>
              <w:marTop w:val="0"/>
              <w:marBottom w:val="0"/>
              <w:divBdr>
                <w:top w:val="none" w:sz="0" w:space="0" w:color="auto"/>
                <w:left w:val="none" w:sz="0" w:space="0" w:color="auto"/>
                <w:bottom w:val="none" w:sz="0" w:space="0" w:color="auto"/>
                <w:right w:val="none" w:sz="0" w:space="0" w:color="auto"/>
              </w:divBdr>
            </w:div>
          </w:divsChild>
        </w:div>
        <w:div w:id="1353534838">
          <w:marLeft w:val="0"/>
          <w:marRight w:val="0"/>
          <w:marTop w:val="0"/>
          <w:marBottom w:val="0"/>
          <w:divBdr>
            <w:top w:val="none" w:sz="0" w:space="0" w:color="auto"/>
            <w:left w:val="none" w:sz="0" w:space="0" w:color="auto"/>
            <w:bottom w:val="none" w:sz="0" w:space="0" w:color="auto"/>
            <w:right w:val="none" w:sz="0" w:space="0" w:color="auto"/>
          </w:divBdr>
          <w:divsChild>
            <w:div w:id="1249467143">
              <w:marLeft w:val="0"/>
              <w:marRight w:val="0"/>
              <w:marTop w:val="0"/>
              <w:marBottom w:val="0"/>
              <w:divBdr>
                <w:top w:val="none" w:sz="0" w:space="0" w:color="auto"/>
                <w:left w:val="none" w:sz="0" w:space="0" w:color="auto"/>
                <w:bottom w:val="none" w:sz="0" w:space="0" w:color="auto"/>
                <w:right w:val="none" w:sz="0" w:space="0" w:color="auto"/>
              </w:divBdr>
            </w:div>
          </w:divsChild>
        </w:div>
        <w:div w:id="1380667373">
          <w:marLeft w:val="0"/>
          <w:marRight w:val="0"/>
          <w:marTop w:val="0"/>
          <w:marBottom w:val="0"/>
          <w:divBdr>
            <w:top w:val="none" w:sz="0" w:space="0" w:color="auto"/>
            <w:left w:val="none" w:sz="0" w:space="0" w:color="auto"/>
            <w:bottom w:val="none" w:sz="0" w:space="0" w:color="auto"/>
            <w:right w:val="none" w:sz="0" w:space="0" w:color="auto"/>
          </w:divBdr>
          <w:divsChild>
            <w:div w:id="531191102">
              <w:marLeft w:val="0"/>
              <w:marRight w:val="0"/>
              <w:marTop w:val="0"/>
              <w:marBottom w:val="0"/>
              <w:divBdr>
                <w:top w:val="none" w:sz="0" w:space="0" w:color="auto"/>
                <w:left w:val="none" w:sz="0" w:space="0" w:color="auto"/>
                <w:bottom w:val="none" w:sz="0" w:space="0" w:color="auto"/>
                <w:right w:val="none" w:sz="0" w:space="0" w:color="auto"/>
              </w:divBdr>
            </w:div>
          </w:divsChild>
        </w:div>
        <w:div w:id="1395346719">
          <w:marLeft w:val="0"/>
          <w:marRight w:val="0"/>
          <w:marTop w:val="0"/>
          <w:marBottom w:val="0"/>
          <w:divBdr>
            <w:top w:val="none" w:sz="0" w:space="0" w:color="auto"/>
            <w:left w:val="none" w:sz="0" w:space="0" w:color="auto"/>
            <w:bottom w:val="none" w:sz="0" w:space="0" w:color="auto"/>
            <w:right w:val="none" w:sz="0" w:space="0" w:color="auto"/>
          </w:divBdr>
          <w:divsChild>
            <w:div w:id="950432778">
              <w:marLeft w:val="0"/>
              <w:marRight w:val="0"/>
              <w:marTop w:val="0"/>
              <w:marBottom w:val="0"/>
              <w:divBdr>
                <w:top w:val="none" w:sz="0" w:space="0" w:color="auto"/>
                <w:left w:val="none" w:sz="0" w:space="0" w:color="auto"/>
                <w:bottom w:val="none" w:sz="0" w:space="0" w:color="auto"/>
                <w:right w:val="none" w:sz="0" w:space="0" w:color="auto"/>
              </w:divBdr>
            </w:div>
          </w:divsChild>
        </w:div>
        <w:div w:id="1413425496">
          <w:marLeft w:val="0"/>
          <w:marRight w:val="0"/>
          <w:marTop w:val="0"/>
          <w:marBottom w:val="0"/>
          <w:divBdr>
            <w:top w:val="none" w:sz="0" w:space="0" w:color="auto"/>
            <w:left w:val="none" w:sz="0" w:space="0" w:color="auto"/>
            <w:bottom w:val="none" w:sz="0" w:space="0" w:color="auto"/>
            <w:right w:val="none" w:sz="0" w:space="0" w:color="auto"/>
          </w:divBdr>
          <w:divsChild>
            <w:div w:id="1384986450">
              <w:marLeft w:val="0"/>
              <w:marRight w:val="0"/>
              <w:marTop w:val="0"/>
              <w:marBottom w:val="0"/>
              <w:divBdr>
                <w:top w:val="none" w:sz="0" w:space="0" w:color="auto"/>
                <w:left w:val="none" w:sz="0" w:space="0" w:color="auto"/>
                <w:bottom w:val="none" w:sz="0" w:space="0" w:color="auto"/>
                <w:right w:val="none" w:sz="0" w:space="0" w:color="auto"/>
              </w:divBdr>
            </w:div>
          </w:divsChild>
        </w:div>
        <w:div w:id="1426267779">
          <w:marLeft w:val="0"/>
          <w:marRight w:val="0"/>
          <w:marTop w:val="0"/>
          <w:marBottom w:val="0"/>
          <w:divBdr>
            <w:top w:val="none" w:sz="0" w:space="0" w:color="auto"/>
            <w:left w:val="none" w:sz="0" w:space="0" w:color="auto"/>
            <w:bottom w:val="none" w:sz="0" w:space="0" w:color="auto"/>
            <w:right w:val="none" w:sz="0" w:space="0" w:color="auto"/>
          </w:divBdr>
          <w:divsChild>
            <w:div w:id="462428381">
              <w:marLeft w:val="0"/>
              <w:marRight w:val="0"/>
              <w:marTop w:val="0"/>
              <w:marBottom w:val="0"/>
              <w:divBdr>
                <w:top w:val="none" w:sz="0" w:space="0" w:color="auto"/>
                <w:left w:val="none" w:sz="0" w:space="0" w:color="auto"/>
                <w:bottom w:val="none" w:sz="0" w:space="0" w:color="auto"/>
                <w:right w:val="none" w:sz="0" w:space="0" w:color="auto"/>
              </w:divBdr>
            </w:div>
          </w:divsChild>
        </w:div>
        <w:div w:id="1510832942">
          <w:marLeft w:val="0"/>
          <w:marRight w:val="0"/>
          <w:marTop w:val="0"/>
          <w:marBottom w:val="0"/>
          <w:divBdr>
            <w:top w:val="none" w:sz="0" w:space="0" w:color="auto"/>
            <w:left w:val="none" w:sz="0" w:space="0" w:color="auto"/>
            <w:bottom w:val="none" w:sz="0" w:space="0" w:color="auto"/>
            <w:right w:val="none" w:sz="0" w:space="0" w:color="auto"/>
          </w:divBdr>
          <w:divsChild>
            <w:div w:id="451561196">
              <w:marLeft w:val="0"/>
              <w:marRight w:val="0"/>
              <w:marTop w:val="0"/>
              <w:marBottom w:val="0"/>
              <w:divBdr>
                <w:top w:val="none" w:sz="0" w:space="0" w:color="auto"/>
                <w:left w:val="none" w:sz="0" w:space="0" w:color="auto"/>
                <w:bottom w:val="none" w:sz="0" w:space="0" w:color="auto"/>
                <w:right w:val="none" w:sz="0" w:space="0" w:color="auto"/>
              </w:divBdr>
            </w:div>
          </w:divsChild>
        </w:div>
        <w:div w:id="1524392818">
          <w:marLeft w:val="0"/>
          <w:marRight w:val="0"/>
          <w:marTop w:val="0"/>
          <w:marBottom w:val="0"/>
          <w:divBdr>
            <w:top w:val="none" w:sz="0" w:space="0" w:color="auto"/>
            <w:left w:val="none" w:sz="0" w:space="0" w:color="auto"/>
            <w:bottom w:val="none" w:sz="0" w:space="0" w:color="auto"/>
            <w:right w:val="none" w:sz="0" w:space="0" w:color="auto"/>
          </w:divBdr>
          <w:divsChild>
            <w:div w:id="1986009612">
              <w:marLeft w:val="0"/>
              <w:marRight w:val="0"/>
              <w:marTop w:val="0"/>
              <w:marBottom w:val="0"/>
              <w:divBdr>
                <w:top w:val="none" w:sz="0" w:space="0" w:color="auto"/>
                <w:left w:val="none" w:sz="0" w:space="0" w:color="auto"/>
                <w:bottom w:val="none" w:sz="0" w:space="0" w:color="auto"/>
                <w:right w:val="none" w:sz="0" w:space="0" w:color="auto"/>
              </w:divBdr>
            </w:div>
          </w:divsChild>
        </w:div>
        <w:div w:id="1532455892">
          <w:marLeft w:val="0"/>
          <w:marRight w:val="0"/>
          <w:marTop w:val="0"/>
          <w:marBottom w:val="0"/>
          <w:divBdr>
            <w:top w:val="none" w:sz="0" w:space="0" w:color="auto"/>
            <w:left w:val="none" w:sz="0" w:space="0" w:color="auto"/>
            <w:bottom w:val="none" w:sz="0" w:space="0" w:color="auto"/>
            <w:right w:val="none" w:sz="0" w:space="0" w:color="auto"/>
          </w:divBdr>
          <w:divsChild>
            <w:div w:id="1977487323">
              <w:marLeft w:val="0"/>
              <w:marRight w:val="0"/>
              <w:marTop w:val="0"/>
              <w:marBottom w:val="0"/>
              <w:divBdr>
                <w:top w:val="none" w:sz="0" w:space="0" w:color="auto"/>
                <w:left w:val="none" w:sz="0" w:space="0" w:color="auto"/>
                <w:bottom w:val="none" w:sz="0" w:space="0" w:color="auto"/>
                <w:right w:val="none" w:sz="0" w:space="0" w:color="auto"/>
              </w:divBdr>
            </w:div>
          </w:divsChild>
        </w:div>
        <w:div w:id="1607738137">
          <w:marLeft w:val="0"/>
          <w:marRight w:val="0"/>
          <w:marTop w:val="0"/>
          <w:marBottom w:val="0"/>
          <w:divBdr>
            <w:top w:val="none" w:sz="0" w:space="0" w:color="auto"/>
            <w:left w:val="none" w:sz="0" w:space="0" w:color="auto"/>
            <w:bottom w:val="none" w:sz="0" w:space="0" w:color="auto"/>
            <w:right w:val="none" w:sz="0" w:space="0" w:color="auto"/>
          </w:divBdr>
          <w:divsChild>
            <w:div w:id="757095476">
              <w:marLeft w:val="0"/>
              <w:marRight w:val="0"/>
              <w:marTop w:val="0"/>
              <w:marBottom w:val="0"/>
              <w:divBdr>
                <w:top w:val="none" w:sz="0" w:space="0" w:color="auto"/>
                <w:left w:val="none" w:sz="0" w:space="0" w:color="auto"/>
                <w:bottom w:val="none" w:sz="0" w:space="0" w:color="auto"/>
                <w:right w:val="none" w:sz="0" w:space="0" w:color="auto"/>
              </w:divBdr>
            </w:div>
          </w:divsChild>
        </w:div>
        <w:div w:id="1660499688">
          <w:marLeft w:val="0"/>
          <w:marRight w:val="0"/>
          <w:marTop w:val="0"/>
          <w:marBottom w:val="0"/>
          <w:divBdr>
            <w:top w:val="none" w:sz="0" w:space="0" w:color="auto"/>
            <w:left w:val="none" w:sz="0" w:space="0" w:color="auto"/>
            <w:bottom w:val="none" w:sz="0" w:space="0" w:color="auto"/>
            <w:right w:val="none" w:sz="0" w:space="0" w:color="auto"/>
          </w:divBdr>
          <w:divsChild>
            <w:div w:id="758647327">
              <w:marLeft w:val="0"/>
              <w:marRight w:val="0"/>
              <w:marTop w:val="0"/>
              <w:marBottom w:val="0"/>
              <w:divBdr>
                <w:top w:val="none" w:sz="0" w:space="0" w:color="auto"/>
                <w:left w:val="none" w:sz="0" w:space="0" w:color="auto"/>
                <w:bottom w:val="none" w:sz="0" w:space="0" w:color="auto"/>
                <w:right w:val="none" w:sz="0" w:space="0" w:color="auto"/>
              </w:divBdr>
            </w:div>
          </w:divsChild>
        </w:div>
        <w:div w:id="1665014132">
          <w:marLeft w:val="0"/>
          <w:marRight w:val="0"/>
          <w:marTop w:val="0"/>
          <w:marBottom w:val="0"/>
          <w:divBdr>
            <w:top w:val="none" w:sz="0" w:space="0" w:color="auto"/>
            <w:left w:val="none" w:sz="0" w:space="0" w:color="auto"/>
            <w:bottom w:val="none" w:sz="0" w:space="0" w:color="auto"/>
            <w:right w:val="none" w:sz="0" w:space="0" w:color="auto"/>
          </w:divBdr>
          <w:divsChild>
            <w:div w:id="1702897262">
              <w:marLeft w:val="0"/>
              <w:marRight w:val="0"/>
              <w:marTop w:val="0"/>
              <w:marBottom w:val="0"/>
              <w:divBdr>
                <w:top w:val="none" w:sz="0" w:space="0" w:color="auto"/>
                <w:left w:val="none" w:sz="0" w:space="0" w:color="auto"/>
                <w:bottom w:val="none" w:sz="0" w:space="0" w:color="auto"/>
                <w:right w:val="none" w:sz="0" w:space="0" w:color="auto"/>
              </w:divBdr>
            </w:div>
          </w:divsChild>
        </w:div>
        <w:div w:id="1683314881">
          <w:marLeft w:val="0"/>
          <w:marRight w:val="0"/>
          <w:marTop w:val="0"/>
          <w:marBottom w:val="0"/>
          <w:divBdr>
            <w:top w:val="none" w:sz="0" w:space="0" w:color="auto"/>
            <w:left w:val="none" w:sz="0" w:space="0" w:color="auto"/>
            <w:bottom w:val="none" w:sz="0" w:space="0" w:color="auto"/>
            <w:right w:val="none" w:sz="0" w:space="0" w:color="auto"/>
          </w:divBdr>
          <w:divsChild>
            <w:div w:id="1906914327">
              <w:marLeft w:val="0"/>
              <w:marRight w:val="0"/>
              <w:marTop w:val="0"/>
              <w:marBottom w:val="0"/>
              <w:divBdr>
                <w:top w:val="none" w:sz="0" w:space="0" w:color="auto"/>
                <w:left w:val="none" w:sz="0" w:space="0" w:color="auto"/>
                <w:bottom w:val="none" w:sz="0" w:space="0" w:color="auto"/>
                <w:right w:val="none" w:sz="0" w:space="0" w:color="auto"/>
              </w:divBdr>
            </w:div>
          </w:divsChild>
        </w:div>
        <w:div w:id="1722559001">
          <w:marLeft w:val="0"/>
          <w:marRight w:val="0"/>
          <w:marTop w:val="0"/>
          <w:marBottom w:val="0"/>
          <w:divBdr>
            <w:top w:val="none" w:sz="0" w:space="0" w:color="auto"/>
            <w:left w:val="none" w:sz="0" w:space="0" w:color="auto"/>
            <w:bottom w:val="none" w:sz="0" w:space="0" w:color="auto"/>
            <w:right w:val="none" w:sz="0" w:space="0" w:color="auto"/>
          </w:divBdr>
          <w:divsChild>
            <w:div w:id="42486815">
              <w:marLeft w:val="0"/>
              <w:marRight w:val="0"/>
              <w:marTop w:val="0"/>
              <w:marBottom w:val="0"/>
              <w:divBdr>
                <w:top w:val="none" w:sz="0" w:space="0" w:color="auto"/>
                <w:left w:val="none" w:sz="0" w:space="0" w:color="auto"/>
                <w:bottom w:val="none" w:sz="0" w:space="0" w:color="auto"/>
                <w:right w:val="none" w:sz="0" w:space="0" w:color="auto"/>
              </w:divBdr>
            </w:div>
          </w:divsChild>
        </w:div>
        <w:div w:id="1757240431">
          <w:marLeft w:val="0"/>
          <w:marRight w:val="0"/>
          <w:marTop w:val="0"/>
          <w:marBottom w:val="0"/>
          <w:divBdr>
            <w:top w:val="none" w:sz="0" w:space="0" w:color="auto"/>
            <w:left w:val="none" w:sz="0" w:space="0" w:color="auto"/>
            <w:bottom w:val="none" w:sz="0" w:space="0" w:color="auto"/>
            <w:right w:val="none" w:sz="0" w:space="0" w:color="auto"/>
          </w:divBdr>
          <w:divsChild>
            <w:div w:id="2134984188">
              <w:marLeft w:val="0"/>
              <w:marRight w:val="0"/>
              <w:marTop w:val="0"/>
              <w:marBottom w:val="0"/>
              <w:divBdr>
                <w:top w:val="none" w:sz="0" w:space="0" w:color="auto"/>
                <w:left w:val="none" w:sz="0" w:space="0" w:color="auto"/>
                <w:bottom w:val="none" w:sz="0" w:space="0" w:color="auto"/>
                <w:right w:val="none" w:sz="0" w:space="0" w:color="auto"/>
              </w:divBdr>
            </w:div>
          </w:divsChild>
        </w:div>
        <w:div w:id="1837840232">
          <w:marLeft w:val="0"/>
          <w:marRight w:val="0"/>
          <w:marTop w:val="0"/>
          <w:marBottom w:val="0"/>
          <w:divBdr>
            <w:top w:val="none" w:sz="0" w:space="0" w:color="auto"/>
            <w:left w:val="none" w:sz="0" w:space="0" w:color="auto"/>
            <w:bottom w:val="none" w:sz="0" w:space="0" w:color="auto"/>
            <w:right w:val="none" w:sz="0" w:space="0" w:color="auto"/>
          </w:divBdr>
          <w:divsChild>
            <w:div w:id="323969657">
              <w:marLeft w:val="0"/>
              <w:marRight w:val="0"/>
              <w:marTop w:val="0"/>
              <w:marBottom w:val="0"/>
              <w:divBdr>
                <w:top w:val="none" w:sz="0" w:space="0" w:color="auto"/>
                <w:left w:val="none" w:sz="0" w:space="0" w:color="auto"/>
                <w:bottom w:val="none" w:sz="0" w:space="0" w:color="auto"/>
                <w:right w:val="none" w:sz="0" w:space="0" w:color="auto"/>
              </w:divBdr>
            </w:div>
          </w:divsChild>
        </w:div>
        <w:div w:id="1892691849">
          <w:marLeft w:val="0"/>
          <w:marRight w:val="0"/>
          <w:marTop w:val="0"/>
          <w:marBottom w:val="0"/>
          <w:divBdr>
            <w:top w:val="none" w:sz="0" w:space="0" w:color="auto"/>
            <w:left w:val="none" w:sz="0" w:space="0" w:color="auto"/>
            <w:bottom w:val="none" w:sz="0" w:space="0" w:color="auto"/>
            <w:right w:val="none" w:sz="0" w:space="0" w:color="auto"/>
          </w:divBdr>
          <w:divsChild>
            <w:div w:id="2050260270">
              <w:marLeft w:val="0"/>
              <w:marRight w:val="0"/>
              <w:marTop w:val="0"/>
              <w:marBottom w:val="0"/>
              <w:divBdr>
                <w:top w:val="none" w:sz="0" w:space="0" w:color="auto"/>
                <w:left w:val="none" w:sz="0" w:space="0" w:color="auto"/>
                <w:bottom w:val="none" w:sz="0" w:space="0" w:color="auto"/>
                <w:right w:val="none" w:sz="0" w:space="0" w:color="auto"/>
              </w:divBdr>
            </w:div>
          </w:divsChild>
        </w:div>
        <w:div w:id="1917469091">
          <w:marLeft w:val="0"/>
          <w:marRight w:val="0"/>
          <w:marTop w:val="0"/>
          <w:marBottom w:val="0"/>
          <w:divBdr>
            <w:top w:val="none" w:sz="0" w:space="0" w:color="auto"/>
            <w:left w:val="none" w:sz="0" w:space="0" w:color="auto"/>
            <w:bottom w:val="none" w:sz="0" w:space="0" w:color="auto"/>
            <w:right w:val="none" w:sz="0" w:space="0" w:color="auto"/>
          </w:divBdr>
          <w:divsChild>
            <w:div w:id="467088944">
              <w:marLeft w:val="0"/>
              <w:marRight w:val="0"/>
              <w:marTop w:val="0"/>
              <w:marBottom w:val="0"/>
              <w:divBdr>
                <w:top w:val="none" w:sz="0" w:space="0" w:color="auto"/>
                <w:left w:val="none" w:sz="0" w:space="0" w:color="auto"/>
                <w:bottom w:val="none" w:sz="0" w:space="0" w:color="auto"/>
                <w:right w:val="none" w:sz="0" w:space="0" w:color="auto"/>
              </w:divBdr>
            </w:div>
          </w:divsChild>
        </w:div>
        <w:div w:id="1918978211">
          <w:marLeft w:val="0"/>
          <w:marRight w:val="0"/>
          <w:marTop w:val="0"/>
          <w:marBottom w:val="0"/>
          <w:divBdr>
            <w:top w:val="none" w:sz="0" w:space="0" w:color="auto"/>
            <w:left w:val="none" w:sz="0" w:space="0" w:color="auto"/>
            <w:bottom w:val="none" w:sz="0" w:space="0" w:color="auto"/>
            <w:right w:val="none" w:sz="0" w:space="0" w:color="auto"/>
          </w:divBdr>
          <w:divsChild>
            <w:div w:id="115564524">
              <w:marLeft w:val="0"/>
              <w:marRight w:val="0"/>
              <w:marTop w:val="0"/>
              <w:marBottom w:val="0"/>
              <w:divBdr>
                <w:top w:val="none" w:sz="0" w:space="0" w:color="auto"/>
                <w:left w:val="none" w:sz="0" w:space="0" w:color="auto"/>
                <w:bottom w:val="none" w:sz="0" w:space="0" w:color="auto"/>
                <w:right w:val="none" w:sz="0" w:space="0" w:color="auto"/>
              </w:divBdr>
            </w:div>
          </w:divsChild>
        </w:div>
        <w:div w:id="1919753886">
          <w:marLeft w:val="0"/>
          <w:marRight w:val="0"/>
          <w:marTop w:val="0"/>
          <w:marBottom w:val="0"/>
          <w:divBdr>
            <w:top w:val="none" w:sz="0" w:space="0" w:color="auto"/>
            <w:left w:val="none" w:sz="0" w:space="0" w:color="auto"/>
            <w:bottom w:val="none" w:sz="0" w:space="0" w:color="auto"/>
            <w:right w:val="none" w:sz="0" w:space="0" w:color="auto"/>
          </w:divBdr>
          <w:divsChild>
            <w:div w:id="1746949436">
              <w:marLeft w:val="0"/>
              <w:marRight w:val="0"/>
              <w:marTop w:val="0"/>
              <w:marBottom w:val="0"/>
              <w:divBdr>
                <w:top w:val="none" w:sz="0" w:space="0" w:color="auto"/>
                <w:left w:val="none" w:sz="0" w:space="0" w:color="auto"/>
                <w:bottom w:val="none" w:sz="0" w:space="0" w:color="auto"/>
                <w:right w:val="none" w:sz="0" w:space="0" w:color="auto"/>
              </w:divBdr>
            </w:div>
          </w:divsChild>
        </w:div>
        <w:div w:id="1939023822">
          <w:marLeft w:val="0"/>
          <w:marRight w:val="0"/>
          <w:marTop w:val="0"/>
          <w:marBottom w:val="0"/>
          <w:divBdr>
            <w:top w:val="none" w:sz="0" w:space="0" w:color="auto"/>
            <w:left w:val="none" w:sz="0" w:space="0" w:color="auto"/>
            <w:bottom w:val="none" w:sz="0" w:space="0" w:color="auto"/>
            <w:right w:val="none" w:sz="0" w:space="0" w:color="auto"/>
          </w:divBdr>
          <w:divsChild>
            <w:div w:id="129521116">
              <w:marLeft w:val="0"/>
              <w:marRight w:val="0"/>
              <w:marTop w:val="0"/>
              <w:marBottom w:val="0"/>
              <w:divBdr>
                <w:top w:val="none" w:sz="0" w:space="0" w:color="auto"/>
                <w:left w:val="none" w:sz="0" w:space="0" w:color="auto"/>
                <w:bottom w:val="none" w:sz="0" w:space="0" w:color="auto"/>
                <w:right w:val="none" w:sz="0" w:space="0" w:color="auto"/>
              </w:divBdr>
            </w:div>
          </w:divsChild>
        </w:div>
        <w:div w:id="2001350518">
          <w:marLeft w:val="0"/>
          <w:marRight w:val="0"/>
          <w:marTop w:val="0"/>
          <w:marBottom w:val="0"/>
          <w:divBdr>
            <w:top w:val="none" w:sz="0" w:space="0" w:color="auto"/>
            <w:left w:val="none" w:sz="0" w:space="0" w:color="auto"/>
            <w:bottom w:val="none" w:sz="0" w:space="0" w:color="auto"/>
            <w:right w:val="none" w:sz="0" w:space="0" w:color="auto"/>
          </w:divBdr>
          <w:divsChild>
            <w:div w:id="432628452">
              <w:marLeft w:val="0"/>
              <w:marRight w:val="0"/>
              <w:marTop w:val="0"/>
              <w:marBottom w:val="0"/>
              <w:divBdr>
                <w:top w:val="none" w:sz="0" w:space="0" w:color="auto"/>
                <w:left w:val="none" w:sz="0" w:space="0" w:color="auto"/>
                <w:bottom w:val="none" w:sz="0" w:space="0" w:color="auto"/>
                <w:right w:val="none" w:sz="0" w:space="0" w:color="auto"/>
              </w:divBdr>
            </w:div>
          </w:divsChild>
        </w:div>
        <w:div w:id="2008482396">
          <w:marLeft w:val="0"/>
          <w:marRight w:val="0"/>
          <w:marTop w:val="0"/>
          <w:marBottom w:val="0"/>
          <w:divBdr>
            <w:top w:val="none" w:sz="0" w:space="0" w:color="auto"/>
            <w:left w:val="none" w:sz="0" w:space="0" w:color="auto"/>
            <w:bottom w:val="none" w:sz="0" w:space="0" w:color="auto"/>
            <w:right w:val="none" w:sz="0" w:space="0" w:color="auto"/>
          </w:divBdr>
          <w:divsChild>
            <w:div w:id="661349693">
              <w:marLeft w:val="0"/>
              <w:marRight w:val="0"/>
              <w:marTop w:val="0"/>
              <w:marBottom w:val="0"/>
              <w:divBdr>
                <w:top w:val="none" w:sz="0" w:space="0" w:color="auto"/>
                <w:left w:val="none" w:sz="0" w:space="0" w:color="auto"/>
                <w:bottom w:val="none" w:sz="0" w:space="0" w:color="auto"/>
                <w:right w:val="none" w:sz="0" w:space="0" w:color="auto"/>
              </w:divBdr>
            </w:div>
          </w:divsChild>
        </w:div>
        <w:div w:id="2014724727">
          <w:marLeft w:val="0"/>
          <w:marRight w:val="0"/>
          <w:marTop w:val="0"/>
          <w:marBottom w:val="0"/>
          <w:divBdr>
            <w:top w:val="none" w:sz="0" w:space="0" w:color="auto"/>
            <w:left w:val="none" w:sz="0" w:space="0" w:color="auto"/>
            <w:bottom w:val="none" w:sz="0" w:space="0" w:color="auto"/>
            <w:right w:val="none" w:sz="0" w:space="0" w:color="auto"/>
          </w:divBdr>
          <w:divsChild>
            <w:div w:id="1055852017">
              <w:marLeft w:val="0"/>
              <w:marRight w:val="0"/>
              <w:marTop w:val="0"/>
              <w:marBottom w:val="0"/>
              <w:divBdr>
                <w:top w:val="none" w:sz="0" w:space="0" w:color="auto"/>
                <w:left w:val="none" w:sz="0" w:space="0" w:color="auto"/>
                <w:bottom w:val="none" w:sz="0" w:space="0" w:color="auto"/>
                <w:right w:val="none" w:sz="0" w:space="0" w:color="auto"/>
              </w:divBdr>
            </w:div>
          </w:divsChild>
        </w:div>
        <w:div w:id="2034650812">
          <w:marLeft w:val="0"/>
          <w:marRight w:val="0"/>
          <w:marTop w:val="0"/>
          <w:marBottom w:val="0"/>
          <w:divBdr>
            <w:top w:val="none" w:sz="0" w:space="0" w:color="auto"/>
            <w:left w:val="none" w:sz="0" w:space="0" w:color="auto"/>
            <w:bottom w:val="none" w:sz="0" w:space="0" w:color="auto"/>
            <w:right w:val="none" w:sz="0" w:space="0" w:color="auto"/>
          </w:divBdr>
          <w:divsChild>
            <w:div w:id="1009482233">
              <w:marLeft w:val="0"/>
              <w:marRight w:val="0"/>
              <w:marTop w:val="0"/>
              <w:marBottom w:val="0"/>
              <w:divBdr>
                <w:top w:val="none" w:sz="0" w:space="0" w:color="auto"/>
                <w:left w:val="none" w:sz="0" w:space="0" w:color="auto"/>
                <w:bottom w:val="none" w:sz="0" w:space="0" w:color="auto"/>
                <w:right w:val="none" w:sz="0" w:space="0" w:color="auto"/>
              </w:divBdr>
            </w:div>
          </w:divsChild>
        </w:div>
        <w:div w:id="2051026903">
          <w:marLeft w:val="0"/>
          <w:marRight w:val="0"/>
          <w:marTop w:val="0"/>
          <w:marBottom w:val="0"/>
          <w:divBdr>
            <w:top w:val="none" w:sz="0" w:space="0" w:color="auto"/>
            <w:left w:val="none" w:sz="0" w:space="0" w:color="auto"/>
            <w:bottom w:val="none" w:sz="0" w:space="0" w:color="auto"/>
            <w:right w:val="none" w:sz="0" w:space="0" w:color="auto"/>
          </w:divBdr>
          <w:divsChild>
            <w:div w:id="1358123847">
              <w:marLeft w:val="0"/>
              <w:marRight w:val="0"/>
              <w:marTop w:val="0"/>
              <w:marBottom w:val="0"/>
              <w:divBdr>
                <w:top w:val="none" w:sz="0" w:space="0" w:color="auto"/>
                <w:left w:val="none" w:sz="0" w:space="0" w:color="auto"/>
                <w:bottom w:val="none" w:sz="0" w:space="0" w:color="auto"/>
                <w:right w:val="none" w:sz="0" w:space="0" w:color="auto"/>
              </w:divBdr>
            </w:div>
          </w:divsChild>
        </w:div>
        <w:div w:id="2129539775">
          <w:marLeft w:val="0"/>
          <w:marRight w:val="0"/>
          <w:marTop w:val="0"/>
          <w:marBottom w:val="0"/>
          <w:divBdr>
            <w:top w:val="none" w:sz="0" w:space="0" w:color="auto"/>
            <w:left w:val="none" w:sz="0" w:space="0" w:color="auto"/>
            <w:bottom w:val="none" w:sz="0" w:space="0" w:color="auto"/>
            <w:right w:val="none" w:sz="0" w:space="0" w:color="auto"/>
          </w:divBdr>
          <w:divsChild>
            <w:div w:id="3793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831">
      <w:bodyDiv w:val="1"/>
      <w:marLeft w:val="0"/>
      <w:marRight w:val="0"/>
      <w:marTop w:val="0"/>
      <w:marBottom w:val="0"/>
      <w:divBdr>
        <w:top w:val="none" w:sz="0" w:space="0" w:color="auto"/>
        <w:left w:val="none" w:sz="0" w:space="0" w:color="auto"/>
        <w:bottom w:val="none" w:sz="0" w:space="0" w:color="auto"/>
        <w:right w:val="none" w:sz="0" w:space="0" w:color="auto"/>
      </w:divBdr>
    </w:div>
    <w:div w:id="762914149">
      <w:bodyDiv w:val="1"/>
      <w:marLeft w:val="0"/>
      <w:marRight w:val="0"/>
      <w:marTop w:val="0"/>
      <w:marBottom w:val="0"/>
      <w:divBdr>
        <w:top w:val="none" w:sz="0" w:space="0" w:color="auto"/>
        <w:left w:val="none" w:sz="0" w:space="0" w:color="auto"/>
        <w:bottom w:val="none" w:sz="0" w:space="0" w:color="auto"/>
        <w:right w:val="none" w:sz="0" w:space="0" w:color="auto"/>
      </w:divBdr>
    </w:div>
    <w:div w:id="796679363">
      <w:bodyDiv w:val="1"/>
      <w:marLeft w:val="0"/>
      <w:marRight w:val="0"/>
      <w:marTop w:val="0"/>
      <w:marBottom w:val="0"/>
      <w:divBdr>
        <w:top w:val="none" w:sz="0" w:space="0" w:color="auto"/>
        <w:left w:val="none" w:sz="0" w:space="0" w:color="auto"/>
        <w:bottom w:val="none" w:sz="0" w:space="0" w:color="auto"/>
        <w:right w:val="none" w:sz="0" w:space="0" w:color="auto"/>
      </w:divBdr>
      <w:divsChild>
        <w:div w:id="901404760">
          <w:marLeft w:val="0"/>
          <w:marRight w:val="0"/>
          <w:marTop w:val="0"/>
          <w:marBottom w:val="0"/>
          <w:divBdr>
            <w:top w:val="none" w:sz="0" w:space="0" w:color="auto"/>
            <w:left w:val="none" w:sz="0" w:space="0" w:color="auto"/>
            <w:bottom w:val="none" w:sz="0" w:space="0" w:color="auto"/>
            <w:right w:val="none" w:sz="0" w:space="0" w:color="auto"/>
          </w:divBdr>
        </w:div>
        <w:div w:id="946037948">
          <w:marLeft w:val="0"/>
          <w:marRight w:val="0"/>
          <w:marTop w:val="0"/>
          <w:marBottom w:val="0"/>
          <w:divBdr>
            <w:top w:val="none" w:sz="0" w:space="0" w:color="auto"/>
            <w:left w:val="none" w:sz="0" w:space="0" w:color="auto"/>
            <w:bottom w:val="none" w:sz="0" w:space="0" w:color="auto"/>
            <w:right w:val="none" w:sz="0" w:space="0" w:color="auto"/>
          </w:divBdr>
        </w:div>
      </w:divsChild>
    </w:div>
    <w:div w:id="832143213">
      <w:bodyDiv w:val="1"/>
      <w:marLeft w:val="0"/>
      <w:marRight w:val="0"/>
      <w:marTop w:val="0"/>
      <w:marBottom w:val="0"/>
      <w:divBdr>
        <w:top w:val="none" w:sz="0" w:space="0" w:color="auto"/>
        <w:left w:val="none" w:sz="0" w:space="0" w:color="auto"/>
        <w:bottom w:val="none" w:sz="0" w:space="0" w:color="auto"/>
        <w:right w:val="none" w:sz="0" w:space="0" w:color="auto"/>
      </w:divBdr>
      <w:divsChild>
        <w:div w:id="16318469">
          <w:marLeft w:val="0"/>
          <w:marRight w:val="0"/>
          <w:marTop w:val="0"/>
          <w:marBottom w:val="0"/>
          <w:divBdr>
            <w:top w:val="none" w:sz="0" w:space="0" w:color="auto"/>
            <w:left w:val="none" w:sz="0" w:space="0" w:color="auto"/>
            <w:bottom w:val="none" w:sz="0" w:space="0" w:color="auto"/>
            <w:right w:val="none" w:sz="0" w:space="0" w:color="auto"/>
          </w:divBdr>
        </w:div>
        <w:div w:id="291330807">
          <w:marLeft w:val="0"/>
          <w:marRight w:val="0"/>
          <w:marTop w:val="0"/>
          <w:marBottom w:val="0"/>
          <w:divBdr>
            <w:top w:val="none" w:sz="0" w:space="0" w:color="auto"/>
            <w:left w:val="none" w:sz="0" w:space="0" w:color="auto"/>
            <w:bottom w:val="none" w:sz="0" w:space="0" w:color="auto"/>
            <w:right w:val="none" w:sz="0" w:space="0" w:color="auto"/>
          </w:divBdr>
        </w:div>
        <w:div w:id="353969363">
          <w:marLeft w:val="0"/>
          <w:marRight w:val="0"/>
          <w:marTop w:val="0"/>
          <w:marBottom w:val="0"/>
          <w:divBdr>
            <w:top w:val="none" w:sz="0" w:space="0" w:color="auto"/>
            <w:left w:val="none" w:sz="0" w:space="0" w:color="auto"/>
            <w:bottom w:val="none" w:sz="0" w:space="0" w:color="auto"/>
            <w:right w:val="none" w:sz="0" w:space="0" w:color="auto"/>
          </w:divBdr>
        </w:div>
        <w:div w:id="383599957">
          <w:marLeft w:val="0"/>
          <w:marRight w:val="0"/>
          <w:marTop w:val="0"/>
          <w:marBottom w:val="0"/>
          <w:divBdr>
            <w:top w:val="none" w:sz="0" w:space="0" w:color="auto"/>
            <w:left w:val="none" w:sz="0" w:space="0" w:color="auto"/>
            <w:bottom w:val="none" w:sz="0" w:space="0" w:color="auto"/>
            <w:right w:val="none" w:sz="0" w:space="0" w:color="auto"/>
          </w:divBdr>
        </w:div>
        <w:div w:id="532812785">
          <w:marLeft w:val="0"/>
          <w:marRight w:val="0"/>
          <w:marTop w:val="0"/>
          <w:marBottom w:val="0"/>
          <w:divBdr>
            <w:top w:val="none" w:sz="0" w:space="0" w:color="auto"/>
            <w:left w:val="none" w:sz="0" w:space="0" w:color="auto"/>
            <w:bottom w:val="none" w:sz="0" w:space="0" w:color="auto"/>
            <w:right w:val="none" w:sz="0" w:space="0" w:color="auto"/>
          </w:divBdr>
        </w:div>
        <w:div w:id="656885160">
          <w:marLeft w:val="0"/>
          <w:marRight w:val="0"/>
          <w:marTop w:val="0"/>
          <w:marBottom w:val="0"/>
          <w:divBdr>
            <w:top w:val="none" w:sz="0" w:space="0" w:color="auto"/>
            <w:left w:val="none" w:sz="0" w:space="0" w:color="auto"/>
            <w:bottom w:val="none" w:sz="0" w:space="0" w:color="auto"/>
            <w:right w:val="none" w:sz="0" w:space="0" w:color="auto"/>
          </w:divBdr>
        </w:div>
        <w:div w:id="754087184">
          <w:marLeft w:val="0"/>
          <w:marRight w:val="0"/>
          <w:marTop w:val="0"/>
          <w:marBottom w:val="0"/>
          <w:divBdr>
            <w:top w:val="none" w:sz="0" w:space="0" w:color="auto"/>
            <w:left w:val="none" w:sz="0" w:space="0" w:color="auto"/>
            <w:bottom w:val="none" w:sz="0" w:space="0" w:color="auto"/>
            <w:right w:val="none" w:sz="0" w:space="0" w:color="auto"/>
          </w:divBdr>
        </w:div>
        <w:div w:id="974263045">
          <w:marLeft w:val="0"/>
          <w:marRight w:val="0"/>
          <w:marTop w:val="0"/>
          <w:marBottom w:val="0"/>
          <w:divBdr>
            <w:top w:val="none" w:sz="0" w:space="0" w:color="auto"/>
            <w:left w:val="none" w:sz="0" w:space="0" w:color="auto"/>
            <w:bottom w:val="none" w:sz="0" w:space="0" w:color="auto"/>
            <w:right w:val="none" w:sz="0" w:space="0" w:color="auto"/>
          </w:divBdr>
        </w:div>
        <w:div w:id="1100251027">
          <w:marLeft w:val="0"/>
          <w:marRight w:val="0"/>
          <w:marTop w:val="0"/>
          <w:marBottom w:val="0"/>
          <w:divBdr>
            <w:top w:val="none" w:sz="0" w:space="0" w:color="auto"/>
            <w:left w:val="none" w:sz="0" w:space="0" w:color="auto"/>
            <w:bottom w:val="none" w:sz="0" w:space="0" w:color="auto"/>
            <w:right w:val="none" w:sz="0" w:space="0" w:color="auto"/>
          </w:divBdr>
        </w:div>
        <w:div w:id="1140541059">
          <w:marLeft w:val="0"/>
          <w:marRight w:val="0"/>
          <w:marTop w:val="0"/>
          <w:marBottom w:val="0"/>
          <w:divBdr>
            <w:top w:val="none" w:sz="0" w:space="0" w:color="auto"/>
            <w:left w:val="none" w:sz="0" w:space="0" w:color="auto"/>
            <w:bottom w:val="none" w:sz="0" w:space="0" w:color="auto"/>
            <w:right w:val="none" w:sz="0" w:space="0" w:color="auto"/>
          </w:divBdr>
        </w:div>
        <w:div w:id="1215775463">
          <w:marLeft w:val="0"/>
          <w:marRight w:val="0"/>
          <w:marTop w:val="0"/>
          <w:marBottom w:val="0"/>
          <w:divBdr>
            <w:top w:val="none" w:sz="0" w:space="0" w:color="auto"/>
            <w:left w:val="none" w:sz="0" w:space="0" w:color="auto"/>
            <w:bottom w:val="none" w:sz="0" w:space="0" w:color="auto"/>
            <w:right w:val="none" w:sz="0" w:space="0" w:color="auto"/>
          </w:divBdr>
        </w:div>
        <w:div w:id="1264068750">
          <w:marLeft w:val="0"/>
          <w:marRight w:val="0"/>
          <w:marTop w:val="0"/>
          <w:marBottom w:val="0"/>
          <w:divBdr>
            <w:top w:val="none" w:sz="0" w:space="0" w:color="auto"/>
            <w:left w:val="none" w:sz="0" w:space="0" w:color="auto"/>
            <w:bottom w:val="none" w:sz="0" w:space="0" w:color="auto"/>
            <w:right w:val="none" w:sz="0" w:space="0" w:color="auto"/>
          </w:divBdr>
        </w:div>
        <w:div w:id="1359966912">
          <w:marLeft w:val="0"/>
          <w:marRight w:val="0"/>
          <w:marTop w:val="0"/>
          <w:marBottom w:val="0"/>
          <w:divBdr>
            <w:top w:val="none" w:sz="0" w:space="0" w:color="auto"/>
            <w:left w:val="none" w:sz="0" w:space="0" w:color="auto"/>
            <w:bottom w:val="none" w:sz="0" w:space="0" w:color="auto"/>
            <w:right w:val="none" w:sz="0" w:space="0" w:color="auto"/>
          </w:divBdr>
        </w:div>
        <w:div w:id="1377122830">
          <w:marLeft w:val="0"/>
          <w:marRight w:val="0"/>
          <w:marTop w:val="0"/>
          <w:marBottom w:val="0"/>
          <w:divBdr>
            <w:top w:val="none" w:sz="0" w:space="0" w:color="auto"/>
            <w:left w:val="none" w:sz="0" w:space="0" w:color="auto"/>
            <w:bottom w:val="none" w:sz="0" w:space="0" w:color="auto"/>
            <w:right w:val="none" w:sz="0" w:space="0" w:color="auto"/>
          </w:divBdr>
        </w:div>
        <w:div w:id="1474441751">
          <w:marLeft w:val="0"/>
          <w:marRight w:val="0"/>
          <w:marTop w:val="0"/>
          <w:marBottom w:val="0"/>
          <w:divBdr>
            <w:top w:val="none" w:sz="0" w:space="0" w:color="auto"/>
            <w:left w:val="none" w:sz="0" w:space="0" w:color="auto"/>
            <w:bottom w:val="none" w:sz="0" w:space="0" w:color="auto"/>
            <w:right w:val="none" w:sz="0" w:space="0" w:color="auto"/>
          </w:divBdr>
        </w:div>
        <w:div w:id="1647394884">
          <w:marLeft w:val="0"/>
          <w:marRight w:val="0"/>
          <w:marTop w:val="0"/>
          <w:marBottom w:val="0"/>
          <w:divBdr>
            <w:top w:val="none" w:sz="0" w:space="0" w:color="auto"/>
            <w:left w:val="none" w:sz="0" w:space="0" w:color="auto"/>
            <w:bottom w:val="none" w:sz="0" w:space="0" w:color="auto"/>
            <w:right w:val="none" w:sz="0" w:space="0" w:color="auto"/>
          </w:divBdr>
        </w:div>
      </w:divsChild>
    </w:div>
    <w:div w:id="838616444">
      <w:bodyDiv w:val="1"/>
      <w:marLeft w:val="0"/>
      <w:marRight w:val="0"/>
      <w:marTop w:val="0"/>
      <w:marBottom w:val="0"/>
      <w:divBdr>
        <w:top w:val="none" w:sz="0" w:space="0" w:color="auto"/>
        <w:left w:val="none" w:sz="0" w:space="0" w:color="auto"/>
        <w:bottom w:val="none" w:sz="0" w:space="0" w:color="auto"/>
        <w:right w:val="none" w:sz="0" w:space="0" w:color="auto"/>
      </w:divBdr>
      <w:divsChild>
        <w:div w:id="1246846110">
          <w:marLeft w:val="0"/>
          <w:marRight w:val="0"/>
          <w:marTop w:val="0"/>
          <w:marBottom w:val="0"/>
          <w:divBdr>
            <w:top w:val="none" w:sz="0" w:space="0" w:color="auto"/>
            <w:left w:val="none" w:sz="0" w:space="0" w:color="auto"/>
            <w:bottom w:val="none" w:sz="0" w:space="0" w:color="auto"/>
            <w:right w:val="none" w:sz="0" w:space="0" w:color="auto"/>
          </w:divBdr>
        </w:div>
        <w:div w:id="1403335323">
          <w:marLeft w:val="0"/>
          <w:marRight w:val="0"/>
          <w:marTop w:val="0"/>
          <w:marBottom w:val="0"/>
          <w:divBdr>
            <w:top w:val="none" w:sz="0" w:space="0" w:color="auto"/>
            <w:left w:val="none" w:sz="0" w:space="0" w:color="auto"/>
            <w:bottom w:val="none" w:sz="0" w:space="0" w:color="auto"/>
            <w:right w:val="none" w:sz="0" w:space="0" w:color="auto"/>
          </w:divBdr>
        </w:div>
        <w:div w:id="1472864074">
          <w:marLeft w:val="0"/>
          <w:marRight w:val="0"/>
          <w:marTop w:val="0"/>
          <w:marBottom w:val="0"/>
          <w:divBdr>
            <w:top w:val="none" w:sz="0" w:space="0" w:color="auto"/>
            <w:left w:val="none" w:sz="0" w:space="0" w:color="auto"/>
            <w:bottom w:val="none" w:sz="0" w:space="0" w:color="auto"/>
            <w:right w:val="none" w:sz="0" w:space="0" w:color="auto"/>
          </w:divBdr>
        </w:div>
        <w:div w:id="1780368574">
          <w:marLeft w:val="0"/>
          <w:marRight w:val="0"/>
          <w:marTop w:val="0"/>
          <w:marBottom w:val="0"/>
          <w:divBdr>
            <w:top w:val="none" w:sz="0" w:space="0" w:color="auto"/>
            <w:left w:val="none" w:sz="0" w:space="0" w:color="auto"/>
            <w:bottom w:val="none" w:sz="0" w:space="0" w:color="auto"/>
            <w:right w:val="none" w:sz="0" w:space="0" w:color="auto"/>
          </w:divBdr>
        </w:div>
        <w:div w:id="2144421802">
          <w:marLeft w:val="0"/>
          <w:marRight w:val="0"/>
          <w:marTop w:val="0"/>
          <w:marBottom w:val="0"/>
          <w:divBdr>
            <w:top w:val="none" w:sz="0" w:space="0" w:color="auto"/>
            <w:left w:val="none" w:sz="0" w:space="0" w:color="auto"/>
            <w:bottom w:val="none" w:sz="0" w:space="0" w:color="auto"/>
            <w:right w:val="none" w:sz="0" w:space="0" w:color="auto"/>
          </w:divBdr>
        </w:div>
      </w:divsChild>
    </w:div>
    <w:div w:id="845704301">
      <w:bodyDiv w:val="1"/>
      <w:marLeft w:val="0"/>
      <w:marRight w:val="0"/>
      <w:marTop w:val="0"/>
      <w:marBottom w:val="0"/>
      <w:divBdr>
        <w:top w:val="none" w:sz="0" w:space="0" w:color="auto"/>
        <w:left w:val="none" w:sz="0" w:space="0" w:color="auto"/>
        <w:bottom w:val="none" w:sz="0" w:space="0" w:color="auto"/>
        <w:right w:val="none" w:sz="0" w:space="0" w:color="auto"/>
      </w:divBdr>
    </w:div>
    <w:div w:id="846678911">
      <w:bodyDiv w:val="1"/>
      <w:marLeft w:val="0"/>
      <w:marRight w:val="0"/>
      <w:marTop w:val="0"/>
      <w:marBottom w:val="0"/>
      <w:divBdr>
        <w:top w:val="none" w:sz="0" w:space="0" w:color="auto"/>
        <w:left w:val="none" w:sz="0" w:space="0" w:color="auto"/>
        <w:bottom w:val="none" w:sz="0" w:space="0" w:color="auto"/>
        <w:right w:val="none" w:sz="0" w:space="0" w:color="auto"/>
      </w:divBdr>
    </w:div>
    <w:div w:id="893086064">
      <w:bodyDiv w:val="1"/>
      <w:marLeft w:val="0"/>
      <w:marRight w:val="0"/>
      <w:marTop w:val="0"/>
      <w:marBottom w:val="0"/>
      <w:divBdr>
        <w:top w:val="none" w:sz="0" w:space="0" w:color="auto"/>
        <w:left w:val="none" w:sz="0" w:space="0" w:color="auto"/>
        <w:bottom w:val="none" w:sz="0" w:space="0" w:color="auto"/>
        <w:right w:val="none" w:sz="0" w:space="0" w:color="auto"/>
      </w:divBdr>
    </w:div>
    <w:div w:id="906188195">
      <w:bodyDiv w:val="1"/>
      <w:marLeft w:val="0"/>
      <w:marRight w:val="0"/>
      <w:marTop w:val="0"/>
      <w:marBottom w:val="0"/>
      <w:divBdr>
        <w:top w:val="none" w:sz="0" w:space="0" w:color="auto"/>
        <w:left w:val="none" w:sz="0" w:space="0" w:color="auto"/>
        <w:bottom w:val="none" w:sz="0" w:space="0" w:color="auto"/>
        <w:right w:val="none" w:sz="0" w:space="0" w:color="auto"/>
      </w:divBdr>
      <w:divsChild>
        <w:div w:id="1416049411">
          <w:marLeft w:val="547"/>
          <w:marRight w:val="0"/>
          <w:marTop w:val="0"/>
          <w:marBottom w:val="0"/>
          <w:divBdr>
            <w:top w:val="none" w:sz="0" w:space="0" w:color="auto"/>
            <w:left w:val="none" w:sz="0" w:space="0" w:color="auto"/>
            <w:bottom w:val="none" w:sz="0" w:space="0" w:color="auto"/>
            <w:right w:val="none" w:sz="0" w:space="0" w:color="auto"/>
          </w:divBdr>
        </w:div>
        <w:div w:id="1581475788">
          <w:marLeft w:val="547"/>
          <w:marRight w:val="0"/>
          <w:marTop w:val="0"/>
          <w:marBottom w:val="0"/>
          <w:divBdr>
            <w:top w:val="none" w:sz="0" w:space="0" w:color="auto"/>
            <w:left w:val="none" w:sz="0" w:space="0" w:color="auto"/>
            <w:bottom w:val="none" w:sz="0" w:space="0" w:color="auto"/>
            <w:right w:val="none" w:sz="0" w:space="0" w:color="auto"/>
          </w:divBdr>
        </w:div>
      </w:divsChild>
    </w:div>
    <w:div w:id="974724250">
      <w:bodyDiv w:val="1"/>
      <w:marLeft w:val="0"/>
      <w:marRight w:val="0"/>
      <w:marTop w:val="0"/>
      <w:marBottom w:val="0"/>
      <w:divBdr>
        <w:top w:val="none" w:sz="0" w:space="0" w:color="auto"/>
        <w:left w:val="none" w:sz="0" w:space="0" w:color="auto"/>
        <w:bottom w:val="none" w:sz="0" w:space="0" w:color="auto"/>
        <w:right w:val="none" w:sz="0" w:space="0" w:color="auto"/>
      </w:divBdr>
      <w:divsChild>
        <w:div w:id="458567939">
          <w:marLeft w:val="0"/>
          <w:marRight w:val="0"/>
          <w:marTop w:val="0"/>
          <w:marBottom w:val="0"/>
          <w:divBdr>
            <w:top w:val="none" w:sz="0" w:space="0" w:color="auto"/>
            <w:left w:val="none" w:sz="0" w:space="0" w:color="auto"/>
            <w:bottom w:val="none" w:sz="0" w:space="0" w:color="auto"/>
            <w:right w:val="none" w:sz="0" w:space="0" w:color="auto"/>
          </w:divBdr>
        </w:div>
        <w:div w:id="1344673814">
          <w:marLeft w:val="0"/>
          <w:marRight w:val="0"/>
          <w:marTop w:val="0"/>
          <w:marBottom w:val="0"/>
          <w:divBdr>
            <w:top w:val="none" w:sz="0" w:space="0" w:color="auto"/>
            <w:left w:val="none" w:sz="0" w:space="0" w:color="auto"/>
            <w:bottom w:val="none" w:sz="0" w:space="0" w:color="auto"/>
            <w:right w:val="none" w:sz="0" w:space="0" w:color="auto"/>
          </w:divBdr>
        </w:div>
        <w:div w:id="1676953107">
          <w:marLeft w:val="0"/>
          <w:marRight w:val="0"/>
          <w:marTop w:val="0"/>
          <w:marBottom w:val="0"/>
          <w:divBdr>
            <w:top w:val="none" w:sz="0" w:space="0" w:color="auto"/>
            <w:left w:val="none" w:sz="0" w:space="0" w:color="auto"/>
            <w:bottom w:val="none" w:sz="0" w:space="0" w:color="auto"/>
            <w:right w:val="none" w:sz="0" w:space="0" w:color="auto"/>
          </w:divBdr>
        </w:div>
        <w:div w:id="1836723565">
          <w:marLeft w:val="0"/>
          <w:marRight w:val="0"/>
          <w:marTop w:val="0"/>
          <w:marBottom w:val="0"/>
          <w:divBdr>
            <w:top w:val="none" w:sz="0" w:space="0" w:color="auto"/>
            <w:left w:val="none" w:sz="0" w:space="0" w:color="auto"/>
            <w:bottom w:val="none" w:sz="0" w:space="0" w:color="auto"/>
            <w:right w:val="none" w:sz="0" w:space="0" w:color="auto"/>
          </w:divBdr>
        </w:div>
      </w:divsChild>
    </w:div>
    <w:div w:id="975332804">
      <w:bodyDiv w:val="1"/>
      <w:marLeft w:val="0"/>
      <w:marRight w:val="0"/>
      <w:marTop w:val="0"/>
      <w:marBottom w:val="0"/>
      <w:divBdr>
        <w:top w:val="none" w:sz="0" w:space="0" w:color="auto"/>
        <w:left w:val="none" w:sz="0" w:space="0" w:color="auto"/>
        <w:bottom w:val="none" w:sz="0" w:space="0" w:color="auto"/>
        <w:right w:val="none" w:sz="0" w:space="0" w:color="auto"/>
      </w:divBdr>
      <w:divsChild>
        <w:div w:id="241454327">
          <w:marLeft w:val="0"/>
          <w:marRight w:val="0"/>
          <w:marTop w:val="0"/>
          <w:marBottom w:val="0"/>
          <w:divBdr>
            <w:top w:val="none" w:sz="0" w:space="0" w:color="auto"/>
            <w:left w:val="none" w:sz="0" w:space="0" w:color="auto"/>
            <w:bottom w:val="none" w:sz="0" w:space="0" w:color="auto"/>
            <w:right w:val="none" w:sz="0" w:space="0" w:color="auto"/>
          </w:divBdr>
          <w:divsChild>
            <w:div w:id="605384525">
              <w:marLeft w:val="-75"/>
              <w:marRight w:val="0"/>
              <w:marTop w:val="30"/>
              <w:marBottom w:val="30"/>
              <w:divBdr>
                <w:top w:val="none" w:sz="0" w:space="0" w:color="auto"/>
                <w:left w:val="none" w:sz="0" w:space="0" w:color="auto"/>
                <w:bottom w:val="none" w:sz="0" w:space="0" w:color="auto"/>
                <w:right w:val="none" w:sz="0" w:space="0" w:color="auto"/>
              </w:divBdr>
              <w:divsChild>
                <w:div w:id="14426376">
                  <w:marLeft w:val="0"/>
                  <w:marRight w:val="0"/>
                  <w:marTop w:val="0"/>
                  <w:marBottom w:val="0"/>
                  <w:divBdr>
                    <w:top w:val="none" w:sz="0" w:space="0" w:color="auto"/>
                    <w:left w:val="none" w:sz="0" w:space="0" w:color="auto"/>
                    <w:bottom w:val="none" w:sz="0" w:space="0" w:color="auto"/>
                    <w:right w:val="none" w:sz="0" w:space="0" w:color="auto"/>
                  </w:divBdr>
                  <w:divsChild>
                    <w:div w:id="2109544506">
                      <w:marLeft w:val="0"/>
                      <w:marRight w:val="0"/>
                      <w:marTop w:val="0"/>
                      <w:marBottom w:val="0"/>
                      <w:divBdr>
                        <w:top w:val="none" w:sz="0" w:space="0" w:color="auto"/>
                        <w:left w:val="none" w:sz="0" w:space="0" w:color="auto"/>
                        <w:bottom w:val="none" w:sz="0" w:space="0" w:color="auto"/>
                        <w:right w:val="none" w:sz="0" w:space="0" w:color="auto"/>
                      </w:divBdr>
                    </w:div>
                  </w:divsChild>
                </w:div>
                <w:div w:id="71322629">
                  <w:marLeft w:val="0"/>
                  <w:marRight w:val="0"/>
                  <w:marTop w:val="0"/>
                  <w:marBottom w:val="0"/>
                  <w:divBdr>
                    <w:top w:val="none" w:sz="0" w:space="0" w:color="auto"/>
                    <w:left w:val="none" w:sz="0" w:space="0" w:color="auto"/>
                    <w:bottom w:val="none" w:sz="0" w:space="0" w:color="auto"/>
                    <w:right w:val="none" w:sz="0" w:space="0" w:color="auto"/>
                  </w:divBdr>
                  <w:divsChild>
                    <w:div w:id="218831080">
                      <w:marLeft w:val="0"/>
                      <w:marRight w:val="0"/>
                      <w:marTop w:val="0"/>
                      <w:marBottom w:val="0"/>
                      <w:divBdr>
                        <w:top w:val="none" w:sz="0" w:space="0" w:color="auto"/>
                        <w:left w:val="none" w:sz="0" w:space="0" w:color="auto"/>
                        <w:bottom w:val="none" w:sz="0" w:space="0" w:color="auto"/>
                        <w:right w:val="none" w:sz="0" w:space="0" w:color="auto"/>
                      </w:divBdr>
                    </w:div>
                  </w:divsChild>
                </w:div>
                <w:div w:id="80757750">
                  <w:marLeft w:val="0"/>
                  <w:marRight w:val="0"/>
                  <w:marTop w:val="0"/>
                  <w:marBottom w:val="0"/>
                  <w:divBdr>
                    <w:top w:val="none" w:sz="0" w:space="0" w:color="auto"/>
                    <w:left w:val="none" w:sz="0" w:space="0" w:color="auto"/>
                    <w:bottom w:val="none" w:sz="0" w:space="0" w:color="auto"/>
                    <w:right w:val="none" w:sz="0" w:space="0" w:color="auto"/>
                  </w:divBdr>
                  <w:divsChild>
                    <w:div w:id="2017414123">
                      <w:marLeft w:val="0"/>
                      <w:marRight w:val="0"/>
                      <w:marTop w:val="0"/>
                      <w:marBottom w:val="0"/>
                      <w:divBdr>
                        <w:top w:val="none" w:sz="0" w:space="0" w:color="auto"/>
                        <w:left w:val="none" w:sz="0" w:space="0" w:color="auto"/>
                        <w:bottom w:val="none" w:sz="0" w:space="0" w:color="auto"/>
                        <w:right w:val="none" w:sz="0" w:space="0" w:color="auto"/>
                      </w:divBdr>
                    </w:div>
                  </w:divsChild>
                </w:div>
                <w:div w:id="93988497">
                  <w:marLeft w:val="0"/>
                  <w:marRight w:val="0"/>
                  <w:marTop w:val="0"/>
                  <w:marBottom w:val="0"/>
                  <w:divBdr>
                    <w:top w:val="none" w:sz="0" w:space="0" w:color="auto"/>
                    <w:left w:val="none" w:sz="0" w:space="0" w:color="auto"/>
                    <w:bottom w:val="none" w:sz="0" w:space="0" w:color="auto"/>
                    <w:right w:val="none" w:sz="0" w:space="0" w:color="auto"/>
                  </w:divBdr>
                  <w:divsChild>
                    <w:div w:id="1677417809">
                      <w:marLeft w:val="0"/>
                      <w:marRight w:val="0"/>
                      <w:marTop w:val="0"/>
                      <w:marBottom w:val="0"/>
                      <w:divBdr>
                        <w:top w:val="none" w:sz="0" w:space="0" w:color="auto"/>
                        <w:left w:val="none" w:sz="0" w:space="0" w:color="auto"/>
                        <w:bottom w:val="none" w:sz="0" w:space="0" w:color="auto"/>
                        <w:right w:val="none" w:sz="0" w:space="0" w:color="auto"/>
                      </w:divBdr>
                    </w:div>
                  </w:divsChild>
                </w:div>
                <w:div w:id="94061750">
                  <w:marLeft w:val="0"/>
                  <w:marRight w:val="0"/>
                  <w:marTop w:val="0"/>
                  <w:marBottom w:val="0"/>
                  <w:divBdr>
                    <w:top w:val="none" w:sz="0" w:space="0" w:color="auto"/>
                    <w:left w:val="none" w:sz="0" w:space="0" w:color="auto"/>
                    <w:bottom w:val="none" w:sz="0" w:space="0" w:color="auto"/>
                    <w:right w:val="none" w:sz="0" w:space="0" w:color="auto"/>
                  </w:divBdr>
                  <w:divsChild>
                    <w:div w:id="605623784">
                      <w:marLeft w:val="0"/>
                      <w:marRight w:val="0"/>
                      <w:marTop w:val="0"/>
                      <w:marBottom w:val="0"/>
                      <w:divBdr>
                        <w:top w:val="none" w:sz="0" w:space="0" w:color="auto"/>
                        <w:left w:val="none" w:sz="0" w:space="0" w:color="auto"/>
                        <w:bottom w:val="none" w:sz="0" w:space="0" w:color="auto"/>
                        <w:right w:val="none" w:sz="0" w:space="0" w:color="auto"/>
                      </w:divBdr>
                    </w:div>
                  </w:divsChild>
                </w:div>
                <w:div w:id="109056187">
                  <w:marLeft w:val="0"/>
                  <w:marRight w:val="0"/>
                  <w:marTop w:val="0"/>
                  <w:marBottom w:val="0"/>
                  <w:divBdr>
                    <w:top w:val="none" w:sz="0" w:space="0" w:color="auto"/>
                    <w:left w:val="none" w:sz="0" w:space="0" w:color="auto"/>
                    <w:bottom w:val="none" w:sz="0" w:space="0" w:color="auto"/>
                    <w:right w:val="none" w:sz="0" w:space="0" w:color="auto"/>
                  </w:divBdr>
                  <w:divsChild>
                    <w:div w:id="1958220141">
                      <w:marLeft w:val="0"/>
                      <w:marRight w:val="0"/>
                      <w:marTop w:val="0"/>
                      <w:marBottom w:val="0"/>
                      <w:divBdr>
                        <w:top w:val="none" w:sz="0" w:space="0" w:color="auto"/>
                        <w:left w:val="none" w:sz="0" w:space="0" w:color="auto"/>
                        <w:bottom w:val="none" w:sz="0" w:space="0" w:color="auto"/>
                        <w:right w:val="none" w:sz="0" w:space="0" w:color="auto"/>
                      </w:divBdr>
                    </w:div>
                  </w:divsChild>
                </w:div>
                <w:div w:id="121266266">
                  <w:marLeft w:val="0"/>
                  <w:marRight w:val="0"/>
                  <w:marTop w:val="0"/>
                  <w:marBottom w:val="0"/>
                  <w:divBdr>
                    <w:top w:val="none" w:sz="0" w:space="0" w:color="auto"/>
                    <w:left w:val="none" w:sz="0" w:space="0" w:color="auto"/>
                    <w:bottom w:val="none" w:sz="0" w:space="0" w:color="auto"/>
                    <w:right w:val="none" w:sz="0" w:space="0" w:color="auto"/>
                  </w:divBdr>
                  <w:divsChild>
                    <w:div w:id="873008025">
                      <w:marLeft w:val="0"/>
                      <w:marRight w:val="0"/>
                      <w:marTop w:val="0"/>
                      <w:marBottom w:val="0"/>
                      <w:divBdr>
                        <w:top w:val="none" w:sz="0" w:space="0" w:color="auto"/>
                        <w:left w:val="none" w:sz="0" w:space="0" w:color="auto"/>
                        <w:bottom w:val="none" w:sz="0" w:space="0" w:color="auto"/>
                        <w:right w:val="none" w:sz="0" w:space="0" w:color="auto"/>
                      </w:divBdr>
                    </w:div>
                  </w:divsChild>
                </w:div>
                <w:div w:id="129368429">
                  <w:marLeft w:val="0"/>
                  <w:marRight w:val="0"/>
                  <w:marTop w:val="0"/>
                  <w:marBottom w:val="0"/>
                  <w:divBdr>
                    <w:top w:val="none" w:sz="0" w:space="0" w:color="auto"/>
                    <w:left w:val="none" w:sz="0" w:space="0" w:color="auto"/>
                    <w:bottom w:val="none" w:sz="0" w:space="0" w:color="auto"/>
                    <w:right w:val="none" w:sz="0" w:space="0" w:color="auto"/>
                  </w:divBdr>
                  <w:divsChild>
                    <w:div w:id="462356617">
                      <w:marLeft w:val="0"/>
                      <w:marRight w:val="0"/>
                      <w:marTop w:val="0"/>
                      <w:marBottom w:val="0"/>
                      <w:divBdr>
                        <w:top w:val="none" w:sz="0" w:space="0" w:color="auto"/>
                        <w:left w:val="none" w:sz="0" w:space="0" w:color="auto"/>
                        <w:bottom w:val="none" w:sz="0" w:space="0" w:color="auto"/>
                        <w:right w:val="none" w:sz="0" w:space="0" w:color="auto"/>
                      </w:divBdr>
                    </w:div>
                  </w:divsChild>
                </w:div>
                <w:div w:id="133374271">
                  <w:marLeft w:val="0"/>
                  <w:marRight w:val="0"/>
                  <w:marTop w:val="0"/>
                  <w:marBottom w:val="0"/>
                  <w:divBdr>
                    <w:top w:val="none" w:sz="0" w:space="0" w:color="auto"/>
                    <w:left w:val="none" w:sz="0" w:space="0" w:color="auto"/>
                    <w:bottom w:val="none" w:sz="0" w:space="0" w:color="auto"/>
                    <w:right w:val="none" w:sz="0" w:space="0" w:color="auto"/>
                  </w:divBdr>
                  <w:divsChild>
                    <w:div w:id="878780388">
                      <w:marLeft w:val="0"/>
                      <w:marRight w:val="0"/>
                      <w:marTop w:val="0"/>
                      <w:marBottom w:val="0"/>
                      <w:divBdr>
                        <w:top w:val="none" w:sz="0" w:space="0" w:color="auto"/>
                        <w:left w:val="none" w:sz="0" w:space="0" w:color="auto"/>
                        <w:bottom w:val="none" w:sz="0" w:space="0" w:color="auto"/>
                        <w:right w:val="none" w:sz="0" w:space="0" w:color="auto"/>
                      </w:divBdr>
                    </w:div>
                  </w:divsChild>
                </w:div>
                <w:div w:id="147720269">
                  <w:marLeft w:val="0"/>
                  <w:marRight w:val="0"/>
                  <w:marTop w:val="0"/>
                  <w:marBottom w:val="0"/>
                  <w:divBdr>
                    <w:top w:val="none" w:sz="0" w:space="0" w:color="auto"/>
                    <w:left w:val="none" w:sz="0" w:space="0" w:color="auto"/>
                    <w:bottom w:val="none" w:sz="0" w:space="0" w:color="auto"/>
                    <w:right w:val="none" w:sz="0" w:space="0" w:color="auto"/>
                  </w:divBdr>
                  <w:divsChild>
                    <w:div w:id="263462217">
                      <w:marLeft w:val="0"/>
                      <w:marRight w:val="0"/>
                      <w:marTop w:val="0"/>
                      <w:marBottom w:val="0"/>
                      <w:divBdr>
                        <w:top w:val="none" w:sz="0" w:space="0" w:color="auto"/>
                        <w:left w:val="none" w:sz="0" w:space="0" w:color="auto"/>
                        <w:bottom w:val="none" w:sz="0" w:space="0" w:color="auto"/>
                        <w:right w:val="none" w:sz="0" w:space="0" w:color="auto"/>
                      </w:divBdr>
                    </w:div>
                  </w:divsChild>
                </w:div>
                <w:div w:id="156111886">
                  <w:marLeft w:val="0"/>
                  <w:marRight w:val="0"/>
                  <w:marTop w:val="0"/>
                  <w:marBottom w:val="0"/>
                  <w:divBdr>
                    <w:top w:val="none" w:sz="0" w:space="0" w:color="auto"/>
                    <w:left w:val="none" w:sz="0" w:space="0" w:color="auto"/>
                    <w:bottom w:val="none" w:sz="0" w:space="0" w:color="auto"/>
                    <w:right w:val="none" w:sz="0" w:space="0" w:color="auto"/>
                  </w:divBdr>
                  <w:divsChild>
                    <w:div w:id="161437255">
                      <w:marLeft w:val="0"/>
                      <w:marRight w:val="0"/>
                      <w:marTop w:val="0"/>
                      <w:marBottom w:val="0"/>
                      <w:divBdr>
                        <w:top w:val="none" w:sz="0" w:space="0" w:color="auto"/>
                        <w:left w:val="none" w:sz="0" w:space="0" w:color="auto"/>
                        <w:bottom w:val="none" w:sz="0" w:space="0" w:color="auto"/>
                        <w:right w:val="none" w:sz="0" w:space="0" w:color="auto"/>
                      </w:divBdr>
                    </w:div>
                  </w:divsChild>
                </w:div>
                <w:div w:id="197205593">
                  <w:marLeft w:val="0"/>
                  <w:marRight w:val="0"/>
                  <w:marTop w:val="0"/>
                  <w:marBottom w:val="0"/>
                  <w:divBdr>
                    <w:top w:val="none" w:sz="0" w:space="0" w:color="auto"/>
                    <w:left w:val="none" w:sz="0" w:space="0" w:color="auto"/>
                    <w:bottom w:val="none" w:sz="0" w:space="0" w:color="auto"/>
                    <w:right w:val="none" w:sz="0" w:space="0" w:color="auto"/>
                  </w:divBdr>
                  <w:divsChild>
                    <w:div w:id="1626810728">
                      <w:marLeft w:val="0"/>
                      <w:marRight w:val="0"/>
                      <w:marTop w:val="0"/>
                      <w:marBottom w:val="0"/>
                      <w:divBdr>
                        <w:top w:val="none" w:sz="0" w:space="0" w:color="auto"/>
                        <w:left w:val="none" w:sz="0" w:space="0" w:color="auto"/>
                        <w:bottom w:val="none" w:sz="0" w:space="0" w:color="auto"/>
                        <w:right w:val="none" w:sz="0" w:space="0" w:color="auto"/>
                      </w:divBdr>
                    </w:div>
                  </w:divsChild>
                </w:div>
                <w:div w:id="208230586">
                  <w:marLeft w:val="0"/>
                  <w:marRight w:val="0"/>
                  <w:marTop w:val="0"/>
                  <w:marBottom w:val="0"/>
                  <w:divBdr>
                    <w:top w:val="none" w:sz="0" w:space="0" w:color="auto"/>
                    <w:left w:val="none" w:sz="0" w:space="0" w:color="auto"/>
                    <w:bottom w:val="none" w:sz="0" w:space="0" w:color="auto"/>
                    <w:right w:val="none" w:sz="0" w:space="0" w:color="auto"/>
                  </w:divBdr>
                  <w:divsChild>
                    <w:div w:id="184489258">
                      <w:marLeft w:val="0"/>
                      <w:marRight w:val="0"/>
                      <w:marTop w:val="0"/>
                      <w:marBottom w:val="0"/>
                      <w:divBdr>
                        <w:top w:val="none" w:sz="0" w:space="0" w:color="auto"/>
                        <w:left w:val="none" w:sz="0" w:space="0" w:color="auto"/>
                        <w:bottom w:val="none" w:sz="0" w:space="0" w:color="auto"/>
                        <w:right w:val="none" w:sz="0" w:space="0" w:color="auto"/>
                      </w:divBdr>
                    </w:div>
                  </w:divsChild>
                </w:div>
                <w:div w:id="222912856">
                  <w:marLeft w:val="0"/>
                  <w:marRight w:val="0"/>
                  <w:marTop w:val="0"/>
                  <w:marBottom w:val="0"/>
                  <w:divBdr>
                    <w:top w:val="none" w:sz="0" w:space="0" w:color="auto"/>
                    <w:left w:val="none" w:sz="0" w:space="0" w:color="auto"/>
                    <w:bottom w:val="none" w:sz="0" w:space="0" w:color="auto"/>
                    <w:right w:val="none" w:sz="0" w:space="0" w:color="auto"/>
                  </w:divBdr>
                  <w:divsChild>
                    <w:div w:id="357704740">
                      <w:marLeft w:val="0"/>
                      <w:marRight w:val="0"/>
                      <w:marTop w:val="0"/>
                      <w:marBottom w:val="0"/>
                      <w:divBdr>
                        <w:top w:val="none" w:sz="0" w:space="0" w:color="auto"/>
                        <w:left w:val="none" w:sz="0" w:space="0" w:color="auto"/>
                        <w:bottom w:val="none" w:sz="0" w:space="0" w:color="auto"/>
                        <w:right w:val="none" w:sz="0" w:space="0" w:color="auto"/>
                      </w:divBdr>
                    </w:div>
                  </w:divsChild>
                </w:div>
                <w:div w:id="233517815">
                  <w:marLeft w:val="0"/>
                  <w:marRight w:val="0"/>
                  <w:marTop w:val="0"/>
                  <w:marBottom w:val="0"/>
                  <w:divBdr>
                    <w:top w:val="none" w:sz="0" w:space="0" w:color="auto"/>
                    <w:left w:val="none" w:sz="0" w:space="0" w:color="auto"/>
                    <w:bottom w:val="none" w:sz="0" w:space="0" w:color="auto"/>
                    <w:right w:val="none" w:sz="0" w:space="0" w:color="auto"/>
                  </w:divBdr>
                  <w:divsChild>
                    <w:div w:id="1797984591">
                      <w:marLeft w:val="0"/>
                      <w:marRight w:val="0"/>
                      <w:marTop w:val="0"/>
                      <w:marBottom w:val="0"/>
                      <w:divBdr>
                        <w:top w:val="none" w:sz="0" w:space="0" w:color="auto"/>
                        <w:left w:val="none" w:sz="0" w:space="0" w:color="auto"/>
                        <w:bottom w:val="none" w:sz="0" w:space="0" w:color="auto"/>
                        <w:right w:val="none" w:sz="0" w:space="0" w:color="auto"/>
                      </w:divBdr>
                    </w:div>
                  </w:divsChild>
                </w:div>
                <w:div w:id="237634063">
                  <w:marLeft w:val="0"/>
                  <w:marRight w:val="0"/>
                  <w:marTop w:val="0"/>
                  <w:marBottom w:val="0"/>
                  <w:divBdr>
                    <w:top w:val="none" w:sz="0" w:space="0" w:color="auto"/>
                    <w:left w:val="none" w:sz="0" w:space="0" w:color="auto"/>
                    <w:bottom w:val="none" w:sz="0" w:space="0" w:color="auto"/>
                    <w:right w:val="none" w:sz="0" w:space="0" w:color="auto"/>
                  </w:divBdr>
                  <w:divsChild>
                    <w:div w:id="181743463">
                      <w:marLeft w:val="0"/>
                      <w:marRight w:val="0"/>
                      <w:marTop w:val="0"/>
                      <w:marBottom w:val="0"/>
                      <w:divBdr>
                        <w:top w:val="none" w:sz="0" w:space="0" w:color="auto"/>
                        <w:left w:val="none" w:sz="0" w:space="0" w:color="auto"/>
                        <w:bottom w:val="none" w:sz="0" w:space="0" w:color="auto"/>
                        <w:right w:val="none" w:sz="0" w:space="0" w:color="auto"/>
                      </w:divBdr>
                    </w:div>
                  </w:divsChild>
                </w:div>
                <w:div w:id="238517425">
                  <w:marLeft w:val="0"/>
                  <w:marRight w:val="0"/>
                  <w:marTop w:val="0"/>
                  <w:marBottom w:val="0"/>
                  <w:divBdr>
                    <w:top w:val="none" w:sz="0" w:space="0" w:color="auto"/>
                    <w:left w:val="none" w:sz="0" w:space="0" w:color="auto"/>
                    <w:bottom w:val="none" w:sz="0" w:space="0" w:color="auto"/>
                    <w:right w:val="none" w:sz="0" w:space="0" w:color="auto"/>
                  </w:divBdr>
                  <w:divsChild>
                    <w:div w:id="1043024805">
                      <w:marLeft w:val="0"/>
                      <w:marRight w:val="0"/>
                      <w:marTop w:val="0"/>
                      <w:marBottom w:val="0"/>
                      <w:divBdr>
                        <w:top w:val="none" w:sz="0" w:space="0" w:color="auto"/>
                        <w:left w:val="none" w:sz="0" w:space="0" w:color="auto"/>
                        <w:bottom w:val="none" w:sz="0" w:space="0" w:color="auto"/>
                        <w:right w:val="none" w:sz="0" w:space="0" w:color="auto"/>
                      </w:divBdr>
                    </w:div>
                  </w:divsChild>
                </w:div>
                <w:div w:id="249587086">
                  <w:marLeft w:val="0"/>
                  <w:marRight w:val="0"/>
                  <w:marTop w:val="0"/>
                  <w:marBottom w:val="0"/>
                  <w:divBdr>
                    <w:top w:val="none" w:sz="0" w:space="0" w:color="auto"/>
                    <w:left w:val="none" w:sz="0" w:space="0" w:color="auto"/>
                    <w:bottom w:val="none" w:sz="0" w:space="0" w:color="auto"/>
                    <w:right w:val="none" w:sz="0" w:space="0" w:color="auto"/>
                  </w:divBdr>
                  <w:divsChild>
                    <w:div w:id="1962884411">
                      <w:marLeft w:val="0"/>
                      <w:marRight w:val="0"/>
                      <w:marTop w:val="0"/>
                      <w:marBottom w:val="0"/>
                      <w:divBdr>
                        <w:top w:val="none" w:sz="0" w:space="0" w:color="auto"/>
                        <w:left w:val="none" w:sz="0" w:space="0" w:color="auto"/>
                        <w:bottom w:val="none" w:sz="0" w:space="0" w:color="auto"/>
                        <w:right w:val="none" w:sz="0" w:space="0" w:color="auto"/>
                      </w:divBdr>
                    </w:div>
                  </w:divsChild>
                </w:div>
                <w:div w:id="274093377">
                  <w:marLeft w:val="0"/>
                  <w:marRight w:val="0"/>
                  <w:marTop w:val="0"/>
                  <w:marBottom w:val="0"/>
                  <w:divBdr>
                    <w:top w:val="none" w:sz="0" w:space="0" w:color="auto"/>
                    <w:left w:val="none" w:sz="0" w:space="0" w:color="auto"/>
                    <w:bottom w:val="none" w:sz="0" w:space="0" w:color="auto"/>
                    <w:right w:val="none" w:sz="0" w:space="0" w:color="auto"/>
                  </w:divBdr>
                  <w:divsChild>
                    <w:div w:id="1946188278">
                      <w:marLeft w:val="0"/>
                      <w:marRight w:val="0"/>
                      <w:marTop w:val="0"/>
                      <w:marBottom w:val="0"/>
                      <w:divBdr>
                        <w:top w:val="none" w:sz="0" w:space="0" w:color="auto"/>
                        <w:left w:val="none" w:sz="0" w:space="0" w:color="auto"/>
                        <w:bottom w:val="none" w:sz="0" w:space="0" w:color="auto"/>
                        <w:right w:val="none" w:sz="0" w:space="0" w:color="auto"/>
                      </w:divBdr>
                    </w:div>
                  </w:divsChild>
                </w:div>
                <w:div w:id="326173169">
                  <w:marLeft w:val="0"/>
                  <w:marRight w:val="0"/>
                  <w:marTop w:val="0"/>
                  <w:marBottom w:val="0"/>
                  <w:divBdr>
                    <w:top w:val="none" w:sz="0" w:space="0" w:color="auto"/>
                    <w:left w:val="none" w:sz="0" w:space="0" w:color="auto"/>
                    <w:bottom w:val="none" w:sz="0" w:space="0" w:color="auto"/>
                    <w:right w:val="none" w:sz="0" w:space="0" w:color="auto"/>
                  </w:divBdr>
                  <w:divsChild>
                    <w:div w:id="477452545">
                      <w:marLeft w:val="0"/>
                      <w:marRight w:val="0"/>
                      <w:marTop w:val="0"/>
                      <w:marBottom w:val="0"/>
                      <w:divBdr>
                        <w:top w:val="none" w:sz="0" w:space="0" w:color="auto"/>
                        <w:left w:val="none" w:sz="0" w:space="0" w:color="auto"/>
                        <w:bottom w:val="none" w:sz="0" w:space="0" w:color="auto"/>
                        <w:right w:val="none" w:sz="0" w:space="0" w:color="auto"/>
                      </w:divBdr>
                    </w:div>
                  </w:divsChild>
                </w:div>
                <w:div w:id="327947813">
                  <w:marLeft w:val="0"/>
                  <w:marRight w:val="0"/>
                  <w:marTop w:val="0"/>
                  <w:marBottom w:val="0"/>
                  <w:divBdr>
                    <w:top w:val="none" w:sz="0" w:space="0" w:color="auto"/>
                    <w:left w:val="none" w:sz="0" w:space="0" w:color="auto"/>
                    <w:bottom w:val="none" w:sz="0" w:space="0" w:color="auto"/>
                    <w:right w:val="none" w:sz="0" w:space="0" w:color="auto"/>
                  </w:divBdr>
                  <w:divsChild>
                    <w:div w:id="1238637794">
                      <w:marLeft w:val="0"/>
                      <w:marRight w:val="0"/>
                      <w:marTop w:val="0"/>
                      <w:marBottom w:val="0"/>
                      <w:divBdr>
                        <w:top w:val="none" w:sz="0" w:space="0" w:color="auto"/>
                        <w:left w:val="none" w:sz="0" w:space="0" w:color="auto"/>
                        <w:bottom w:val="none" w:sz="0" w:space="0" w:color="auto"/>
                        <w:right w:val="none" w:sz="0" w:space="0" w:color="auto"/>
                      </w:divBdr>
                    </w:div>
                  </w:divsChild>
                </w:div>
                <w:div w:id="334457847">
                  <w:marLeft w:val="0"/>
                  <w:marRight w:val="0"/>
                  <w:marTop w:val="0"/>
                  <w:marBottom w:val="0"/>
                  <w:divBdr>
                    <w:top w:val="none" w:sz="0" w:space="0" w:color="auto"/>
                    <w:left w:val="none" w:sz="0" w:space="0" w:color="auto"/>
                    <w:bottom w:val="none" w:sz="0" w:space="0" w:color="auto"/>
                    <w:right w:val="none" w:sz="0" w:space="0" w:color="auto"/>
                  </w:divBdr>
                  <w:divsChild>
                    <w:div w:id="1669821338">
                      <w:marLeft w:val="0"/>
                      <w:marRight w:val="0"/>
                      <w:marTop w:val="0"/>
                      <w:marBottom w:val="0"/>
                      <w:divBdr>
                        <w:top w:val="none" w:sz="0" w:space="0" w:color="auto"/>
                        <w:left w:val="none" w:sz="0" w:space="0" w:color="auto"/>
                        <w:bottom w:val="none" w:sz="0" w:space="0" w:color="auto"/>
                        <w:right w:val="none" w:sz="0" w:space="0" w:color="auto"/>
                      </w:divBdr>
                    </w:div>
                  </w:divsChild>
                </w:div>
                <w:div w:id="353194480">
                  <w:marLeft w:val="0"/>
                  <w:marRight w:val="0"/>
                  <w:marTop w:val="0"/>
                  <w:marBottom w:val="0"/>
                  <w:divBdr>
                    <w:top w:val="none" w:sz="0" w:space="0" w:color="auto"/>
                    <w:left w:val="none" w:sz="0" w:space="0" w:color="auto"/>
                    <w:bottom w:val="none" w:sz="0" w:space="0" w:color="auto"/>
                    <w:right w:val="none" w:sz="0" w:space="0" w:color="auto"/>
                  </w:divBdr>
                  <w:divsChild>
                    <w:div w:id="1564682277">
                      <w:marLeft w:val="0"/>
                      <w:marRight w:val="0"/>
                      <w:marTop w:val="0"/>
                      <w:marBottom w:val="0"/>
                      <w:divBdr>
                        <w:top w:val="none" w:sz="0" w:space="0" w:color="auto"/>
                        <w:left w:val="none" w:sz="0" w:space="0" w:color="auto"/>
                        <w:bottom w:val="none" w:sz="0" w:space="0" w:color="auto"/>
                        <w:right w:val="none" w:sz="0" w:space="0" w:color="auto"/>
                      </w:divBdr>
                    </w:div>
                  </w:divsChild>
                </w:div>
                <w:div w:id="391584685">
                  <w:marLeft w:val="0"/>
                  <w:marRight w:val="0"/>
                  <w:marTop w:val="0"/>
                  <w:marBottom w:val="0"/>
                  <w:divBdr>
                    <w:top w:val="none" w:sz="0" w:space="0" w:color="auto"/>
                    <w:left w:val="none" w:sz="0" w:space="0" w:color="auto"/>
                    <w:bottom w:val="none" w:sz="0" w:space="0" w:color="auto"/>
                    <w:right w:val="none" w:sz="0" w:space="0" w:color="auto"/>
                  </w:divBdr>
                  <w:divsChild>
                    <w:div w:id="2080128138">
                      <w:marLeft w:val="0"/>
                      <w:marRight w:val="0"/>
                      <w:marTop w:val="0"/>
                      <w:marBottom w:val="0"/>
                      <w:divBdr>
                        <w:top w:val="none" w:sz="0" w:space="0" w:color="auto"/>
                        <w:left w:val="none" w:sz="0" w:space="0" w:color="auto"/>
                        <w:bottom w:val="none" w:sz="0" w:space="0" w:color="auto"/>
                        <w:right w:val="none" w:sz="0" w:space="0" w:color="auto"/>
                      </w:divBdr>
                    </w:div>
                  </w:divsChild>
                </w:div>
                <w:div w:id="398525116">
                  <w:marLeft w:val="0"/>
                  <w:marRight w:val="0"/>
                  <w:marTop w:val="0"/>
                  <w:marBottom w:val="0"/>
                  <w:divBdr>
                    <w:top w:val="none" w:sz="0" w:space="0" w:color="auto"/>
                    <w:left w:val="none" w:sz="0" w:space="0" w:color="auto"/>
                    <w:bottom w:val="none" w:sz="0" w:space="0" w:color="auto"/>
                    <w:right w:val="none" w:sz="0" w:space="0" w:color="auto"/>
                  </w:divBdr>
                  <w:divsChild>
                    <w:div w:id="1470199236">
                      <w:marLeft w:val="0"/>
                      <w:marRight w:val="0"/>
                      <w:marTop w:val="0"/>
                      <w:marBottom w:val="0"/>
                      <w:divBdr>
                        <w:top w:val="none" w:sz="0" w:space="0" w:color="auto"/>
                        <w:left w:val="none" w:sz="0" w:space="0" w:color="auto"/>
                        <w:bottom w:val="none" w:sz="0" w:space="0" w:color="auto"/>
                        <w:right w:val="none" w:sz="0" w:space="0" w:color="auto"/>
                      </w:divBdr>
                    </w:div>
                  </w:divsChild>
                </w:div>
                <w:div w:id="398983396">
                  <w:marLeft w:val="0"/>
                  <w:marRight w:val="0"/>
                  <w:marTop w:val="0"/>
                  <w:marBottom w:val="0"/>
                  <w:divBdr>
                    <w:top w:val="none" w:sz="0" w:space="0" w:color="auto"/>
                    <w:left w:val="none" w:sz="0" w:space="0" w:color="auto"/>
                    <w:bottom w:val="none" w:sz="0" w:space="0" w:color="auto"/>
                    <w:right w:val="none" w:sz="0" w:space="0" w:color="auto"/>
                  </w:divBdr>
                  <w:divsChild>
                    <w:div w:id="1887335393">
                      <w:marLeft w:val="0"/>
                      <w:marRight w:val="0"/>
                      <w:marTop w:val="0"/>
                      <w:marBottom w:val="0"/>
                      <w:divBdr>
                        <w:top w:val="none" w:sz="0" w:space="0" w:color="auto"/>
                        <w:left w:val="none" w:sz="0" w:space="0" w:color="auto"/>
                        <w:bottom w:val="none" w:sz="0" w:space="0" w:color="auto"/>
                        <w:right w:val="none" w:sz="0" w:space="0" w:color="auto"/>
                      </w:divBdr>
                    </w:div>
                  </w:divsChild>
                </w:div>
                <w:div w:id="437994714">
                  <w:marLeft w:val="0"/>
                  <w:marRight w:val="0"/>
                  <w:marTop w:val="0"/>
                  <w:marBottom w:val="0"/>
                  <w:divBdr>
                    <w:top w:val="none" w:sz="0" w:space="0" w:color="auto"/>
                    <w:left w:val="none" w:sz="0" w:space="0" w:color="auto"/>
                    <w:bottom w:val="none" w:sz="0" w:space="0" w:color="auto"/>
                    <w:right w:val="none" w:sz="0" w:space="0" w:color="auto"/>
                  </w:divBdr>
                  <w:divsChild>
                    <w:div w:id="43263620">
                      <w:marLeft w:val="0"/>
                      <w:marRight w:val="0"/>
                      <w:marTop w:val="0"/>
                      <w:marBottom w:val="0"/>
                      <w:divBdr>
                        <w:top w:val="none" w:sz="0" w:space="0" w:color="auto"/>
                        <w:left w:val="none" w:sz="0" w:space="0" w:color="auto"/>
                        <w:bottom w:val="none" w:sz="0" w:space="0" w:color="auto"/>
                        <w:right w:val="none" w:sz="0" w:space="0" w:color="auto"/>
                      </w:divBdr>
                    </w:div>
                  </w:divsChild>
                </w:div>
                <w:div w:id="441649850">
                  <w:marLeft w:val="0"/>
                  <w:marRight w:val="0"/>
                  <w:marTop w:val="0"/>
                  <w:marBottom w:val="0"/>
                  <w:divBdr>
                    <w:top w:val="none" w:sz="0" w:space="0" w:color="auto"/>
                    <w:left w:val="none" w:sz="0" w:space="0" w:color="auto"/>
                    <w:bottom w:val="none" w:sz="0" w:space="0" w:color="auto"/>
                    <w:right w:val="none" w:sz="0" w:space="0" w:color="auto"/>
                  </w:divBdr>
                  <w:divsChild>
                    <w:div w:id="1137531077">
                      <w:marLeft w:val="0"/>
                      <w:marRight w:val="0"/>
                      <w:marTop w:val="0"/>
                      <w:marBottom w:val="0"/>
                      <w:divBdr>
                        <w:top w:val="none" w:sz="0" w:space="0" w:color="auto"/>
                        <w:left w:val="none" w:sz="0" w:space="0" w:color="auto"/>
                        <w:bottom w:val="none" w:sz="0" w:space="0" w:color="auto"/>
                        <w:right w:val="none" w:sz="0" w:space="0" w:color="auto"/>
                      </w:divBdr>
                    </w:div>
                  </w:divsChild>
                </w:div>
                <w:div w:id="448475504">
                  <w:marLeft w:val="0"/>
                  <w:marRight w:val="0"/>
                  <w:marTop w:val="0"/>
                  <w:marBottom w:val="0"/>
                  <w:divBdr>
                    <w:top w:val="none" w:sz="0" w:space="0" w:color="auto"/>
                    <w:left w:val="none" w:sz="0" w:space="0" w:color="auto"/>
                    <w:bottom w:val="none" w:sz="0" w:space="0" w:color="auto"/>
                    <w:right w:val="none" w:sz="0" w:space="0" w:color="auto"/>
                  </w:divBdr>
                  <w:divsChild>
                    <w:div w:id="1414939063">
                      <w:marLeft w:val="0"/>
                      <w:marRight w:val="0"/>
                      <w:marTop w:val="0"/>
                      <w:marBottom w:val="0"/>
                      <w:divBdr>
                        <w:top w:val="none" w:sz="0" w:space="0" w:color="auto"/>
                        <w:left w:val="none" w:sz="0" w:space="0" w:color="auto"/>
                        <w:bottom w:val="none" w:sz="0" w:space="0" w:color="auto"/>
                        <w:right w:val="none" w:sz="0" w:space="0" w:color="auto"/>
                      </w:divBdr>
                    </w:div>
                  </w:divsChild>
                </w:div>
                <w:div w:id="471481437">
                  <w:marLeft w:val="0"/>
                  <w:marRight w:val="0"/>
                  <w:marTop w:val="0"/>
                  <w:marBottom w:val="0"/>
                  <w:divBdr>
                    <w:top w:val="none" w:sz="0" w:space="0" w:color="auto"/>
                    <w:left w:val="none" w:sz="0" w:space="0" w:color="auto"/>
                    <w:bottom w:val="none" w:sz="0" w:space="0" w:color="auto"/>
                    <w:right w:val="none" w:sz="0" w:space="0" w:color="auto"/>
                  </w:divBdr>
                  <w:divsChild>
                    <w:div w:id="652874704">
                      <w:marLeft w:val="0"/>
                      <w:marRight w:val="0"/>
                      <w:marTop w:val="0"/>
                      <w:marBottom w:val="0"/>
                      <w:divBdr>
                        <w:top w:val="none" w:sz="0" w:space="0" w:color="auto"/>
                        <w:left w:val="none" w:sz="0" w:space="0" w:color="auto"/>
                        <w:bottom w:val="none" w:sz="0" w:space="0" w:color="auto"/>
                        <w:right w:val="none" w:sz="0" w:space="0" w:color="auto"/>
                      </w:divBdr>
                    </w:div>
                  </w:divsChild>
                </w:div>
                <w:div w:id="494615210">
                  <w:marLeft w:val="0"/>
                  <w:marRight w:val="0"/>
                  <w:marTop w:val="0"/>
                  <w:marBottom w:val="0"/>
                  <w:divBdr>
                    <w:top w:val="none" w:sz="0" w:space="0" w:color="auto"/>
                    <w:left w:val="none" w:sz="0" w:space="0" w:color="auto"/>
                    <w:bottom w:val="none" w:sz="0" w:space="0" w:color="auto"/>
                    <w:right w:val="none" w:sz="0" w:space="0" w:color="auto"/>
                  </w:divBdr>
                  <w:divsChild>
                    <w:div w:id="175703134">
                      <w:marLeft w:val="0"/>
                      <w:marRight w:val="0"/>
                      <w:marTop w:val="0"/>
                      <w:marBottom w:val="0"/>
                      <w:divBdr>
                        <w:top w:val="none" w:sz="0" w:space="0" w:color="auto"/>
                        <w:left w:val="none" w:sz="0" w:space="0" w:color="auto"/>
                        <w:bottom w:val="none" w:sz="0" w:space="0" w:color="auto"/>
                        <w:right w:val="none" w:sz="0" w:space="0" w:color="auto"/>
                      </w:divBdr>
                    </w:div>
                  </w:divsChild>
                </w:div>
                <w:div w:id="525558763">
                  <w:marLeft w:val="0"/>
                  <w:marRight w:val="0"/>
                  <w:marTop w:val="0"/>
                  <w:marBottom w:val="0"/>
                  <w:divBdr>
                    <w:top w:val="none" w:sz="0" w:space="0" w:color="auto"/>
                    <w:left w:val="none" w:sz="0" w:space="0" w:color="auto"/>
                    <w:bottom w:val="none" w:sz="0" w:space="0" w:color="auto"/>
                    <w:right w:val="none" w:sz="0" w:space="0" w:color="auto"/>
                  </w:divBdr>
                  <w:divsChild>
                    <w:div w:id="334575140">
                      <w:marLeft w:val="0"/>
                      <w:marRight w:val="0"/>
                      <w:marTop w:val="0"/>
                      <w:marBottom w:val="0"/>
                      <w:divBdr>
                        <w:top w:val="none" w:sz="0" w:space="0" w:color="auto"/>
                        <w:left w:val="none" w:sz="0" w:space="0" w:color="auto"/>
                        <w:bottom w:val="none" w:sz="0" w:space="0" w:color="auto"/>
                        <w:right w:val="none" w:sz="0" w:space="0" w:color="auto"/>
                      </w:divBdr>
                    </w:div>
                  </w:divsChild>
                </w:div>
                <w:div w:id="533274588">
                  <w:marLeft w:val="0"/>
                  <w:marRight w:val="0"/>
                  <w:marTop w:val="0"/>
                  <w:marBottom w:val="0"/>
                  <w:divBdr>
                    <w:top w:val="none" w:sz="0" w:space="0" w:color="auto"/>
                    <w:left w:val="none" w:sz="0" w:space="0" w:color="auto"/>
                    <w:bottom w:val="none" w:sz="0" w:space="0" w:color="auto"/>
                    <w:right w:val="none" w:sz="0" w:space="0" w:color="auto"/>
                  </w:divBdr>
                  <w:divsChild>
                    <w:div w:id="1543519767">
                      <w:marLeft w:val="0"/>
                      <w:marRight w:val="0"/>
                      <w:marTop w:val="0"/>
                      <w:marBottom w:val="0"/>
                      <w:divBdr>
                        <w:top w:val="none" w:sz="0" w:space="0" w:color="auto"/>
                        <w:left w:val="none" w:sz="0" w:space="0" w:color="auto"/>
                        <w:bottom w:val="none" w:sz="0" w:space="0" w:color="auto"/>
                        <w:right w:val="none" w:sz="0" w:space="0" w:color="auto"/>
                      </w:divBdr>
                    </w:div>
                  </w:divsChild>
                </w:div>
                <w:div w:id="552161845">
                  <w:marLeft w:val="0"/>
                  <w:marRight w:val="0"/>
                  <w:marTop w:val="0"/>
                  <w:marBottom w:val="0"/>
                  <w:divBdr>
                    <w:top w:val="none" w:sz="0" w:space="0" w:color="auto"/>
                    <w:left w:val="none" w:sz="0" w:space="0" w:color="auto"/>
                    <w:bottom w:val="none" w:sz="0" w:space="0" w:color="auto"/>
                    <w:right w:val="none" w:sz="0" w:space="0" w:color="auto"/>
                  </w:divBdr>
                  <w:divsChild>
                    <w:div w:id="552665202">
                      <w:marLeft w:val="0"/>
                      <w:marRight w:val="0"/>
                      <w:marTop w:val="0"/>
                      <w:marBottom w:val="0"/>
                      <w:divBdr>
                        <w:top w:val="none" w:sz="0" w:space="0" w:color="auto"/>
                        <w:left w:val="none" w:sz="0" w:space="0" w:color="auto"/>
                        <w:bottom w:val="none" w:sz="0" w:space="0" w:color="auto"/>
                        <w:right w:val="none" w:sz="0" w:space="0" w:color="auto"/>
                      </w:divBdr>
                    </w:div>
                  </w:divsChild>
                </w:div>
                <w:div w:id="582683138">
                  <w:marLeft w:val="0"/>
                  <w:marRight w:val="0"/>
                  <w:marTop w:val="0"/>
                  <w:marBottom w:val="0"/>
                  <w:divBdr>
                    <w:top w:val="none" w:sz="0" w:space="0" w:color="auto"/>
                    <w:left w:val="none" w:sz="0" w:space="0" w:color="auto"/>
                    <w:bottom w:val="none" w:sz="0" w:space="0" w:color="auto"/>
                    <w:right w:val="none" w:sz="0" w:space="0" w:color="auto"/>
                  </w:divBdr>
                  <w:divsChild>
                    <w:div w:id="1116023248">
                      <w:marLeft w:val="0"/>
                      <w:marRight w:val="0"/>
                      <w:marTop w:val="0"/>
                      <w:marBottom w:val="0"/>
                      <w:divBdr>
                        <w:top w:val="none" w:sz="0" w:space="0" w:color="auto"/>
                        <w:left w:val="none" w:sz="0" w:space="0" w:color="auto"/>
                        <w:bottom w:val="none" w:sz="0" w:space="0" w:color="auto"/>
                        <w:right w:val="none" w:sz="0" w:space="0" w:color="auto"/>
                      </w:divBdr>
                    </w:div>
                  </w:divsChild>
                </w:div>
                <w:div w:id="602347121">
                  <w:marLeft w:val="0"/>
                  <w:marRight w:val="0"/>
                  <w:marTop w:val="0"/>
                  <w:marBottom w:val="0"/>
                  <w:divBdr>
                    <w:top w:val="none" w:sz="0" w:space="0" w:color="auto"/>
                    <w:left w:val="none" w:sz="0" w:space="0" w:color="auto"/>
                    <w:bottom w:val="none" w:sz="0" w:space="0" w:color="auto"/>
                    <w:right w:val="none" w:sz="0" w:space="0" w:color="auto"/>
                  </w:divBdr>
                  <w:divsChild>
                    <w:div w:id="1814323988">
                      <w:marLeft w:val="0"/>
                      <w:marRight w:val="0"/>
                      <w:marTop w:val="0"/>
                      <w:marBottom w:val="0"/>
                      <w:divBdr>
                        <w:top w:val="none" w:sz="0" w:space="0" w:color="auto"/>
                        <w:left w:val="none" w:sz="0" w:space="0" w:color="auto"/>
                        <w:bottom w:val="none" w:sz="0" w:space="0" w:color="auto"/>
                        <w:right w:val="none" w:sz="0" w:space="0" w:color="auto"/>
                      </w:divBdr>
                    </w:div>
                  </w:divsChild>
                </w:div>
                <w:div w:id="616251711">
                  <w:marLeft w:val="0"/>
                  <w:marRight w:val="0"/>
                  <w:marTop w:val="0"/>
                  <w:marBottom w:val="0"/>
                  <w:divBdr>
                    <w:top w:val="none" w:sz="0" w:space="0" w:color="auto"/>
                    <w:left w:val="none" w:sz="0" w:space="0" w:color="auto"/>
                    <w:bottom w:val="none" w:sz="0" w:space="0" w:color="auto"/>
                    <w:right w:val="none" w:sz="0" w:space="0" w:color="auto"/>
                  </w:divBdr>
                  <w:divsChild>
                    <w:div w:id="1978146929">
                      <w:marLeft w:val="0"/>
                      <w:marRight w:val="0"/>
                      <w:marTop w:val="0"/>
                      <w:marBottom w:val="0"/>
                      <w:divBdr>
                        <w:top w:val="none" w:sz="0" w:space="0" w:color="auto"/>
                        <w:left w:val="none" w:sz="0" w:space="0" w:color="auto"/>
                        <w:bottom w:val="none" w:sz="0" w:space="0" w:color="auto"/>
                        <w:right w:val="none" w:sz="0" w:space="0" w:color="auto"/>
                      </w:divBdr>
                    </w:div>
                  </w:divsChild>
                </w:div>
                <w:div w:id="635182988">
                  <w:marLeft w:val="0"/>
                  <w:marRight w:val="0"/>
                  <w:marTop w:val="0"/>
                  <w:marBottom w:val="0"/>
                  <w:divBdr>
                    <w:top w:val="none" w:sz="0" w:space="0" w:color="auto"/>
                    <w:left w:val="none" w:sz="0" w:space="0" w:color="auto"/>
                    <w:bottom w:val="none" w:sz="0" w:space="0" w:color="auto"/>
                    <w:right w:val="none" w:sz="0" w:space="0" w:color="auto"/>
                  </w:divBdr>
                  <w:divsChild>
                    <w:div w:id="1022123632">
                      <w:marLeft w:val="0"/>
                      <w:marRight w:val="0"/>
                      <w:marTop w:val="0"/>
                      <w:marBottom w:val="0"/>
                      <w:divBdr>
                        <w:top w:val="none" w:sz="0" w:space="0" w:color="auto"/>
                        <w:left w:val="none" w:sz="0" w:space="0" w:color="auto"/>
                        <w:bottom w:val="none" w:sz="0" w:space="0" w:color="auto"/>
                        <w:right w:val="none" w:sz="0" w:space="0" w:color="auto"/>
                      </w:divBdr>
                    </w:div>
                  </w:divsChild>
                </w:div>
                <w:div w:id="636450525">
                  <w:marLeft w:val="0"/>
                  <w:marRight w:val="0"/>
                  <w:marTop w:val="0"/>
                  <w:marBottom w:val="0"/>
                  <w:divBdr>
                    <w:top w:val="none" w:sz="0" w:space="0" w:color="auto"/>
                    <w:left w:val="none" w:sz="0" w:space="0" w:color="auto"/>
                    <w:bottom w:val="none" w:sz="0" w:space="0" w:color="auto"/>
                    <w:right w:val="none" w:sz="0" w:space="0" w:color="auto"/>
                  </w:divBdr>
                  <w:divsChild>
                    <w:div w:id="112411170">
                      <w:marLeft w:val="0"/>
                      <w:marRight w:val="0"/>
                      <w:marTop w:val="0"/>
                      <w:marBottom w:val="0"/>
                      <w:divBdr>
                        <w:top w:val="none" w:sz="0" w:space="0" w:color="auto"/>
                        <w:left w:val="none" w:sz="0" w:space="0" w:color="auto"/>
                        <w:bottom w:val="none" w:sz="0" w:space="0" w:color="auto"/>
                        <w:right w:val="none" w:sz="0" w:space="0" w:color="auto"/>
                      </w:divBdr>
                    </w:div>
                  </w:divsChild>
                </w:div>
                <w:div w:id="637801755">
                  <w:marLeft w:val="0"/>
                  <w:marRight w:val="0"/>
                  <w:marTop w:val="0"/>
                  <w:marBottom w:val="0"/>
                  <w:divBdr>
                    <w:top w:val="none" w:sz="0" w:space="0" w:color="auto"/>
                    <w:left w:val="none" w:sz="0" w:space="0" w:color="auto"/>
                    <w:bottom w:val="none" w:sz="0" w:space="0" w:color="auto"/>
                    <w:right w:val="none" w:sz="0" w:space="0" w:color="auto"/>
                  </w:divBdr>
                  <w:divsChild>
                    <w:div w:id="1556968694">
                      <w:marLeft w:val="0"/>
                      <w:marRight w:val="0"/>
                      <w:marTop w:val="0"/>
                      <w:marBottom w:val="0"/>
                      <w:divBdr>
                        <w:top w:val="none" w:sz="0" w:space="0" w:color="auto"/>
                        <w:left w:val="none" w:sz="0" w:space="0" w:color="auto"/>
                        <w:bottom w:val="none" w:sz="0" w:space="0" w:color="auto"/>
                        <w:right w:val="none" w:sz="0" w:space="0" w:color="auto"/>
                      </w:divBdr>
                    </w:div>
                  </w:divsChild>
                </w:div>
                <w:div w:id="640235201">
                  <w:marLeft w:val="0"/>
                  <w:marRight w:val="0"/>
                  <w:marTop w:val="0"/>
                  <w:marBottom w:val="0"/>
                  <w:divBdr>
                    <w:top w:val="none" w:sz="0" w:space="0" w:color="auto"/>
                    <w:left w:val="none" w:sz="0" w:space="0" w:color="auto"/>
                    <w:bottom w:val="none" w:sz="0" w:space="0" w:color="auto"/>
                    <w:right w:val="none" w:sz="0" w:space="0" w:color="auto"/>
                  </w:divBdr>
                  <w:divsChild>
                    <w:div w:id="471022854">
                      <w:marLeft w:val="0"/>
                      <w:marRight w:val="0"/>
                      <w:marTop w:val="0"/>
                      <w:marBottom w:val="0"/>
                      <w:divBdr>
                        <w:top w:val="none" w:sz="0" w:space="0" w:color="auto"/>
                        <w:left w:val="none" w:sz="0" w:space="0" w:color="auto"/>
                        <w:bottom w:val="none" w:sz="0" w:space="0" w:color="auto"/>
                        <w:right w:val="none" w:sz="0" w:space="0" w:color="auto"/>
                      </w:divBdr>
                    </w:div>
                  </w:divsChild>
                </w:div>
                <w:div w:id="641812304">
                  <w:marLeft w:val="0"/>
                  <w:marRight w:val="0"/>
                  <w:marTop w:val="0"/>
                  <w:marBottom w:val="0"/>
                  <w:divBdr>
                    <w:top w:val="none" w:sz="0" w:space="0" w:color="auto"/>
                    <w:left w:val="none" w:sz="0" w:space="0" w:color="auto"/>
                    <w:bottom w:val="none" w:sz="0" w:space="0" w:color="auto"/>
                    <w:right w:val="none" w:sz="0" w:space="0" w:color="auto"/>
                  </w:divBdr>
                  <w:divsChild>
                    <w:div w:id="57480575">
                      <w:marLeft w:val="0"/>
                      <w:marRight w:val="0"/>
                      <w:marTop w:val="0"/>
                      <w:marBottom w:val="0"/>
                      <w:divBdr>
                        <w:top w:val="none" w:sz="0" w:space="0" w:color="auto"/>
                        <w:left w:val="none" w:sz="0" w:space="0" w:color="auto"/>
                        <w:bottom w:val="none" w:sz="0" w:space="0" w:color="auto"/>
                        <w:right w:val="none" w:sz="0" w:space="0" w:color="auto"/>
                      </w:divBdr>
                    </w:div>
                  </w:divsChild>
                </w:div>
                <w:div w:id="644547836">
                  <w:marLeft w:val="0"/>
                  <w:marRight w:val="0"/>
                  <w:marTop w:val="0"/>
                  <w:marBottom w:val="0"/>
                  <w:divBdr>
                    <w:top w:val="none" w:sz="0" w:space="0" w:color="auto"/>
                    <w:left w:val="none" w:sz="0" w:space="0" w:color="auto"/>
                    <w:bottom w:val="none" w:sz="0" w:space="0" w:color="auto"/>
                    <w:right w:val="none" w:sz="0" w:space="0" w:color="auto"/>
                  </w:divBdr>
                  <w:divsChild>
                    <w:div w:id="421532441">
                      <w:marLeft w:val="0"/>
                      <w:marRight w:val="0"/>
                      <w:marTop w:val="0"/>
                      <w:marBottom w:val="0"/>
                      <w:divBdr>
                        <w:top w:val="none" w:sz="0" w:space="0" w:color="auto"/>
                        <w:left w:val="none" w:sz="0" w:space="0" w:color="auto"/>
                        <w:bottom w:val="none" w:sz="0" w:space="0" w:color="auto"/>
                        <w:right w:val="none" w:sz="0" w:space="0" w:color="auto"/>
                      </w:divBdr>
                    </w:div>
                  </w:divsChild>
                </w:div>
                <w:div w:id="646474318">
                  <w:marLeft w:val="0"/>
                  <w:marRight w:val="0"/>
                  <w:marTop w:val="0"/>
                  <w:marBottom w:val="0"/>
                  <w:divBdr>
                    <w:top w:val="none" w:sz="0" w:space="0" w:color="auto"/>
                    <w:left w:val="none" w:sz="0" w:space="0" w:color="auto"/>
                    <w:bottom w:val="none" w:sz="0" w:space="0" w:color="auto"/>
                    <w:right w:val="none" w:sz="0" w:space="0" w:color="auto"/>
                  </w:divBdr>
                  <w:divsChild>
                    <w:div w:id="2128888871">
                      <w:marLeft w:val="0"/>
                      <w:marRight w:val="0"/>
                      <w:marTop w:val="0"/>
                      <w:marBottom w:val="0"/>
                      <w:divBdr>
                        <w:top w:val="none" w:sz="0" w:space="0" w:color="auto"/>
                        <w:left w:val="none" w:sz="0" w:space="0" w:color="auto"/>
                        <w:bottom w:val="none" w:sz="0" w:space="0" w:color="auto"/>
                        <w:right w:val="none" w:sz="0" w:space="0" w:color="auto"/>
                      </w:divBdr>
                    </w:div>
                  </w:divsChild>
                </w:div>
                <w:div w:id="651374631">
                  <w:marLeft w:val="0"/>
                  <w:marRight w:val="0"/>
                  <w:marTop w:val="0"/>
                  <w:marBottom w:val="0"/>
                  <w:divBdr>
                    <w:top w:val="none" w:sz="0" w:space="0" w:color="auto"/>
                    <w:left w:val="none" w:sz="0" w:space="0" w:color="auto"/>
                    <w:bottom w:val="none" w:sz="0" w:space="0" w:color="auto"/>
                    <w:right w:val="none" w:sz="0" w:space="0" w:color="auto"/>
                  </w:divBdr>
                  <w:divsChild>
                    <w:div w:id="2056076266">
                      <w:marLeft w:val="0"/>
                      <w:marRight w:val="0"/>
                      <w:marTop w:val="0"/>
                      <w:marBottom w:val="0"/>
                      <w:divBdr>
                        <w:top w:val="none" w:sz="0" w:space="0" w:color="auto"/>
                        <w:left w:val="none" w:sz="0" w:space="0" w:color="auto"/>
                        <w:bottom w:val="none" w:sz="0" w:space="0" w:color="auto"/>
                        <w:right w:val="none" w:sz="0" w:space="0" w:color="auto"/>
                      </w:divBdr>
                    </w:div>
                  </w:divsChild>
                </w:div>
                <w:div w:id="668796709">
                  <w:marLeft w:val="0"/>
                  <w:marRight w:val="0"/>
                  <w:marTop w:val="0"/>
                  <w:marBottom w:val="0"/>
                  <w:divBdr>
                    <w:top w:val="none" w:sz="0" w:space="0" w:color="auto"/>
                    <w:left w:val="none" w:sz="0" w:space="0" w:color="auto"/>
                    <w:bottom w:val="none" w:sz="0" w:space="0" w:color="auto"/>
                    <w:right w:val="none" w:sz="0" w:space="0" w:color="auto"/>
                  </w:divBdr>
                  <w:divsChild>
                    <w:div w:id="5444133">
                      <w:marLeft w:val="0"/>
                      <w:marRight w:val="0"/>
                      <w:marTop w:val="0"/>
                      <w:marBottom w:val="0"/>
                      <w:divBdr>
                        <w:top w:val="none" w:sz="0" w:space="0" w:color="auto"/>
                        <w:left w:val="none" w:sz="0" w:space="0" w:color="auto"/>
                        <w:bottom w:val="none" w:sz="0" w:space="0" w:color="auto"/>
                        <w:right w:val="none" w:sz="0" w:space="0" w:color="auto"/>
                      </w:divBdr>
                    </w:div>
                  </w:divsChild>
                </w:div>
                <w:div w:id="672419011">
                  <w:marLeft w:val="0"/>
                  <w:marRight w:val="0"/>
                  <w:marTop w:val="0"/>
                  <w:marBottom w:val="0"/>
                  <w:divBdr>
                    <w:top w:val="none" w:sz="0" w:space="0" w:color="auto"/>
                    <w:left w:val="none" w:sz="0" w:space="0" w:color="auto"/>
                    <w:bottom w:val="none" w:sz="0" w:space="0" w:color="auto"/>
                    <w:right w:val="none" w:sz="0" w:space="0" w:color="auto"/>
                  </w:divBdr>
                  <w:divsChild>
                    <w:div w:id="1696886286">
                      <w:marLeft w:val="0"/>
                      <w:marRight w:val="0"/>
                      <w:marTop w:val="0"/>
                      <w:marBottom w:val="0"/>
                      <w:divBdr>
                        <w:top w:val="none" w:sz="0" w:space="0" w:color="auto"/>
                        <w:left w:val="none" w:sz="0" w:space="0" w:color="auto"/>
                        <w:bottom w:val="none" w:sz="0" w:space="0" w:color="auto"/>
                        <w:right w:val="none" w:sz="0" w:space="0" w:color="auto"/>
                      </w:divBdr>
                    </w:div>
                  </w:divsChild>
                </w:div>
                <w:div w:id="704718374">
                  <w:marLeft w:val="0"/>
                  <w:marRight w:val="0"/>
                  <w:marTop w:val="0"/>
                  <w:marBottom w:val="0"/>
                  <w:divBdr>
                    <w:top w:val="none" w:sz="0" w:space="0" w:color="auto"/>
                    <w:left w:val="none" w:sz="0" w:space="0" w:color="auto"/>
                    <w:bottom w:val="none" w:sz="0" w:space="0" w:color="auto"/>
                    <w:right w:val="none" w:sz="0" w:space="0" w:color="auto"/>
                  </w:divBdr>
                  <w:divsChild>
                    <w:div w:id="757868164">
                      <w:marLeft w:val="0"/>
                      <w:marRight w:val="0"/>
                      <w:marTop w:val="0"/>
                      <w:marBottom w:val="0"/>
                      <w:divBdr>
                        <w:top w:val="none" w:sz="0" w:space="0" w:color="auto"/>
                        <w:left w:val="none" w:sz="0" w:space="0" w:color="auto"/>
                        <w:bottom w:val="none" w:sz="0" w:space="0" w:color="auto"/>
                        <w:right w:val="none" w:sz="0" w:space="0" w:color="auto"/>
                      </w:divBdr>
                    </w:div>
                  </w:divsChild>
                </w:div>
                <w:div w:id="706217213">
                  <w:marLeft w:val="0"/>
                  <w:marRight w:val="0"/>
                  <w:marTop w:val="0"/>
                  <w:marBottom w:val="0"/>
                  <w:divBdr>
                    <w:top w:val="none" w:sz="0" w:space="0" w:color="auto"/>
                    <w:left w:val="none" w:sz="0" w:space="0" w:color="auto"/>
                    <w:bottom w:val="none" w:sz="0" w:space="0" w:color="auto"/>
                    <w:right w:val="none" w:sz="0" w:space="0" w:color="auto"/>
                  </w:divBdr>
                  <w:divsChild>
                    <w:div w:id="1404261286">
                      <w:marLeft w:val="0"/>
                      <w:marRight w:val="0"/>
                      <w:marTop w:val="0"/>
                      <w:marBottom w:val="0"/>
                      <w:divBdr>
                        <w:top w:val="none" w:sz="0" w:space="0" w:color="auto"/>
                        <w:left w:val="none" w:sz="0" w:space="0" w:color="auto"/>
                        <w:bottom w:val="none" w:sz="0" w:space="0" w:color="auto"/>
                        <w:right w:val="none" w:sz="0" w:space="0" w:color="auto"/>
                      </w:divBdr>
                    </w:div>
                  </w:divsChild>
                </w:div>
                <w:div w:id="712970264">
                  <w:marLeft w:val="0"/>
                  <w:marRight w:val="0"/>
                  <w:marTop w:val="0"/>
                  <w:marBottom w:val="0"/>
                  <w:divBdr>
                    <w:top w:val="none" w:sz="0" w:space="0" w:color="auto"/>
                    <w:left w:val="none" w:sz="0" w:space="0" w:color="auto"/>
                    <w:bottom w:val="none" w:sz="0" w:space="0" w:color="auto"/>
                    <w:right w:val="none" w:sz="0" w:space="0" w:color="auto"/>
                  </w:divBdr>
                  <w:divsChild>
                    <w:div w:id="729379595">
                      <w:marLeft w:val="0"/>
                      <w:marRight w:val="0"/>
                      <w:marTop w:val="0"/>
                      <w:marBottom w:val="0"/>
                      <w:divBdr>
                        <w:top w:val="none" w:sz="0" w:space="0" w:color="auto"/>
                        <w:left w:val="none" w:sz="0" w:space="0" w:color="auto"/>
                        <w:bottom w:val="none" w:sz="0" w:space="0" w:color="auto"/>
                        <w:right w:val="none" w:sz="0" w:space="0" w:color="auto"/>
                      </w:divBdr>
                    </w:div>
                  </w:divsChild>
                </w:div>
                <w:div w:id="754401375">
                  <w:marLeft w:val="0"/>
                  <w:marRight w:val="0"/>
                  <w:marTop w:val="0"/>
                  <w:marBottom w:val="0"/>
                  <w:divBdr>
                    <w:top w:val="none" w:sz="0" w:space="0" w:color="auto"/>
                    <w:left w:val="none" w:sz="0" w:space="0" w:color="auto"/>
                    <w:bottom w:val="none" w:sz="0" w:space="0" w:color="auto"/>
                    <w:right w:val="none" w:sz="0" w:space="0" w:color="auto"/>
                  </w:divBdr>
                  <w:divsChild>
                    <w:div w:id="178391345">
                      <w:marLeft w:val="0"/>
                      <w:marRight w:val="0"/>
                      <w:marTop w:val="0"/>
                      <w:marBottom w:val="0"/>
                      <w:divBdr>
                        <w:top w:val="none" w:sz="0" w:space="0" w:color="auto"/>
                        <w:left w:val="none" w:sz="0" w:space="0" w:color="auto"/>
                        <w:bottom w:val="none" w:sz="0" w:space="0" w:color="auto"/>
                        <w:right w:val="none" w:sz="0" w:space="0" w:color="auto"/>
                      </w:divBdr>
                    </w:div>
                  </w:divsChild>
                </w:div>
                <w:div w:id="779682556">
                  <w:marLeft w:val="0"/>
                  <w:marRight w:val="0"/>
                  <w:marTop w:val="0"/>
                  <w:marBottom w:val="0"/>
                  <w:divBdr>
                    <w:top w:val="none" w:sz="0" w:space="0" w:color="auto"/>
                    <w:left w:val="none" w:sz="0" w:space="0" w:color="auto"/>
                    <w:bottom w:val="none" w:sz="0" w:space="0" w:color="auto"/>
                    <w:right w:val="none" w:sz="0" w:space="0" w:color="auto"/>
                  </w:divBdr>
                  <w:divsChild>
                    <w:div w:id="1134447372">
                      <w:marLeft w:val="0"/>
                      <w:marRight w:val="0"/>
                      <w:marTop w:val="0"/>
                      <w:marBottom w:val="0"/>
                      <w:divBdr>
                        <w:top w:val="none" w:sz="0" w:space="0" w:color="auto"/>
                        <w:left w:val="none" w:sz="0" w:space="0" w:color="auto"/>
                        <w:bottom w:val="none" w:sz="0" w:space="0" w:color="auto"/>
                        <w:right w:val="none" w:sz="0" w:space="0" w:color="auto"/>
                      </w:divBdr>
                    </w:div>
                  </w:divsChild>
                </w:div>
                <w:div w:id="785196264">
                  <w:marLeft w:val="0"/>
                  <w:marRight w:val="0"/>
                  <w:marTop w:val="0"/>
                  <w:marBottom w:val="0"/>
                  <w:divBdr>
                    <w:top w:val="none" w:sz="0" w:space="0" w:color="auto"/>
                    <w:left w:val="none" w:sz="0" w:space="0" w:color="auto"/>
                    <w:bottom w:val="none" w:sz="0" w:space="0" w:color="auto"/>
                    <w:right w:val="none" w:sz="0" w:space="0" w:color="auto"/>
                  </w:divBdr>
                  <w:divsChild>
                    <w:div w:id="569461112">
                      <w:marLeft w:val="0"/>
                      <w:marRight w:val="0"/>
                      <w:marTop w:val="0"/>
                      <w:marBottom w:val="0"/>
                      <w:divBdr>
                        <w:top w:val="none" w:sz="0" w:space="0" w:color="auto"/>
                        <w:left w:val="none" w:sz="0" w:space="0" w:color="auto"/>
                        <w:bottom w:val="none" w:sz="0" w:space="0" w:color="auto"/>
                        <w:right w:val="none" w:sz="0" w:space="0" w:color="auto"/>
                      </w:divBdr>
                    </w:div>
                  </w:divsChild>
                </w:div>
                <w:div w:id="801272001">
                  <w:marLeft w:val="0"/>
                  <w:marRight w:val="0"/>
                  <w:marTop w:val="0"/>
                  <w:marBottom w:val="0"/>
                  <w:divBdr>
                    <w:top w:val="none" w:sz="0" w:space="0" w:color="auto"/>
                    <w:left w:val="none" w:sz="0" w:space="0" w:color="auto"/>
                    <w:bottom w:val="none" w:sz="0" w:space="0" w:color="auto"/>
                    <w:right w:val="none" w:sz="0" w:space="0" w:color="auto"/>
                  </w:divBdr>
                  <w:divsChild>
                    <w:div w:id="632565094">
                      <w:marLeft w:val="0"/>
                      <w:marRight w:val="0"/>
                      <w:marTop w:val="0"/>
                      <w:marBottom w:val="0"/>
                      <w:divBdr>
                        <w:top w:val="none" w:sz="0" w:space="0" w:color="auto"/>
                        <w:left w:val="none" w:sz="0" w:space="0" w:color="auto"/>
                        <w:bottom w:val="none" w:sz="0" w:space="0" w:color="auto"/>
                        <w:right w:val="none" w:sz="0" w:space="0" w:color="auto"/>
                      </w:divBdr>
                    </w:div>
                  </w:divsChild>
                </w:div>
                <w:div w:id="812524609">
                  <w:marLeft w:val="0"/>
                  <w:marRight w:val="0"/>
                  <w:marTop w:val="0"/>
                  <w:marBottom w:val="0"/>
                  <w:divBdr>
                    <w:top w:val="none" w:sz="0" w:space="0" w:color="auto"/>
                    <w:left w:val="none" w:sz="0" w:space="0" w:color="auto"/>
                    <w:bottom w:val="none" w:sz="0" w:space="0" w:color="auto"/>
                    <w:right w:val="none" w:sz="0" w:space="0" w:color="auto"/>
                  </w:divBdr>
                  <w:divsChild>
                    <w:div w:id="315762739">
                      <w:marLeft w:val="0"/>
                      <w:marRight w:val="0"/>
                      <w:marTop w:val="0"/>
                      <w:marBottom w:val="0"/>
                      <w:divBdr>
                        <w:top w:val="none" w:sz="0" w:space="0" w:color="auto"/>
                        <w:left w:val="none" w:sz="0" w:space="0" w:color="auto"/>
                        <w:bottom w:val="none" w:sz="0" w:space="0" w:color="auto"/>
                        <w:right w:val="none" w:sz="0" w:space="0" w:color="auto"/>
                      </w:divBdr>
                    </w:div>
                  </w:divsChild>
                </w:div>
                <w:div w:id="825098623">
                  <w:marLeft w:val="0"/>
                  <w:marRight w:val="0"/>
                  <w:marTop w:val="0"/>
                  <w:marBottom w:val="0"/>
                  <w:divBdr>
                    <w:top w:val="none" w:sz="0" w:space="0" w:color="auto"/>
                    <w:left w:val="none" w:sz="0" w:space="0" w:color="auto"/>
                    <w:bottom w:val="none" w:sz="0" w:space="0" w:color="auto"/>
                    <w:right w:val="none" w:sz="0" w:space="0" w:color="auto"/>
                  </w:divBdr>
                  <w:divsChild>
                    <w:div w:id="106120685">
                      <w:marLeft w:val="0"/>
                      <w:marRight w:val="0"/>
                      <w:marTop w:val="0"/>
                      <w:marBottom w:val="0"/>
                      <w:divBdr>
                        <w:top w:val="none" w:sz="0" w:space="0" w:color="auto"/>
                        <w:left w:val="none" w:sz="0" w:space="0" w:color="auto"/>
                        <w:bottom w:val="none" w:sz="0" w:space="0" w:color="auto"/>
                        <w:right w:val="none" w:sz="0" w:space="0" w:color="auto"/>
                      </w:divBdr>
                    </w:div>
                  </w:divsChild>
                </w:div>
                <w:div w:id="836269054">
                  <w:marLeft w:val="0"/>
                  <w:marRight w:val="0"/>
                  <w:marTop w:val="0"/>
                  <w:marBottom w:val="0"/>
                  <w:divBdr>
                    <w:top w:val="none" w:sz="0" w:space="0" w:color="auto"/>
                    <w:left w:val="none" w:sz="0" w:space="0" w:color="auto"/>
                    <w:bottom w:val="none" w:sz="0" w:space="0" w:color="auto"/>
                    <w:right w:val="none" w:sz="0" w:space="0" w:color="auto"/>
                  </w:divBdr>
                  <w:divsChild>
                    <w:div w:id="312566088">
                      <w:marLeft w:val="0"/>
                      <w:marRight w:val="0"/>
                      <w:marTop w:val="0"/>
                      <w:marBottom w:val="0"/>
                      <w:divBdr>
                        <w:top w:val="none" w:sz="0" w:space="0" w:color="auto"/>
                        <w:left w:val="none" w:sz="0" w:space="0" w:color="auto"/>
                        <w:bottom w:val="none" w:sz="0" w:space="0" w:color="auto"/>
                        <w:right w:val="none" w:sz="0" w:space="0" w:color="auto"/>
                      </w:divBdr>
                    </w:div>
                  </w:divsChild>
                </w:div>
                <w:div w:id="840462879">
                  <w:marLeft w:val="0"/>
                  <w:marRight w:val="0"/>
                  <w:marTop w:val="0"/>
                  <w:marBottom w:val="0"/>
                  <w:divBdr>
                    <w:top w:val="none" w:sz="0" w:space="0" w:color="auto"/>
                    <w:left w:val="none" w:sz="0" w:space="0" w:color="auto"/>
                    <w:bottom w:val="none" w:sz="0" w:space="0" w:color="auto"/>
                    <w:right w:val="none" w:sz="0" w:space="0" w:color="auto"/>
                  </w:divBdr>
                  <w:divsChild>
                    <w:div w:id="1528326076">
                      <w:marLeft w:val="0"/>
                      <w:marRight w:val="0"/>
                      <w:marTop w:val="0"/>
                      <w:marBottom w:val="0"/>
                      <w:divBdr>
                        <w:top w:val="none" w:sz="0" w:space="0" w:color="auto"/>
                        <w:left w:val="none" w:sz="0" w:space="0" w:color="auto"/>
                        <w:bottom w:val="none" w:sz="0" w:space="0" w:color="auto"/>
                        <w:right w:val="none" w:sz="0" w:space="0" w:color="auto"/>
                      </w:divBdr>
                    </w:div>
                  </w:divsChild>
                </w:div>
                <w:div w:id="842284289">
                  <w:marLeft w:val="0"/>
                  <w:marRight w:val="0"/>
                  <w:marTop w:val="0"/>
                  <w:marBottom w:val="0"/>
                  <w:divBdr>
                    <w:top w:val="none" w:sz="0" w:space="0" w:color="auto"/>
                    <w:left w:val="none" w:sz="0" w:space="0" w:color="auto"/>
                    <w:bottom w:val="none" w:sz="0" w:space="0" w:color="auto"/>
                    <w:right w:val="none" w:sz="0" w:space="0" w:color="auto"/>
                  </w:divBdr>
                  <w:divsChild>
                    <w:div w:id="1128662945">
                      <w:marLeft w:val="0"/>
                      <w:marRight w:val="0"/>
                      <w:marTop w:val="0"/>
                      <w:marBottom w:val="0"/>
                      <w:divBdr>
                        <w:top w:val="none" w:sz="0" w:space="0" w:color="auto"/>
                        <w:left w:val="none" w:sz="0" w:space="0" w:color="auto"/>
                        <w:bottom w:val="none" w:sz="0" w:space="0" w:color="auto"/>
                        <w:right w:val="none" w:sz="0" w:space="0" w:color="auto"/>
                      </w:divBdr>
                    </w:div>
                  </w:divsChild>
                </w:div>
                <w:div w:id="864902935">
                  <w:marLeft w:val="0"/>
                  <w:marRight w:val="0"/>
                  <w:marTop w:val="0"/>
                  <w:marBottom w:val="0"/>
                  <w:divBdr>
                    <w:top w:val="none" w:sz="0" w:space="0" w:color="auto"/>
                    <w:left w:val="none" w:sz="0" w:space="0" w:color="auto"/>
                    <w:bottom w:val="none" w:sz="0" w:space="0" w:color="auto"/>
                    <w:right w:val="none" w:sz="0" w:space="0" w:color="auto"/>
                  </w:divBdr>
                  <w:divsChild>
                    <w:div w:id="381642110">
                      <w:marLeft w:val="0"/>
                      <w:marRight w:val="0"/>
                      <w:marTop w:val="0"/>
                      <w:marBottom w:val="0"/>
                      <w:divBdr>
                        <w:top w:val="none" w:sz="0" w:space="0" w:color="auto"/>
                        <w:left w:val="none" w:sz="0" w:space="0" w:color="auto"/>
                        <w:bottom w:val="none" w:sz="0" w:space="0" w:color="auto"/>
                        <w:right w:val="none" w:sz="0" w:space="0" w:color="auto"/>
                      </w:divBdr>
                    </w:div>
                  </w:divsChild>
                </w:div>
                <w:div w:id="874197359">
                  <w:marLeft w:val="0"/>
                  <w:marRight w:val="0"/>
                  <w:marTop w:val="0"/>
                  <w:marBottom w:val="0"/>
                  <w:divBdr>
                    <w:top w:val="none" w:sz="0" w:space="0" w:color="auto"/>
                    <w:left w:val="none" w:sz="0" w:space="0" w:color="auto"/>
                    <w:bottom w:val="none" w:sz="0" w:space="0" w:color="auto"/>
                    <w:right w:val="none" w:sz="0" w:space="0" w:color="auto"/>
                  </w:divBdr>
                  <w:divsChild>
                    <w:div w:id="136337993">
                      <w:marLeft w:val="0"/>
                      <w:marRight w:val="0"/>
                      <w:marTop w:val="0"/>
                      <w:marBottom w:val="0"/>
                      <w:divBdr>
                        <w:top w:val="none" w:sz="0" w:space="0" w:color="auto"/>
                        <w:left w:val="none" w:sz="0" w:space="0" w:color="auto"/>
                        <w:bottom w:val="none" w:sz="0" w:space="0" w:color="auto"/>
                        <w:right w:val="none" w:sz="0" w:space="0" w:color="auto"/>
                      </w:divBdr>
                    </w:div>
                  </w:divsChild>
                </w:div>
                <w:div w:id="892496948">
                  <w:marLeft w:val="0"/>
                  <w:marRight w:val="0"/>
                  <w:marTop w:val="0"/>
                  <w:marBottom w:val="0"/>
                  <w:divBdr>
                    <w:top w:val="none" w:sz="0" w:space="0" w:color="auto"/>
                    <w:left w:val="none" w:sz="0" w:space="0" w:color="auto"/>
                    <w:bottom w:val="none" w:sz="0" w:space="0" w:color="auto"/>
                    <w:right w:val="none" w:sz="0" w:space="0" w:color="auto"/>
                  </w:divBdr>
                  <w:divsChild>
                    <w:div w:id="1381126178">
                      <w:marLeft w:val="0"/>
                      <w:marRight w:val="0"/>
                      <w:marTop w:val="0"/>
                      <w:marBottom w:val="0"/>
                      <w:divBdr>
                        <w:top w:val="none" w:sz="0" w:space="0" w:color="auto"/>
                        <w:left w:val="none" w:sz="0" w:space="0" w:color="auto"/>
                        <w:bottom w:val="none" w:sz="0" w:space="0" w:color="auto"/>
                        <w:right w:val="none" w:sz="0" w:space="0" w:color="auto"/>
                      </w:divBdr>
                    </w:div>
                  </w:divsChild>
                </w:div>
                <w:div w:id="896210966">
                  <w:marLeft w:val="0"/>
                  <w:marRight w:val="0"/>
                  <w:marTop w:val="0"/>
                  <w:marBottom w:val="0"/>
                  <w:divBdr>
                    <w:top w:val="none" w:sz="0" w:space="0" w:color="auto"/>
                    <w:left w:val="none" w:sz="0" w:space="0" w:color="auto"/>
                    <w:bottom w:val="none" w:sz="0" w:space="0" w:color="auto"/>
                    <w:right w:val="none" w:sz="0" w:space="0" w:color="auto"/>
                  </w:divBdr>
                  <w:divsChild>
                    <w:div w:id="1852262340">
                      <w:marLeft w:val="0"/>
                      <w:marRight w:val="0"/>
                      <w:marTop w:val="0"/>
                      <w:marBottom w:val="0"/>
                      <w:divBdr>
                        <w:top w:val="none" w:sz="0" w:space="0" w:color="auto"/>
                        <w:left w:val="none" w:sz="0" w:space="0" w:color="auto"/>
                        <w:bottom w:val="none" w:sz="0" w:space="0" w:color="auto"/>
                        <w:right w:val="none" w:sz="0" w:space="0" w:color="auto"/>
                      </w:divBdr>
                    </w:div>
                  </w:divsChild>
                </w:div>
                <w:div w:id="920480605">
                  <w:marLeft w:val="0"/>
                  <w:marRight w:val="0"/>
                  <w:marTop w:val="0"/>
                  <w:marBottom w:val="0"/>
                  <w:divBdr>
                    <w:top w:val="none" w:sz="0" w:space="0" w:color="auto"/>
                    <w:left w:val="none" w:sz="0" w:space="0" w:color="auto"/>
                    <w:bottom w:val="none" w:sz="0" w:space="0" w:color="auto"/>
                    <w:right w:val="none" w:sz="0" w:space="0" w:color="auto"/>
                  </w:divBdr>
                  <w:divsChild>
                    <w:div w:id="1196818490">
                      <w:marLeft w:val="0"/>
                      <w:marRight w:val="0"/>
                      <w:marTop w:val="0"/>
                      <w:marBottom w:val="0"/>
                      <w:divBdr>
                        <w:top w:val="none" w:sz="0" w:space="0" w:color="auto"/>
                        <w:left w:val="none" w:sz="0" w:space="0" w:color="auto"/>
                        <w:bottom w:val="none" w:sz="0" w:space="0" w:color="auto"/>
                        <w:right w:val="none" w:sz="0" w:space="0" w:color="auto"/>
                      </w:divBdr>
                    </w:div>
                  </w:divsChild>
                </w:div>
                <w:div w:id="922489667">
                  <w:marLeft w:val="0"/>
                  <w:marRight w:val="0"/>
                  <w:marTop w:val="0"/>
                  <w:marBottom w:val="0"/>
                  <w:divBdr>
                    <w:top w:val="none" w:sz="0" w:space="0" w:color="auto"/>
                    <w:left w:val="none" w:sz="0" w:space="0" w:color="auto"/>
                    <w:bottom w:val="none" w:sz="0" w:space="0" w:color="auto"/>
                    <w:right w:val="none" w:sz="0" w:space="0" w:color="auto"/>
                  </w:divBdr>
                  <w:divsChild>
                    <w:div w:id="717364144">
                      <w:marLeft w:val="0"/>
                      <w:marRight w:val="0"/>
                      <w:marTop w:val="0"/>
                      <w:marBottom w:val="0"/>
                      <w:divBdr>
                        <w:top w:val="none" w:sz="0" w:space="0" w:color="auto"/>
                        <w:left w:val="none" w:sz="0" w:space="0" w:color="auto"/>
                        <w:bottom w:val="none" w:sz="0" w:space="0" w:color="auto"/>
                        <w:right w:val="none" w:sz="0" w:space="0" w:color="auto"/>
                      </w:divBdr>
                    </w:div>
                  </w:divsChild>
                </w:div>
                <w:div w:id="928349800">
                  <w:marLeft w:val="0"/>
                  <w:marRight w:val="0"/>
                  <w:marTop w:val="0"/>
                  <w:marBottom w:val="0"/>
                  <w:divBdr>
                    <w:top w:val="none" w:sz="0" w:space="0" w:color="auto"/>
                    <w:left w:val="none" w:sz="0" w:space="0" w:color="auto"/>
                    <w:bottom w:val="none" w:sz="0" w:space="0" w:color="auto"/>
                    <w:right w:val="none" w:sz="0" w:space="0" w:color="auto"/>
                  </w:divBdr>
                  <w:divsChild>
                    <w:div w:id="1725791422">
                      <w:marLeft w:val="0"/>
                      <w:marRight w:val="0"/>
                      <w:marTop w:val="0"/>
                      <w:marBottom w:val="0"/>
                      <w:divBdr>
                        <w:top w:val="none" w:sz="0" w:space="0" w:color="auto"/>
                        <w:left w:val="none" w:sz="0" w:space="0" w:color="auto"/>
                        <w:bottom w:val="none" w:sz="0" w:space="0" w:color="auto"/>
                        <w:right w:val="none" w:sz="0" w:space="0" w:color="auto"/>
                      </w:divBdr>
                    </w:div>
                  </w:divsChild>
                </w:div>
                <w:div w:id="931662651">
                  <w:marLeft w:val="0"/>
                  <w:marRight w:val="0"/>
                  <w:marTop w:val="0"/>
                  <w:marBottom w:val="0"/>
                  <w:divBdr>
                    <w:top w:val="none" w:sz="0" w:space="0" w:color="auto"/>
                    <w:left w:val="none" w:sz="0" w:space="0" w:color="auto"/>
                    <w:bottom w:val="none" w:sz="0" w:space="0" w:color="auto"/>
                    <w:right w:val="none" w:sz="0" w:space="0" w:color="auto"/>
                  </w:divBdr>
                  <w:divsChild>
                    <w:div w:id="248932521">
                      <w:marLeft w:val="0"/>
                      <w:marRight w:val="0"/>
                      <w:marTop w:val="0"/>
                      <w:marBottom w:val="0"/>
                      <w:divBdr>
                        <w:top w:val="none" w:sz="0" w:space="0" w:color="auto"/>
                        <w:left w:val="none" w:sz="0" w:space="0" w:color="auto"/>
                        <w:bottom w:val="none" w:sz="0" w:space="0" w:color="auto"/>
                        <w:right w:val="none" w:sz="0" w:space="0" w:color="auto"/>
                      </w:divBdr>
                    </w:div>
                  </w:divsChild>
                </w:div>
                <w:div w:id="947933870">
                  <w:marLeft w:val="0"/>
                  <w:marRight w:val="0"/>
                  <w:marTop w:val="0"/>
                  <w:marBottom w:val="0"/>
                  <w:divBdr>
                    <w:top w:val="none" w:sz="0" w:space="0" w:color="auto"/>
                    <w:left w:val="none" w:sz="0" w:space="0" w:color="auto"/>
                    <w:bottom w:val="none" w:sz="0" w:space="0" w:color="auto"/>
                    <w:right w:val="none" w:sz="0" w:space="0" w:color="auto"/>
                  </w:divBdr>
                  <w:divsChild>
                    <w:div w:id="2137480827">
                      <w:marLeft w:val="0"/>
                      <w:marRight w:val="0"/>
                      <w:marTop w:val="0"/>
                      <w:marBottom w:val="0"/>
                      <w:divBdr>
                        <w:top w:val="none" w:sz="0" w:space="0" w:color="auto"/>
                        <w:left w:val="none" w:sz="0" w:space="0" w:color="auto"/>
                        <w:bottom w:val="none" w:sz="0" w:space="0" w:color="auto"/>
                        <w:right w:val="none" w:sz="0" w:space="0" w:color="auto"/>
                      </w:divBdr>
                    </w:div>
                  </w:divsChild>
                </w:div>
                <w:div w:id="984630245">
                  <w:marLeft w:val="0"/>
                  <w:marRight w:val="0"/>
                  <w:marTop w:val="0"/>
                  <w:marBottom w:val="0"/>
                  <w:divBdr>
                    <w:top w:val="none" w:sz="0" w:space="0" w:color="auto"/>
                    <w:left w:val="none" w:sz="0" w:space="0" w:color="auto"/>
                    <w:bottom w:val="none" w:sz="0" w:space="0" w:color="auto"/>
                    <w:right w:val="none" w:sz="0" w:space="0" w:color="auto"/>
                  </w:divBdr>
                  <w:divsChild>
                    <w:div w:id="61757601">
                      <w:marLeft w:val="0"/>
                      <w:marRight w:val="0"/>
                      <w:marTop w:val="0"/>
                      <w:marBottom w:val="0"/>
                      <w:divBdr>
                        <w:top w:val="none" w:sz="0" w:space="0" w:color="auto"/>
                        <w:left w:val="none" w:sz="0" w:space="0" w:color="auto"/>
                        <w:bottom w:val="none" w:sz="0" w:space="0" w:color="auto"/>
                        <w:right w:val="none" w:sz="0" w:space="0" w:color="auto"/>
                      </w:divBdr>
                    </w:div>
                  </w:divsChild>
                </w:div>
                <w:div w:id="1011448585">
                  <w:marLeft w:val="0"/>
                  <w:marRight w:val="0"/>
                  <w:marTop w:val="0"/>
                  <w:marBottom w:val="0"/>
                  <w:divBdr>
                    <w:top w:val="none" w:sz="0" w:space="0" w:color="auto"/>
                    <w:left w:val="none" w:sz="0" w:space="0" w:color="auto"/>
                    <w:bottom w:val="none" w:sz="0" w:space="0" w:color="auto"/>
                    <w:right w:val="none" w:sz="0" w:space="0" w:color="auto"/>
                  </w:divBdr>
                  <w:divsChild>
                    <w:div w:id="2057926719">
                      <w:marLeft w:val="0"/>
                      <w:marRight w:val="0"/>
                      <w:marTop w:val="0"/>
                      <w:marBottom w:val="0"/>
                      <w:divBdr>
                        <w:top w:val="none" w:sz="0" w:space="0" w:color="auto"/>
                        <w:left w:val="none" w:sz="0" w:space="0" w:color="auto"/>
                        <w:bottom w:val="none" w:sz="0" w:space="0" w:color="auto"/>
                        <w:right w:val="none" w:sz="0" w:space="0" w:color="auto"/>
                      </w:divBdr>
                    </w:div>
                  </w:divsChild>
                </w:div>
                <w:div w:id="1022510776">
                  <w:marLeft w:val="0"/>
                  <w:marRight w:val="0"/>
                  <w:marTop w:val="0"/>
                  <w:marBottom w:val="0"/>
                  <w:divBdr>
                    <w:top w:val="none" w:sz="0" w:space="0" w:color="auto"/>
                    <w:left w:val="none" w:sz="0" w:space="0" w:color="auto"/>
                    <w:bottom w:val="none" w:sz="0" w:space="0" w:color="auto"/>
                    <w:right w:val="none" w:sz="0" w:space="0" w:color="auto"/>
                  </w:divBdr>
                  <w:divsChild>
                    <w:div w:id="1915820405">
                      <w:marLeft w:val="0"/>
                      <w:marRight w:val="0"/>
                      <w:marTop w:val="0"/>
                      <w:marBottom w:val="0"/>
                      <w:divBdr>
                        <w:top w:val="none" w:sz="0" w:space="0" w:color="auto"/>
                        <w:left w:val="none" w:sz="0" w:space="0" w:color="auto"/>
                        <w:bottom w:val="none" w:sz="0" w:space="0" w:color="auto"/>
                        <w:right w:val="none" w:sz="0" w:space="0" w:color="auto"/>
                      </w:divBdr>
                    </w:div>
                  </w:divsChild>
                </w:div>
                <w:div w:id="1028726072">
                  <w:marLeft w:val="0"/>
                  <w:marRight w:val="0"/>
                  <w:marTop w:val="0"/>
                  <w:marBottom w:val="0"/>
                  <w:divBdr>
                    <w:top w:val="none" w:sz="0" w:space="0" w:color="auto"/>
                    <w:left w:val="none" w:sz="0" w:space="0" w:color="auto"/>
                    <w:bottom w:val="none" w:sz="0" w:space="0" w:color="auto"/>
                    <w:right w:val="none" w:sz="0" w:space="0" w:color="auto"/>
                  </w:divBdr>
                  <w:divsChild>
                    <w:div w:id="310719516">
                      <w:marLeft w:val="0"/>
                      <w:marRight w:val="0"/>
                      <w:marTop w:val="0"/>
                      <w:marBottom w:val="0"/>
                      <w:divBdr>
                        <w:top w:val="none" w:sz="0" w:space="0" w:color="auto"/>
                        <w:left w:val="none" w:sz="0" w:space="0" w:color="auto"/>
                        <w:bottom w:val="none" w:sz="0" w:space="0" w:color="auto"/>
                        <w:right w:val="none" w:sz="0" w:space="0" w:color="auto"/>
                      </w:divBdr>
                    </w:div>
                  </w:divsChild>
                </w:div>
                <w:div w:id="1033072486">
                  <w:marLeft w:val="0"/>
                  <w:marRight w:val="0"/>
                  <w:marTop w:val="0"/>
                  <w:marBottom w:val="0"/>
                  <w:divBdr>
                    <w:top w:val="none" w:sz="0" w:space="0" w:color="auto"/>
                    <w:left w:val="none" w:sz="0" w:space="0" w:color="auto"/>
                    <w:bottom w:val="none" w:sz="0" w:space="0" w:color="auto"/>
                    <w:right w:val="none" w:sz="0" w:space="0" w:color="auto"/>
                  </w:divBdr>
                  <w:divsChild>
                    <w:div w:id="2138134295">
                      <w:marLeft w:val="0"/>
                      <w:marRight w:val="0"/>
                      <w:marTop w:val="0"/>
                      <w:marBottom w:val="0"/>
                      <w:divBdr>
                        <w:top w:val="none" w:sz="0" w:space="0" w:color="auto"/>
                        <w:left w:val="none" w:sz="0" w:space="0" w:color="auto"/>
                        <w:bottom w:val="none" w:sz="0" w:space="0" w:color="auto"/>
                        <w:right w:val="none" w:sz="0" w:space="0" w:color="auto"/>
                      </w:divBdr>
                    </w:div>
                  </w:divsChild>
                </w:div>
                <w:div w:id="1078021375">
                  <w:marLeft w:val="0"/>
                  <w:marRight w:val="0"/>
                  <w:marTop w:val="0"/>
                  <w:marBottom w:val="0"/>
                  <w:divBdr>
                    <w:top w:val="none" w:sz="0" w:space="0" w:color="auto"/>
                    <w:left w:val="none" w:sz="0" w:space="0" w:color="auto"/>
                    <w:bottom w:val="none" w:sz="0" w:space="0" w:color="auto"/>
                    <w:right w:val="none" w:sz="0" w:space="0" w:color="auto"/>
                  </w:divBdr>
                  <w:divsChild>
                    <w:div w:id="1202285971">
                      <w:marLeft w:val="0"/>
                      <w:marRight w:val="0"/>
                      <w:marTop w:val="0"/>
                      <w:marBottom w:val="0"/>
                      <w:divBdr>
                        <w:top w:val="none" w:sz="0" w:space="0" w:color="auto"/>
                        <w:left w:val="none" w:sz="0" w:space="0" w:color="auto"/>
                        <w:bottom w:val="none" w:sz="0" w:space="0" w:color="auto"/>
                        <w:right w:val="none" w:sz="0" w:space="0" w:color="auto"/>
                      </w:divBdr>
                    </w:div>
                  </w:divsChild>
                </w:div>
                <w:div w:id="1088622886">
                  <w:marLeft w:val="0"/>
                  <w:marRight w:val="0"/>
                  <w:marTop w:val="0"/>
                  <w:marBottom w:val="0"/>
                  <w:divBdr>
                    <w:top w:val="none" w:sz="0" w:space="0" w:color="auto"/>
                    <w:left w:val="none" w:sz="0" w:space="0" w:color="auto"/>
                    <w:bottom w:val="none" w:sz="0" w:space="0" w:color="auto"/>
                    <w:right w:val="none" w:sz="0" w:space="0" w:color="auto"/>
                  </w:divBdr>
                  <w:divsChild>
                    <w:div w:id="1334795355">
                      <w:marLeft w:val="0"/>
                      <w:marRight w:val="0"/>
                      <w:marTop w:val="0"/>
                      <w:marBottom w:val="0"/>
                      <w:divBdr>
                        <w:top w:val="none" w:sz="0" w:space="0" w:color="auto"/>
                        <w:left w:val="none" w:sz="0" w:space="0" w:color="auto"/>
                        <w:bottom w:val="none" w:sz="0" w:space="0" w:color="auto"/>
                        <w:right w:val="none" w:sz="0" w:space="0" w:color="auto"/>
                      </w:divBdr>
                    </w:div>
                  </w:divsChild>
                </w:div>
                <w:div w:id="1091662711">
                  <w:marLeft w:val="0"/>
                  <w:marRight w:val="0"/>
                  <w:marTop w:val="0"/>
                  <w:marBottom w:val="0"/>
                  <w:divBdr>
                    <w:top w:val="none" w:sz="0" w:space="0" w:color="auto"/>
                    <w:left w:val="none" w:sz="0" w:space="0" w:color="auto"/>
                    <w:bottom w:val="none" w:sz="0" w:space="0" w:color="auto"/>
                    <w:right w:val="none" w:sz="0" w:space="0" w:color="auto"/>
                  </w:divBdr>
                  <w:divsChild>
                    <w:div w:id="953832422">
                      <w:marLeft w:val="0"/>
                      <w:marRight w:val="0"/>
                      <w:marTop w:val="0"/>
                      <w:marBottom w:val="0"/>
                      <w:divBdr>
                        <w:top w:val="none" w:sz="0" w:space="0" w:color="auto"/>
                        <w:left w:val="none" w:sz="0" w:space="0" w:color="auto"/>
                        <w:bottom w:val="none" w:sz="0" w:space="0" w:color="auto"/>
                        <w:right w:val="none" w:sz="0" w:space="0" w:color="auto"/>
                      </w:divBdr>
                    </w:div>
                  </w:divsChild>
                </w:div>
                <w:div w:id="1100108024">
                  <w:marLeft w:val="0"/>
                  <w:marRight w:val="0"/>
                  <w:marTop w:val="0"/>
                  <w:marBottom w:val="0"/>
                  <w:divBdr>
                    <w:top w:val="none" w:sz="0" w:space="0" w:color="auto"/>
                    <w:left w:val="none" w:sz="0" w:space="0" w:color="auto"/>
                    <w:bottom w:val="none" w:sz="0" w:space="0" w:color="auto"/>
                    <w:right w:val="none" w:sz="0" w:space="0" w:color="auto"/>
                  </w:divBdr>
                  <w:divsChild>
                    <w:div w:id="153498716">
                      <w:marLeft w:val="0"/>
                      <w:marRight w:val="0"/>
                      <w:marTop w:val="0"/>
                      <w:marBottom w:val="0"/>
                      <w:divBdr>
                        <w:top w:val="none" w:sz="0" w:space="0" w:color="auto"/>
                        <w:left w:val="none" w:sz="0" w:space="0" w:color="auto"/>
                        <w:bottom w:val="none" w:sz="0" w:space="0" w:color="auto"/>
                        <w:right w:val="none" w:sz="0" w:space="0" w:color="auto"/>
                      </w:divBdr>
                    </w:div>
                  </w:divsChild>
                </w:div>
                <w:div w:id="1109859530">
                  <w:marLeft w:val="0"/>
                  <w:marRight w:val="0"/>
                  <w:marTop w:val="0"/>
                  <w:marBottom w:val="0"/>
                  <w:divBdr>
                    <w:top w:val="none" w:sz="0" w:space="0" w:color="auto"/>
                    <w:left w:val="none" w:sz="0" w:space="0" w:color="auto"/>
                    <w:bottom w:val="none" w:sz="0" w:space="0" w:color="auto"/>
                    <w:right w:val="none" w:sz="0" w:space="0" w:color="auto"/>
                  </w:divBdr>
                  <w:divsChild>
                    <w:div w:id="1685016360">
                      <w:marLeft w:val="0"/>
                      <w:marRight w:val="0"/>
                      <w:marTop w:val="0"/>
                      <w:marBottom w:val="0"/>
                      <w:divBdr>
                        <w:top w:val="none" w:sz="0" w:space="0" w:color="auto"/>
                        <w:left w:val="none" w:sz="0" w:space="0" w:color="auto"/>
                        <w:bottom w:val="none" w:sz="0" w:space="0" w:color="auto"/>
                        <w:right w:val="none" w:sz="0" w:space="0" w:color="auto"/>
                      </w:divBdr>
                    </w:div>
                  </w:divsChild>
                </w:div>
                <w:div w:id="1133788462">
                  <w:marLeft w:val="0"/>
                  <w:marRight w:val="0"/>
                  <w:marTop w:val="0"/>
                  <w:marBottom w:val="0"/>
                  <w:divBdr>
                    <w:top w:val="none" w:sz="0" w:space="0" w:color="auto"/>
                    <w:left w:val="none" w:sz="0" w:space="0" w:color="auto"/>
                    <w:bottom w:val="none" w:sz="0" w:space="0" w:color="auto"/>
                    <w:right w:val="none" w:sz="0" w:space="0" w:color="auto"/>
                  </w:divBdr>
                  <w:divsChild>
                    <w:div w:id="1458447955">
                      <w:marLeft w:val="0"/>
                      <w:marRight w:val="0"/>
                      <w:marTop w:val="0"/>
                      <w:marBottom w:val="0"/>
                      <w:divBdr>
                        <w:top w:val="none" w:sz="0" w:space="0" w:color="auto"/>
                        <w:left w:val="none" w:sz="0" w:space="0" w:color="auto"/>
                        <w:bottom w:val="none" w:sz="0" w:space="0" w:color="auto"/>
                        <w:right w:val="none" w:sz="0" w:space="0" w:color="auto"/>
                      </w:divBdr>
                    </w:div>
                  </w:divsChild>
                </w:div>
                <w:div w:id="1145465950">
                  <w:marLeft w:val="0"/>
                  <w:marRight w:val="0"/>
                  <w:marTop w:val="0"/>
                  <w:marBottom w:val="0"/>
                  <w:divBdr>
                    <w:top w:val="none" w:sz="0" w:space="0" w:color="auto"/>
                    <w:left w:val="none" w:sz="0" w:space="0" w:color="auto"/>
                    <w:bottom w:val="none" w:sz="0" w:space="0" w:color="auto"/>
                    <w:right w:val="none" w:sz="0" w:space="0" w:color="auto"/>
                  </w:divBdr>
                  <w:divsChild>
                    <w:div w:id="1055742897">
                      <w:marLeft w:val="0"/>
                      <w:marRight w:val="0"/>
                      <w:marTop w:val="0"/>
                      <w:marBottom w:val="0"/>
                      <w:divBdr>
                        <w:top w:val="none" w:sz="0" w:space="0" w:color="auto"/>
                        <w:left w:val="none" w:sz="0" w:space="0" w:color="auto"/>
                        <w:bottom w:val="none" w:sz="0" w:space="0" w:color="auto"/>
                        <w:right w:val="none" w:sz="0" w:space="0" w:color="auto"/>
                      </w:divBdr>
                    </w:div>
                  </w:divsChild>
                </w:div>
                <w:div w:id="1149325902">
                  <w:marLeft w:val="0"/>
                  <w:marRight w:val="0"/>
                  <w:marTop w:val="0"/>
                  <w:marBottom w:val="0"/>
                  <w:divBdr>
                    <w:top w:val="none" w:sz="0" w:space="0" w:color="auto"/>
                    <w:left w:val="none" w:sz="0" w:space="0" w:color="auto"/>
                    <w:bottom w:val="none" w:sz="0" w:space="0" w:color="auto"/>
                    <w:right w:val="none" w:sz="0" w:space="0" w:color="auto"/>
                  </w:divBdr>
                  <w:divsChild>
                    <w:div w:id="861089847">
                      <w:marLeft w:val="0"/>
                      <w:marRight w:val="0"/>
                      <w:marTop w:val="0"/>
                      <w:marBottom w:val="0"/>
                      <w:divBdr>
                        <w:top w:val="none" w:sz="0" w:space="0" w:color="auto"/>
                        <w:left w:val="none" w:sz="0" w:space="0" w:color="auto"/>
                        <w:bottom w:val="none" w:sz="0" w:space="0" w:color="auto"/>
                        <w:right w:val="none" w:sz="0" w:space="0" w:color="auto"/>
                      </w:divBdr>
                    </w:div>
                  </w:divsChild>
                </w:div>
                <w:div w:id="1171800174">
                  <w:marLeft w:val="0"/>
                  <w:marRight w:val="0"/>
                  <w:marTop w:val="0"/>
                  <w:marBottom w:val="0"/>
                  <w:divBdr>
                    <w:top w:val="none" w:sz="0" w:space="0" w:color="auto"/>
                    <w:left w:val="none" w:sz="0" w:space="0" w:color="auto"/>
                    <w:bottom w:val="none" w:sz="0" w:space="0" w:color="auto"/>
                    <w:right w:val="none" w:sz="0" w:space="0" w:color="auto"/>
                  </w:divBdr>
                  <w:divsChild>
                    <w:div w:id="318461169">
                      <w:marLeft w:val="0"/>
                      <w:marRight w:val="0"/>
                      <w:marTop w:val="0"/>
                      <w:marBottom w:val="0"/>
                      <w:divBdr>
                        <w:top w:val="none" w:sz="0" w:space="0" w:color="auto"/>
                        <w:left w:val="none" w:sz="0" w:space="0" w:color="auto"/>
                        <w:bottom w:val="none" w:sz="0" w:space="0" w:color="auto"/>
                        <w:right w:val="none" w:sz="0" w:space="0" w:color="auto"/>
                      </w:divBdr>
                    </w:div>
                  </w:divsChild>
                </w:div>
                <w:div w:id="1192651741">
                  <w:marLeft w:val="0"/>
                  <w:marRight w:val="0"/>
                  <w:marTop w:val="0"/>
                  <w:marBottom w:val="0"/>
                  <w:divBdr>
                    <w:top w:val="none" w:sz="0" w:space="0" w:color="auto"/>
                    <w:left w:val="none" w:sz="0" w:space="0" w:color="auto"/>
                    <w:bottom w:val="none" w:sz="0" w:space="0" w:color="auto"/>
                    <w:right w:val="none" w:sz="0" w:space="0" w:color="auto"/>
                  </w:divBdr>
                  <w:divsChild>
                    <w:div w:id="1003557778">
                      <w:marLeft w:val="0"/>
                      <w:marRight w:val="0"/>
                      <w:marTop w:val="0"/>
                      <w:marBottom w:val="0"/>
                      <w:divBdr>
                        <w:top w:val="none" w:sz="0" w:space="0" w:color="auto"/>
                        <w:left w:val="none" w:sz="0" w:space="0" w:color="auto"/>
                        <w:bottom w:val="none" w:sz="0" w:space="0" w:color="auto"/>
                        <w:right w:val="none" w:sz="0" w:space="0" w:color="auto"/>
                      </w:divBdr>
                    </w:div>
                  </w:divsChild>
                </w:div>
                <w:div w:id="1197740089">
                  <w:marLeft w:val="0"/>
                  <w:marRight w:val="0"/>
                  <w:marTop w:val="0"/>
                  <w:marBottom w:val="0"/>
                  <w:divBdr>
                    <w:top w:val="none" w:sz="0" w:space="0" w:color="auto"/>
                    <w:left w:val="none" w:sz="0" w:space="0" w:color="auto"/>
                    <w:bottom w:val="none" w:sz="0" w:space="0" w:color="auto"/>
                    <w:right w:val="none" w:sz="0" w:space="0" w:color="auto"/>
                  </w:divBdr>
                  <w:divsChild>
                    <w:div w:id="882907226">
                      <w:marLeft w:val="0"/>
                      <w:marRight w:val="0"/>
                      <w:marTop w:val="0"/>
                      <w:marBottom w:val="0"/>
                      <w:divBdr>
                        <w:top w:val="none" w:sz="0" w:space="0" w:color="auto"/>
                        <w:left w:val="none" w:sz="0" w:space="0" w:color="auto"/>
                        <w:bottom w:val="none" w:sz="0" w:space="0" w:color="auto"/>
                        <w:right w:val="none" w:sz="0" w:space="0" w:color="auto"/>
                      </w:divBdr>
                    </w:div>
                  </w:divsChild>
                </w:div>
                <w:div w:id="1204488170">
                  <w:marLeft w:val="0"/>
                  <w:marRight w:val="0"/>
                  <w:marTop w:val="0"/>
                  <w:marBottom w:val="0"/>
                  <w:divBdr>
                    <w:top w:val="none" w:sz="0" w:space="0" w:color="auto"/>
                    <w:left w:val="none" w:sz="0" w:space="0" w:color="auto"/>
                    <w:bottom w:val="none" w:sz="0" w:space="0" w:color="auto"/>
                    <w:right w:val="none" w:sz="0" w:space="0" w:color="auto"/>
                  </w:divBdr>
                  <w:divsChild>
                    <w:div w:id="710883731">
                      <w:marLeft w:val="0"/>
                      <w:marRight w:val="0"/>
                      <w:marTop w:val="0"/>
                      <w:marBottom w:val="0"/>
                      <w:divBdr>
                        <w:top w:val="none" w:sz="0" w:space="0" w:color="auto"/>
                        <w:left w:val="none" w:sz="0" w:space="0" w:color="auto"/>
                        <w:bottom w:val="none" w:sz="0" w:space="0" w:color="auto"/>
                        <w:right w:val="none" w:sz="0" w:space="0" w:color="auto"/>
                      </w:divBdr>
                    </w:div>
                  </w:divsChild>
                </w:div>
                <w:div w:id="1205142690">
                  <w:marLeft w:val="0"/>
                  <w:marRight w:val="0"/>
                  <w:marTop w:val="0"/>
                  <w:marBottom w:val="0"/>
                  <w:divBdr>
                    <w:top w:val="none" w:sz="0" w:space="0" w:color="auto"/>
                    <w:left w:val="none" w:sz="0" w:space="0" w:color="auto"/>
                    <w:bottom w:val="none" w:sz="0" w:space="0" w:color="auto"/>
                    <w:right w:val="none" w:sz="0" w:space="0" w:color="auto"/>
                  </w:divBdr>
                  <w:divsChild>
                    <w:div w:id="1269433533">
                      <w:marLeft w:val="0"/>
                      <w:marRight w:val="0"/>
                      <w:marTop w:val="0"/>
                      <w:marBottom w:val="0"/>
                      <w:divBdr>
                        <w:top w:val="none" w:sz="0" w:space="0" w:color="auto"/>
                        <w:left w:val="none" w:sz="0" w:space="0" w:color="auto"/>
                        <w:bottom w:val="none" w:sz="0" w:space="0" w:color="auto"/>
                        <w:right w:val="none" w:sz="0" w:space="0" w:color="auto"/>
                      </w:divBdr>
                    </w:div>
                  </w:divsChild>
                </w:div>
                <w:div w:id="1215045836">
                  <w:marLeft w:val="0"/>
                  <w:marRight w:val="0"/>
                  <w:marTop w:val="0"/>
                  <w:marBottom w:val="0"/>
                  <w:divBdr>
                    <w:top w:val="none" w:sz="0" w:space="0" w:color="auto"/>
                    <w:left w:val="none" w:sz="0" w:space="0" w:color="auto"/>
                    <w:bottom w:val="none" w:sz="0" w:space="0" w:color="auto"/>
                    <w:right w:val="none" w:sz="0" w:space="0" w:color="auto"/>
                  </w:divBdr>
                  <w:divsChild>
                    <w:div w:id="1528978911">
                      <w:marLeft w:val="0"/>
                      <w:marRight w:val="0"/>
                      <w:marTop w:val="0"/>
                      <w:marBottom w:val="0"/>
                      <w:divBdr>
                        <w:top w:val="none" w:sz="0" w:space="0" w:color="auto"/>
                        <w:left w:val="none" w:sz="0" w:space="0" w:color="auto"/>
                        <w:bottom w:val="none" w:sz="0" w:space="0" w:color="auto"/>
                        <w:right w:val="none" w:sz="0" w:space="0" w:color="auto"/>
                      </w:divBdr>
                    </w:div>
                  </w:divsChild>
                </w:div>
                <w:div w:id="1225801406">
                  <w:marLeft w:val="0"/>
                  <w:marRight w:val="0"/>
                  <w:marTop w:val="0"/>
                  <w:marBottom w:val="0"/>
                  <w:divBdr>
                    <w:top w:val="none" w:sz="0" w:space="0" w:color="auto"/>
                    <w:left w:val="none" w:sz="0" w:space="0" w:color="auto"/>
                    <w:bottom w:val="none" w:sz="0" w:space="0" w:color="auto"/>
                    <w:right w:val="none" w:sz="0" w:space="0" w:color="auto"/>
                  </w:divBdr>
                  <w:divsChild>
                    <w:div w:id="1986855040">
                      <w:marLeft w:val="0"/>
                      <w:marRight w:val="0"/>
                      <w:marTop w:val="0"/>
                      <w:marBottom w:val="0"/>
                      <w:divBdr>
                        <w:top w:val="none" w:sz="0" w:space="0" w:color="auto"/>
                        <w:left w:val="none" w:sz="0" w:space="0" w:color="auto"/>
                        <w:bottom w:val="none" w:sz="0" w:space="0" w:color="auto"/>
                        <w:right w:val="none" w:sz="0" w:space="0" w:color="auto"/>
                      </w:divBdr>
                    </w:div>
                  </w:divsChild>
                </w:div>
                <w:div w:id="1251619199">
                  <w:marLeft w:val="0"/>
                  <w:marRight w:val="0"/>
                  <w:marTop w:val="0"/>
                  <w:marBottom w:val="0"/>
                  <w:divBdr>
                    <w:top w:val="none" w:sz="0" w:space="0" w:color="auto"/>
                    <w:left w:val="none" w:sz="0" w:space="0" w:color="auto"/>
                    <w:bottom w:val="none" w:sz="0" w:space="0" w:color="auto"/>
                    <w:right w:val="none" w:sz="0" w:space="0" w:color="auto"/>
                  </w:divBdr>
                  <w:divsChild>
                    <w:div w:id="1788818527">
                      <w:marLeft w:val="0"/>
                      <w:marRight w:val="0"/>
                      <w:marTop w:val="0"/>
                      <w:marBottom w:val="0"/>
                      <w:divBdr>
                        <w:top w:val="none" w:sz="0" w:space="0" w:color="auto"/>
                        <w:left w:val="none" w:sz="0" w:space="0" w:color="auto"/>
                        <w:bottom w:val="none" w:sz="0" w:space="0" w:color="auto"/>
                        <w:right w:val="none" w:sz="0" w:space="0" w:color="auto"/>
                      </w:divBdr>
                    </w:div>
                  </w:divsChild>
                </w:div>
                <w:div w:id="1287465998">
                  <w:marLeft w:val="0"/>
                  <w:marRight w:val="0"/>
                  <w:marTop w:val="0"/>
                  <w:marBottom w:val="0"/>
                  <w:divBdr>
                    <w:top w:val="none" w:sz="0" w:space="0" w:color="auto"/>
                    <w:left w:val="none" w:sz="0" w:space="0" w:color="auto"/>
                    <w:bottom w:val="none" w:sz="0" w:space="0" w:color="auto"/>
                    <w:right w:val="none" w:sz="0" w:space="0" w:color="auto"/>
                  </w:divBdr>
                  <w:divsChild>
                    <w:div w:id="1464422371">
                      <w:marLeft w:val="0"/>
                      <w:marRight w:val="0"/>
                      <w:marTop w:val="0"/>
                      <w:marBottom w:val="0"/>
                      <w:divBdr>
                        <w:top w:val="none" w:sz="0" w:space="0" w:color="auto"/>
                        <w:left w:val="none" w:sz="0" w:space="0" w:color="auto"/>
                        <w:bottom w:val="none" w:sz="0" w:space="0" w:color="auto"/>
                        <w:right w:val="none" w:sz="0" w:space="0" w:color="auto"/>
                      </w:divBdr>
                    </w:div>
                  </w:divsChild>
                </w:div>
                <w:div w:id="1288505994">
                  <w:marLeft w:val="0"/>
                  <w:marRight w:val="0"/>
                  <w:marTop w:val="0"/>
                  <w:marBottom w:val="0"/>
                  <w:divBdr>
                    <w:top w:val="none" w:sz="0" w:space="0" w:color="auto"/>
                    <w:left w:val="none" w:sz="0" w:space="0" w:color="auto"/>
                    <w:bottom w:val="none" w:sz="0" w:space="0" w:color="auto"/>
                    <w:right w:val="none" w:sz="0" w:space="0" w:color="auto"/>
                  </w:divBdr>
                  <w:divsChild>
                    <w:div w:id="1300189388">
                      <w:marLeft w:val="0"/>
                      <w:marRight w:val="0"/>
                      <w:marTop w:val="0"/>
                      <w:marBottom w:val="0"/>
                      <w:divBdr>
                        <w:top w:val="none" w:sz="0" w:space="0" w:color="auto"/>
                        <w:left w:val="none" w:sz="0" w:space="0" w:color="auto"/>
                        <w:bottom w:val="none" w:sz="0" w:space="0" w:color="auto"/>
                        <w:right w:val="none" w:sz="0" w:space="0" w:color="auto"/>
                      </w:divBdr>
                    </w:div>
                  </w:divsChild>
                </w:div>
                <w:div w:id="1289748794">
                  <w:marLeft w:val="0"/>
                  <w:marRight w:val="0"/>
                  <w:marTop w:val="0"/>
                  <w:marBottom w:val="0"/>
                  <w:divBdr>
                    <w:top w:val="none" w:sz="0" w:space="0" w:color="auto"/>
                    <w:left w:val="none" w:sz="0" w:space="0" w:color="auto"/>
                    <w:bottom w:val="none" w:sz="0" w:space="0" w:color="auto"/>
                    <w:right w:val="none" w:sz="0" w:space="0" w:color="auto"/>
                  </w:divBdr>
                  <w:divsChild>
                    <w:div w:id="902712534">
                      <w:marLeft w:val="0"/>
                      <w:marRight w:val="0"/>
                      <w:marTop w:val="0"/>
                      <w:marBottom w:val="0"/>
                      <w:divBdr>
                        <w:top w:val="none" w:sz="0" w:space="0" w:color="auto"/>
                        <w:left w:val="none" w:sz="0" w:space="0" w:color="auto"/>
                        <w:bottom w:val="none" w:sz="0" w:space="0" w:color="auto"/>
                        <w:right w:val="none" w:sz="0" w:space="0" w:color="auto"/>
                      </w:divBdr>
                    </w:div>
                  </w:divsChild>
                </w:div>
                <w:div w:id="1294409026">
                  <w:marLeft w:val="0"/>
                  <w:marRight w:val="0"/>
                  <w:marTop w:val="0"/>
                  <w:marBottom w:val="0"/>
                  <w:divBdr>
                    <w:top w:val="none" w:sz="0" w:space="0" w:color="auto"/>
                    <w:left w:val="none" w:sz="0" w:space="0" w:color="auto"/>
                    <w:bottom w:val="none" w:sz="0" w:space="0" w:color="auto"/>
                    <w:right w:val="none" w:sz="0" w:space="0" w:color="auto"/>
                  </w:divBdr>
                  <w:divsChild>
                    <w:div w:id="565458986">
                      <w:marLeft w:val="0"/>
                      <w:marRight w:val="0"/>
                      <w:marTop w:val="0"/>
                      <w:marBottom w:val="0"/>
                      <w:divBdr>
                        <w:top w:val="none" w:sz="0" w:space="0" w:color="auto"/>
                        <w:left w:val="none" w:sz="0" w:space="0" w:color="auto"/>
                        <w:bottom w:val="none" w:sz="0" w:space="0" w:color="auto"/>
                        <w:right w:val="none" w:sz="0" w:space="0" w:color="auto"/>
                      </w:divBdr>
                    </w:div>
                  </w:divsChild>
                </w:div>
                <w:div w:id="1340812427">
                  <w:marLeft w:val="0"/>
                  <w:marRight w:val="0"/>
                  <w:marTop w:val="0"/>
                  <w:marBottom w:val="0"/>
                  <w:divBdr>
                    <w:top w:val="none" w:sz="0" w:space="0" w:color="auto"/>
                    <w:left w:val="none" w:sz="0" w:space="0" w:color="auto"/>
                    <w:bottom w:val="none" w:sz="0" w:space="0" w:color="auto"/>
                    <w:right w:val="none" w:sz="0" w:space="0" w:color="auto"/>
                  </w:divBdr>
                  <w:divsChild>
                    <w:div w:id="319315793">
                      <w:marLeft w:val="0"/>
                      <w:marRight w:val="0"/>
                      <w:marTop w:val="0"/>
                      <w:marBottom w:val="0"/>
                      <w:divBdr>
                        <w:top w:val="none" w:sz="0" w:space="0" w:color="auto"/>
                        <w:left w:val="none" w:sz="0" w:space="0" w:color="auto"/>
                        <w:bottom w:val="none" w:sz="0" w:space="0" w:color="auto"/>
                        <w:right w:val="none" w:sz="0" w:space="0" w:color="auto"/>
                      </w:divBdr>
                    </w:div>
                  </w:divsChild>
                </w:div>
                <w:div w:id="1353871803">
                  <w:marLeft w:val="0"/>
                  <w:marRight w:val="0"/>
                  <w:marTop w:val="0"/>
                  <w:marBottom w:val="0"/>
                  <w:divBdr>
                    <w:top w:val="none" w:sz="0" w:space="0" w:color="auto"/>
                    <w:left w:val="none" w:sz="0" w:space="0" w:color="auto"/>
                    <w:bottom w:val="none" w:sz="0" w:space="0" w:color="auto"/>
                    <w:right w:val="none" w:sz="0" w:space="0" w:color="auto"/>
                  </w:divBdr>
                  <w:divsChild>
                    <w:div w:id="688409147">
                      <w:marLeft w:val="0"/>
                      <w:marRight w:val="0"/>
                      <w:marTop w:val="0"/>
                      <w:marBottom w:val="0"/>
                      <w:divBdr>
                        <w:top w:val="none" w:sz="0" w:space="0" w:color="auto"/>
                        <w:left w:val="none" w:sz="0" w:space="0" w:color="auto"/>
                        <w:bottom w:val="none" w:sz="0" w:space="0" w:color="auto"/>
                        <w:right w:val="none" w:sz="0" w:space="0" w:color="auto"/>
                      </w:divBdr>
                    </w:div>
                  </w:divsChild>
                </w:div>
                <w:div w:id="1358772103">
                  <w:marLeft w:val="0"/>
                  <w:marRight w:val="0"/>
                  <w:marTop w:val="0"/>
                  <w:marBottom w:val="0"/>
                  <w:divBdr>
                    <w:top w:val="none" w:sz="0" w:space="0" w:color="auto"/>
                    <w:left w:val="none" w:sz="0" w:space="0" w:color="auto"/>
                    <w:bottom w:val="none" w:sz="0" w:space="0" w:color="auto"/>
                    <w:right w:val="none" w:sz="0" w:space="0" w:color="auto"/>
                  </w:divBdr>
                  <w:divsChild>
                    <w:div w:id="425152253">
                      <w:marLeft w:val="0"/>
                      <w:marRight w:val="0"/>
                      <w:marTop w:val="0"/>
                      <w:marBottom w:val="0"/>
                      <w:divBdr>
                        <w:top w:val="none" w:sz="0" w:space="0" w:color="auto"/>
                        <w:left w:val="none" w:sz="0" w:space="0" w:color="auto"/>
                        <w:bottom w:val="none" w:sz="0" w:space="0" w:color="auto"/>
                        <w:right w:val="none" w:sz="0" w:space="0" w:color="auto"/>
                      </w:divBdr>
                    </w:div>
                  </w:divsChild>
                </w:div>
                <w:div w:id="1380276860">
                  <w:marLeft w:val="0"/>
                  <w:marRight w:val="0"/>
                  <w:marTop w:val="0"/>
                  <w:marBottom w:val="0"/>
                  <w:divBdr>
                    <w:top w:val="none" w:sz="0" w:space="0" w:color="auto"/>
                    <w:left w:val="none" w:sz="0" w:space="0" w:color="auto"/>
                    <w:bottom w:val="none" w:sz="0" w:space="0" w:color="auto"/>
                    <w:right w:val="none" w:sz="0" w:space="0" w:color="auto"/>
                  </w:divBdr>
                  <w:divsChild>
                    <w:div w:id="50809046">
                      <w:marLeft w:val="0"/>
                      <w:marRight w:val="0"/>
                      <w:marTop w:val="0"/>
                      <w:marBottom w:val="0"/>
                      <w:divBdr>
                        <w:top w:val="none" w:sz="0" w:space="0" w:color="auto"/>
                        <w:left w:val="none" w:sz="0" w:space="0" w:color="auto"/>
                        <w:bottom w:val="none" w:sz="0" w:space="0" w:color="auto"/>
                        <w:right w:val="none" w:sz="0" w:space="0" w:color="auto"/>
                      </w:divBdr>
                    </w:div>
                  </w:divsChild>
                </w:div>
                <w:div w:id="1397047240">
                  <w:marLeft w:val="0"/>
                  <w:marRight w:val="0"/>
                  <w:marTop w:val="0"/>
                  <w:marBottom w:val="0"/>
                  <w:divBdr>
                    <w:top w:val="none" w:sz="0" w:space="0" w:color="auto"/>
                    <w:left w:val="none" w:sz="0" w:space="0" w:color="auto"/>
                    <w:bottom w:val="none" w:sz="0" w:space="0" w:color="auto"/>
                    <w:right w:val="none" w:sz="0" w:space="0" w:color="auto"/>
                  </w:divBdr>
                  <w:divsChild>
                    <w:div w:id="739015340">
                      <w:marLeft w:val="0"/>
                      <w:marRight w:val="0"/>
                      <w:marTop w:val="0"/>
                      <w:marBottom w:val="0"/>
                      <w:divBdr>
                        <w:top w:val="none" w:sz="0" w:space="0" w:color="auto"/>
                        <w:left w:val="none" w:sz="0" w:space="0" w:color="auto"/>
                        <w:bottom w:val="none" w:sz="0" w:space="0" w:color="auto"/>
                        <w:right w:val="none" w:sz="0" w:space="0" w:color="auto"/>
                      </w:divBdr>
                    </w:div>
                  </w:divsChild>
                </w:div>
                <w:div w:id="1406874773">
                  <w:marLeft w:val="0"/>
                  <w:marRight w:val="0"/>
                  <w:marTop w:val="0"/>
                  <w:marBottom w:val="0"/>
                  <w:divBdr>
                    <w:top w:val="none" w:sz="0" w:space="0" w:color="auto"/>
                    <w:left w:val="none" w:sz="0" w:space="0" w:color="auto"/>
                    <w:bottom w:val="none" w:sz="0" w:space="0" w:color="auto"/>
                    <w:right w:val="none" w:sz="0" w:space="0" w:color="auto"/>
                  </w:divBdr>
                  <w:divsChild>
                    <w:div w:id="865024269">
                      <w:marLeft w:val="0"/>
                      <w:marRight w:val="0"/>
                      <w:marTop w:val="0"/>
                      <w:marBottom w:val="0"/>
                      <w:divBdr>
                        <w:top w:val="none" w:sz="0" w:space="0" w:color="auto"/>
                        <w:left w:val="none" w:sz="0" w:space="0" w:color="auto"/>
                        <w:bottom w:val="none" w:sz="0" w:space="0" w:color="auto"/>
                        <w:right w:val="none" w:sz="0" w:space="0" w:color="auto"/>
                      </w:divBdr>
                    </w:div>
                  </w:divsChild>
                </w:div>
                <w:div w:id="1413090875">
                  <w:marLeft w:val="0"/>
                  <w:marRight w:val="0"/>
                  <w:marTop w:val="0"/>
                  <w:marBottom w:val="0"/>
                  <w:divBdr>
                    <w:top w:val="none" w:sz="0" w:space="0" w:color="auto"/>
                    <w:left w:val="none" w:sz="0" w:space="0" w:color="auto"/>
                    <w:bottom w:val="none" w:sz="0" w:space="0" w:color="auto"/>
                    <w:right w:val="none" w:sz="0" w:space="0" w:color="auto"/>
                  </w:divBdr>
                  <w:divsChild>
                    <w:div w:id="1435131696">
                      <w:marLeft w:val="0"/>
                      <w:marRight w:val="0"/>
                      <w:marTop w:val="0"/>
                      <w:marBottom w:val="0"/>
                      <w:divBdr>
                        <w:top w:val="none" w:sz="0" w:space="0" w:color="auto"/>
                        <w:left w:val="none" w:sz="0" w:space="0" w:color="auto"/>
                        <w:bottom w:val="none" w:sz="0" w:space="0" w:color="auto"/>
                        <w:right w:val="none" w:sz="0" w:space="0" w:color="auto"/>
                      </w:divBdr>
                    </w:div>
                  </w:divsChild>
                </w:div>
                <w:div w:id="1422724094">
                  <w:marLeft w:val="0"/>
                  <w:marRight w:val="0"/>
                  <w:marTop w:val="0"/>
                  <w:marBottom w:val="0"/>
                  <w:divBdr>
                    <w:top w:val="none" w:sz="0" w:space="0" w:color="auto"/>
                    <w:left w:val="none" w:sz="0" w:space="0" w:color="auto"/>
                    <w:bottom w:val="none" w:sz="0" w:space="0" w:color="auto"/>
                    <w:right w:val="none" w:sz="0" w:space="0" w:color="auto"/>
                  </w:divBdr>
                  <w:divsChild>
                    <w:div w:id="1351294133">
                      <w:marLeft w:val="0"/>
                      <w:marRight w:val="0"/>
                      <w:marTop w:val="0"/>
                      <w:marBottom w:val="0"/>
                      <w:divBdr>
                        <w:top w:val="none" w:sz="0" w:space="0" w:color="auto"/>
                        <w:left w:val="none" w:sz="0" w:space="0" w:color="auto"/>
                        <w:bottom w:val="none" w:sz="0" w:space="0" w:color="auto"/>
                        <w:right w:val="none" w:sz="0" w:space="0" w:color="auto"/>
                      </w:divBdr>
                    </w:div>
                  </w:divsChild>
                </w:div>
                <w:div w:id="1427308941">
                  <w:marLeft w:val="0"/>
                  <w:marRight w:val="0"/>
                  <w:marTop w:val="0"/>
                  <w:marBottom w:val="0"/>
                  <w:divBdr>
                    <w:top w:val="none" w:sz="0" w:space="0" w:color="auto"/>
                    <w:left w:val="none" w:sz="0" w:space="0" w:color="auto"/>
                    <w:bottom w:val="none" w:sz="0" w:space="0" w:color="auto"/>
                    <w:right w:val="none" w:sz="0" w:space="0" w:color="auto"/>
                  </w:divBdr>
                  <w:divsChild>
                    <w:div w:id="862014224">
                      <w:marLeft w:val="0"/>
                      <w:marRight w:val="0"/>
                      <w:marTop w:val="0"/>
                      <w:marBottom w:val="0"/>
                      <w:divBdr>
                        <w:top w:val="none" w:sz="0" w:space="0" w:color="auto"/>
                        <w:left w:val="none" w:sz="0" w:space="0" w:color="auto"/>
                        <w:bottom w:val="none" w:sz="0" w:space="0" w:color="auto"/>
                        <w:right w:val="none" w:sz="0" w:space="0" w:color="auto"/>
                      </w:divBdr>
                    </w:div>
                  </w:divsChild>
                </w:div>
                <w:div w:id="1440564076">
                  <w:marLeft w:val="0"/>
                  <w:marRight w:val="0"/>
                  <w:marTop w:val="0"/>
                  <w:marBottom w:val="0"/>
                  <w:divBdr>
                    <w:top w:val="none" w:sz="0" w:space="0" w:color="auto"/>
                    <w:left w:val="none" w:sz="0" w:space="0" w:color="auto"/>
                    <w:bottom w:val="none" w:sz="0" w:space="0" w:color="auto"/>
                    <w:right w:val="none" w:sz="0" w:space="0" w:color="auto"/>
                  </w:divBdr>
                  <w:divsChild>
                    <w:div w:id="599336161">
                      <w:marLeft w:val="0"/>
                      <w:marRight w:val="0"/>
                      <w:marTop w:val="0"/>
                      <w:marBottom w:val="0"/>
                      <w:divBdr>
                        <w:top w:val="none" w:sz="0" w:space="0" w:color="auto"/>
                        <w:left w:val="none" w:sz="0" w:space="0" w:color="auto"/>
                        <w:bottom w:val="none" w:sz="0" w:space="0" w:color="auto"/>
                        <w:right w:val="none" w:sz="0" w:space="0" w:color="auto"/>
                      </w:divBdr>
                    </w:div>
                  </w:divsChild>
                </w:div>
                <w:div w:id="1443573751">
                  <w:marLeft w:val="0"/>
                  <w:marRight w:val="0"/>
                  <w:marTop w:val="0"/>
                  <w:marBottom w:val="0"/>
                  <w:divBdr>
                    <w:top w:val="none" w:sz="0" w:space="0" w:color="auto"/>
                    <w:left w:val="none" w:sz="0" w:space="0" w:color="auto"/>
                    <w:bottom w:val="none" w:sz="0" w:space="0" w:color="auto"/>
                    <w:right w:val="none" w:sz="0" w:space="0" w:color="auto"/>
                  </w:divBdr>
                  <w:divsChild>
                    <w:div w:id="1644696773">
                      <w:marLeft w:val="0"/>
                      <w:marRight w:val="0"/>
                      <w:marTop w:val="0"/>
                      <w:marBottom w:val="0"/>
                      <w:divBdr>
                        <w:top w:val="none" w:sz="0" w:space="0" w:color="auto"/>
                        <w:left w:val="none" w:sz="0" w:space="0" w:color="auto"/>
                        <w:bottom w:val="none" w:sz="0" w:space="0" w:color="auto"/>
                        <w:right w:val="none" w:sz="0" w:space="0" w:color="auto"/>
                      </w:divBdr>
                    </w:div>
                  </w:divsChild>
                </w:div>
                <w:div w:id="1445343092">
                  <w:marLeft w:val="0"/>
                  <w:marRight w:val="0"/>
                  <w:marTop w:val="0"/>
                  <w:marBottom w:val="0"/>
                  <w:divBdr>
                    <w:top w:val="none" w:sz="0" w:space="0" w:color="auto"/>
                    <w:left w:val="none" w:sz="0" w:space="0" w:color="auto"/>
                    <w:bottom w:val="none" w:sz="0" w:space="0" w:color="auto"/>
                    <w:right w:val="none" w:sz="0" w:space="0" w:color="auto"/>
                  </w:divBdr>
                  <w:divsChild>
                    <w:div w:id="196436217">
                      <w:marLeft w:val="0"/>
                      <w:marRight w:val="0"/>
                      <w:marTop w:val="0"/>
                      <w:marBottom w:val="0"/>
                      <w:divBdr>
                        <w:top w:val="none" w:sz="0" w:space="0" w:color="auto"/>
                        <w:left w:val="none" w:sz="0" w:space="0" w:color="auto"/>
                        <w:bottom w:val="none" w:sz="0" w:space="0" w:color="auto"/>
                        <w:right w:val="none" w:sz="0" w:space="0" w:color="auto"/>
                      </w:divBdr>
                    </w:div>
                  </w:divsChild>
                </w:div>
                <w:div w:id="1452361137">
                  <w:marLeft w:val="0"/>
                  <w:marRight w:val="0"/>
                  <w:marTop w:val="0"/>
                  <w:marBottom w:val="0"/>
                  <w:divBdr>
                    <w:top w:val="none" w:sz="0" w:space="0" w:color="auto"/>
                    <w:left w:val="none" w:sz="0" w:space="0" w:color="auto"/>
                    <w:bottom w:val="none" w:sz="0" w:space="0" w:color="auto"/>
                    <w:right w:val="none" w:sz="0" w:space="0" w:color="auto"/>
                  </w:divBdr>
                  <w:divsChild>
                    <w:div w:id="1189829617">
                      <w:marLeft w:val="0"/>
                      <w:marRight w:val="0"/>
                      <w:marTop w:val="0"/>
                      <w:marBottom w:val="0"/>
                      <w:divBdr>
                        <w:top w:val="none" w:sz="0" w:space="0" w:color="auto"/>
                        <w:left w:val="none" w:sz="0" w:space="0" w:color="auto"/>
                        <w:bottom w:val="none" w:sz="0" w:space="0" w:color="auto"/>
                        <w:right w:val="none" w:sz="0" w:space="0" w:color="auto"/>
                      </w:divBdr>
                    </w:div>
                  </w:divsChild>
                </w:div>
                <w:div w:id="1467502311">
                  <w:marLeft w:val="0"/>
                  <w:marRight w:val="0"/>
                  <w:marTop w:val="0"/>
                  <w:marBottom w:val="0"/>
                  <w:divBdr>
                    <w:top w:val="none" w:sz="0" w:space="0" w:color="auto"/>
                    <w:left w:val="none" w:sz="0" w:space="0" w:color="auto"/>
                    <w:bottom w:val="none" w:sz="0" w:space="0" w:color="auto"/>
                    <w:right w:val="none" w:sz="0" w:space="0" w:color="auto"/>
                  </w:divBdr>
                  <w:divsChild>
                    <w:div w:id="328212307">
                      <w:marLeft w:val="0"/>
                      <w:marRight w:val="0"/>
                      <w:marTop w:val="0"/>
                      <w:marBottom w:val="0"/>
                      <w:divBdr>
                        <w:top w:val="none" w:sz="0" w:space="0" w:color="auto"/>
                        <w:left w:val="none" w:sz="0" w:space="0" w:color="auto"/>
                        <w:bottom w:val="none" w:sz="0" w:space="0" w:color="auto"/>
                        <w:right w:val="none" w:sz="0" w:space="0" w:color="auto"/>
                      </w:divBdr>
                    </w:div>
                  </w:divsChild>
                </w:div>
                <w:div w:id="1478717078">
                  <w:marLeft w:val="0"/>
                  <w:marRight w:val="0"/>
                  <w:marTop w:val="0"/>
                  <w:marBottom w:val="0"/>
                  <w:divBdr>
                    <w:top w:val="none" w:sz="0" w:space="0" w:color="auto"/>
                    <w:left w:val="none" w:sz="0" w:space="0" w:color="auto"/>
                    <w:bottom w:val="none" w:sz="0" w:space="0" w:color="auto"/>
                    <w:right w:val="none" w:sz="0" w:space="0" w:color="auto"/>
                  </w:divBdr>
                  <w:divsChild>
                    <w:div w:id="1472285163">
                      <w:marLeft w:val="0"/>
                      <w:marRight w:val="0"/>
                      <w:marTop w:val="0"/>
                      <w:marBottom w:val="0"/>
                      <w:divBdr>
                        <w:top w:val="none" w:sz="0" w:space="0" w:color="auto"/>
                        <w:left w:val="none" w:sz="0" w:space="0" w:color="auto"/>
                        <w:bottom w:val="none" w:sz="0" w:space="0" w:color="auto"/>
                        <w:right w:val="none" w:sz="0" w:space="0" w:color="auto"/>
                      </w:divBdr>
                    </w:div>
                  </w:divsChild>
                </w:div>
                <w:div w:id="1487740453">
                  <w:marLeft w:val="0"/>
                  <w:marRight w:val="0"/>
                  <w:marTop w:val="0"/>
                  <w:marBottom w:val="0"/>
                  <w:divBdr>
                    <w:top w:val="none" w:sz="0" w:space="0" w:color="auto"/>
                    <w:left w:val="none" w:sz="0" w:space="0" w:color="auto"/>
                    <w:bottom w:val="none" w:sz="0" w:space="0" w:color="auto"/>
                    <w:right w:val="none" w:sz="0" w:space="0" w:color="auto"/>
                  </w:divBdr>
                  <w:divsChild>
                    <w:div w:id="1559780404">
                      <w:marLeft w:val="0"/>
                      <w:marRight w:val="0"/>
                      <w:marTop w:val="0"/>
                      <w:marBottom w:val="0"/>
                      <w:divBdr>
                        <w:top w:val="none" w:sz="0" w:space="0" w:color="auto"/>
                        <w:left w:val="none" w:sz="0" w:space="0" w:color="auto"/>
                        <w:bottom w:val="none" w:sz="0" w:space="0" w:color="auto"/>
                        <w:right w:val="none" w:sz="0" w:space="0" w:color="auto"/>
                      </w:divBdr>
                    </w:div>
                  </w:divsChild>
                </w:div>
                <w:div w:id="1504666941">
                  <w:marLeft w:val="0"/>
                  <w:marRight w:val="0"/>
                  <w:marTop w:val="0"/>
                  <w:marBottom w:val="0"/>
                  <w:divBdr>
                    <w:top w:val="none" w:sz="0" w:space="0" w:color="auto"/>
                    <w:left w:val="none" w:sz="0" w:space="0" w:color="auto"/>
                    <w:bottom w:val="none" w:sz="0" w:space="0" w:color="auto"/>
                    <w:right w:val="none" w:sz="0" w:space="0" w:color="auto"/>
                  </w:divBdr>
                  <w:divsChild>
                    <w:div w:id="416440516">
                      <w:marLeft w:val="0"/>
                      <w:marRight w:val="0"/>
                      <w:marTop w:val="0"/>
                      <w:marBottom w:val="0"/>
                      <w:divBdr>
                        <w:top w:val="none" w:sz="0" w:space="0" w:color="auto"/>
                        <w:left w:val="none" w:sz="0" w:space="0" w:color="auto"/>
                        <w:bottom w:val="none" w:sz="0" w:space="0" w:color="auto"/>
                        <w:right w:val="none" w:sz="0" w:space="0" w:color="auto"/>
                      </w:divBdr>
                    </w:div>
                  </w:divsChild>
                </w:div>
                <w:div w:id="1521773949">
                  <w:marLeft w:val="0"/>
                  <w:marRight w:val="0"/>
                  <w:marTop w:val="0"/>
                  <w:marBottom w:val="0"/>
                  <w:divBdr>
                    <w:top w:val="none" w:sz="0" w:space="0" w:color="auto"/>
                    <w:left w:val="none" w:sz="0" w:space="0" w:color="auto"/>
                    <w:bottom w:val="none" w:sz="0" w:space="0" w:color="auto"/>
                    <w:right w:val="none" w:sz="0" w:space="0" w:color="auto"/>
                  </w:divBdr>
                  <w:divsChild>
                    <w:div w:id="220093896">
                      <w:marLeft w:val="0"/>
                      <w:marRight w:val="0"/>
                      <w:marTop w:val="0"/>
                      <w:marBottom w:val="0"/>
                      <w:divBdr>
                        <w:top w:val="none" w:sz="0" w:space="0" w:color="auto"/>
                        <w:left w:val="none" w:sz="0" w:space="0" w:color="auto"/>
                        <w:bottom w:val="none" w:sz="0" w:space="0" w:color="auto"/>
                        <w:right w:val="none" w:sz="0" w:space="0" w:color="auto"/>
                      </w:divBdr>
                    </w:div>
                  </w:divsChild>
                </w:div>
                <w:div w:id="1544829526">
                  <w:marLeft w:val="0"/>
                  <w:marRight w:val="0"/>
                  <w:marTop w:val="0"/>
                  <w:marBottom w:val="0"/>
                  <w:divBdr>
                    <w:top w:val="none" w:sz="0" w:space="0" w:color="auto"/>
                    <w:left w:val="none" w:sz="0" w:space="0" w:color="auto"/>
                    <w:bottom w:val="none" w:sz="0" w:space="0" w:color="auto"/>
                    <w:right w:val="none" w:sz="0" w:space="0" w:color="auto"/>
                  </w:divBdr>
                  <w:divsChild>
                    <w:div w:id="690298000">
                      <w:marLeft w:val="0"/>
                      <w:marRight w:val="0"/>
                      <w:marTop w:val="0"/>
                      <w:marBottom w:val="0"/>
                      <w:divBdr>
                        <w:top w:val="none" w:sz="0" w:space="0" w:color="auto"/>
                        <w:left w:val="none" w:sz="0" w:space="0" w:color="auto"/>
                        <w:bottom w:val="none" w:sz="0" w:space="0" w:color="auto"/>
                        <w:right w:val="none" w:sz="0" w:space="0" w:color="auto"/>
                      </w:divBdr>
                    </w:div>
                  </w:divsChild>
                </w:div>
                <w:div w:id="1552186681">
                  <w:marLeft w:val="0"/>
                  <w:marRight w:val="0"/>
                  <w:marTop w:val="0"/>
                  <w:marBottom w:val="0"/>
                  <w:divBdr>
                    <w:top w:val="none" w:sz="0" w:space="0" w:color="auto"/>
                    <w:left w:val="none" w:sz="0" w:space="0" w:color="auto"/>
                    <w:bottom w:val="none" w:sz="0" w:space="0" w:color="auto"/>
                    <w:right w:val="none" w:sz="0" w:space="0" w:color="auto"/>
                  </w:divBdr>
                  <w:divsChild>
                    <w:div w:id="1947813488">
                      <w:marLeft w:val="0"/>
                      <w:marRight w:val="0"/>
                      <w:marTop w:val="0"/>
                      <w:marBottom w:val="0"/>
                      <w:divBdr>
                        <w:top w:val="none" w:sz="0" w:space="0" w:color="auto"/>
                        <w:left w:val="none" w:sz="0" w:space="0" w:color="auto"/>
                        <w:bottom w:val="none" w:sz="0" w:space="0" w:color="auto"/>
                        <w:right w:val="none" w:sz="0" w:space="0" w:color="auto"/>
                      </w:divBdr>
                    </w:div>
                  </w:divsChild>
                </w:div>
                <w:div w:id="1577284664">
                  <w:marLeft w:val="0"/>
                  <w:marRight w:val="0"/>
                  <w:marTop w:val="0"/>
                  <w:marBottom w:val="0"/>
                  <w:divBdr>
                    <w:top w:val="none" w:sz="0" w:space="0" w:color="auto"/>
                    <w:left w:val="none" w:sz="0" w:space="0" w:color="auto"/>
                    <w:bottom w:val="none" w:sz="0" w:space="0" w:color="auto"/>
                    <w:right w:val="none" w:sz="0" w:space="0" w:color="auto"/>
                  </w:divBdr>
                  <w:divsChild>
                    <w:div w:id="1304585015">
                      <w:marLeft w:val="0"/>
                      <w:marRight w:val="0"/>
                      <w:marTop w:val="0"/>
                      <w:marBottom w:val="0"/>
                      <w:divBdr>
                        <w:top w:val="none" w:sz="0" w:space="0" w:color="auto"/>
                        <w:left w:val="none" w:sz="0" w:space="0" w:color="auto"/>
                        <w:bottom w:val="none" w:sz="0" w:space="0" w:color="auto"/>
                        <w:right w:val="none" w:sz="0" w:space="0" w:color="auto"/>
                      </w:divBdr>
                    </w:div>
                  </w:divsChild>
                </w:div>
                <w:div w:id="1580023924">
                  <w:marLeft w:val="0"/>
                  <w:marRight w:val="0"/>
                  <w:marTop w:val="0"/>
                  <w:marBottom w:val="0"/>
                  <w:divBdr>
                    <w:top w:val="none" w:sz="0" w:space="0" w:color="auto"/>
                    <w:left w:val="none" w:sz="0" w:space="0" w:color="auto"/>
                    <w:bottom w:val="none" w:sz="0" w:space="0" w:color="auto"/>
                    <w:right w:val="none" w:sz="0" w:space="0" w:color="auto"/>
                  </w:divBdr>
                  <w:divsChild>
                    <w:div w:id="534462180">
                      <w:marLeft w:val="0"/>
                      <w:marRight w:val="0"/>
                      <w:marTop w:val="0"/>
                      <w:marBottom w:val="0"/>
                      <w:divBdr>
                        <w:top w:val="none" w:sz="0" w:space="0" w:color="auto"/>
                        <w:left w:val="none" w:sz="0" w:space="0" w:color="auto"/>
                        <w:bottom w:val="none" w:sz="0" w:space="0" w:color="auto"/>
                        <w:right w:val="none" w:sz="0" w:space="0" w:color="auto"/>
                      </w:divBdr>
                    </w:div>
                  </w:divsChild>
                </w:div>
                <w:div w:id="1634485619">
                  <w:marLeft w:val="0"/>
                  <w:marRight w:val="0"/>
                  <w:marTop w:val="0"/>
                  <w:marBottom w:val="0"/>
                  <w:divBdr>
                    <w:top w:val="none" w:sz="0" w:space="0" w:color="auto"/>
                    <w:left w:val="none" w:sz="0" w:space="0" w:color="auto"/>
                    <w:bottom w:val="none" w:sz="0" w:space="0" w:color="auto"/>
                    <w:right w:val="none" w:sz="0" w:space="0" w:color="auto"/>
                  </w:divBdr>
                  <w:divsChild>
                    <w:div w:id="211890622">
                      <w:marLeft w:val="0"/>
                      <w:marRight w:val="0"/>
                      <w:marTop w:val="0"/>
                      <w:marBottom w:val="0"/>
                      <w:divBdr>
                        <w:top w:val="none" w:sz="0" w:space="0" w:color="auto"/>
                        <w:left w:val="none" w:sz="0" w:space="0" w:color="auto"/>
                        <w:bottom w:val="none" w:sz="0" w:space="0" w:color="auto"/>
                        <w:right w:val="none" w:sz="0" w:space="0" w:color="auto"/>
                      </w:divBdr>
                    </w:div>
                  </w:divsChild>
                </w:div>
                <w:div w:id="1667975271">
                  <w:marLeft w:val="0"/>
                  <w:marRight w:val="0"/>
                  <w:marTop w:val="0"/>
                  <w:marBottom w:val="0"/>
                  <w:divBdr>
                    <w:top w:val="none" w:sz="0" w:space="0" w:color="auto"/>
                    <w:left w:val="none" w:sz="0" w:space="0" w:color="auto"/>
                    <w:bottom w:val="none" w:sz="0" w:space="0" w:color="auto"/>
                    <w:right w:val="none" w:sz="0" w:space="0" w:color="auto"/>
                  </w:divBdr>
                  <w:divsChild>
                    <w:div w:id="1430546191">
                      <w:marLeft w:val="0"/>
                      <w:marRight w:val="0"/>
                      <w:marTop w:val="0"/>
                      <w:marBottom w:val="0"/>
                      <w:divBdr>
                        <w:top w:val="none" w:sz="0" w:space="0" w:color="auto"/>
                        <w:left w:val="none" w:sz="0" w:space="0" w:color="auto"/>
                        <w:bottom w:val="none" w:sz="0" w:space="0" w:color="auto"/>
                        <w:right w:val="none" w:sz="0" w:space="0" w:color="auto"/>
                      </w:divBdr>
                    </w:div>
                  </w:divsChild>
                </w:div>
                <w:div w:id="1669014162">
                  <w:marLeft w:val="0"/>
                  <w:marRight w:val="0"/>
                  <w:marTop w:val="0"/>
                  <w:marBottom w:val="0"/>
                  <w:divBdr>
                    <w:top w:val="none" w:sz="0" w:space="0" w:color="auto"/>
                    <w:left w:val="none" w:sz="0" w:space="0" w:color="auto"/>
                    <w:bottom w:val="none" w:sz="0" w:space="0" w:color="auto"/>
                    <w:right w:val="none" w:sz="0" w:space="0" w:color="auto"/>
                  </w:divBdr>
                  <w:divsChild>
                    <w:div w:id="2099524114">
                      <w:marLeft w:val="0"/>
                      <w:marRight w:val="0"/>
                      <w:marTop w:val="0"/>
                      <w:marBottom w:val="0"/>
                      <w:divBdr>
                        <w:top w:val="none" w:sz="0" w:space="0" w:color="auto"/>
                        <w:left w:val="none" w:sz="0" w:space="0" w:color="auto"/>
                        <w:bottom w:val="none" w:sz="0" w:space="0" w:color="auto"/>
                        <w:right w:val="none" w:sz="0" w:space="0" w:color="auto"/>
                      </w:divBdr>
                    </w:div>
                  </w:divsChild>
                </w:div>
                <w:div w:id="1687441649">
                  <w:marLeft w:val="0"/>
                  <w:marRight w:val="0"/>
                  <w:marTop w:val="0"/>
                  <w:marBottom w:val="0"/>
                  <w:divBdr>
                    <w:top w:val="none" w:sz="0" w:space="0" w:color="auto"/>
                    <w:left w:val="none" w:sz="0" w:space="0" w:color="auto"/>
                    <w:bottom w:val="none" w:sz="0" w:space="0" w:color="auto"/>
                    <w:right w:val="none" w:sz="0" w:space="0" w:color="auto"/>
                  </w:divBdr>
                  <w:divsChild>
                    <w:div w:id="1039282178">
                      <w:marLeft w:val="0"/>
                      <w:marRight w:val="0"/>
                      <w:marTop w:val="0"/>
                      <w:marBottom w:val="0"/>
                      <w:divBdr>
                        <w:top w:val="none" w:sz="0" w:space="0" w:color="auto"/>
                        <w:left w:val="none" w:sz="0" w:space="0" w:color="auto"/>
                        <w:bottom w:val="none" w:sz="0" w:space="0" w:color="auto"/>
                        <w:right w:val="none" w:sz="0" w:space="0" w:color="auto"/>
                      </w:divBdr>
                    </w:div>
                  </w:divsChild>
                </w:div>
                <w:div w:id="1690450985">
                  <w:marLeft w:val="0"/>
                  <w:marRight w:val="0"/>
                  <w:marTop w:val="0"/>
                  <w:marBottom w:val="0"/>
                  <w:divBdr>
                    <w:top w:val="none" w:sz="0" w:space="0" w:color="auto"/>
                    <w:left w:val="none" w:sz="0" w:space="0" w:color="auto"/>
                    <w:bottom w:val="none" w:sz="0" w:space="0" w:color="auto"/>
                    <w:right w:val="none" w:sz="0" w:space="0" w:color="auto"/>
                  </w:divBdr>
                  <w:divsChild>
                    <w:div w:id="1630893627">
                      <w:marLeft w:val="0"/>
                      <w:marRight w:val="0"/>
                      <w:marTop w:val="0"/>
                      <w:marBottom w:val="0"/>
                      <w:divBdr>
                        <w:top w:val="none" w:sz="0" w:space="0" w:color="auto"/>
                        <w:left w:val="none" w:sz="0" w:space="0" w:color="auto"/>
                        <w:bottom w:val="none" w:sz="0" w:space="0" w:color="auto"/>
                        <w:right w:val="none" w:sz="0" w:space="0" w:color="auto"/>
                      </w:divBdr>
                    </w:div>
                  </w:divsChild>
                </w:div>
                <w:div w:id="1717047814">
                  <w:marLeft w:val="0"/>
                  <w:marRight w:val="0"/>
                  <w:marTop w:val="0"/>
                  <w:marBottom w:val="0"/>
                  <w:divBdr>
                    <w:top w:val="none" w:sz="0" w:space="0" w:color="auto"/>
                    <w:left w:val="none" w:sz="0" w:space="0" w:color="auto"/>
                    <w:bottom w:val="none" w:sz="0" w:space="0" w:color="auto"/>
                    <w:right w:val="none" w:sz="0" w:space="0" w:color="auto"/>
                  </w:divBdr>
                  <w:divsChild>
                    <w:div w:id="358553250">
                      <w:marLeft w:val="0"/>
                      <w:marRight w:val="0"/>
                      <w:marTop w:val="0"/>
                      <w:marBottom w:val="0"/>
                      <w:divBdr>
                        <w:top w:val="none" w:sz="0" w:space="0" w:color="auto"/>
                        <w:left w:val="none" w:sz="0" w:space="0" w:color="auto"/>
                        <w:bottom w:val="none" w:sz="0" w:space="0" w:color="auto"/>
                        <w:right w:val="none" w:sz="0" w:space="0" w:color="auto"/>
                      </w:divBdr>
                    </w:div>
                  </w:divsChild>
                </w:div>
                <w:div w:id="1718091914">
                  <w:marLeft w:val="0"/>
                  <w:marRight w:val="0"/>
                  <w:marTop w:val="0"/>
                  <w:marBottom w:val="0"/>
                  <w:divBdr>
                    <w:top w:val="none" w:sz="0" w:space="0" w:color="auto"/>
                    <w:left w:val="none" w:sz="0" w:space="0" w:color="auto"/>
                    <w:bottom w:val="none" w:sz="0" w:space="0" w:color="auto"/>
                    <w:right w:val="none" w:sz="0" w:space="0" w:color="auto"/>
                  </w:divBdr>
                  <w:divsChild>
                    <w:div w:id="53819589">
                      <w:marLeft w:val="0"/>
                      <w:marRight w:val="0"/>
                      <w:marTop w:val="0"/>
                      <w:marBottom w:val="0"/>
                      <w:divBdr>
                        <w:top w:val="none" w:sz="0" w:space="0" w:color="auto"/>
                        <w:left w:val="none" w:sz="0" w:space="0" w:color="auto"/>
                        <w:bottom w:val="none" w:sz="0" w:space="0" w:color="auto"/>
                        <w:right w:val="none" w:sz="0" w:space="0" w:color="auto"/>
                      </w:divBdr>
                    </w:div>
                  </w:divsChild>
                </w:div>
                <w:div w:id="1753548403">
                  <w:marLeft w:val="0"/>
                  <w:marRight w:val="0"/>
                  <w:marTop w:val="0"/>
                  <w:marBottom w:val="0"/>
                  <w:divBdr>
                    <w:top w:val="none" w:sz="0" w:space="0" w:color="auto"/>
                    <w:left w:val="none" w:sz="0" w:space="0" w:color="auto"/>
                    <w:bottom w:val="none" w:sz="0" w:space="0" w:color="auto"/>
                    <w:right w:val="none" w:sz="0" w:space="0" w:color="auto"/>
                  </w:divBdr>
                  <w:divsChild>
                    <w:div w:id="1150364317">
                      <w:marLeft w:val="0"/>
                      <w:marRight w:val="0"/>
                      <w:marTop w:val="0"/>
                      <w:marBottom w:val="0"/>
                      <w:divBdr>
                        <w:top w:val="none" w:sz="0" w:space="0" w:color="auto"/>
                        <w:left w:val="none" w:sz="0" w:space="0" w:color="auto"/>
                        <w:bottom w:val="none" w:sz="0" w:space="0" w:color="auto"/>
                        <w:right w:val="none" w:sz="0" w:space="0" w:color="auto"/>
                      </w:divBdr>
                    </w:div>
                  </w:divsChild>
                </w:div>
                <w:div w:id="1765540549">
                  <w:marLeft w:val="0"/>
                  <w:marRight w:val="0"/>
                  <w:marTop w:val="0"/>
                  <w:marBottom w:val="0"/>
                  <w:divBdr>
                    <w:top w:val="none" w:sz="0" w:space="0" w:color="auto"/>
                    <w:left w:val="none" w:sz="0" w:space="0" w:color="auto"/>
                    <w:bottom w:val="none" w:sz="0" w:space="0" w:color="auto"/>
                    <w:right w:val="none" w:sz="0" w:space="0" w:color="auto"/>
                  </w:divBdr>
                  <w:divsChild>
                    <w:div w:id="1936328153">
                      <w:marLeft w:val="0"/>
                      <w:marRight w:val="0"/>
                      <w:marTop w:val="0"/>
                      <w:marBottom w:val="0"/>
                      <w:divBdr>
                        <w:top w:val="none" w:sz="0" w:space="0" w:color="auto"/>
                        <w:left w:val="none" w:sz="0" w:space="0" w:color="auto"/>
                        <w:bottom w:val="none" w:sz="0" w:space="0" w:color="auto"/>
                        <w:right w:val="none" w:sz="0" w:space="0" w:color="auto"/>
                      </w:divBdr>
                    </w:div>
                  </w:divsChild>
                </w:div>
                <w:div w:id="1785877577">
                  <w:marLeft w:val="0"/>
                  <w:marRight w:val="0"/>
                  <w:marTop w:val="0"/>
                  <w:marBottom w:val="0"/>
                  <w:divBdr>
                    <w:top w:val="none" w:sz="0" w:space="0" w:color="auto"/>
                    <w:left w:val="none" w:sz="0" w:space="0" w:color="auto"/>
                    <w:bottom w:val="none" w:sz="0" w:space="0" w:color="auto"/>
                    <w:right w:val="none" w:sz="0" w:space="0" w:color="auto"/>
                  </w:divBdr>
                  <w:divsChild>
                    <w:div w:id="527840426">
                      <w:marLeft w:val="0"/>
                      <w:marRight w:val="0"/>
                      <w:marTop w:val="0"/>
                      <w:marBottom w:val="0"/>
                      <w:divBdr>
                        <w:top w:val="none" w:sz="0" w:space="0" w:color="auto"/>
                        <w:left w:val="none" w:sz="0" w:space="0" w:color="auto"/>
                        <w:bottom w:val="none" w:sz="0" w:space="0" w:color="auto"/>
                        <w:right w:val="none" w:sz="0" w:space="0" w:color="auto"/>
                      </w:divBdr>
                    </w:div>
                  </w:divsChild>
                </w:div>
                <w:div w:id="1815877524">
                  <w:marLeft w:val="0"/>
                  <w:marRight w:val="0"/>
                  <w:marTop w:val="0"/>
                  <w:marBottom w:val="0"/>
                  <w:divBdr>
                    <w:top w:val="none" w:sz="0" w:space="0" w:color="auto"/>
                    <w:left w:val="none" w:sz="0" w:space="0" w:color="auto"/>
                    <w:bottom w:val="none" w:sz="0" w:space="0" w:color="auto"/>
                    <w:right w:val="none" w:sz="0" w:space="0" w:color="auto"/>
                  </w:divBdr>
                  <w:divsChild>
                    <w:div w:id="711072586">
                      <w:marLeft w:val="0"/>
                      <w:marRight w:val="0"/>
                      <w:marTop w:val="0"/>
                      <w:marBottom w:val="0"/>
                      <w:divBdr>
                        <w:top w:val="none" w:sz="0" w:space="0" w:color="auto"/>
                        <w:left w:val="none" w:sz="0" w:space="0" w:color="auto"/>
                        <w:bottom w:val="none" w:sz="0" w:space="0" w:color="auto"/>
                        <w:right w:val="none" w:sz="0" w:space="0" w:color="auto"/>
                      </w:divBdr>
                    </w:div>
                  </w:divsChild>
                </w:div>
                <w:div w:id="1862234274">
                  <w:marLeft w:val="0"/>
                  <w:marRight w:val="0"/>
                  <w:marTop w:val="0"/>
                  <w:marBottom w:val="0"/>
                  <w:divBdr>
                    <w:top w:val="none" w:sz="0" w:space="0" w:color="auto"/>
                    <w:left w:val="none" w:sz="0" w:space="0" w:color="auto"/>
                    <w:bottom w:val="none" w:sz="0" w:space="0" w:color="auto"/>
                    <w:right w:val="none" w:sz="0" w:space="0" w:color="auto"/>
                  </w:divBdr>
                  <w:divsChild>
                    <w:div w:id="1131829921">
                      <w:marLeft w:val="0"/>
                      <w:marRight w:val="0"/>
                      <w:marTop w:val="0"/>
                      <w:marBottom w:val="0"/>
                      <w:divBdr>
                        <w:top w:val="none" w:sz="0" w:space="0" w:color="auto"/>
                        <w:left w:val="none" w:sz="0" w:space="0" w:color="auto"/>
                        <w:bottom w:val="none" w:sz="0" w:space="0" w:color="auto"/>
                        <w:right w:val="none" w:sz="0" w:space="0" w:color="auto"/>
                      </w:divBdr>
                    </w:div>
                  </w:divsChild>
                </w:div>
                <w:div w:id="1871524428">
                  <w:marLeft w:val="0"/>
                  <w:marRight w:val="0"/>
                  <w:marTop w:val="0"/>
                  <w:marBottom w:val="0"/>
                  <w:divBdr>
                    <w:top w:val="none" w:sz="0" w:space="0" w:color="auto"/>
                    <w:left w:val="none" w:sz="0" w:space="0" w:color="auto"/>
                    <w:bottom w:val="none" w:sz="0" w:space="0" w:color="auto"/>
                    <w:right w:val="none" w:sz="0" w:space="0" w:color="auto"/>
                  </w:divBdr>
                  <w:divsChild>
                    <w:div w:id="640043450">
                      <w:marLeft w:val="0"/>
                      <w:marRight w:val="0"/>
                      <w:marTop w:val="0"/>
                      <w:marBottom w:val="0"/>
                      <w:divBdr>
                        <w:top w:val="none" w:sz="0" w:space="0" w:color="auto"/>
                        <w:left w:val="none" w:sz="0" w:space="0" w:color="auto"/>
                        <w:bottom w:val="none" w:sz="0" w:space="0" w:color="auto"/>
                        <w:right w:val="none" w:sz="0" w:space="0" w:color="auto"/>
                      </w:divBdr>
                    </w:div>
                  </w:divsChild>
                </w:div>
                <w:div w:id="1875192120">
                  <w:marLeft w:val="0"/>
                  <w:marRight w:val="0"/>
                  <w:marTop w:val="0"/>
                  <w:marBottom w:val="0"/>
                  <w:divBdr>
                    <w:top w:val="none" w:sz="0" w:space="0" w:color="auto"/>
                    <w:left w:val="none" w:sz="0" w:space="0" w:color="auto"/>
                    <w:bottom w:val="none" w:sz="0" w:space="0" w:color="auto"/>
                    <w:right w:val="none" w:sz="0" w:space="0" w:color="auto"/>
                  </w:divBdr>
                  <w:divsChild>
                    <w:div w:id="21249722">
                      <w:marLeft w:val="0"/>
                      <w:marRight w:val="0"/>
                      <w:marTop w:val="0"/>
                      <w:marBottom w:val="0"/>
                      <w:divBdr>
                        <w:top w:val="none" w:sz="0" w:space="0" w:color="auto"/>
                        <w:left w:val="none" w:sz="0" w:space="0" w:color="auto"/>
                        <w:bottom w:val="none" w:sz="0" w:space="0" w:color="auto"/>
                        <w:right w:val="none" w:sz="0" w:space="0" w:color="auto"/>
                      </w:divBdr>
                    </w:div>
                  </w:divsChild>
                </w:div>
                <w:div w:id="1902523942">
                  <w:marLeft w:val="0"/>
                  <w:marRight w:val="0"/>
                  <w:marTop w:val="0"/>
                  <w:marBottom w:val="0"/>
                  <w:divBdr>
                    <w:top w:val="none" w:sz="0" w:space="0" w:color="auto"/>
                    <w:left w:val="none" w:sz="0" w:space="0" w:color="auto"/>
                    <w:bottom w:val="none" w:sz="0" w:space="0" w:color="auto"/>
                    <w:right w:val="none" w:sz="0" w:space="0" w:color="auto"/>
                  </w:divBdr>
                  <w:divsChild>
                    <w:div w:id="1367172489">
                      <w:marLeft w:val="0"/>
                      <w:marRight w:val="0"/>
                      <w:marTop w:val="0"/>
                      <w:marBottom w:val="0"/>
                      <w:divBdr>
                        <w:top w:val="none" w:sz="0" w:space="0" w:color="auto"/>
                        <w:left w:val="none" w:sz="0" w:space="0" w:color="auto"/>
                        <w:bottom w:val="none" w:sz="0" w:space="0" w:color="auto"/>
                        <w:right w:val="none" w:sz="0" w:space="0" w:color="auto"/>
                      </w:divBdr>
                    </w:div>
                  </w:divsChild>
                </w:div>
                <w:div w:id="1907104973">
                  <w:marLeft w:val="0"/>
                  <w:marRight w:val="0"/>
                  <w:marTop w:val="0"/>
                  <w:marBottom w:val="0"/>
                  <w:divBdr>
                    <w:top w:val="none" w:sz="0" w:space="0" w:color="auto"/>
                    <w:left w:val="none" w:sz="0" w:space="0" w:color="auto"/>
                    <w:bottom w:val="none" w:sz="0" w:space="0" w:color="auto"/>
                    <w:right w:val="none" w:sz="0" w:space="0" w:color="auto"/>
                  </w:divBdr>
                  <w:divsChild>
                    <w:div w:id="1134979075">
                      <w:marLeft w:val="0"/>
                      <w:marRight w:val="0"/>
                      <w:marTop w:val="0"/>
                      <w:marBottom w:val="0"/>
                      <w:divBdr>
                        <w:top w:val="none" w:sz="0" w:space="0" w:color="auto"/>
                        <w:left w:val="none" w:sz="0" w:space="0" w:color="auto"/>
                        <w:bottom w:val="none" w:sz="0" w:space="0" w:color="auto"/>
                        <w:right w:val="none" w:sz="0" w:space="0" w:color="auto"/>
                      </w:divBdr>
                    </w:div>
                  </w:divsChild>
                </w:div>
                <w:div w:id="1910652407">
                  <w:marLeft w:val="0"/>
                  <w:marRight w:val="0"/>
                  <w:marTop w:val="0"/>
                  <w:marBottom w:val="0"/>
                  <w:divBdr>
                    <w:top w:val="none" w:sz="0" w:space="0" w:color="auto"/>
                    <w:left w:val="none" w:sz="0" w:space="0" w:color="auto"/>
                    <w:bottom w:val="none" w:sz="0" w:space="0" w:color="auto"/>
                    <w:right w:val="none" w:sz="0" w:space="0" w:color="auto"/>
                  </w:divBdr>
                  <w:divsChild>
                    <w:div w:id="1087842476">
                      <w:marLeft w:val="0"/>
                      <w:marRight w:val="0"/>
                      <w:marTop w:val="0"/>
                      <w:marBottom w:val="0"/>
                      <w:divBdr>
                        <w:top w:val="none" w:sz="0" w:space="0" w:color="auto"/>
                        <w:left w:val="none" w:sz="0" w:space="0" w:color="auto"/>
                        <w:bottom w:val="none" w:sz="0" w:space="0" w:color="auto"/>
                        <w:right w:val="none" w:sz="0" w:space="0" w:color="auto"/>
                      </w:divBdr>
                    </w:div>
                  </w:divsChild>
                </w:div>
                <w:div w:id="1928230385">
                  <w:marLeft w:val="0"/>
                  <w:marRight w:val="0"/>
                  <w:marTop w:val="0"/>
                  <w:marBottom w:val="0"/>
                  <w:divBdr>
                    <w:top w:val="none" w:sz="0" w:space="0" w:color="auto"/>
                    <w:left w:val="none" w:sz="0" w:space="0" w:color="auto"/>
                    <w:bottom w:val="none" w:sz="0" w:space="0" w:color="auto"/>
                    <w:right w:val="none" w:sz="0" w:space="0" w:color="auto"/>
                  </w:divBdr>
                  <w:divsChild>
                    <w:div w:id="1984383384">
                      <w:marLeft w:val="0"/>
                      <w:marRight w:val="0"/>
                      <w:marTop w:val="0"/>
                      <w:marBottom w:val="0"/>
                      <w:divBdr>
                        <w:top w:val="none" w:sz="0" w:space="0" w:color="auto"/>
                        <w:left w:val="none" w:sz="0" w:space="0" w:color="auto"/>
                        <w:bottom w:val="none" w:sz="0" w:space="0" w:color="auto"/>
                        <w:right w:val="none" w:sz="0" w:space="0" w:color="auto"/>
                      </w:divBdr>
                    </w:div>
                  </w:divsChild>
                </w:div>
                <w:div w:id="1928616290">
                  <w:marLeft w:val="0"/>
                  <w:marRight w:val="0"/>
                  <w:marTop w:val="0"/>
                  <w:marBottom w:val="0"/>
                  <w:divBdr>
                    <w:top w:val="none" w:sz="0" w:space="0" w:color="auto"/>
                    <w:left w:val="none" w:sz="0" w:space="0" w:color="auto"/>
                    <w:bottom w:val="none" w:sz="0" w:space="0" w:color="auto"/>
                    <w:right w:val="none" w:sz="0" w:space="0" w:color="auto"/>
                  </w:divBdr>
                  <w:divsChild>
                    <w:div w:id="2083601615">
                      <w:marLeft w:val="0"/>
                      <w:marRight w:val="0"/>
                      <w:marTop w:val="0"/>
                      <w:marBottom w:val="0"/>
                      <w:divBdr>
                        <w:top w:val="none" w:sz="0" w:space="0" w:color="auto"/>
                        <w:left w:val="none" w:sz="0" w:space="0" w:color="auto"/>
                        <w:bottom w:val="none" w:sz="0" w:space="0" w:color="auto"/>
                        <w:right w:val="none" w:sz="0" w:space="0" w:color="auto"/>
                      </w:divBdr>
                    </w:div>
                  </w:divsChild>
                </w:div>
                <w:div w:id="1929659267">
                  <w:marLeft w:val="0"/>
                  <w:marRight w:val="0"/>
                  <w:marTop w:val="0"/>
                  <w:marBottom w:val="0"/>
                  <w:divBdr>
                    <w:top w:val="none" w:sz="0" w:space="0" w:color="auto"/>
                    <w:left w:val="none" w:sz="0" w:space="0" w:color="auto"/>
                    <w:bottom w:val="none" w:sz="0" w:space="0" w:color="auto"/>
                    <w:right w:val="none" w:sz="0" w:space="0" w:color="auto"/>
                  </w:divBdr>
                  <w:divsChild>
                    <w:div w:id="89745572">
                      <w:marLeft w:val="0"/>
                      <w:marRight w:val="0"/>
                      <w:marTop w:val="0"/>
                      <w:marBottom w:val="0"/>
                      <w:divBdr>
                        <w:top w:val="none" w:sz="0" w:space="0" w:color="auto"/>
                        <w:left w:val="none" w:sz="0" w:space="0" w:color="auto"/>
                        <w:bottom w:val="none" w:sz="0" w:space="0" w:color="auto"/>
                        <w:right w:val="none" w:sz="0" w:space="0" w:color="auto"/>
                      </w:divBdr>
                    </w:div>
                  </w:divsChild>
                </w:div>
                <w:div w:id="1930238875">
                  <w:marLeft w:val="0"/>
                  <w:marRight w:val="0"/>
                  <w:marTop w:val="0"/>
                  <w:marBottom w:val="0"/>
                  <w:divBdr>
                    <w:top w:val="none" w:sz="0" w:space="0" w:color="auto"/>
                    <w:left w:val="none" w:sz="0" w:space="0" w:color="auto"/>
                    <w:bottom w:val="none" w:sz="0" w:space="0" w:color="auto"/>
                    <w:right w:val="none" w:sz="0" w:space="0" w:color="auto"/>
                  </w:divBdr>
                  <w:divsChild>
                    <w:div w:id="1058893594">
                      <w:marLeft w:val="0"/>
                      <w:marRight w:val="0"/>
                      <w:marTop w:val="0"/>
                      <w:marBottom w:val="0"/>
                      <w:divBdr>
                        <w:top w:val="none" w:sz="0" w:space="0" w:color="auto"/>
                        <w:left w:val="none" w:sz="0" w:space="0" w:color="auto"/>
                        <w:bottom w:val="none" w:sz="0" w:space="0" w:color="auto"/>
                        <w:right w:val="none" w:sz="0" w:space="0" w:color="auto"/>
                      </w:divBdr>
                    </w:div>
                  </w:divsChild>
                </w:div>
                <w:div w:id="1937782277">
                  <w:marLeft w:val="0"/>
                  <w:marRight w:val="0"/>
                  <w:marTop w:val="0"/>
                  <w:marBottom w:val="0"/>
                  <w:divBdr>
                    <w:top w:val="none" w:sz="0" w:space="0" w:color="auto"/>
                    <w:left w:val="none" w:sz="0" w:space="0" w:color="auto"/>
                    <w:bottom w:val="none" w:sz="0" w:space="0" w:color="auto"/>
                    <w:right w:val="none" w:sz="0" w:space="0" w:color="auto"/>
                  </w:divBdr>
                  <w:divsChild>
                    <w:div w:id="2023510365">
                      <w:marLeft w:val="0"/>
                      <w:marRight w:val="0"/>
                      <w:marTop w:val="0"/>
                      <w:marBottom w:val="0"/>
                      <w:divBdr>
                        <w:top w:val="none" w:sz="0" w:space="0" w:color="auto"/>
                        <w:left w:val="none" w:sz="0" w:space="0" w:color="auto"/>
                        <w:bottom w:val="none" w:sz="0" w:space="0" w:color="auto"/>
                        <w:right w:val="none" w:sz="0" w:space="0" w:color="auto"/>
                      </w:divBdr>
                    </w:div>
                  </w:divsChild>
                </w:div>
                <w:div w:id="1976720189">
                  <w:marLeft w:val="0"/>
                  <w:marRight w:val="0"/>
                  <w:marTop w:val="0"/>
                  <w:marBottom w:val="0"/>
                  <w:divBdr>
                    <w:top w:val="none" w:sz="0" w:space="0" w:color="auto"/>
                    <w:left w:val="none" w:sz="0" w:space="0" w:color="auto"/>
                    <w:bottom w:val="none" w:sz="0" w:space="0" w:color="auto"/>
                    <w:right w:val="none" w:sz="0" w:space="0" w:color="auto"/>
                  </w:divBdr>
                  <w:divsChild>
                    <w:div w:id="994262634">
                      <w:marLeft w:val="0"/>
                      <w:marRight w:val="0"/>
                      <w:marTop w:val="0"/>
                      <w:marBottom w:val="0"/>
                      <w:divBdr>
                        <w:top w:val="none" w:sz="0" w:space="0" w:color="auto"/>
                        <w:left w:val="none" w:sz="0" w:space="0" w:color="auto"/>
                        <w:bottom w:val="none" w:sz="0" w:space="0" w:color="auto"/>
                        <w:right w:val="none" w:sz="0" w:space="0" w:color="auto"/>
                      </w:divBdr>
                    </w:div>
                  </w:divsChild>
                </w:div>
                <w:div w:id="2021271062">
                  <w:marLeft w:val="0"/>
                  <w:marRight w:val="0"/>
                  <w:marTop w:val="0"/>
                  <w:marBottom w:val="0"/>
                  <w:divBdr>
                    <w:top w:val="none" w:sz="0" w:space="0" w:color="auto"/>
                    <w:left w:val="none" w:sz="0" w:space="0" w:color="auto"/>
                    <w:bottom w:val="none" w:sz="0" w:space="0" w:color="auto"/>
                    <w:right w:val="none" w:sz="0" w:space="0" w:color="auto"/>
                  </w:divBdr>
                  <w:divsChild>
                    <w:div w:id="66342177">
                      <w:marLeft w:val="0"/>
                      <w:marRight w:val="0"/>
                      <w:marTop w:val="0"/>
                      <w:marBottom w:val="0"/>
                      <w:divBdr>
                        <w:top w:val="none" w:sz="0" w:space="0" w:color="auto"/>
                        <w:left w:val="none" w:sz="0" w:space="0" w:color="auto"/>
                        <w:bottom w:val="none" w:sz="0" w:space="0" w:color="auto"/>
                        <w:right w:val="none" w:sz="0" w:space="0" w:color="auto"/>
                      </w:divBdr>
                    </w:div>
                  </w:divsChild>
                </w:div>
                <w:div w:id="2055812342">
                  <w:marLeft w:val="0"/>
                  <w:marRight w:val="0"/>
                  <w:marTop w:val="0"/>
                  <w:marBottom w:val="0"/>
                  <w:divBdr>
                    <w:top w:val="none" w:sz="0" w:space="0" w:color="auto"/>
                    <w:left w:val="none" w:sz="0" w:space="0" w:color="auto"/>
                    <w:bottom w:val="none" w:sz="0" w:space="0" w:color="auto"/>
                    <w:right w:val="none" w:sz="0" w:space="0" w:color="auto"/>
                  </w:divBdr>
                  <w:divsChild>
                    <w:div w:id="376203795">
                      <w:marLeft w:val="0"/>
                      <w:marRight w:val="0"/>
                      <w:marTop w:val="0"/>
                      <w:marBottom w:val="0"/>
                      <w:divBdr>
                        <w:top w:val="none" w:sz="0" w:space="0" w:color="auto"/>
                        <w:left w:val="none" w:sz="0" w:space="0" w:color="auto"/>
                        <w:bottom w:val="none" w:sz="0" w:space="0" w:color="auto"/>
                        <w:right w:val="none" w:sz="0" w:space="0" w:color="auto"/>
                      </w:divBdr>
                    </w:div>
                  </w:divsChild>
                </w:div>
                <w:div w:id="2055887537">
                  <w:marLeft w:val="0"/>
                  <w:marRight w:val="0"/>
                  <w:marTop w:val="0"/>
                  <w:marBottom w:val="0"/>
                  <w:divBdr>
                    <w:top w:val="none" w:sz="0" w:space="0" w:color="auto"/>
                    <w:left w:val="none" w:sz="0" w:space="0" w:color="auto"/>
                    <w:bottom w:val="none" w:sz="0" w:space="0" w:color="auto"/>
                    <w:right w:val="none" w:sz="0" w:space="0" w:color="auto"/>
                  </w:divBdr>
                  <w:divsChild>
                    <w:div w:id="2054231458">
                      <w:marLeft w:val="0"/>
                      <w:marRight w:val="0"/>
                      <w:marTop w:val="0"/>
                      <w:marBottom w:val="0"/>
                      <w:divBdr>
                        <w:top w:val="none" w:sz="0" w:space="0" w:color="auto"/>
                        <w:left w:val="none" w:sz="0" w:space="0" w:color="auto"/>
                        <w:bottom w:val="none" w:sz="0" w:space="0" w:color="auto"/>
                        <w:right w:val="none" w:sz="0" w:space="0" w:color="auto"/>
                      </w:divBdr>
                    </w:div>
                  </w:divsChild>
                </w:div>
                <w:div w:id="2086754934">
                  <w:marLeft w:val="0"/>
                  <w:marRight w:val="0"/>
                  <w:marTop w:val="0"/>
                  <w:marBottom w:val="0"/>
                  <w:divBdr>
                    <w:top w:val="none" w:sz="0" w:space="0" w:color="auto"/>
                    <w:left w:val="none" w:sz="0" w:space="0" w:color="auto"/>
                    <w:bottom w:val="none" w:sz="0" w:space="0" w:color="auto"/>
                    <w:right w:val="none" w:sz="0" w:space="0" w:color="auto"/>
                  </w:divBdr>
                  <w:divsChild>
                    <w:div w:id="1614897078">
                      <w:marLeft w:val="0"/>
                      <w:marRight w:val="0"/>
                      <w:marTop w:val="0"/>
                      <w:marBottom w:val="0"/>
                      <w:divBdr>
                        <w:top w:val="none" w:sz="0" w:space="0" w:color="auto"/>
                        <w:left w:val="none" w:sz="0" w:space="0" w:color="auto"/>
                        <w:bottom w:val="none" w:sz="0" w:space="0" w:color="auto"/>
                        <w:right w:val="none" w:sz="0" w:space="0" w:color="auto"/>
                      </w:divBdr>
                    </w:div>
                  </w:divsChild>
                </w:div>
                <w:div w:id="2103984658">
                  <w:marLeft w:val="0"/>
                  <w:marRight w:val="0"/>
                  <w:marTop w:val="0"/>
                  <w:marBottom w:val="0"/>
                  <w:divBdr>
                    <w:top w:val="none" w:sz="0" w:space="0" w:color="auto"/>
                    <w:left w:val="none" w:sz="0" w:space="0" w:color="auto"/>
                    <w:bottom w:val="none" w:sz="0" w:space="0" w:color="auto"/>
                    <w:right w:val="none" w:sz="0" w:space="0" w:color="auto"/>
                  </w:divBdr>
                  <w:divsChild>
                    <w:div w:id="1527282183">
                      <w:marLeft w:val="0"/>
                      <w:marRight w:val="0"/>
                      <w:marTop w:val="0"/>
                      <w:marBottom w:val="0"/>
                      <w:divBdr>
                        <w:top w:val="none" w:sz="0" w:space="0" w:color="auto"/>
                        <w:left w:val="none" w:sz="0" w:space="0" w:color="auto"/>
                        <w:bottom w:val="none" w:sz="0" w:space="0" w:color="auto"/>
                        <w:right w:val="none" w:sz="0" w:space="0" w:color="auto"/>
                      </w:divBdr>
                    </w:div>
                  </w:divsChild>
                </w:div>
                <w:div w:id="2104834601">
                  <w:marLeft w:val="0"/>
                  <w:marRight w:val="0"/>
                  <w:marTop w:val="0"/>
                  <w:marBottom w:val="0"/>
                  <w:divBdr>
                    <w:top w:val="none" w:sz="0" w:space="0" w:color="auto"/>
                    <w:left w:val="none" w:sz="0" w:space="0" w:color="auto"/>
                    <w:bottom w:val="none" w:sz="0" w:space="0" w:color="auto"/>
                    <w:right w:val="none" w:sz="0" w:space="0" w:color="auto"/>
                  </w:divBdr>
                  <w:divsChild>
                    <w:div w:id="340621213">
                      <w:marLeft w:val="0"/>
                      <w:marRight w:val="0"/>
                      <w:marTop w:val="0"/>
                      <w:marBottom w:val="0"/>
                      <w:divBdr>
                        <w:top w:val="none" w:sz="0" w:space="0" w:color="auto"/>
                        <w:left w:val="none" w:sz="0" w:space="0" w:color="auto"/>
                        <w:bottom w:val="none" w:sz="0" w:space="0" w:color="auto"/>
                        <w:right w:val="none" w:sz="0" w:space="0" w:color="auto"/>
                      </w:divBdr>
                    </w:div>
                  </w:divsChild>
                </w:div>
                <w:div w:id="2110658000">
                  <w:marLeft w:val="0"/>
                  <w:marRight w:val="0"/>
                  <w:marTop w:val="0"/>
                  <w:marBottom w:val="0"/>
                  <w:divBdr>
                    <w:top w:val="none" w:sz="0" w:space="0" w:color="auto"/>
                    <w:left w:val="none" w:sz="0" w:space="0" w:color="auto"/>
                    <w:bottom w:val="none" w:sz="0" w:space="0" w:color="auto"/>
                    <w:right w:val="none" w:sz="0" w:space="0" w:color="auto"/>
                  </w:divBdr>
                  <w:divsChild>
                    <w:div w:id="27922990">
                      <w:marLeft w:val="0"/>
                      <w:marRight w:val="0"/>
                      <w:marTop w:val="0"/>
                      <w:marBottom w:val="0"/>
                      <w:divBdr>
                        <w:top w:val="none" w:sz="0" w:space="0" w:color="auto"/>
                        <w:left w:val="none" w:sz="0" w:space="0" w:color="auto"/>
                        <w:bottom w:val="none" w:sz="0" w:space="0" w:color="auto"/>
                        <w:right w:val="none" w:sz="0" w:space="0" w:color="auto"/>
                      </w:divBdr>
                    </w:div>
                  </w:divsChild>
                </w:div>
                <w:div w:id="2110659850">
                  <w:marLeft w:val="0"/>
                  <w:marRight w:val="0"/>
                  <w:marTop w:val="0"/>
                  <w:marBottom w:val="0"/>
                  <w:divBdr>
                    <w:top w:val="none" w:sz="0" w:space="0" w:color="auto"/>
                    <w:left w:val="none" w:sz="0" w:space="0" w:color="auto"/>
                    <w:bottom w:val="none" w:sz="0" w:space="0" w:color="auto"/>
                    <w:right w:val="none" w:sz="0" w:space="0" w:color="auto"/>
                  </w:divBdr>
                  <w:divsChild>
                    <w:div w:id="822700366">
                      <w:marLeft w:val="0"/>
                      <w:marRight w:val="0"/>
                      <w:marTop w:val="0"/>
                      <w:marBottom w:val="0"/>
                      <w:divBdr>
                        <w:top w:val="none" w:sz="0" w:space="0" w:color="auto"/>
                        <w:left w:val="none" w:sz="0" w:space="0" w:color="auto"/>
                        <w:bottom w:val="none" w:sz="0" w:space="0" w:color="auto"/>
                        <w:right w:val="none" w:sz="0" w:space="0" w:color="auto"/>
                      </w:divBdr>
                    </w:div>
                  </w:divsChild>
                </w:div>
                <w:div w:id="2122842560">
                  <w:marLeft w:val="0"/>
                  <w:marRight w:val="0"/>
                  <w:marTop w:val="0"/>
                  <w:marBottom w:val="0"/>
                  <w:divBdr>
                    <w:top w:val="none" w:sz="0" w:space="0" w:color="auto"/>
                    <w:left w:val="none" w:sz="0" w:space="0" w:color="auto"/>
                    <w:bottom w:val="none" w:sz="0" w:space="0" w:color="auto"/>
                    <w:right w:val="none" w:sz="0" w:space="0" w:color="auto"/>
                  </w:divBdr>
                  <w:divsChild>
                    <w:div w:id="13714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7753">
          <w:marLeft w:val="0"/>
          <w:marRight w:val="0"/>
          <w:marTop w:val="0"/>
          <w:marBottom w:val="0"/>
          <w:divBdr>
            <w:top w:val="none" w:sz="0" w:space="0" w:color="auto"/>
            <w:left w:val="none" w:sz="0" w:space="0" w:color="auto"/>
            <w:bottom w:val="none" w:sz="0" w:space="0" w:color="auto"/>
            <w:right w:val="none" w:sz="0" w:space="0" w:color="auto"/>
          </w:divBdr>
        </w:div>
        <w:div w:id="1657343280">
          <w:marLeft w:val="0"/>
          <w:marRight w:val="0"/>
          <w:marTop w:val="0"/>
          <w:marBottom w:val="0"/>
          <w:divBdr>
            <w:top w:val="none" w:sz="0" w:space="0" w:color="auto"/>
            <w:left w:val="none" w:sz="0" w:space="0" w:color="auto"/>
            <w:bottom w:val="none" w:sz="0" w:space="0" w:color="auto"/>
            <w:right w:val="none" w:sz="0" w:space="0" w:color="auto"/>
          </w:divBdr>
        </w:div>
      </w:divsChild>
    </w:div>
    <w:div w:id="1006052667">
      <w:bodyDiv w:val="1"/>
      <w:marLeft w:val="0"/>
      <w:marRight w:val="0"/>
      <w:marTop w:val="0"/>
      <w:marBottom w:val="0"/>
      <w:divBdr>
        <w:top w:val="none" w:sz="0" w:space="0" w:color="auto"/>
        <w:left w:val="none" w:sz="0" w:space="0" w:color="auto"/>
        <w:bottom w:val="none" w:sz="0" w:space="0" w:color="auto"/>
        <w:right w:val="none" w:sz="0" w:space="0" w:color="auto"/>
      </w:divBdr>
      <w:divsChild>
        <w:div w:id="20326859">
          <w:marLeft w:val="0"/>
          <w:marRight w:val="0"/>
          <w:marTop w:val="0"/>
          <w:marBottom w:val="0"/>
          <w:divBdr>
            <w:top w:val="none" w:sz="0" w:space="0" w:color="auto"/>
            <w:left w:val="none" w:sz="0" w:space="0" w:color="auto"/>
            <w:bottom w:val="none" w:sz="0" w:space="0" w:color="auto"/>
            <w:right w:val="none" w:sz="0" w:space="0" w:color="auto"/>
          </w:divBdr>
          <w:divsChild>
            <w:div w:id="2032412224">
              <w:marLeft w:val="0"/>
              <w:marRight w:val="0"/>
              <w:marTop w:val="0"/>
              <w:marBottom w:val="0"/>
              <w:divBdr>
                <w:top w:val="none" w:sz="0" w:space="0" w:color="auto"/>
                <w:left w:val="none" w:sz="0" w:space="0" w:color="auto"/>
                <w:bottom w:val="none" w:sz="0" w:space="0" w:color="auto"/>
                <w:right w:val="none" w:sz="0" w:space="0" w:color="auto"/>
              </w:divBdr>
            </w:div>
          </w:divsChild>
        </w:div>
        <w:div w:id="50621657">
          <w:marLeft w:val="0"/>
          <w:marRight w:val="0"/>
          <w:marTop w:val="0"/>
          <w:marBottom w:val="0"/>
          <w:divBdr>
            <w:top w:val="none" w:sz="0" w:space="0" w:color="auto"/>
            <w:left w:val="none" w:sz="0" w:space="0" w:color="auto"/>
            <w:bottom w:val="none" w:sz="0" w:space="0" w:color="auto"/>
            <w:right w:val="none" w:sz="0" w:space="0" w:color="auto"/>
          </w:divBdr>
          <w:divsChild>
            <w:div w:id="1434126370">
              <w:marLeft w:val="0"/>
              <w:marRight w:val="0"/>
              <w:marTop w:val="0"/>
              <w:marBottom w:val="0"/>
              <w:divBdr>
                <w:top w:val="none" w:sz="0" w:space="0" w:color="auto"/>
                <w:left w:val="none" w:sz="0" w:space="0" w:color="auto"/>
                <w:bottom w:val="none" w:sz="0" w:space="0" w:color="auto"/>
                <w:right w:val="none" w:sz="0" w:space="0" w:color="auto"/>
              </w:divBdr>
            </w:div>
          </w:divsChild>
        </w:div>
        <w:div w:id="56511967">
          <w:marLeft w:val="0"/>
          <w:marRight w:val="0"/>
          <w:marTop w:val="0"/>
          <w:marBottom w:val="0"/>
          <w:divBdr>
            <w:top w:val="none" w:sz="0" w:space="0" w:color="auto"/>
            <w:left w:val="none" w:sz="0" w:space="0" w:color="auto"/>
            <w:bottom w:val="none" w:sz="0" w:space="0" w:color="auto"/>
            <w:right w:val="none" w:sz="0" w:space="0" w:color="auto"/>
          </w:divBdr>
          <w:divsChild>
            <w:div w:id="2035885038">
              <w:marLeft w:val="0"/>
              <w:marRight w:val="0"/>
              <w:marTop w:val="0"/>
              <w:marBottom w:val="0"/>
              <w:divBdr>
                <w:top w:val="none" w:sz="0" w:space="0" w:color="auto"/>
                <w:left w:val="none" w:sz="0" w:space="0" w:color="auto"/>
                <w:bottom w:val="none" w:sz="0" w:space="0" w:color="auto"/>
                <w:right w:val="none" w:sz="0" w:space="0" w:color="auto"/>
              </w:divBdr>
            </w:div>
          </w:divsChild>
        </w:div>
        <w:div w:id="81689307">
          <w:marLeft w:val="0"/>
          <w:marRight w:val="0"/>
          <w:marTop w:val="0"/>
          <w:marBottom w:val="0"/>
          <w:divBdr>
            <w:top w:val="none" w:sz="0" w:space="0" w:color="auto"/>
            <w:left w:val="none" w:sz="0" w:space="0" w:color="auto"/>
            <w:bottom w:val="none" w:sz="0" w:space="0" w:color="auto"/>
            <w:right w:val="none" w:sz="0" w:space="0" w:color="auto"/>
          </w:divBdr>
          <w:divsChild>
            <w:div w:id="1028719836">
              <w:marLeft w:val="0"/>
              <w:marRight w:val="0"/>
              <w:marTop w:val="0"/>
              <w:marBottom w:val="0"/>
              <w:divBdr>
                <w:top w:val="none" w:sz="0" w:space="0" w:color="auto"/>
                <w:left w:val="none" w:sz="0" w:space="0" w:color="auto"/>
                <w:bottom w:val="none" w:sz="0" w:space="0" w:color="auto"/>
                <w:right w:val="none" w:sz="0" w:space="0" w:color="auto"/>
              </w:divBdr>
            </w:div>
          </w:divsChild>
        </w:div>
        <w:div w:id="110131181">
          <w:marLeft w:val="0"/>
          <w:marRight w:val="0"/>
          <w:marTop w:val="0"/>
          <w:marBottom w:val="0"/>
          <w:divBdr>
            <w:top w:val="none" w:sz="0" w:space="0" w:color="auto"/>
            <w:left w:val="none" w:sz="0" w:space="0" w:color="auto"/>
            <w:bottom w:val="none" w:sz="0" w:space="0" w:color="auto"/>
            <w:right w:val="none" w:sz="0" w:space="0" w:color="auto"/>
          </w:divBdr>
          <w:divsChild>
            <w:div w:id="962737112">
              <w:marLeft w:val="0"/>
              <w:marRight w:val="0"/>
              <w:marTop w:val="0"/>
              <w:marBottom w:val="0"/>
              <w:divBdr>
                <w:top w:val="none" w:sz="0" w:space="0" w:color="auto"/>
                <w:left w:val="none" w:sz="0" w:space="0" w:color="auto"/>
                <w:bottom w:val="none" w:sz="0" w:space="0" w:color="auto"/>
                <w:right w:val="none" w:sz="0" w:space="0" w:color="auto"/>
              </w:divBdr>
            </w:div>
          </w:divsChild>
        </w:div>
        <w:div w:id="164326423">
          <w:marLeft w:val="0"/>
          <w:marRight w:val="0"/>
          <w:marTop w:val="0"/>
          <w:marBottom w:val="0"/>
          <w:divBdr>
            <w:top w:val="none" w:sz="0" w:space="0" w:color="auto"/>
            <w:left w:val="none" w:sz="0" w:space="0" w:color="auto"/>
            <w:bottom w:val="none" w:sz="0" w:space="0" w:color="auto"/>
            <w:right w:val="none" w:sz="0" w:space="0" w:color="auto"/>
          </w:divBdr>
          <w:divsChild>
            <w:div w:id="1276447261">
              <w:marLeft w:val="0"/>
              <w:marRight w:val="0"/>
              <w:marTop w:val="0"/>
              <w:marBottom w:val="0"/>
              <w:divBdr>
                <w:top w:val="none" w:sz="0" w:space="0" w:color="auto"/>
                <w:left w:val="none" w:sz="0" w:space="0" w:color="auto"/>
                <w:bottom w:val="none" w:sz="0" w:space="0" w:color="auto"/>
                <w:right w:val="none" w:sz="0" w:space="0" w:color="auto"/>
              </w:divBdr>
            </w:div>
          </w:divsChild>
        </w:div>
        <w:div w:id="231739752">
          <w:marLeft w:val="0"/>
          <w:marRight w:val="0"/>
          <w:marTop w:val="0"/>
          <w:marBottom w:val="0"/>
          <w:divBdr>
            <w:top w:val="none" w:sz="0" w:space="0" w:color="auto"/>
            <w:left w:val="none" w:sz="0" w:space="0" w:color="auto"/>
            <w:bottom w:val="none" w:sz="0" w:space="0" w:color="auto"/>
            <w:right w:val="none" w:sz="0" w:space="0" w:color="auto"/>
          </w:divBdr>
          <w:divsChild>
            <w:div w:id="2085183829">
              <w:marLeft w:val="0"/>
              <w:marRight w:val="0"/>
              <w:marTop w:val="0"/>
              <w:marBottom w:val="0"/>
              <w:divBdr>
                <w:top w:val="none" w:sz="0" w:space="0" w:color="auto"/>
                <w:left w:val="none" w:sz="0" w:space="0" w:color="auto"/>
                <w:bottom w:val="none" w:sz="0" w:space="0" w:color="auto"/>
                <w:right w:val="none" w:sz="0" w:space="0" w:color="auto"/>
              </w:divBdr>
            </w:div>
          </w:divsChild>
        </w:div>
        <w:div w:id="239561233">
          <w:marLeft w:val="0"/>
          <w:marRight w:val="0"/>
          <w:marTop w:val="0"/>
          <w:marBottom w:val="0"/>
          <w:divBdr>
            <w:top w:val="none" w:sz="0" w:space="0" w:color="auto"/>
            <w:left w:val="none" w:sz="0" w:space="0" w:color="auto"/>
            <w:bottom w:val="none" w:sz="0" w:space="0" w:color="auto"/>
            <w:right w:val="none" w:sz="0" w:space="0" w:color="auto"/>
          </w:divBdr>
          <w:divsChild>
            <w:div w:id="1232470490">
              <w:marLeft w:val="0"/>
              <w:marRight w:val="0"/>
              <w:marTop w:val="0"/>
              <w:marBottom w:val="0"/>
              <w:divBdr>
                <w:top w:val="none" w:sz="0" w:space="0" w:color="auto"/>
                <w:left w:val="none" w:sz="0" w:space="0" w:color="auto"/>
                <w:bottom w:val="none" w:sz="0" w:space="0" w:color="auto"/>
                <w:right w:val="none" w:sz="0" w:space="0" w:color="auto"/>
              </w:divBdr>
            </w:div>
          </w:divsChild>
        </w:div>
        <w:div w:id="273251336">
          <w:marLeft w:val="0"/>
          <w:marRight w:val="0"/>
          <w:marTop w:val="0"/>
          <w:marBottom w:val="0"/>
          <w:divBdr>
            <w:top w:val="none" w:sz="0" w:space="0" w:color="auto"/>
            <w:left w:val="none" w:sz="0" w:space="0" w:color="auto"/>
            <w:bottom w:val="none" w:sz="0" w:space="0" w:color="auto"/>
            <w:right w:val="none" w:sz="0" w:space="0" w:color="auto"/>
          </w:divBdr>
          <w:divsChild>
            <w:div w:id="2029138874">
              <w:marLeft w:val="0"/>
              <w:marRight w:val="0"/>
              <w:marTop w:val="0"/>
              <w:marBottom w:val="0"/>
              <w:divBdr>
                <w:top w:val="none" w:sz="0" w:space="0" w:color="auto"/>
                <w:left w:val="none" w:sz="0" w:space="0" w:color="auto"/>
                <w:bottom w:val="none" w:sz="0" w:space="0" w:color="auto"/>
                <w:right w:val="none" w:sz="0" w:space="0" w:color="auto"/>
              </w:divBdr>
            </w:div>
          </w:divsChild>
        </w:div>
        <w:div w:id="303583391">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
          </w:divsChild>
        </w:div>
        <w:div w:id="325481930">
          <w:marLeft w:val="0"/>
          <w:marRight w:val="0"/>
          <w:marTop w:val="0"/>
          <w:marBottom w:val="0"/>
          <w:divBdr>
            <w:top w:val="none" w:sz="0" w:space="0" w:color="auto"/>
            <w:left w:val="none" w:sz="0" w:space="0" w:color="auto"/>
            <w:bottom w:val="none" w:sz="0" w:space="0" w:color="auto"/>
            <w:right w:val="none" w:sz="0" w:space="0" w:color="auto"/>
          </w:divBdr>
          <w:divsChild>
            <w:div w:id="1519468272">
              <w:marLeft w:val="0"/>
              <w:marRight w:val="0"/>
              <w:marTop w:val="0"/>
              <w:marBottom w:val="0"/>
              <w:divBdr>
                <w:top w:val="none" w:sz="0" w:space="0" w:color="auto"/>
                <w:left w:val="none" w:sz="0" w:space="0" w:color="auto"/>
                <w:bottom w:val="none" w:sz="0" w:space="0" w:color="auto"/>
                <w:right w:val="none" w:sz="0" w:space="0" w:color="auto"/>
              </w:divBdr>
            </w:div>
          </w:divsChild>
        </w:div>
        <w:div w:id="429938579">
          <w:marLeft w:val="0"/>
          <w:marRight w:val="0"/>
          <w:marTop w:val="0"/>
          <w:marBottom w:val="0"/>
          <w:divBdr>
            <w:top w:val="none" w:sz="0" w:space="0" w:color="auto"/>
            <w:left w:val="none" w:sz="0" w:space="0" w:color="auto"/>
            <w:bottom w:val="none" w:sz="0" w:space="0" w:color="auto"/>
            <w:right w:val="none" w:sz="0" w:space="0" w:color="auto"/>
          </w:divBdr>
          <w:divsChild>
            <w:div w:id="824932378">
              <w:marLeft w:val="0"/>
              <w:marRight w:val="0"/>
              <w:marTop w:val="0"/>
              <w:marBottom w:val="0"/>
              <w:divBdr>
                <w:top w:val="none" w:sz="0" w:space="0" w:color="auto"/>
                <w:left w:val="none" w:sz="0" w:space="0" w:color="auto"/>
                <w:bottom w:val="none" w:sz="0" w:space="0" w:color="auto"/>
                <w:right w:val="none" w:sz="0" w:space="0" w:color="auto"/>
              </w:divBdr>
            </w:div>
          </w:divsChild>
        </w:div>
        <w:div w:id="434860492">
          <w:marLeft w:val="0"/>
          <w:marRight w:val="0"/>
          <w:marTop w:val="0"/>
          <w:marBottom w:val="0"/>
          <w:divBdr>
            <w:top w:val="none" w:sz="0" w:space="0" w:color="auto"/>
            <w:left w:val="none" w:sz="0" w:space="0" w:color="auto"/>
            <w:bottom w:val="none" w:sz="0" w:space="0" w:color="auto"/>
            <w:right w:val="none" w:sz="0" w:space="0" w:color="auto"/>
          </w:divBdr>
          <w:divsChild>
            <w:div w:id="1068578197">
              <w:marLeft w:val="0"/>
              <w:marRight w:val="0"/>
              <w:marTop w:val="0"/>
              <w:marBottom w:val="0"/>
              <w:divBdr>
                <w:top w:val="none" w:sz="0" w:space="0" w:color="auto"/>
                <w:left w:val="none" w:sz="0" w:space="0" w:color="auto"/>
                <w:bottom w:val="none" w:sz="0" w:space="0" w:color="auto"/>
                <w:right w:val="none" w:sz="0" w:space="0" w:color="auto"/>
              </w:divBdr>
            </w:div>
          </w:divsChild>
        </w:div>
        <w:div w:id="492572224">
          <w:marLeft w:val="0"/>
          <w:marRight w:val="0"/>
          <w:marTop w:val="0"/>
          <w:marBottom w:val="0"/>
          <w:divBdr>
            <w:top w:val="none" w:sz="0" w:space="0" w:color="auto"/>
            <w:left w:val="none" w:sz="0" w:space="0" w:color="auto"/>
            <w:bottom w:val="none" w:sz="0" w:space="0" w:color="auto"/>
            <w:right w:val="none" w:sz="0" w:space="0" w:color="auto"/>
          </w:divBdr>
          <w:divsChild>
            <w:div w:id="878324880">
              <w:marLeft w:val="0"/>
              <w:marRight w:val="0"/>
              <w:marTop w:val="0"/>
              <w:marBottom w:val="0"/>
              <w:divBdr>
                <w:top w:val="none" w:sz="0" w:space="0" w:color="auto"/>
                <w:left w:val="none" w:sz="0" w:space="0" w:color="auto"/>
                <w:bottom w:val="none" w:sz="0" w:space="0" w:color="auto"/>
                <w:right w:val="none" w:sz="0" w:space="0" w:color="auto"/>
              </w:divBdr>
            </w:div>
          </w:divsChild>
        </w:div>
        <w:div w:id="507332590">
          <w:marLeft w:val="0"/>
          <w:marRight w:val="0"/>
          <w:marTop w:val="0"/>
          <w:marBottom w:val="0"/>
          <w:divBdr>
            <w:top w:val="none" w:sz="0" w:space="0" w:color="auto"/>
            <w:left w:val="none" w:sz="0" w:space="0" w:color="auto"/>
            <w:bottom w:val="none" w:sz="0" w:space="0" w:color="auto"/>
            <w:right w:val="none" w:sz="0" w:space="0" w:color="auto"/>
          </w:divBdr>
          <w:divsChild>
            <w:div w:id="1072266423">
              <w:marLeft w:val="0"/>
              <w:marRight w:val="0"/>
              <w:marTop w:val="0"/>
              <w:marBottom w:val="0"/>
              <w:divBdr>
                <w:top w:val="none" w:sz="0" w:space="0" w:color="auto"/>
                <w:left w:val="none" w:sz="0" w:space="0" w:color="auto"/>
                <w:bottom w:val="none" w:sz="0" w:space="0" w:color="auto"/>
                <w:right w:val="none" w:sz="0" w:space="0" w:color="auto"/>
              </w:divBdr>
            </w:div>
          </w:divsChild>
        </w:div>
        <w:div w:id="520122272">
          <w:marLeft w:val="0"/>
          <w:marRight w:val="0"/>
          <w:marTop w:val="0"/>
          <w:marBottom w:val="0"/>
          <w:divBdr>
            <w:top w:val="none" w:sz="0" w:space="0" w:color="auto"/>
            <w:left w:val="none" w:sz="0" w:space="0" w:color="auto"/>
            <w:bottom w:val="none" w:sz="0" w:space="0" w:color="auto"/>
            <w:right w:val="none" w:sz="0" w:space="0" w:color="auto"/>
          </w:divBdr>
          <w:divsChild>
            <w:div w:id="782696595">
              <w:marLeft w:val="0"/>
              <w:marRight w:val="0"/>
              <w:marTop w:val="0"/>
              <w:marBottom w:val="0"/>
              <w:divBdr>
                <w:top w:val="none" w:sz="0" w:space="0" w:color="auto"/>
                <w:left w:val="none" w:sz="0" w:space="0" w:color="auto"/>
                <w:bottom w:val="none" w:sz="0" w:space="0" w:color="auto"/>
                <w:right w:val="none" w:sz="0" w:space="0" w:color="auto"/>
              </w:divBdr>
            </w:div>
          </w:divsChild>
        </w:div>
        <w:div w:id="523908036">
          <w:marLeft w:val="0"/>
          <w:marRight w:val="0"/>
          <w:marTop w:val="0"/>
          <w:marBottom w:val="0"/>
          <w:divBdr>
            <w:top w:val="none" w:sz="0" w:space="0" w:color="auto"/>
            <w:left w:val="none" w:sz="0" w:space="0" w:color="auto"/>
            <w:bottom w:val="none" w:sz="0" w:space="0" w:color="auto"/>
            <w:right w:val="none" w:sz="0" w:space="0" w:color="auto"/>
          </w:divBdr>
          <w:divsChild>
            <w:div w:id="1989046884">
              <w:marLeft w:val="0"/>
              <w:marRight w:val="0"/>
              <w:marTop w:val="0"/>
              <w:marBottom w:val="0"/>
              <w:divBdr>
                <w:top w:val="none" w:sz="0" w:space="0" w:color="auto"/>
                <w:left w:val="none" w:sz="0" w:space="0" w:color="auto"/>
                <w:bottom w:val="none" w:sz="0" w:space="0" w:color="auto"/>
                <w:right w:val="none" w:sz="0" w:space="0" w:color="auto"/>
              </w:divBdr>
            </w:div>
          </w:divsChild>
        </w:div>
        <w:div w:id="595287735">
          <w:marLeft w:val="0"/>
          <w:marRight w:val="0"/>
          <w:marTop w:val="0"/>
          <w:marBottom w:val="0"/>
          <w:divBdr>
            <w:top w:val="none" w:sz="0" w:space="0" w:color="auto"/>
            <w:left w:val="none" w:sz="0" w:space="0" w:color="auto"/>
            <w:bottom w:val="none" w:sz="0" w:space="0" w:color="auto"/>
            <w:right w:val="none" w:sz="0" w:space="0" w:color="auto"/>
          </w:divBdr>
          <w:divsChild>
            <w:div w:id="1622878518">
              <w:marLeft w:val="0"/>
              <w:marRight w:val="0"/>
              <w:marTop w:val="0"/>
              <w:marBottom w:val="0"/>
              <w:divBdr>
                <w:top w:val="none" w:sz="0" w:space="0" w:color="auto"/>
                <w:left w:val="none" w:sz="0" w:space="0" w:color="auto"/>
                <w:bottom w:val="none" w:sz="0" w:space="0" w:color="auto"/>
                <w:right w:val="none" w:sz="0" w:space="0" w:color="auto"/>
              </w:divBdr>
            </w:div>
          </w:divsChild>
        </w:div>
        <w:div w:id="600379876">
          <w:marLeft w:val="0"/>
          <w:marRight w:val="0"/>
          <w:marTop w:val="0"/>
          <w:marBottom w:val="0"/>
          <w:divBdr>
            <w:top w:val="none" w:sz="0" w:space="0" w:color="auto"/>
            <w:left w:val="none" w:sz="0" w:space="0" w:color="auto"/>
            <w:bottom w:val="none" w:sz="0" w:space="0" w:color="auto"/>
            <w:right w:val="none" w:sz="0" w:space="0" w:color="auto"/>
          </w:divBdr>
          <w:divsChild>
            <w:div w:id="220991356">
              <w:marLeft w:val="0"/>
              <w:marRight w:val="0"/>
              <w:marTop w:val="0"/>
              <w:marBottom w:val="0"/>
              <w:divBdr>
                <w:top w:val="none" w:sz="0" w:space="0" w:color="auto"/>
                <w:left w:val="none" w:sz="0" w:space="0" w:color="auto"/>
                <w:bottom w:val="none" w:sz="0" w:space="0" w:color="auto"/>
                <w:right w:val="none" w:sz="0" w:space="0" w:color="auto"/>
              </w:divBdr>
            </w:div>
          </w:divsChild>
        </w:div>
        <w:div w:id="607854118">
          <w:marLeft w:val="0"/>
          <w:marRight w:val="0"/>
          <w:marTop w:val="0"/>
          <w:marBottom w:val="0"/>
          <w:divBdr>
            <w:top w:val="none" w:sz="0" w:space="0" w:color="auto"/>
            <w:left w:val="none" w:sz="0" w:space="0" w:color="auto"/>
            <w:bottom w:val="none" w:sz="0" w:space="0" w:color="auto"/>
            <w:right w:val="none" w:sz="0" w:space="0" w:color="auto"/>
          </w:divBdr>
          <w:divsChild>
            <w:div w:id="1301228214">
              <w:marLeft w:val="0"/>
              <w:marRight w:val="0"/>
              <w:marTop w:val="0"/>
              <w:marBottom w:val="0"/>
              <w:divBdr>
                <w:top w:val="none" w:sz="0" w:space="0" w:color="auto"/>
                <w:left w:val="none" w:sz="0" w:space="0" w:color="auto"/>
                <w:bottom w:val="none" w:sz="0" w:space="0" w:color="auto"/>
                <w:right w:val="none" w:sz="0" w:space="0" w:color="auto"/>
              </w:divBdr>
            </w:div>
          </w:divsChild>
        </w:div>
        <w:div w:id="668676181">
          <w:marLeft w:val="0"/>
          <w:marRight w:val="0"/>
          <w:marTop w:val="0"/>
          <w:marBottom w:val="0"/>
          <w:divBdr>
            <w:top w:val="none" w:sz="0" w:space="0" w:color="auto"/>
            <w:left w:val="none" w:sz="0" w:space="0" w:color="auto"/>
            <w:bottom w:val="none" w:sz="0" w:space="0" w:color="auto"/>
            <w:right w:val="none" w:sz="0" w:space="0" w:color="auto"/>
          </w:divBdr>
          <w:divsChild>
            <w:div w:id="1767536606">
              <w:marLeft w:val="0"/>
              <w:marRight w:val="0"/>
              <w:marTop w:val="0"/>
              <w:marBottom w:val="0"/>
              <w:divBdr>
                <w:top w:val="none" w:sz="0" w:space="0" w:color="auto"/>
                <w:left w:val="none" w:sz="0" w:space="0" w:color="auto"/>
                <w:bottom w:val="none" w:sz="0" w:space="0" w:color="auto"/>
                <w:right w:val="none" w:sz="0" w:space="0" w:color="auto"/>
              </w:divBdr>
            </w:div>
          </w:divsChild>
        </w:div>
        <w:div w:id="792748551">
          <w:marLeft w:val="0"/>
          <w:marRight w:val="0"/>
          <w:marTop w:val="0"/>
          <w:marBottom w:val="0"/>
          <w:divBdr>
            <w:top w:val="none" w:sz="0" w:space="0" w:color="auto"/>
            <w:left w:val="none" w:sz="0" w:space="0" w:color="auto"/>
            <w:bottom w:val="none" w:sz="0" w:space="0" w:color="auto"/>
            <w:right w:val="none" w:sz="0" w:space="0" w:color="auto"/>
          </w:divBdr>
          <w:divsChild>
            <w:div w:id="1253975401">
              <w:marLeft w:val="0"/>
              <w:marRight w:val="0"/>
              <w:marTop w:val="0"/>
              <w:marBottom w:val="0"/>
              <w:divBdr>
                <w:top w:val="none" w:sz="0" w:space="0" w:color="auto"/>
                <w:left w:val="none" w:sz="0" w:space="0" w:color="auto"/>
                <w:bottom w:val="none" w:sz="0" w:space="0" w:color="auto"/>
                <w:right w:val="none" w:sz="0" w:space="0" w:color="auto"/>
              </w:divBdr>
            </w:div>
          </w:divsChild>
        </w:div>
        <w:div w:id="819419722">
          <w:marLeft w:val="0"/>
          <w:marRight w:val="0"/>
          <w:marTop w:val="0"/>
          <w:marBottom w:val="0"/>
          <w:divBdr>
            <w:top w:val="none" w:sz="0" w:space="0" w:color="auto"/>
            <w:left w:val="none" w:sz="0" w:space="0" w:color="auto"/>
            <w:bottom w:val="none" w:sz="0" w:space="0" w:color="auto"/>
            <w:right w:val="none" w:sz="0" w:space="0" w:color="auto"/>
          </w:divBdr>
          <w:divsChild>
            <w:div w:id="33238914">
              <w:marLeft w:val="0"/>
              <w:marRight w:val="0"/>
              <w:marTop w:val="0"/>
              <w:marBottom w:val="0"/>
              <w:divBdr>
                <w:top w:val="none" w:sz="0" w:space="0" w:color="auto"/>
                <w:left w:val="none" w:sz="0" w:space="0" w:color="auto"/>
                <w:bottom w:val="none" w:sz="0" w:space="0" w:color="auto"/>
                <w:right w:val="none" w:sz="0" w:space="0" w:color="auto"/>
              </w:divBdr>
            </w:div>
          </w:divsChild>
        </w:div>
        <w:div w:id="842085571">
          <w:marLeft w:val="0"/>
          <w:marRight w:val="0"/>
          <w:marTop w:val="0"/>
          <w:marBottom w:val="0"/>
          <w:divBdr>
            <w:top w:val="none" w:sz="0" w:space="0" w:color="auto"/>
            <w:left w:val="none" w:sz="0" w:space="0" w:color="auto"/>
            <w:bottom w:val="none" w:sz="0" w:space="0" w:color="auto"/>
            <w:right w:val="none" w:sz="0" w:space="0" w:color="auto"/>
          </w:divBdr>
          <w:divsChild>
            <w:div w:id="1278373974">
              <w:marLeft w:val="0"/>
              <w:marRight w:val="0"/>
              <w:marTop w:val="0"/>
              <w:marBottom w:val="0"/>
              <w:divBdr>
                <w:top w:val="none" w:sz="0" w:space="0" w:color="auto"/>
                <w:left w:val="none" w:sz="0" w:space="0" w:color="auto"/>
                <w:bottom w:val="none" w:sz="0" w:space="0" w:color="auto"/>
                <w:right w:val="none" w:sz="0" w:space="0" w:color="auto"/>
              </w:divBdr>
            </w:div>
          </w:divsChild>
        </w:div>
        <w:div w:id="843907132">
          <w:marLeft w:val="0"/>
          <w:marRight w:val="0"/>
          <w:marTop w:val="0"/>
          <w:marBottom w:val="0"/>
          <w:divBdr>
            <w:top w:val="none" w:sz="0" w:space="0" w:color="auto"/>
            <w:left w:val="none" w:sz="0" w:space="0" w:color="auto"/>
            <w:bottom w:val="none" w:sz="0" w:space="0" w:color="auto"/>
            <w:right w:val="none" w:sz="0" w:space="0" w:color="auto"/>
          </w:divBdr>
          <w:divsChild>
            <w:div w:id="660548749">
              <w:marLeft w:val="0"/>
              <w:marRight w:val="0"/>
              <w:marTop w:val="0"/>
              <w:marBottom w:val="0"/>
              <w:divBdr>
                <w:top w:val="none" w:sz="0" w:space="0" w:color="auto"/>
                <w:left w:val="none" w:sz="0" w:space="0" w:color="auto"/>
                <w:bottom w:val="none" w:sz="0" w:space="0" w:color="auto"/>
                <w:right w:val="none" w:sz="0" w:space="0" w:color="auto"/>
              </w:divBdr>
            </w:div>
          </w:divsChild>
        </w:div>
        <w:div w:id="875241901">
          <w:marLeft w:val="0"/>
          <w:marRight w:val="0"/>
          <w:marTop w:val="0"/>
          <w:marBottom w:val="0"/>
          <w:divBdr>
            <w:top w:val="none" w:sz="0" w:space="0" w:color="auto"/>
            <w:left w:val="none" w:sz="0" w:space="0" w:color="auto"/>
            <w:bottom w:val="none" w:sz="0" w:space="0" w:color="auto"/>
            <w:right w:val="none" w:sz="0" w:space="0" w:color="auto"/>
          </w:divBdr>
          <w:divsChild>
            <w:div w:id="883833614">
              <w:marLeft w:val="0"/>
              <w:marRight w:val="0"/>
              <w:marTop w:val="0"/>
              <w:marBottom w:val="0"/>
              <w:divBdr>
                <w:top w:val="none" w:sz="0" w:space="0" w:color="auto"/>
                <w:left w:val="none" w:sz="0" w:space="0" w:color="auto"/>
                <w:bottom w:val="none" w:sz="0" w:space="0" w:color="auto"/>
                <w:right w:val="none" w:sz="0" w:space="0" w:color="auto"/>
              </w:divBdr>
            </w:div>
          </w:divsChild>
        </w:div>
        <w:div w:id="919411831">
          <w:marLeft w:val="0"/>
          <w:marRight w:val="0"/>
          <w:marTop w:val="0"/>
          <w:marBottom w:val="0"/>
          <w:divBdr>
            <w:top w:val="none" w:sz="0" w:space="0" w:color="auto"/>
            <w:left w:val="none" w:sz="0" w:space="0" w:color="auto"/>
            <w:bottom w:val="none" w:sz="0" w:space="0" w:color="auto"/>
            <w:right w:val="none" w:sz="0" w:space="0" w:color="auto"/>
          </w:divBdr>
          <w:divsChild>
            <w:div w:id="185877210">
              <w:marLeft w:val="0"/>
              <w:marRight w:val="0"/>
              <w:marTop w:val="0"/>
              <w:marBottom w:val="0"/>
              <w:divBdr>
                <w:top w:val="none" w:sz="0" w:space="0" w:color="auto"/>
                <w:left w:val="none" w:sz="0" w:space="0" w:color="auto"/>
                <w:bottom w:val="none" w:sz="0" w:space="0" w:color="auto"/>
                <w:right w:val="none" w:sz="0" w:space="0" w:color="auto"/>
              </w:divBdr>
            </w:div>
          </w:divsChild>
        </w:div>
        <w:div w:id="956717869">
          <w:marLeft w:val="0"/>
          <w:marRight w:val="0"/>
          <w:marTop w:val="0"/>
          <w:marBottom w:val="0"/>
          <w:divBdr>
            <w:top w:val="none" w:sz="0" w:space="0" w:color="auto"/>
            <w:left w:val="none" w:sz="0" w:space="0" w:color="auto"/>
            <w:bottom w:val="none" w:sz="0" w:space="0" w:color="auto"/>
            <w:right w:val="none" w:sz="0" w:space="0" w:color="auto"/>
          </w:divBdr>
          <w:divsChild>
            <w:div w:id="300036418">
              <w:marLeft w:val="0"/>
              <w:marRight w:val="0"/>
              <w:marTop w:val="0"/>
              <w:marBottom w:val="0"/>
              <w:divBdr>
                <w:top w:val="none" w:sz="0" w:space="0" w:color="auto"/>
                <w:left w:val="none" w:sz="0" w:space="0" w:color="auto"/>
                <w:bottom w:val="none" w:sz="0" w:space="0" w:color="auto"/>
                <w:right w:val="none" w:sz="0" w:space="0" w:color="auto"/>
              </w:divBdr>
            </w:div>
          </w:divsChild>
        </w:div>
        <w:div w:id="960264272">
          <w:marLeft w:val="0"/>
          <w:marRight w:val="0"/>
          <w:marTop w:val="0"/>
          <w:marBottom w:val="0"/>
          <w:divBdr>
            <w:top w:val="none" w:sz="0" w:space="0" w:color="auto"/>
            <w:left w:val="none" w:sz="0" w:space="0" w:color="auto"/>
            <w:bottom w:val="none" w:sz="0" w:space="0" w:color="auto"/>
            <w:right w:val="none" w:sz="0" w:space="0" w:color="auto"/>
          </w:divBdr>
          <w:divsChild>
            <w:div w:id="1844200851">
              <w:marLeft w:val="0"/>
              <w:marRight w:val="0"/>
              <w:marTop w:val="0"/>
              <w:marBottom w:val="0"/>
              <w:divBdr>
                <w:top w:val="none" w:sz="0" w:space="0" w:color="auto"/>
                <w:left w:val="none" w:sz="0" w:space="0" w:color="auto"/>
                <w:bottom w:val="none" w:sz="0" w:space="0" w:color="auto"/>
                <w:right w:val="none" w:sz="0" w:space="0" w:color="auto"/>
              </w:divBdr>
            </w:div>
          </w:divsChild>
        </w:div>
        <w:div w:id="979965751">
          <w:marLeft w:val="0"/>
          <w:marRight w:val="0"/>
          <w:marTop w:val="0"/>
          <w:marBottom w:val="0"/>
          <w:divBdr>
            <w:top w:val="none" w:sz="0" w:space="0" w:color="auto"/>
            <w:left w:val="none" w:sz="0" w:space="0" w:color="auto"/>
            <w:bottom w:val="none" w:sz="0" w:space="0" w:color="auto"/>
            <w:right w:val="none" w:sz="0" w:space="0" w:color="auto"/>
          </w:divBdr>
          <w:divsChild>
            <w:div w:id="581329975">
              <w:marLeft w:val="0"/>
              <w:marRight w:val="0"/>
              <w:marTop w:val="0"/>
              <w:marBottom w:val="0"/>
              <w:divBdr>
                <w:top w:val="none" w:sz="0" w:space="0" w:color="auto"/>
                <w:left w:val="none" w:sz="0" w:space="0" w:color="auto"/>
                <w:bottom w:val="none" w:sz="0" w:space="0" w:color="auto"/>
                <w:right w:val="none" w:sz="0" w:space="0" w:color="auto"/>
              </w:divBdr>
            </w:div>
          </w:divsChild>
        </w:div>
        <w:div w:id="1030102925">
          <w:marLeft w:val="0"/>
          <w:marRight w:val="0"/>
          <w:marTop w:val="0"/>
          <w:marBottom w:val="0"/>
          <w:divBdr>
            <w:top w:val="none" w:sz="0" w:space="0" w:color="auto"/>
            <w:left w:val="none" w:sz="0" w:space="0" w:color="auto"/>
            <w:bottom w:val="none" w:sz="0" w:space="0" w:color="auto"/>
            <w:right w:val="none" w:sz="0" w:space="0" w:color="auto"/>
          </w:divBdr>
          <w:divsChild>
            <w:div w:id="1796675901">
              <w:marLeft w:val="0"/>
              <w:marRight w:val="0"/>
              <w:marTop w:val="0"/>
              <w:marBottom w:val="0"/>
              <w:divBdr>
                <w:top w:val="none" w:sz="0" w:space="0" w:color="auto"/>
                <w:left w:val="none" w:sz="0" w:space="0" w:color="auto"/>
                <w:bottom w:val="none" w:sz="0" w:space="0" w:color="auto"/>
                <w:right w:val="none" w:sz="0" w:space="0" w:color="auto"/>
              </w:divBdr>
            </w:div>
          </w:divsChild>
        </w:div>
        <w:div w:id="1065565053">
          <w:marLeft w:val="0"/>
          <w:marRight w:val="0"/>
          <w:marTop w:val="0"/>
          <w:marBottom w:val="0"/>
          <w:divBdr>
            <w:top w:val="none" w:sz="0" w:space="0" w:color="auto"/>
            <w:left w:val="none" w:sz="0" w:space="0" w:color="auto"/>
            <w:bottom w:val="none" w:sz="0" w:space="0" w:color="auto"/>
            <w:right w:val="none" w:sz="0" w:space="0" w:color="auto"/>
          </w:divBdr>
          <w:divsChild>
            <w:div w:id="598489631">
              <w:marLeft w:val="0"/>
              <w:marRight w:val="0"/>
              <w:marTop w:val="0"/>
              <w:marBottom w:val="0"/>
              <w:divBdr>
                <w:top w:val="none" w:sz="0" w:space="0" w:color="auto"/>
                <w:left w:val="none" w:sz="0" w:space="0" w:color="auto"/>
                <w:bottom w:val="none" w:sz="0" w:space="0" w:color="auto"/>
                <w:right w:val="none" w:sz="0" w:space="0" w:color="auto"/>
              </w:divBdr>
            </w:div>
          </w:divsChild>
        </w:div>
        <w:div w:id="1097210209">
          <w:marLeft w:val="0"/>
          <w:marRight w:val="0"/>
          <w:marTop w:val="0"/>
          <w:marBottom w:val="0"/>
          <w:divBdr>
            <w:top w:val="none" w:sz="0" w:space="0" w:color="auto"/>
            <w:left w:val="none" w:sz="0" w:space="0" w:color="auto"/>
            <w:bottom w:val="none" w:sz="0" w:space="0" w:color="auto"/>
            <w:right w:val="none" w:sz="0" w:space="0" w:color="auto"/>
          </w:divBdr>
          <w:divsChild>
            <w:div w:id="1126584841">
              <w:marLeft w:val="0"/>
              <w:marRight w:val="0"/>
              <w:marTop w:val="0"/>
              <w:marBottom w:val="0"/>
              <w:divBdr>
                <w:top w:val="none" w:sz="0" w:space="0" w:color="auto"/>
                <w:left w:val="none" w:sz="0" w:space="0" w:color="auto"/>
                <w:bottom w:val="none" w:sz="0" w:space="0" w:color="auto"/>
                <w:right w:val="none" w:sz="0" w:space="0" w:color="auto"/>
              </w:divBdr>
            </w:div>
          </w:divsChild>
        </w:div>
        <w:div w:id="1190217451">
          <w:marLeft w:val="0"/>
          <w:marRight w:val="0"/>
          <w:marTop w:val="0"/>
          <w:marBottom w:val="0"/>
          <w:divBdr>
            <w:top w:val="none" w:sz="0" w:space="0" w:color="auto"/>
            <w:left w:val="none" w:sz="0" w:space="0" w:color="auto"/>
            <w:bottom w:val="none" w:sz="0" w:space="0" w:color="auto"/>
            <w:right w:val="none" w:sz="0" w:space="0" w:color="auto"/>
          </w:divBdr>
          <w:divsChild>
            <w:div w:id="97339148">
              <w:marLeft w:val="0"/>
              <w:marRight w:val="0"/>
              <w:marTop w:val="0"/>
              <w:marBottom w:val="0"/>
              <w:divBdr>
                <w:top w:val="none" w:sz="0" w:space="0" w:color="auto"/>
                <w:left w:val="none" w:sz="0" w:space="0" w:color="auto"/>
                <w:bottom w:val="none" w:sz="0" w:space="0" w:color="auto"/>
                <w:right w:val="none" w:sz="0" w:space="0" w:color="auto"/>
              </w:divBdr>
            </w:div>
          </w:divsChild>
        </w:div>
        <w:div w:id="1194688130">
          <w:marLeft w:val="0"/>
          <w:marRight w:val="0"/>
          <w:marTop w:val="0"/>
          <w:marBottom w:val="0"/>
          <w:divBdr>
            <w:top w:val="none" w:sz="0" w:space="0" w:color="auto"/>
            <w:left w:val="none" w:sz="0" w:space="0" w:color="auto"/>
            <w:bottom w:val="none" w:sz="0" w:space="0" w:color="auto"/>
            <w:right w:val="none" w:sz="0" w:space="0" w:color="auto"/>
          </w:divBdr>
          <w:divsChild>
            <w:div w:id="1779060613">
              <w:marLeft w:val="0"/>
              <w:marRight w:val="0"/>
              <w:marTop w:val="0"/>
              <w:marBottom w:val="0"/>
              <w:divBdr>
                <w:top w:val="none" w:sz="0" w:space="0" w:color="auto"/>
                <w:left w:val="none" w:sz="0" w:space="0" w:color="auto"/>
                <w:bottom w:val="none" w:sz="0" w:space="0" w:color="auto"/>
                <w:right w:val="none" w:sz="0" w:space="0" w:color="auto"/>
              </w:divBdr>
            </w:div>
          </w:divsChild>
        </w:div>
        <w:div w:id="1271276366">
          <w:marLeft w:val="0"/>
          <w:marRight w:val="0"/>
          <w:marTop w:val="0"/>
          <w:marBottom w:val="0"/>
          <w:divBdr>
            <w:top w:val="none" w:sz="0" w:space="0" w:color="auto"/>
            <w:left w:val="none" w:sz="0" w:space="0" w:color="auto"/>
            <w:bottom w:val="none" w:sz="0" w:space="0" w:color="auto"/>
            <w:right w:val="none" w:sz="0" w:space="0" w:color="auto"/>
          </w:divBdr>
          <w:divsChild>
            <w:div w:id="1036154476">
              <w:marLeft w:val="0"/>
              <w:marRight w:val="0"/>
              <w:marTop w:val="0"/>
              <w:marBottom w:val="0"/>
              <w:divBdr>
                <w:top w:val="none" w:sz="0" w:space="0" w:color="auto"/>
                <w:left w:val="none" w:sz="0" w:space="0" w:color="auto"/>
                <w:bottom w:val="none" w:sz="0" w:space="0" w:color="auto"/>
                <w:right w:val="none" w:sz="0" w:space="0" w:color="auto"/>
              </w:divBdr>
            </w:div>
          </w:divsChild>
        </w:div>
        <w:div w:id="1289552059">
          <w:marLeft w:val="0"/>
          <w:marRight w:val="0"/>
          <w:marTop w:val="0"/>
          <w:marBottom w:val="0"/>
          <w:divBdr>
            <w:top w:val="none" w:sz="0" w:space="0" w:color="auto"/>
            <w:left w:val="none" w:sz="0" w:space="0" w:color="auto"/>
            <w:bottom w:val="none" w:sz="0" w:space="0" w:color="auto"/>
            <w:right w:val="none" w:sz="0" w:space="0" w:color="auto"/>
          </w:divBdr>
          <w:divsChild>
            <w:div w:id="1763642177">
              <w:marLeft w:val="0"/>
              <w:marRight w:val="0"/>
              <w:marTop w:val="0"/>
              <w:marBottom w:val="0"/>
              <w:divBdr>
                <w:top w:val="none" w:sz="0" w:space="0" w:color="auto"/>
                <w:left w:val="none" w:sz="0" w:space="0" w:color="auto"/>
                <w:bottom w:val="none" w:sz="0" w:space="0" w:color="auto"/>
                <w:right w:val="none" w:sz="0" w:space="0" w:color="auto"/>
              </w:divBdr>
            </w:div>
          </w:divsChild>
        </w:div>
        <w:div w:id="1308701150">
          <w:marLeft w:val="0"/>
          <w:marRight w:val="0"/>
          <w:marTop w:val="0"/>
          <w:marBottom w:val="0"/>
          <w:divBdr>
            <w:top w:val="none" w:sz="0" w:space="0" w:color="auto"/>
            <w:left w:val="none" w:sz="0" w:space="0" w:color="auto"/>
            <w:bottom w:val="none" w:sz="0" w:space="0" w:color="auto"/>
            <w:right w:val="none" w:sz="0" w:space="0" w:color="auto"/>
          </w:divBdr>
          <w:divsChild>
            <w:div w:id="289633247">
              <w:marLeft w:val="0"/>
              <w:marRight w:val="0"/>
              <w:marTop w:val="0"/>
              <w:marBottom w:val="0"/>
              <w:divBdr>
                <w:top w:val="none" w:sz="0" w:space="0" w:color="auto"/>
                <w:left w:val="none" w:sz="0" w:space="0" w:color="auto"/>
                <w:bottom w:val="none" w:sz="0" w:space="0" w:color="auto"/>
                <w:right w:val="none" w:sz="0" w:space="0" w:color="auto"/>
              </w:divBdr>
            </w:div>
          </w:divsChild>
        </w:div>
        <w:div w:id="1323973029">
          <w:marLeft w:val="0"/>
          <w:marRight w:val="0"/>
          <w:marTop w:val="0"/>
          <w:marBottom w:val="0"/>
          <w:divBdr>
            <w:top w:val="none" w:sz="0" w:space="0" w:color="auto"/>
            <w:left w:val="none" w:sz="0" w:space="0" w:color="auto"/>
            <w:bottom w:val="none" w:sz="0" w:space="0" w:color="auto"/>
            <w:right w:val="none" w:sz="0" w:space="0" w:color="auto"/>
          </w:divBdr>
          <w:divsChild>
            <w:div w:id="1780106270">
              <w:marLeft w:val="0"/>
              <w:marRight w:val="0"/>
              <w:marTop w:val="0"/>
              <w:marBottom w:val="0"/>
              <w:divBdr>
                <w:top w:val="none" w:sz="0" w:space="0" w:color="auto"/>
                <w:left w:val="none" w:sz="0" w:space="0" w:color="auto"/>
                <w:bottom w:val="none" w:sz="0" w:space="0" w:color="auto"/>
                <w:right w:val="none" w:sz="0" w:space="0" w:color="auto"/>
              </w:divBdr>
            </w:div>
          </w:divsChild>
        </w:div>
        <w:div w:id="1344162179">
          <w:marLeft w:val="0"/>
          <w:marRight w:val="0"/>
          <w:marTop w:val="0"/>
          <w:marBottom w:val="0"/>
          <w:divBdr>
            <w:top w:val="none" w:sz="0" w:space="0" w:color="auto"/>
            <w:left w:val="none" w:sz="0" w:space="0" w:color="auto"/>
            <w:bottom w:val="none" w:sz="0" w:space="0" w:color="auto"/>
            <w:right w:val="none" w:sz="0" w:space="0" w:color="auto"/>
          </w:divBdr>
          <w:divsChild>
            <w:div w:id="1213883805">
              <w:marLeft w:val="0"/>
              <w:marRight w:val="0"/>
              <w:marTop w:val="0"/>
              <w:marBottom w:val="0"/>
              <w:divBdr>
                <w:top w:val="none" w:sz="0" w:space="0" w:color="auto"/>
                <w:left w:val="none" w:sz="0" w:space="0" w:color="auto"/>
                <w:bottom w:val="none" w:sz="0" w:space="0" w:color="auto"/>
                <w:right w:val="none" w:sz="0" w:space="0" w:color="auto"/>
              </w:divBdr>
            </w:div>
          </w:divsChild>
        </w:div>
        <w:div w:id="1350369731">
          <w:marLeft w:val="0"/>
          <w:marRight w:val="0"/>
          <w:marTop w:val="0"/>
          <w:marBottom w:val="0"/>
          <w:divBdr>
            <w:top w:val="none" w:sz="0" w:space="0" w:color="auto"/>
            <w:left w:val="none" w:sz="0" w:space="0" w:color="auto"/>
            <w:bottom w:val="none" w:sz="0" w:space="0" w:color="auto"/>
            <w:right w:val="none" w:sz="0" w:space="0" w:color="auto"/>
          </w:divBdr>
          <w:divsChild>
            <w:div w:id="1322345835">
              <w:marLeft w:val="0"/>
              <w:marRight w:val="0"/>
              <w:marTop w:val="0"/>
              <w:marBottom w:val="0"/>
              <w:divBdr>
                <w:top w:val="none" w:sz="0" w:space="0" w:color="auto"/>
                <w:left w:val="none" w:sz="0" w:space="0" w:color="auto"/>
                <w:bottom w:val="none" w:sz="0" w:space="0" w:color="auto"/>
                <w:right w:val="none" w:sz="0" w:space="0" w:color="auto"/>
              </w:divBdr>
            </w:div>
          </w:divsChild>
        </w:div>
        <w:div w:id="1425879375">
          <w:marLeft w:val="0"/>
          <w:marRight w:val="0"/>
          <w:marTop w:val="0"/>
          <w:marBottom w:val="0"/>
          <w:divBdr>
            <w:top w:val="none" w:sz="0" w:space="0" w:color="auto"/>
            <w:left w:val="none" w:sz="0" w:space="0" w:color="auto"/>
            <w:bottom w:val="none" w:sz="0" w:space="0" w:color="auto"/>
            <w:right w:val="none" w:sz="0" w:space="0" w:color="auto"/>
          </w:divBdr>
          <w:divsChild>
            <w:div w:id="1864244535">
              <w:marLeft w:val="0"/>
              <w:marRight w:val="0"/>
              <w:marTop w:val="0"/>
              <w:marBottom w:val="0"/>
              <w:divBdr>
                <w:top w:val="none" w:sz="0" w:space="0" w:color="auto"/>
                <w:left w:val="none" w:sz="0" w:space="0" w:color="auto"/>
                <w:bottom w:val="none" w:sz="0" w:space="0" w:color="auto"/>
                <w:right w:val="none" w:sz="0" w:space="0" w:color="auto"/>
              </w:divBdr>
            </w:div>
          </w:divsChild>
        </w:div>
        <w:div w:id="1435176967">
          <w:marLeft w:val="0"/>
          <w:marRight w:val="0"/>
          <w:marTop w:val="0"/>
          <w:marBottom w:val="0"/>
          <w:divBdr>
            <w:top w:val="none" w:sz="0" w:space="0" w:color="auto"/>
            <w:left w:val="none" w:sz="0" w:space="0" w:color="auto"/>
            <w:bottom w:val="none" w:sz="0" w:space="0" w:color="auto"/>
            <w:right w:val="none" w:sz="0" w:space="0" w:color="auto"/>
          </w:divBdr>
          <w:divsChild>
            <w:div w:id="2135102661">
              <w:marLeft w:val="0"/>
              <w:marRight w:val="0"/>
              <w:marTop w:val="0"/>
              <w:marBottom w:val="0"/>
              <w:divBdr>
                <w:top w:val="none" w:sz="0" w:space="0" w:color="auto"/>
                <w:left w:val="none" w:sz="0" w:space="0" w:color="auto"/>
                <w:bottom w:val="none" w:sz="0" w:space="0" w:color="auto"/>
                <w:right w:val="none" w:sz="0" w:space="0" w:color="auto"/>
              </w:divBdr>
            </w:div>
          </w:divsChild>
        </w:div>
        <w:div w:id="1491868882">
          <w:marLeft w:val="0"/>
          <w:marRight w:val="0"/>
          <w:marTop w:val="0"/>
          <w:marBottom w:val="0"/>
          <w:divBdr>
            <w:top w:val="none" w:sz="0" w:space="0" w:color="auto"/>
            <w:left w:val="none" w:sz="0" w:space="0" w:color="auto"/>
            <w:bottom w:val="none" w:sz="0" w:space="0" w:color="auto"/>
            <w:right w:val="none" w:sz="0" w:space="0" w:color="auto"/>
          </w:divBdr>
          <w:divsChild>
            <w:div w:id="1961759164">
              <w:marLeft w:val="0"/>
              <w:marRight w:val="0"/>
              <w:marTop w:val="0"/>
              <w:marBottom w:val="0"/>
              <w:divBdr>
                <w:top w:val="none" w:sz="0" w:space="0" w:color="auto"/>
                <w:left w:val="none" w:sz="0" w:space="0" w:color="auto"/>
                <w:bottom w:val="none" w:sz="0" w:space="0" w:color="auto"/>
                <w:right w:val="none" w:sz="0" w:space="0" w:color="auto"/>
              </w:divBdr>
            </w:div>
          </w:divsChild>
        </w:div>
        <w:div w:id="1501041715">
          <w:marLeft w:val="0"/>
          <w:marRight w:val="0"/>
          <w:marTop w:val="0"/>
          <w:marBottom w:val="0"/>
          <w:divBdr>
            <w:top w:val="none" w:sz="0" w:space="0" w:color="auto"/>
            <w:left w:val="none" w:sz="0" w:space="0" w:color="auto"/>
            <w:bottom w:val="none" w:sz="0" w:space="0" w:color="auto"/>
            <w:right w:val="none" w:sz="0" w:space="0" w:color="auto"/>
          </w:divBdr>
          <w:divsChild>
            <w:div w:id="1074625200">
              <w:marLeft w:val="0"/>
              <w:marRight w:val="0"/>
              <w:marTop w:val="0"/>
              <w:marBottom w:val="0"/>
              <w:divBdr>
                <w:top w:val="none" w:sz="0" w:space="0" w:color="auto"/>
                <w:left w:val="none" w:sz="0" w:space="0" w:color="auto"/>
                <w:bottom w:val="none" w:sz="0" w:space="0" w:color="auto"/>
                <w:right w:val="none" w:sz="0" w:space="0" w:color="auto"/>
              </w:divBdr>
            </w:div>
          </w:divsChild>
        </w:div>
        <w:div w:id="1547910829">
          <w:marLeft w:val="0"/>
          <w:marRight w:val="0"/>
          <w:marTop w:val="0"/>
          <w:marBottom w:val="0"/>
          <w:divBdr>
            <w:top w:val="none" w:sz="0" w:space="0" w:color="auto"/>
            <w:left w:val="none" w:sz="0" w:space="0" w:color="auto"/>
            <w:bottom w:val="none" w:sz="0" w:space="0" w:color="auto"/>
            <w:right w:val="none" w:sz="0" w:space="0" w:color="auto"/>
          </w:divBdr>
          <w:divsChild>
            <w:div w:id="2027704608">
              <w:marLeft w:val="0"/>
              <w:marRight w:val="0"/>
              <w:marTop w:val="0"/>
              <w:marBottom w:val="0"/>
              <w:divBdr>
                <w:top w:val="none" w:sz="0" w:space="0" w:color="auto"/>
                <w:left w:val="none" w:sz="0" w:space="0" w:color="auto"/>
                <w:bottom w:val="none" w:sz="0" w:space="0" w:color="auto"/>
                <w:right w:val="none" w:sz="0" w:space="0" w:color="auto"/>
              </w:divBdr>
            </w:div>
          </w:divsChild>
        </w:div>
        <w:div w:id="1581718344">
          <w:marLeft w:val="0"/>
          <w:marRight w:val="0"/>
          <w:marTop w:val="0"/>
          <w:marBottom w:val="0"/>
          <w:divBdr>
            <w:top w:val="none" w:sz="0" w:space="0" w:color="auto"/>
            <w:left w:val="none" w:sz="0" w:space="0" w:color="auto"/>
            <w:bottom w:val="none" w:sz="0" w:space="0" w:color="auto"/>
            <w:right w:val="none" w:sz="0" w:space="0" w:color="auto"/>
          </w:divBdr>
          <w:divsChild>
            <w:div w:id="1933122074">
              <w:marLeft w:val="0"/>
              <w:marRight w:val="0"/>
              <w:marTop w:val="0"/>
              <w:marBottom w:val="0"/>
              <w:divBdr>
                <w:top w:val="none" w:sz="0" w:space="0" w:color="auto"/>
                <w:left w:val="none" w:sz="0" w:space="0" w:color="auto"/>
                <w:bottom w:val="none" w:sz="0" w:space="0" w:color="auto"/>
                <w:right w:val="none" w:sz="0" w:space="0" w:color="auto"/>
              </w:divBdr>
            </w:div>
          </w:divsChild>
        </w:div>
        <w:div w:id="1616643329">
          <w:marLeft w:val="0"/>
          <w:marRight w:val="0"/>
          <w:marTop w:val="0"/>
          <w:marBottom w:val="0"/>
          <w:divBdr>
            <w:top w:val="none" w:sz="0" w:space="0" w:color="auto"/>
            <w:left w:val="none" w:sz="0" w:space="0" w:color="auto"/>
            <w:bottom w:val="none" w:sz="0" w:space="0" w:color="auto"/>
            <w:right w:val="none" w:sz="0" w:space="0" w:color="auto"/>
          </w:divBdr>
          <w:divsChild>
            <w:div w:id="1035815386">
              <w:marLeft w:val="0"/>
              <w:marRight w:val="0"/>
              <w:marTop w:val="0"/>
              <w:marBottom w:val="0"/>
              <w:divBdr>
                <w:top w:val="none" w:sz="0" w:space="0" w:color="auto"/>
                <w:left w:val="none" w:sz="0" w:space="0" w:color="auto"/>
                <w:bottom w:val="none" w:sz="0" w:space="0" w:color="auto"/>
                <w:right w:val="none" w:sz="0" w:space="0" w:color="auto"/>
              </w:divBdr>
            </w:div>
          </w:divsChild>
        </w:div>
        <w:div w:id="1637024257">
          <w:marLeft w:val="0"/>
          <w:marRight w:val="0"/>
          <w:marTop w:val="0"/>
          <w:marBottom w:val="0"/>
          <w:divBdr>
            <w:top w:val="none" w:sz="0" w:space="0" w:color="auto"/>
            <w:left w:val="none" w:sz="0" w:space="0" w:color="auto"/>
            <w:bottom w:val="none" w:sz="0" w:space="0" w:color="auto"/>
            <w:right w:val="none" w:sz="0" w:space="0" w:color="auto"/>
          </w:divBdr>
          <w:divsChild>
            <w:div w:id="416706367">
              <w:marLeft w:val="0"/>
              <w:marRight w:val="0"/>
              <w:marTop w:val="0"/>
              <w:marBottom w:val="0"/>
              <w:divBdr>
                <w:top w:val="none" w:sz="0" w:space="0" w:color="auto"/>
                <w:left w:val="none" w:sz="0" w:space="0" w:color="auto"/>
                <w:bottom w:val="none" w:sz="0" w:space="0" w:color="auto"/>
                <w:right w:val="none" w:sz="0" w:space="0" w:color="auto"/>
              </w:divBdr>
            </w:div>
          </w:divsChild>
        </w:div>
        <w:div w:id="1650597627">
          <w:marLeft w:val="0"/>
          <w:marRight w:val="0"/>
          <w:marTop w:val="0"/>
          <w:marBottom w:val="0"/>
          <w:divBdr>
            <w:top w:val="none" w:sz="0" w:space="0" w:color="auto"/>
            <w:left w:val="none" w:sz="0" w:space="0" w:color="auto"/>
            <w:bottom w:val="none" w:sz="0" w:space="0" w:color="auto"/>
            <w:right w:val="none" w:sz="0" w:space="0" w:color="auto"/>
          </w:divBdr>
          <w:divsChild>
            <w:div w:id="885684498">
              <w:marLeft w:val="0"/>
              <w:marRight w:val="0"/>
              <w:marTop w:val="0"/>
              <w:marBottom w:val="0"/>
              <w:divBdr>
                <w:top w:val="none" w:sz="0" w:space="0" w:color="auto"/>
                <w:left w:val="none" w:sz="0" w:space="0" w:color="auto"/>
                <w:bottom w:val="none" w:sz="0" w:space="0" w:color="auto"/>
                <w:right w:val="none" w:sz="0" w:space="0" w:color="auto"/>
              </w:divBdr>
            </w:div>
          </w:divsChild>
        </w:div>
        <w:div w:id="1700087081">
          <w:marLeft w:val="0"/>
          <w:marRight w:val="0"/>
          <w:marTop w:val="0"/>
          <w:marBottom w:val="0"/>
          <w:divBdr>
            <w:top w:val="none" w:sz="0" w:space="0" w:color="auto"/>
            <w:left w:val="none" w:sz="0" w:space="0" w:color="auto"/>
            <w:bottom w:val="none" w:sz="0" w:space="0" w:color="auto"/>
            <w:right w:val="none" w:sz="0" w:space="0" w:color="auto"/>
          </w:divBdr>
          <w:divsChild>
            <w:div w:id="2086762103">
              <w:marLeft w:val="0"/>
              <w:marRight w:val="0"/>
              <w:marTop w:val="0"/>
              <w:marBottom w:val="0"/>
              <w:divBdr>
                <w:top w:val="none" w:sz="0" w:space="0" w:color="auto"/>
                <w:left w:val="none" w:sz="0" w:space="0" w:color="auto"/>
                <w:bottom w:val="none" w:sz="0" w:space="0" w:color="auto"/>
                <w:right w:val="none" w:sz="0" w:space="0" w:color="auto"/>
              </w:divBdr>
            </w:div>
          </w:divsChild>
        </w:div>
        <w:div w:id="1756902961">
          <w:marLeft w:val="0"/>
          <w:marRight w:val="0"/>
          <w:marTop w:val="0"/>
          <w:marBottom w:val="0"/>
          <w:divBdr>
            <w:top w:val="none" w:sz="0" w:space="0" w:color="auto"/>
            <w:left w:val="none" w:sz="0" w:space="0" w:color="auto"/>
            <w:bottom w:val="none" w:sz="0" w:space="0" w:color="auto"/>
            <w:right w:val="none" w:sz="0" w:space="0" w:color="auto"/>
          </w:divBdr>
          <w:divsChild>
            <w:div w:id="1990017388">
              <w:marLeft w:val="0"/>
              <w:marRight w:val="0"/>
              <w:marTop w:val="0"/>
              <w:marBottom w:val="0"/>
              <w:divBdr>
                <w:top w:val="none" w:sz="0" w:space="0" w:color="auto"/>
                <w:left w:val="none" w:sz="0" w:space="0" w:color="auto"/>
                <w:bottom w:val="none" w:sz="0" w:space="0" w:color="auto"/>
                <w:right w:val="none" w:sz="0" w:space="0" w:color="auto"/>
              </w:divBdr>
            </w:div>
          </w:divsChild>
        </w:div>
        <w:div w:id="1873304017">
          <w:marLeft w:val="0"/>
          <w:marRight w:val="0"/>
          <w:marTop w:val="0"/>
          <w:marBottom w:val="0"/>
          <w:divBdr>
            <w:top w:val="none" w:sz="0" w:space="0" w:color="auto"/>
            <w:left w:val="none" w:sz="0" w:space="0" w:color="auto"/>
            <w:bottom w:val="none" w:sz="0" w:space="0" w:color="auto"/>
            <w:right w:val="none" w:sz="0" w:space="0" w:color="auto"/>
          </w:divBdr>
          <w:divsChild>
            <w:div w:id="420683584">
              <w:marLeft w:val="0"/>
              <w:marRight w:val="0"/>
              <w:marTop w:val="0"/>
              <w:marBottom w:val="0"/>
              <w:divBdr>
                <w:top w:val="none" w:sz="0" w:space="0" w:color="auto"/>
                <w:left w:val="none" w:sz="0" w:space="0" w:color="auto"/>
                <w:bottom w:val="none" w:sz="0" w:space="0" w:color="auto"/>
                <w:right w:val="none" w:sz="0" w:space="0" w:color="auto"/>
              </w:divBdr>
            </w:div>
          </w:divsChild>
        </w:div>
        <w:div w:id="2045864868">
          <w:marLeft w:val="0"/>
          <w:marRight w:val="0"/>
          <w:marTop w:val="0"/>
          <w:marBottom w:val="0"/>
          <w:divBdr>
            <w:top w:val="none" w:sz="0" w:space="0" w:color="auto"/>
            <w:left w:val="none" w:sz="0" w:space="0" w:color="auto"/>
            <w:bottom w:val="none" w:sz="0" w:space="0" w:color="auto"/>
            <w:right w:val="none" w:sz="0" w:space="0" w:color="auto"/>
          </w:divBdr>
          <w:divsChild>
            <w:div w:id="462774178">
              <w:marLeft w:val="0"/>
              <w:marRight w:val="0"/>
              <w:marTop w:val="0"/>
              <w:marBottom w:val="0"/>
              <w:divBdr>
                <w:top w:val="none" w:sz="0" w:space="0" w:color="auto"/>
                <w:left w:val="none" w:sz="0" w:space="0" w:color="auto"/>
                <w:bottom w:val="none" w:sz="0" w:space="0" w:color="auto"/>
                <w:right w:val="none" w:sz="0" w:space="0" w:color="auto"/>
              </w:divBdr>
            </w:div>
          </w:divsChild>
        </w:div>
        <w:div w:id="2123839660">
          <w:marLeft w:val="0"/>
          <w:marRight w:val="0"/>
          <w:marTop w:val="0"/>
          <w:marBottom w:val="0"/>
          <w:divBdr>
            <w:top w:val="none" w:sz="0" w:space="0" w:color="auto"/>
            <w:left w:val="none" w:sz="0" w:space="0" w:color="auto"/>
            <w:bottom w:val="none" w:sz="0" w:space="0" w:color="auto"/>
            <w:right w:val="none" w:sz="0" w:space="0" w:color="auto"/>
          </w:divBdr>
          <w:divsChild>
            <w:div w:id="1094744686">
              <w:marLeft w:val="0"/>
              <w:marRight w:val="0"/>
              <w:marTop w:val="0"/>
              <w:marBottom w:val="0"/>
              <w:divBdr>
                <w:top w:val="none" w:sz="0" w:space="0" w:color="auto"/>
                <w:left w:val="none" w:sz="0" w:space="0" w:color="auto"/>
                <w:bottom w:val="none" w:sz="0" w:space="0" w:color="auto"/>
                <w:right w:val="none" w:sz="0" w:space="0" w:color="auto"/>
              </w:divBdr>
            </w:div>
          </w:divsChild>
        </w:div>
        <w:div w:id="2136368431">
          <w:marLeft w:val="0"/>
          <w:marRight w:val="0"/>
          <w:marTop w:val="0"/>
          <w:marBottom w:val="0"/>
          <w:divBdr>
            <w:top w:val="none" w:sz="0" w:space="0" w:color="auto"/>
            <w:left w:val="none" w:sz="0" w:space="0" w:color="auto"/>
            <w:bottom w:val="none" w:sz="0" w:space="0" w:color="auto"/>
            <w:right w:val="none" w:sz="0" w:space="0" w:color="auto"/>
          </w:divBdr>
          <w:divsChild>
            <w:div w:id="17948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75658">
      <w:bodyDiv w:val="1"/>
      <w:marLeft w:val="0"/>
      <w:marRight w:val="0"/>
      <w:marTop w:val="0"/>
      <w:marBottom w:val="0"/>
      <w:divBdr>
        <w:top w:val="none" w:sz="0" w:space="0" w:color="auto"/>
        <w:left w:val="none" w:sz="0" w:space="0" w:color="auto"/>
        <w:bottom w:val="none" w:sz="0" w:space="0" w:color="auto"/>
        <w:right w:val="none" w:sz="0" w:space="0" w:color="auto"/>
      </w:divBdr>
      <w:divsChild>
        <w:div w:id="561596553">
          <w:marLeft w:val="0"/>
          <w:marRight w:val="0"/>
          <w:marTop w:val="0"/>
          <w:marBottom w:val="0"/>
          <w:divBdr>
            <w:top w:val="none" w:sz="0" w:space="0" w:color="auto"/>
            <w:left w:val="none" w:sz="0" w:space="0" w:color="auto"/>
            <w:bottom w:val="none" w:sz="0" w:space="0" w:color="auto"/>
            <w:right w:val="none" w:sz="0" w:space="0" w:color="auto"/>
          </w:divBdr>
          <w:divsChild>
            <w:div w:id="581372327">
              <w:marLeft w:val="0"/>
              <w:marRight w:val="0"/>
              <w:marTop w:val="0"/>
              <w:marBottom w:val="0"/>
              <w:divBdr>
                <w:top w:val="none" w:sz="0" w:space="0" w:color="auto"/>
                <w:left w:val="none" w:sz="0" w:space="0" w:color="auto"/>
                <w:bottom w:val="none" w:sz="0" w:space="0" w:color="auto"/>
                <w:right w:val="none" w:sz="0" w:space="0" w:color="auto"/>
              </w:divBdr>
            </w:div>
            <w:div w:id="667757135">
              <w:marLeft w:val="0"/>
              <w:marRight w:val="0"/>
              <w:marTop w:val="0"/>
              <w:marBottom w:val="0"/>
              <w:divBdr>
                <w:top w:val="none" w:sz="0" w:space="0" w:color="auto"/>
                <w:left w:val="none" w:sz="0" w:space="0" w:color="auto"/>
                <w:bottom w:val="none" w:sz="0" w:space="0" w:color="auto"/>
                <w:right w:val="none" w:sz="0" w:space="0" w:color="auto"/>
              </w:divBdr>
            </w:div>
            <w:div w:id="1436244022">
              <w:marLeft w:val="0"/>
              <w:marRight w:val="0"/>
              <w:marTop w:val="0"/>
              <w:marBottom w:val="0"/>
              <w:divBdr>
                <w:top w:val="none" w:sz="0" w:space="0" w:color="auto"/>
                <w:left w:val="none" w:sz="0" w:space="0" w:color="auto"/>
                <w:bottom w:val="none" w:sz="0" w:space="0" w:color="auto"/>
                <w:right w:val="none" w:sz="0" w:space="0" w:color="auto"/>
              </w:divBdr>
            </w:div>
          </w:divsChild>
        </w:div>
        <w:div w:id="827523910">
          <w:marLeft w:val="0"/>
          <w:marRight w:val="0"/>
          <w:marTop w:val="0"/>
          <w:marBottom w:val="0"/>
          <w:divBdr>
            <w:top w:val="none" w:sz="0" w:space="0" w:color="auto"/>
            <w:left w:val="none" w:sz="0" w:space="0" w:color="auto"/>
            <w:bottom w:val="none" w:sz="0" w:space="0" w:color="auto"/>
            <w:right w:val="none" w:sz="0" w:space="0" w:color="auto"/>
          </w:divBdr>
          <w:divsChild>
            <w:div w:id="1409575704">
              <w:marLeft w:val="0"/>
              <w:marRight w:val="0"/>
              <w:marTop w:val="0"/>
              <w:marBottom w:val="0"/>
              <w:divBdr>
                <w:top w:val="none" w:sz="0" w:space="0" w:color="auto"/>
                <w:left w:val="none" w:sz="0" w:space="0" w:color="auto"/>
                <w:bottom w:val="none" w:sz="0" w:space="0" w:color="auto"/>
                <w:right w:val="none" w:sz="0" w:space="0" w:color="auto"/>
              </w:divBdr>
            </w:div>
            <w:div w:id="16455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2215">
      <w:bodyDiv w:val="1"/>
      <w:marLeft w:val="0"/>
      <w:marRight w:val="0"/>
      <w:marTop w:val="0"/>
      <w:marBottom w:val="0"/>
      <w:divBdr>
        <w:top w:val="none" w:sz="0" w:space="0" w:color="auto"/>
        <w:left w:val="none" w:sz="0" w:space="0" w:color="auto"/>
        <w:bottom w:val="none" w:sz="0" w:space="0" w:color="auto"/>
        <w:right w:val="none" w:sz="0" w:space="0" w:color="auto"/>
      </w:divBdr>
      <w:divsChild>
        <w:div w:id="1764106964">
          <w:marLeft w:val="0"/>
          <w:marRight w:val="0"/>
          <w:marTop w:val="0"/>
          <w:marBottom w:val="0"/>
          <w:divBdr>
            <w:top w:val="none" w:sz="0" w:space="0" w:color="auto"/>
            <w:left w:val="none" w:sz="0" w:space="0" w:color="auto"/>
            <w:bottom w:val="none" w:sz="0" w:space="0" w:color="auto"/>
            <w:right w:val="none" w:sz="0" w:space="0" w:color="auto"/>
          </w:divBdr>
        </w:div>
      </w:divsChild>
    </w:div>
    <w:div w:id="1078358632">
      <w:bodyDiv w:val="1"/>
      <w:marLeft w:val="0"/>
      <w:marRight w:val="0"/>
      <w:marTop w:val="0"/>
      <w:marBottom w:val="0"/>
      <w:divBdr>
        <w:top w:val="none" w:sz="0" w:space="0" w:color="auto"/>
        <w:left w:val="none" w:sz="0" w:space="0" w:color="auto"/>
        <w:bottom w:val="none" w:sz="0" w:space="0" w:color="auto"/>
        <w:right w:val="none" w:sz="0" w:space="0" w:color="auto"/>
      </w:divBdr>
    </w:div>
    <w:div w:id="1082024776">
      <w:bodyDiv w:val="1"/>
      <w:marLeft w:val="0"/>
      <w:marRight w:val="0"/>
      <w:marTop w:val="0"/>
      <w:marBottom w:val="0"/>
      <w:divBdr>
        <w:top w:val="none" w:sz="0" w:space="0" w:color="auto"/>
        <w:left w:val="none" w:sz="0" w:space="0" w:color="auto"/>
        <w:bottom w:val="none" w:sz="0" w:space="0" w:color="auto"/>
        <w:right w:val="none" w:sz="0" w:space="0" w:color="auto"/>
      </w:divBdr>
    </w:div>
    <w:div w:id="1088426247">
      <w:bodyDiv w:val="1"/>
      <w:marLeft w:val="0"/>
      <w:marRight w:val="0"/>
      <w:marTop w:val="0"/>
      <w:marBottom w:val="0"/>
      <w:divBdr>
        <w:top w:val="none" w:sz="0" w:space="0" w:color="auto"/>
        <w:left w:val="none" w:sz="0" w:space="0" w:color="auto"/>
        <w:bottom w:val="none" w:sz="0" w:space="0" w:color="auto"/>
        <w:right w:val="none" w:sz="0" w:space="0" w:color="auto"/>
      </w:divBdr>
      <w:divsChild>
        <w:div w:id="704522154">
          <w:marLeft w:val="0"/>
          <w:marRight w:val="0"/>
          <w:marTop w:val="0"/>
          <w:marBottom w:val="0"/>
          <w:divBdr>
            <w:top w:val="none" w:sz="0" w:space="0" w:color="auto"/>
            <w:left w:val="none" w:sz="0" w:space="0" w:color="auto"/>
            <w:bottom w:val="none" w:sz="0" w:space="0" w:color="auto"/>
            <w:right w:val="none" w:sz="0" w:space="0" w:color="auto"/>
          </w:divBdr>
        </w:div>
        <w:div w:id="1182474888">
          <w:marLeft w:val="0"/>
          <w:marRight w:val="0"/>
          <w:marTop w:val="0"/>
          <w:marBottom w:val="0"/>
          <w:divBdr>
            <w:top w:val="none" w:sz="0" w:space="0" w:color="auto"/>
            <w:left w:val="none" w:sz="0" w:space="0" w:color="auto"/>
            <w:bottom w:val="none" w:sz="0" w:space="0" w:color="auto"/>
            <w:right w:val="none" w:sz="0" w:space="0" w:color="auto"/>
          </w:divBdr>
        </w:div>
      </w:divsChild>
    </w:div>
    <w:div w:id="1098646363">
      <w:bodyDiv w:val="1"/>
      <w:marLeft w:val="0"/>
      <w:marRight w:val="0"/>
      <w:marTop w:val="0"/>
      <w:marBottom w:val="0"/>
      <w:divBdr>
        <w:top w:val="none" w:sz="0" w:space="0" w:color="auto"/>
        <w:left w:val="none" w:sz="0" w:space="0" w:color="auto"/>
        <w:bottom w:val="none" w:sz="0" w:space="0" w:color="auto"/>
        <w:right w:val="none" w:sz="0" w:space="0" w:color="auto"/>
      </w:divBdr>
    </w:div>
    <w:div w:id="1109157810">
      <w:bodyDiv w:val="1"/>
      <w:marLeft w:val="0"/>
      <w:marRight w:val="0"/>
      <w:marTop w:val="0"/>
      <w:marBottom w:val="0"/>
      <w:divBdr>
        <w:top w:val="none" w:sz="0" w:space="0" w:color="auto"/>
        <w:left w:val="none" w:sz="0" w:space="0" w:color="auto"/>
        <w:bottom w:val="none" w:sz="0" w:space="0" w:color="auto"/>
        <w:right w:val="none" w:sz="0" w:space="0" w:color="auto"/>
      </w:divBdr>
    </w:div>
    <w:div w:id="1121192544">
      <w:bodyDiv w:val="1"/>
      <w:marLeft w:val="0"/>
      <w:marRight w:val="0"/>
      <w:marTop w:val="0"/>
      <w:marBottom w:val="0"/>
      <w:divBdr>
        <w:top w:val="none" w:sz="0" w:space="0" w:color="auto"/>
        <w:left w:val="none" w:sz="0" w:space="0" w:color="auto"/>
        <w:bottom w:val="none" w:sz="0" w:space="0" w:color="auto"/>
        <w:right w:val="none" w:sz="0" w:space="0" w:color="auto"/>
      </w:divBdr>
    </w:div>
    <w:div w:id="1144927255">
      <w:bodyDiv w:val="1"/>
      <w:marLeft w:val="0"/>
      <w:marRight w:val="0"/>
      <w:marTop w:val="0"/>
      <w:marBottom w:val="0"/>
      <w:divBdr>
        <w:top w:val="none" w:sz="0" w:space="0" w:color="auto"/>
        <w:left w:val="none" w:sz="0" w:space="0" w:color="auto"/>
        <w:bottom w:val="none" w:sz="0" w:space="0" w:color="auto"/>
        <w:right w:val="none" w:sz="0" w:space="0" w:color="auto"/>
      </w:divBdr>
    </w:div>
    <w:div w:id="1159924060">
      <w:bodyDiv w:val="1"/>
      <w:marLeft w:val="0"/>
      <w:marRight w:val="0"/>
      <w:marTop w:val="0"/>
      <w:marBottom w:val="0"/>
      <w:divBdr>
        <w:top w:val="none" w:sz="0" w:space="0" w:color="auto"/>
        <w:left w:val="none" w:sz="0" w:space="0" w:color="auto"/>
        <w:bottom w:val="none" w:sz="0" w:space="0" w:color="auto"/>
        <w:right w:val="none" w:sz="0" w:space="0" w:color="auto"/>
      </w:divBdr>
    </w:div>
    <w:div w:id="1164511518">
      <w:bodyDiv w:val="1"/>
      <w:marLeft w:val="0"/>
      <w:marRight w:val="0"/>
      <w:marTop w:val="0"/>
      <w:marBottom w:val="0"/>
      <w:divBdr>
        <w:top w:val="none" w:sz="0" w:space="0" w:color="auto"/>
        <w:left w:val="none" w:sz="0" w:space="0" w:color="auto"/>
        <w:bottom w:val="none" w:sz="0" w:space="0" w:color="auto"/>
        <w:right w:val="none" w:sz="0" w:space="0" w:color="auto"/>
      </w:divBdr>
    </w:div>
    <w:div w:id="1179584268">
      <w:bodyDiv w:val="1"/>
      <w:marLeft w:val="0"/>
      <w:marRight w:val="0"/>
      <w:marTop w:val="0"/>
      <w:marBottom w:val="0"/>
      <w:divBdr>
        <w:top w:val="none" w:sz="0" w:space="0" w:color="auto"/>
        <w:left w:val="none" w:sz="0" w:space="0" w:color="auto"/>
        <w:bottom w:val="none" w:sz="0" w:space="0" w:color="auto"/>
        <w:right w:val="none" w:sz="0" w:space="0" w:color="auto"/>
      </w:divBdr>
      <w:divsChild>
        <w:div w:id="273563087">
          <w:marLeft w:val="0"/>
          <w:marRight w:val="0"/>
          <w:marTop w:val="0"/>
          <w:marBottom w:val="0"/>
          <w:divBdr>
            <w:top w:val="none" w:sz="0" w:space="0" w:color="auto"/>
            <w:left w:val="none" w:sz="0" w:space="0" w:color="auto"/>
            <w:bottom w:val="none" w:sz="0" w:space="0" w:color="auto"/>
            <w:right w:val="none" w:sz="0" w:space="0" w:color="auto"/>
          </w:divBdr>
        </w:div>
        <w:div w:id="923958570">
          <w:marLeft w:val="0"/>
          <w:marRight w:val="0"/>
          <w:marTop w:val="0"/>
          <w:marBottom w:val="0"/>
          <w:divBdr>
            <w:top w:val="none" w:sz="0" w:space="0" w:color="auto"/>
            <w:left w:val="none" w:sz="0" w:space="0" w:color="auto"/>
            <w:bottom w:val="none" w:sz="0" w:space="0" w:color="auto"/>
            <w:right w:val="none" w:sz="0" w:space="0" w:color="auto"/>
          </w:divBdr>
        </w:div>
        <w:div w:id="1565262969">
          <w:marLeft w:val="0"/>
          <w:marRight w:val="0"/>
          <w:marTop w:val="0"/>
          <w:marBottom w:val="0"/>
          <w:divBdr>
            <w:top w:val="none" w:sz="0" w:space="0" w:color="auto"/>
            <w:left w:val="none" w:sz="0" w:space="0" w:color="auto"/>
            <w:bottom w:val="none" w:sz="0" w:space="0" w:color="auto"/>
            <w:right w:val="none" w:sz="0" w:space="0" w:color="auto"/>
          </w:divBdr>
        </w:div>
        <w:div w:id="1785690039">
          <w:marLeft w:val="0"/>
          <w:marRight w:val="0"/>
          <w:marTop w:val="0"/>
          <w:marBottom w:val="0"/>
          <w:divBdr>
            <w:top w:val="none" w:sz="0" w:space="0" w:color="auto"/>
            <w:left w:val="none" w:sz="0" w:space="0" w:color="auto"/>
            <w:bottom w:val="none" w:sz="0" w:space="0" w:color="auto"/>
            <w:right w:val="none" w:sz="0" w:space="0" w:color="auto"/>
          </w:divBdr>
        </w:div>
        <w:div w:id="1985694432">
          <w:marLeft w:val="0"/>
          <w:marRight w:val="0"/>
          <w:marTop w:val="0"/>
          <w:marBottom w:val="0"/>
          <w:divBdr>
            <w:top w:val="none" w:sz="0" w:space="0" w:color="auto"/>
            <w:left w:val="none" w:sz="0" w:space="0" w:color="auto"/>
            <w:bottom w:val="none" w:sz="0" w:space="0" w:color="auto"/>
            <w:right w:val="none" w:sz="0" w:space="0" w:color="auto"/>
          </w:divBdr>
        </w:div>
        <w:div w:id="2085451848">
          <w:marLeft w:val="0"/>
          <w:marRight w:val="0"/>
          <w:marTop w:val="0"/>
          <w:marBottom w:val="0"/>
          <w:divBdr>
            <w:top w:val="none" w:sz="0" w:space="0" w:color="auto"/>
            <w:left w:val="none" w:sz="0" w:space="0" w:color="auto"/>
            <w:bottom w:val="none" w:sz="0" w:space="0" w:color="auto"/>
            <w:right w:val="none" w:sz="0" w:space="0" w:color="auto"/>
          </w:divBdr>
        </w:div>
      </w:divsChild>
    </w:div>
    <w:div w:id="1180506798">
      <w:bodyDiv w:val="1"/>
      <w:marLeft w:val="0"/>
      <w:marRight w:val="0"/>
      <w:marTop w:val="0"/>
      <w:marBottom w:val="0"/>
      <w:divBdr>
        <w:top w:val="none" w:sz="0" w:space="0" w:color="auto"/>
        <w:left w:val="none" w:sz="0" w:space="0" w:color="auto"/>
        <w:bottom w:val="none" w:sz="0" w:space="0" w:color="auto"/>
        <w:right w:val="none" w:sz="0" w:space="0" w:color="auto"/>
      </w:divBdr>
      <w:divsChild>
        <w:div w:id="2703879">
          <w:marLeft w:val="0"/>
          <w:marRight w:val="0"/>
          <w:marTop w:val="0"/>
          <w:marBottom w:val="0"/>
          <w:divBdr>
            <w:top w:val="none" w:sz="0" w:space="0" w:color="auto"/>
            <w:left w:val="none" w:sz="0" w:space="0" w:color="auto"/>
            <w:bottom w:val="none" w:sz="0" w:space="0" w:color="auto"/>
            <w:right w:val="none" w:sz="0" w:space="0" w:color="auto"/>
          </w:divBdr>
          <w:divsChild>
            <w:div w:id="978652167">
              <w:marLeft w:val="-75"/>
              <w:marRight w:val="0"/>
              <w:marTop w:val="30"/>
              <w:marBottom w:val="30"/>
              <w:divBdr>
                <w:top w:val="none" w:sz="0" w:space="0" w:color="auto"/>
                <w:left w:val="none" w:sz="0" w:space="0" w:color="auto"/>
                <w:bottom w:val="none" w:sz="0" w:space="0" w:color="auto"/>
                <w:right w:val="none" w:sz="0" w:space="0" w:color="auto"/>
              </w:divBdr>
              <w:divsChild>
                <w:div w:id="75906966">
                  <w:marLeft w:val="0"/>
                  <w:marRight w:val="0"/>
                  <w:marTop w:val="0"/>
                  <w:marBottom w:val="0"/>
                  <w:divBdr>
                    <w:top w:val="none" w:sz="0" w:space="0" w:color="auto"/>
                    <w:left w:val="none" w:sz="0" w:space="0" w:color="auto"/>
                    <w:bottom w:val="none" w:sz="0" w:space="0" w:color="auto"/>
                    <w:right w:val="none" w:sz="0" w:space="0" w:color="auto"/>
                  </w:divBdr>
                  <w:divsChild>
                    <w:div w:id="1766532809">
                      <w:marLeft w:val="0"/>
                      <w:marRight w:val="0"/>
                      <w:marTop w:val="0"/>
                      <w:marBottom w:val="0"/>
                      <w:divBdr>
                        <w:top w:val="none" w:sz="0" w:space="0" w:color="auto"/>
                        <w:left w:val="none" w:sz="0" w:space="0" w:color="auto"/>
                        <w:bottom w:val="none" w:sz="0" w:space="0" w:color="auto"/>
                        <w:right w:val="none" w:sz="0" w:space="0" w:color="auto"/>
                      </w:divBdr>
                    </w:div>
                  </w:divsChild>
                </w:div>
                <w:div w:id="295912977">
                  <w:marLeft w:val="0"/>
                  <w:marRight w:val="0"/>
                  <w:marTop w:val="0"/>
                  <w:marBottom w:val="0"/>
                  <w:divBdr>
                    <w:top w:val="none" w:sz="0" w:space="0" w:color="auto"/>
                    <w:left w:val="none" w:sz="0" w:space="0" w:color="auto"/>
                    <w:bottom w:val="none" w:sz="0" w:space="0" w:color="auto"/>
                    <w:right w:val="none" w:sz="0" w:space="0" w:color="auto"/>
                  </w:divBdr>
                  <w:divsChild>
                    <w:div w:id="1283803408">
                      <w:marLeft w:val="0"/>
                      <w:marRight w:val="0"/>
                      <w:marTop w:val="0"/>
                      <w:marBottom w:val="0"/>
                      <w:divBdr>
                        <w:top w:val="none" w:sz="0" w:space="0" w:color="auto"/>
                        <w:left w:val="none" w:sz="0" w:space="0" w:color="auto"/>
                        <w:bottom w:val="none" w:sz="0" w:space="0" w:color="auto"/>
                        <w:right w:val="none" w:sz="0" w:space="0" w:color="auto"/>
                      </w:divBdr>
                    </w:div>
                  </w:divsChild>
                </w:div>
                <w:div w:id="374352980">
                  <w:marLeft w:val="0"/>
                  <w:marRight w:val="0"/>
                  <w:marTop w:val="0"/>
                  <w:marBottom w:val="0"/>
                  <w:divBdr>
                    <w:top w:val="none" w:sz="0" w:space="0" w:color="auto"/>
                    <w:left w:val="none" w:sz="0" w:space="0" w:color="auto"/>
                    <w:bottom w:val="none" w:sz="0" w:space="0" w:color="auto"/>
                    <w:right w:val="none" w:sz="0" w:space="0" w:color="auto"/>
                  </w:divBdr>
                  <w:divsChild>
                    <w:div w:id="1094477985">
                      <w:marLeft w:val="0"/>
                      <w:marRight w:val="0"/>
                      <w:marTop w:val="0"/>
                      <w:marBottom w:val="0"/>
                      <w:divBdr>
                        <w:top w:val="none" w:sz="0" w:space="0" w:color="auto"/>
                        <w:left w:val="none" w:sz="0" w:space="0" w:color="auto"/>
                        <w:bottom w:val="none" w:sz="0" w:space="0" w:color="auto"/>
                        <w:right w:val="none" w:sz="0" w:space="0" w:color="auto"/>
                      </w:divBdr>
                    </w:div>
                  </w:divsChild>
                </w:div>
                <w:div w:id="771753186">
                  <w:marLeft w:val="0"/>
                  <w:marRight w:val="0"/>
                  <w:marTop w:val="0"/>
                  <w:marBottom w:val="0"/>
                  <w:divBdr>
                    <w:top w:val="none" w:sz="0" w:space="0" w:color="auto"/>
                    <w:left w:val="none" w:sz="0" w:space="0" w:color="auto"/>
                    <w:bottom w:val="none" w:sz="0" w:space="0" w:color="auto"/>
                    <w:right w:val="none" w:sz="0" w:space="0" w:color="auto"/>
                  </w:divBdr>
                  <w:divsChild>
                    <w:div w:id="704411274">
                      <w:marLeft w:val="0"/>
                      <w:marRight w:val="0"/>
                      <w:marTop w:val="0"/>
                      <w:marBottom w:val="0"/>
                      <w:divBdr>
                        <w:top w:val="none" w:sz="0" w:space="0" w:color="auto"/>
                        <w:left w:val="none" w:sz="0" w:space="0" w:color="auto"/>
                        <w:bottom w:val="none" w:sz="0" w:space="0" w:color="auto"/>
                        <w:right w:val="none" w:sz="0" w:space="0" w:color="auto"/>
                      </w:divBdr>
                    </w:div>
                  </w:divsChild>
                </w:div>
                <w:div w:id="776413299">
                  <w:marLeft w:val="0"/>
                  <w:marRight w:val="0"/>
                  <w:marTop w:val="0"/>
                  <w:marBottom w:val="0"/>
                  <w:divBdr>
                    <w:top w:val="none" w:sz="0" w:space="0" w:color="auto"/>
                    <w:left w:val="none" w:sz="0" w:space="0" w:color="auto"/>
                    <w:bottom w:val="none" w:sz="0" w:space="0" w:color="auto"/>
                    <w:right w:val="none" w:sz="0" w:space="0" w:color="auto"/>
                  </w:divBdr>
                  <w:divsChild>
                    <w:div w:id="123814618">
                      <w:marLeft w:val="0"/>
                      <w:marRight w:val="0"/>
                      <w:marTop w:val="0"/>
                      <w:marBottom w:val="0"/>
                      <w:divBdr>
                        <w:top w:val="none" w:sz="0" w:space="0" w:color="auto"/>
                        <w:left w:val="none" w:sz="0" w:space="0" w:color="auto"/>
                        <w:bottom w:val="none" w:sz="0" w:space="0" w:color="auto"/>
                        <w:right w:val="none" w:sz="0" w:space="0" w:color="auto"/>
                      </w:divBdr>
                    </w:div>
                  </w:divsChild>
                </w:div>
                <w:div w:id="795639644">
                  <w:marLeft w:val="0"/>
                  <w:marRight w:val="0"/>
                  <w:marTop w:val="0"/>
                  <w:marBottom w:val="0"/>
                  <w:divBdr>
                    <w:top w:val="none" w:sz="0" w:space="0" w:color="auto"/>
                    <w:left w:val="none" w:sz="0" w:space="0" w:color="auto"/>
                    <w:bottom w:val="none" w:sz="0" w:space="0" w:color="auto"/>
                    <w:right w:val="none" w:sz="0" w:space="0" w:color="auto"/>
                  </w:divBdr>
                  <w:divsChild>
                    <w:div w:id="248080609">
                      <w:marLeft w:val="0"/>
                      <w:marRight w:val="0"/>
                      <w:marTop w:val="0"/>
                      <w:marBottom w:val="0"/>
                      <w:divBdr>
                        <w:top w:val="none" w:sz="0" w:space="0" w:color="auto"/>
                        <w:left w:val="none" w:sz="0" w:space="0" w:color="auto"/>
                        <w:bottom w:val="none" w:sz="0" w:space="0" w:color="auto"/>
                        <w:right w:val="none" w:sz="0" w:space="0" w:color="auto"/>
                      </w:divBdr>
                    </w:div>
                  </w:divsChild>
                </w:div>
                <w:div w:id="909316181">
                  <w:marLeft w:val="0"/>
                  <w:marRight w:val="0"/>
                  <w:marTop w:val="0"/>
                  <w:marBottom w:val="0"/>
                  <w:divBdr>
                    <w:top w:val="none" w:sz="0" w:space="0" w:color="auto"/>
                    <w:left w:val="none" w:sz="0" w:space="0" w:color="auto"/>
                    <w:bottom w:val="none" w:sz="0" w:space="0" w:color="auto"/>
                    <w:right w:val="none" w:sz="0" w:space="0" w:color="auto"/>
                  </w:divBdr>
                  <w:divsChild>
                    <w:div w:id="1698697916">
                      <w:marLeft w:val="0"/>
                      <w:marRight w:val="0"/>
                      <w:marTop w:val="0"/>
                      <w:marBottom w:val="0"/>
                      <w:divBdr>
                        <w:top w:val="none" w:sz="0" w:space="0" w:color="auto"/>
                        <w:left w:val="none" w:sz="0" w:space="0" w:color="auto"/>
                        <w:bottom w:val="none" w:sz="0" w:space="0" w:color="auto"/>
                        <w:right w:val="none" w:sz="0" w:space="0" w:color="auto"/>
                      </w:divBdr>
                    </w:div>
                  </w:divsChild>
                </w:div>
                <w:div w:id="1010528018">
                  <w:marLeft w:val="0"/>
                  <w:marRight w:val="0"/>
                  <w:marTop w:val="0"/>
                  <w:marBottom w:val="0"/>
                  <w:divBdr>
                    <w:top w:val="none" w:sz="0" w:space="0" w:color="auto"/>
                    <w:left w:val="none" w:sz="0" w:space="0" w:color="auto"/>
                    <w:bottom w:val="none" w:sz="0" w:space="0" w:color="auto"/>
                    <w:right w:val="none" w:sz="0" w:space="0" w:color="auto"/>
                  </w:divBdr>
                  <w:divsChild>
                    <w:div w:id="182670100">
                      <w:marLeft w:val="0"/>
                      <w:marRight w:val="0"/>
                      <w:marTop w:val="0"/>
                      <w:marBottom w:val="0"/>
                      <w:divBdr>
                        <w:top w:val="none" w:sz="0" w:space="0" w:color="auto"/>
                        <w:left w:val="none" w:sz="0" w:space="0" w:color="auto"/>
                        <w:bottom w:val="none" w:sz="0" w:space="0" w:color="auto"/>
                        <w:right w:val="none" w:sz="0" w:space="0" w:color="auto"/>
                      </w:divBdr>
                    </w:div>
                  </w:divsChild>
                </w:div>
                <w:div w:id="1347902555">
                  <w:marLeft w:val="0"/>
                  <w:marRight w:val="0"/>
                  <w:marTop w:val="0"/>
                  <w:marBottom w:val="0"/>
                  <w:divBdr>
                    <w:top w:val="none" w:sz="0" w:space="0" w:color="auto"/>
                    <w:left w:val="none" w:sz="0" w:space="0" w:color="auto"/>
                    <w:bottom w:val="none" w:sz="0" w:space="0" w:color="auto"/>
                    <w:right w:val="none" w:sz="0" w:space="0" w:color="auto"/>
                  </w:divBdr>
                  <w:divsChild>
                    <w:div w:id="671103779">
                      <w:marLeft w:val="0"/>
                      <w:marRight w:val="0"/>
                      <w:marTop w:val="0"/>
                      <w:marBottom w:val="0"/>
                      <w:divBdr>
                        <w:top w:val="none" w:sz="0" w:space="0" w:color="auto"/>
                        <w:left w:val="none" w:sz="0" w:space="0" w:color="auto"/>
                        <w:bottom w:val="none" w:sz="0" w:space="0" w:color="auto"/>
                        <w:right w:val="none" w:sz="0" w:space="0" w:color="auto"/>
                      </w:divBdr>
                    </w:div>
                  </w:divsChild>
                </w:div>
                <w:div w:id="1412199020">
                  <w:marLeft w:val="0"/>
                  <w:marRight w:val="0"/>
                  <w:marTop w:val="0"/>
                  <w:marBottom w:val="0"/>
                  <w:divBdr>
                    <w:top w:val="none" w:sz="0" w:space="0" w:color="auto"/>
                    <w:left w:val="none" w:sz="0" w:space="0" w:color="auto"/>
                    <w:bottom w:val="none" w:sz="0" w:space="0" w:color="auto"/>
                    <w:right w:val="none" w:sz="0" w:space="0" w:color="auto"/>
                  </w:divBdr>
                  <w:divsChild>
                    <w:div w:id="1909457422">
                      <w:marLeft w:val="0"/>
                      <w:marRight w:val="0"/>
                      <w:marTop w:val="0"/>
                      <w:marBottom w:val="0"/>
                      <w:divBdr>
                        <w:top w:val="none" w:sz="0" w:space="0" w:color="auto"/>
                        <w:left w:val="none" w:sz="0" w:space="0" w:color="auto"/>
                        <w:bottom w:val="none" w:sz="0" w:space="0" w:color="auto"/>
                        <w:right w:val="none" w:sz="0" w:space="0" w:color="auto"/>
                      </w:divBdr>
                    </w:div>
                  </w:divsChild>
                </w:div>
                <w:div w:id="1424958492">
                  <w:marLeft w:val="0"/>
                  <w:marRight w:val="0"/>
                  <w:marTop w:val="0"/>
                  <w:marBottom w:val="0"/>
                  <w:divBdr>
                    <w:top w:val="none" w:sz="0" w:space="0" w:color="auto"/>
                    <w:left w:val="none" w:sz="0" w:space="0" w:color="auto"/>
                    <w:bottom w:val="none" w:sz="0" w:space="0" w:color="auto"/>
                    <w:right w:val="none" w:sz="0" w:space="0" w:color="auto"/>
                  </w:divBdr>
                  <w:divsChild>
                    <w:div w:id="1060203313">
                      <w:marLeft w:val="0"/>
                      <w:marRight w:val="0"/>
                      <w:marTop w:val="0"/>
                      <w:marBottom w:val="0"/>
                      <w:divBdr>
                        <w:top w:val="none" w:sz="0" w:space="0" w:color="auto"/>
                        <w:left w:val="none" w:sz="0" w:space="0" w:color="auto"/>
                        <w:bottom w:val="none" w:sz="0" w:space="0" w:color="auto"/>
                        <w:right w:val="none" w:sz="0" w:space="0" w:color="auto"/>
                      </w:divBdr>
                    </w:div>
                  </w:divsChild>
                </w:div>
                <w:div w:id="1559703128">
                  <w:marLeft w:val="0"/>
                  <w:marRight w:val="0"/>
                  <w:marTop w:val="0"/>
                  <w:marBottom w:val="0"/>
                  <w:divBdr>
                    <w:top w:val="none" w:sz="0" w:space="0" w:color="auto"/>
                    <w:left w:val="none" w:sz="0" w:space="0" w:color="auto"/>
                    <w:bottom w:val="none" w:sz="0" w:space="0" w:color="auto"/>
                    <w:right w:val="none" w:sz="0" w:space="0" w:color="auto"/>
                  </w:divBdr>
                  <w:divsChild>
                    <w:div w:id="1982686050">
                      <w:marLeft w:val="0"/>
                      <w:marRight w:val="0"/>
                      <w:marTop w:val="0"/>
                      <w:marBottom w:val="0"/>
                      <w:divBdr>
                        <w:top w:val="none" w:sz="0" w:space="0" w:color="auto"/>
                        <w:left w:val="none" w:sz="0" w:space="0" w:color="auto"/>
                        <w:bottom w:val="none" w:sz="0" w:space="0" w:color="auto"/>
                        <w:right w:val="none" w:sz="0" w:space="0" w:color="auto"/>
                      </w:divBdr>
                    </w:div>
                  </w:divsChild>
                </w:div>
                <w:div w:id="1634553152">
                  <w:marLeft w:val="0"/>
                  <w:marRight w:val="0"/>
                  <w:marTop w:val="0"/>
                  <w:marBottom w:val="0"/>
                  <w:divBdr>
                    <w:top w:val="none" w:sz="0" w:space="0" w:color="auto"/>
                    <w:left w:val="none" w:sz="0" w:space="0" w:color="auto"/>
                    <w:bottom w:val="none" w:sz="0" w:space="0" w:color="auto"/>
                    <w:right w:val="none" w:sz="0" w:space="0" w:color="auto"/>
                  </w:divBdr>
                  <w:divsChild>
                    <w:div w:id="1681347122">
                      <w:marLeft w:val="0"/>
                      <w:marRight w:val="0"/>
                      <w:marTop w:val="0"/>
                      <w:marBottom w:val="0"/>
                      <w:divBdr>
                        <w:top w:val="none" w:sz="0" w:space="0" w:color="auto"/>
                        <w:left w:val="none" w:sz="0" w:space="0" w:color="auto"/>
                        <w:bottom w:val="none" w:sz="0" w:space="0" w:color="auto"/>
                        <w:right w:val="none" w:sz="0" w:space="0" w:color="auto"/>
                      </w:divBdr>
                    </w:div>
                  </w:divsChild>
                </w:div>
                <w:div w:id="1732388987">
                  <w:marLeft w:val="0"/>
                  <w:marRight w:val="0"/>
                  <w:marTop w:val="0"/>
                  <w:marBottom w:val="0"/>
                  <w:divBdr>
                    <w:top w:val="none" w:sz="0" w:space="0" w:color="auto"/>
                    <w:left w:val="none" w:sz="0" w:space="0" w:color="auto"/>
                    <w:bottom w:val="none" w:sz="0" w:space="0" w:color="auto"/>
                    <w:right w:val="none" w:sz="0" w:space="0" w:color="auto"/>
                  </w:divBdr>
                  <w:divsChild>
                    <w:div w:id="1578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128">
          <w:marLeft w:val="0"/>
          <w:marRight w:val="0"/>
          <w:marTop w:val="0"/>
          <w:marBottom w:val="0"/>
          <w:divBdr>
            <w:top w:val="none" w:sz="0" w:space="0" w:color="auto"/>
            <w:left w:val="none" w:sz="0" w:space="0" w:color="auto"/>
            <w:bottom w:val="none" w:sz="0" w:space="0" w:color="auto"/>
            <w:right w:val="none" w:sz="0" w:space="0" w:color="auto"/>
          </w:divBdr>
        </w:div>
        <w:div w:id="21830277">
          <w:marLeft w:val="0"/>
          <w:marRight w:val="0"/>
          <w:marTop w:val="0"/>
          <w:marBottom w:val="0"/>
          <w:divBdr>
            <w:top w:val="none" w:sz="0" w:space="0" w:color="auto"/>
            <w:left w:val="none" w:sz="0" w:space="0" w:color="auto"/>
            <w:bottom w:val="none" w:sz="0" w:space="0" w:color="auto"/>
            <w:right w:val="none" w:sz="0" w:space="0" w:color="auto"/>
          </w:divBdr>
        </w:div>
        <w:div w:id="59712639">
          <w:marLeft w:val="0"/>
          <w:marRight w:val="0"/>
          <w:marTop w:val="0"/>
          <w:marBottom w:val="0"/>
          <w:divBdr>
            <w:top w:val="none" w:sz="0" w:space="0" w:color="auto"/>
            <w:left w:val="none" w:sz="0" w:space="0" w:color="auto"/>
            <w:bottom w:val="none" w:sz="0" w:space="0" w:color="auto"/>
            <w:right w:val="none" w:sz="0" w:space="0" w:color="auto"/>
          </w:divBdr>
          <w:divsChild>
            <w:div w:id="170603534">
              <w:marLeft w:val="0"/>
              <w:marRight w:val="0"/>
              <w:marTop w:val="0"/>
              <w:marBottom w:val="0"/>
              <w:divBdr>
                <w:top w:val="none" w:sz="0" w:space="0" w:color="auto"/>
                <w:left w:val="none" w:sz="0" w:space="0" w:color="auto"/>
                <w:bottom w:val="none" w:sz="0" w:space="0" w:color="auto"/>
                <w:right w:val="none" w:sz="0" w:space="0" w:color="auto"/>
              </w:divBdr>
            </w:div>
            <w:div w:id="407386764">
              <w:marLeft w:val="0"/>
              <w:marRight w:val="0"/>
              <w:marTop w:val="0"/>
              <w:marBottom w:val="0"/>
              <w:divBdr>
                <w:top w:val="none" w:sz="0" w:space="0" w:color="auto"/>
                <w:left w:val="none" w:sz="0" w:space="0" w:color="auto"/>
                <w:bottom w:val="none" w:sz="0" w:space="0" w:color="auto"/>
                <w:right w:val="none" w:sz="0" w:space="0" w:color="auto"/>
              </w:divBdr>
            </w:div>
            <w:div w:id="2031253749">
              <w:marLeft w:val="0"/>
              <w:marRight w:val="0"/>
              <w:marTop w:val="0"/>
              <w:marBottom w:val="0"/>
              <w:divBdr>
                <w:top w:val="none" w:sz="0" w:space="0" w:color="auto"/>
                <w:left w:val="none" w:sz="0" w:space="0" w:color="auto"/>
                <w:bottom w:val="none" w:sz="0" w:space="0" w:color="auto"/>
                <w:right w:val="none" w:sz="0" w:space="0" w:color="auto"/>
              </w:divBdr>
            </w:div>
          </w:divsChild>
        </w:div>
        <w:div w:id="83233555">
          <w:marLeft w:val="0"/>
          <w:marRight w:val="0"/>
          <w:marTop w:val="0"/>
          <w:marBottom w:val="0"/>
          <w:divBdr>
            <w:top w:val="none" w:sz="0" w:space="0" w:color="auto"/>
            <w:left w:val="none" w:sz="0" w:space="0" w:color="auto"/>
            <w:bottom w:val="none" w:sz="0" w:space="0" w:color="auto"/>
            <w:right w:val="none" w:sz="0" w:space="0" w:color="auto"/>
          </w:divBdr>
        </w:div>
        <w:div w:id="94789138">
          <w:marLeft w:val="0"/>
          <w:marRight w:val="0"/>
          <w:marTop w:val="0"/>
          <w:marBottom w:val="0"/>
          <w:divBdr>
            <w:top w:val="none" w:sz="0" w:space="0" w:color="auto"/>
            <w:left w:val="none" w:sz="0" w:space="0" w:color="auto"/>
            <w:bottom w:val="none" w:sz="0" w:space="0" w:color="auto"/>
            <w:right w:val="none" w:sz="0" w:space="0" w:color="auto"/>
          </w:divBdr>
          <w:divsChild>
            <w:div w:id="1379940089">
              <w:marLeft w:val="0"/>
              <w:marRight w:val="0"/>
              <w:marTop w:val="0"/>
              <w:marBottom w:val="0"/>
              <w:divBdr>
                <w:top w:val="none" w:sz="0" w:space="0" w:color="auto"/>
                <w:left w:val="none" w:sz="0" w:space="0" w:color="auto"/>
                <w:bottom w:val="none" w:sz="0" w:space="0" w:color="auto"/>
                <w:right w:val="none" w:sz="0" w:space="0" w:color="auto"/>
              </w:divBdr>
            </w:div>
            <w:div w:id="1832797365">
              <w:marLeft w:val="0"/>
              <w:marRight w:val="0"/>
              <w:marTop w:val="0"/>
              <w:marBottom w:val="0"/>
              <w:divBdr>
                <w:top w:val="none" w:sz="0" w:space="0" w:color="auto"/>
                <w:left w:val="none" w:sz="0" w:space="0" w:color="auto"/>
                <w:bottom w:val="none" w:sz="0" w:space="0" w:color="auto"/>
                <w:right w:val="none" w:sz="0" w:space="0" w:color="auto"/>
              </w:divBdr>
            </w:div>
            <w:div w:id="2017727833">
              <w:marLeft w:val="0"/>
              <w:marRight w:val="0"/>
              <w:marTop w:val="0"/>
              <w:marBottom w:val="0"/>
              <w:divBdr>
                <w:top w:val="none" w:sz="0" w:space="0" w:color="auto"/>
                <w:left w:val="none" w:sz="0" w:space="0" w:color="auto"/>
                <w:bottom w:val="none" w:sz="0" w:space="0" w:color="auto"/>
                <w:right w:val="none" w:sz="0" w:space="0" w:color="auto"/>
              </w:divBdr>
            </w:div>
          </w:divsChild>
        </w:div>
        <w:div w:id="98912584">
          <w:marLeft w:val="0"/>
          <w:marRight w:val="0"/>
          <w:marTop w:val="0"/>
          <w:marBottom w:val="0"/>
          <w:divBdr>
            <w:top w:val="none" w:sz="0" w:space="0" w:color="auto"/>
            <w:left w:val="none" w:sz="0" w:space="0" w:color="auto"/>
            <w:bottom w:val="none" w:sz="0" w:space="0" w:color="auto"/>
            <w:right w:val="none" w:sz="0" w:space="0" w:color="auto"/>
          </w:divBdr>
          <w:divsChild>
            <w:div w:id="175582441">
              <w:marLeft w:val="0"/>
              <w:marRight w:val="0"/>
              <w:marTop w:val="0"/>
              <w:marBottom w:val="0"/>
              <w:divBdr>
                <w:top w:val="none" w:sz="0" w:space="0" w:color="auto"/>
                <w:left w:val="none" w:sz="0" w:space="0" w:color="auto"/>
                <w:bottom w:val="none" w:sz="0" w:space="0" w:color="auto"/>
                <w:right w:val="none" w:sz="0" w:space="0" w:color="auto"/>
              </w:divBdr>
            </w:div>
            <w:div w:id="1058473351">
              <w:marLeft w:val="0"/>
              <w:marRight w:val="0"/>
              <w:marTop w:val="0"/>
              <w:marBottom w:val="0"/>
              <w:divBdr>
                <w:top w:val="none" w:sz="0" w:space="0" w:color="auto"/>
                <w:left w:val="none" w:sz="0" w:space="0" w:color="auto"/>
                <w:bottom w:val="none" w:sz="0" w:space="0" w:color="auto"/>
                <w:right w:val="none" w:sz="0" w:space="0" w:color="auto"/>
              </w:divBdr>
            </w:div>
          </w:divsChild>
        </w:div>
        <w:div w:id="134220054">
          <w:marLeft w:val="0"/>
          <w:marRight w:val="0"/>
          <w:marTop w:val="0"/>
          <w:marBottom w:val="0"/>
          <w:divBdr>
            <w:top w:val="none" w:sz="0" w:space="0" w:color="auto"/>
            <w:left w:val="none" w:sz="0" w:space="0" w:color="auto"/>
            <w:bottom w:val="none" w:sz="0" w:space="0" w:color="auto"/>
            <w:right w:val="none" w:sz="0" w:space="0" w:color="auto"/>
          </w:divBdr>
        </w:div>
        <w:div w:id="142476911">
          <w:marLeft w:val="0"/>
          <w:marRight w:val="0"/>
          <w:marTop w:val="0"/>
          <w:marBottom w:val="0"/>
          <w:divBdr>
            <w:top w:val="none" w:sz="0" w:space="0" w:color="auto"/>
            <w:left w:val="none" w:sz="0" w:space="0" w:color="auto"/>
            <w:bottom w:val="none" w:sz="0" w:space="0" w:color="auto"/>
            <w:right w:val="none" w:sz="0" w:space="0" w:color="auto"/>
          </w:divBdr>
        </w:div>
        <w:div w:id="148206618">
          <w:marLeft w:val="0"/>
          <w:marRight w:val="0"/>
          <w:marTop w:val="0"/>
          <w:marBottom w:val="0"/>
          <w:divBdr>
            <w:top w:val="none" w:sz="0" w:space="0" w:color="auto"/>
            <w:left w:val="none" w:sz="0" w:space="0" w:color="auto"/>
            <w:bottom w:val="none" w:sz="0" w:space="0" w:color="auto"/>
            <w:right w:val="none" w:sz="0" w:space="0" w:color="auto"/>
          </w:divBdr>
          <w:divsChild>
            <w:div w:id="200366728">
              <w:marLeft w:val="0"/>
              <w:marRight w:val="0"/>
              <w:marTop w:val="0"/>
              <w:marBottom w:val="0"/>
              <w:divBdr>
                <w:top w:val="none" w:sz="0" w:space="0" w:color="auto"/>
                <w:left w:val="none" w:sz="0" w:space="0" w:color="auto"/>
                <w:bottom w:val="none" w:sz="0" w:space="0" w:color="auto"/>
                <w:right w:val="none" w:sz="0" w:space="0" w:color="auto"/>
              </w:divBdr>
            </w:div>
            <w:div w:id="256254564">
              <w:marLeft w:val="0"/>
              <w:marRight w:val="0"/>
              <w:marTop w:val="0"/>
              <w:marBottom w:val="0"/>
              <w:divBdr>
                <w:top w:val="none" w:sz="0" w:space="0" w:color="auto"/>
                <w:left w:val="none" w:sz="0" w:space="0" w:color="auto"/>
                <w:bottom w:val="none" w:sz="0" w:space="0" w:color="auto"/>
                <w:right w:val="none" w:sz="0" w:space="0" w:color="auto"/>
              </w:divBdr>
            </w:div>
            <w:div w:id="375470888">
              <w:marLeft w:val="0"/>
              <w:marRight w:val="0"/>
              <w:marTop w:val="0"/>
              <w:marBottom w:val="0"/>
              <w:divBdr>
                <w:top w:val="none" w:sz="0" w:space="0" w:color="auto"/>
                <w:left w:val="none" w:sz="0" w:space="0" w:color="auto"/>
                <w:bottom w:val="none" w:sz="0" w:space="0" w:color="auto"/>
                <w:right w:val="none" w:sz="0" w:space="0" w:color="auto"/>
              </w:divBdr>
            </w:div>
            <w:div w:id="676229548">
              <w:marLeft w:val="0"/>
              <w:marRight w:val="0"/>
              <w:marTop w:val="0"/>
              <w:marBottom w:val="0"/>
              <w:divBdr>
                <w:top w:val="none" w:sz="0" w:space="0" w:color="auto"/>
                <w:left w:val="none" w:sz="0" w:space="0" w:color="auto"/>
                <w:bottom w:val="none" w:sz="0" w:space="0" w:color="auto"/>
                <w:right w:val="none" w:sz="0" w:space="0" w:color="auto"/>
              </w:divBdr>
            </w:div>
            <w:div w:id="1078819569">
              <w:marLeft w:val="0"/>
              <w:marRight w:val="0"/>
              <w:marTop w:val="0"/>
              <w:marBottom w:val="0"/>
              <w:divBdr>
                <w:top w:val="none" w:sz="0" w:space="0" w:color="auto"/>
                <w:left w:val="none" w:sz="0" w:space="0" w:color="auto"/>
                <w:bottom w:val="none" w:sz="0" w:space="0" w:color="auto"/>
                <w:right w:val="none" w:sz="0" w:space="0" w:color="auto"/>
              </w:divBdr>
            </w:div>
            <w:div w:id="1744721777">
              <w:marLeft w:val="0"/>
              <w:marRight w:val="0"/>
              <w:marTop w:val="0"/>
              <w:marBottom w:val="0"/>
              <w:divBdr>
                <w:top w:val="none" w:sz="0" w:space="0" w:color="auto"/>
                <w:left w:val="none" w:sz="0" w:space="0" w:color="auto"/>
                <w:bottom w:val="none" w:sz="0" w:space="0" w:color="auto"/>
                <w:right w:val="none" w:sz="0" w:space="0" w:color="auto"/>
              </w:divBdr>
            </w:div>
            <w:div w:id="1891071068">
              <w:marLeft w:val="0"/>
              <w:marRight w:val="0"/>
              <w:marTop w:val="0"/>
              <w:marBottom w:val="0"/>
              <w:divBdr>
                <w:top w:val="none" w:sz="0" w:space="0" w:color="auto"/>
                <w:left w:val="none" w:sz="0" w:space="0" w:color="auto"/>
                <w:bottom w:val="none" w:sz="0" w:space="0" w:color="auto"/>
                <w:right w:val="none" w:sz="0" w:space="0" w:color="auto"/>
              </w:divBdr>
            </w:div>
          </w:divsChild>
        </w:div>
        <w:div w:id="160895876">
          <w:marLeft w:val="0"/>
          <w:marRight w:val="0"/>
          <w:marTop w:val="0"/>
          <w:marBottom w:val="0"/>
          <w:divBdr>
            <w:top w:val="none" w:sz="0" w:space="0" w:color="auto"/>
            <w:left w:val="none" w:sz="0" w:space="0" w:color="auto"/>
            <w:bottom w:val="none" w:sz="0" w:space="0" w:color="auto"/>
            <w:right w:val="none" w:sz="0" w:space="0" w:color="auto"/>
          </w:divBdr>
        </w:div>
        <w:div w:id="180319936">
          <w:marLeft w:val="0"/>
          <w:marRight w:val="0"/>
          <w:marTop w:val="0"/>
          <w:marBottom w:val="0"/>
          <w:divBdr>
            <w:top w:val="none" w:sz="0" w:space="0" w:color="auto"/>
            <w:left w:val="none" w:sz="0" w:space="0" w:color="auto"/>
            <w:bottom w:val="none" w:sz="0" w:space="0" w:color="auto"/>
            <w:right w:val="none" w:sz="0" w:space="0" w:color="auto"/>
          </w:divBdr>
        </w:div>
        <w:div w:id="204173751">
          <w:marLeft w:val="0"/>
          <w:marRight w:val="0"/>
          <w:marTop w:val="0"/>
          <w:marBottom w:val="0"/>
          <w:divBdr>
            <w:top w:val="none" w:sz="0" w:space="0" w:color="auto"/>
            <w:left w:val="none" w:sz="0" w:space="0" w:color="auto"/>
            <w:bottom w:val="none" w:sz="0" w:space="0" w:color="auto"/>
            <w:right w:val="none" w:sz="0" w:space="0" w:color="auto"/>
          </w:divBdr>
          <w:divsChild>
            <w:div w:id="232007533">
              <w:marLeft w:val="0"/>
              <w:marRight w:val="0"/>
              <w:marTop w:val="0"/>
              <w:marBottom w:val="0"/>
              <w:divBdr>
                <w:top w:val="none" w:sz="0" w:space="0" w:color="auto"/>
                <w:left w:val="none" w:sz="0" w:space="0" w:color="auto"/>
                <w:bottom w:val="none" w:sz="0" w:space="0" w:color="auto"/>
                <w:right w:val="none" w:sz="0" w:space="0" w:color="auto"/>
              </w:divBdr>
            </w:div>
            <w:div w:id="599682605">
              <w:marLeft w:val="0"/>
              <w:marRight w:val="0"/>
              <w:marTop w:val="0"/>
              <w:marBottom w:val="0"/>
              <w:divBdr>
                <w:top w:val="none" w:sz="0" w:space="0" w:color="auto"/>
                <w:left w:val="none" w:sz="0" w:space="0" w:color="auto"/>
                <w:bottom w:val="none" w:sz="0" w:space="0" w:color="auto"/>
                <w:right w:val="none" w:sz="0" w:space="0" w:color="auto"/>
              </w:divBdr>
            </w:div>
            <w:div w:id="936451154">
              <w:marLeft w:val="0"/>
              <w:marRight w:val="0"/>
              <w:marTop w:val="0"/>
              <w:marBottom w:val="0"/>
              <w:divBdr>
                <w:top w:val="none" w:sz="0" w:space="0" w:color="auto"/>
                <w:left w:val="none" w:sz="0" w:space="0" w:color="auto"/>
                <w:bottom w:val="none" w:sz="0" w:space="0" w:color="auto"/>
                <w:right w:val="none" w:sz="0" w:space="0" w:color="auto"/>
              </w:divBdr>
            </w:div>
            <w:div w:id="1265184550">
              <w:marLeft w:val="0"/>
              <w:marRight w:val="0"/>
              <w:marTop w:val="0"/>
              <w:marBottom w:val="0"/>
              <w:divBdr>
                <w:top w:val="none" w:sz="0" w:space="0" w:color="auto"/>
                <w:left w:val="none" w:sz="0" w:space="0" w:color="auto"/>
                <w:bottom w:val="none" w:sz="0" w:space="0" w:color="auto"/>
                <w:right w:val="none" w:sz="0" w:space="0" w:color="auto"/>
              </w:divBdr>
            </w:div>
            <w:div w:id="1562446069">
              <w:marLeft w:val="0"/>
              <w:marRight w:val="0"/>
              <w:marTop w:val="0"/>
              <w:marBottom w:val="0"/>
              <w:divBdr>
                <w:top w:val="none" w:sz="0" w:space="0" w:color="auto"/>
                <w:left w:val="none" w:sz="0" w:space="0" w:color="auto"/>
                <w:bottom w:val="none" w:sz="0" w:space="0" w:color="auto"/>
                <w:right w:val="none" w:sz="0" w:space="0" w:color="auto"/>
              </w:divBdr>
            </w:div>
            <w:div w:id="1743603495">
              <w:marLeft w:val="0"/>
              <w:marRight w:val="0"/>
              <w:marTop w:val="0"/>
              <w:marBottom w:val="0"/>
              <w:divBdr>
                <w:top w:val="none" w:sz="0" w:space="0" w:color="auto"/>
                <w:left w:val="none" w:sz="0" w:space="0" w:color="auto"/>
                <w:bottom w:val="none" w:sz="0" w:space="0" w:color="auto"/>
                <w:right w:val="none" w:sz="0" w:space="0" w:color="auto"/>
              </w:divBdr>
            </w:div>
          </w:divsChild>
        </w:div>
        <w:div w:id="211163743">
          <w:marLeft w:val="0"/>
          <w:marRight w:val="0"/>
          <w:marTop w:val="0"/>
          <w:marBottom w:val="0"/>
          <w:divBdr>
            <w:top w:val="none" w:sz="0" w:space="0" w:color="auto"/>
            <w:left w:val="none" w:sz="0" w:space="0" w:color="auto"/>
            <w:bottom w:val="none" w:sz="0" w:space="0" w:color="auto"/>
            <w:right w:val="none" w:sz="0" w:space="0" w:color="auto"/>
          </w:divBdr>
          <w:divsChild>
            <w:div w:id="111747030">
              <w:marLeft w:val="0"/>
              <w:marRight w:val="0"/>
              <w:marTop w:val="0"/>
              <w:marBottom w:val="0"/>
              <w:divBdr>
                <w:top w:val="none" w:sz="0" w:space="0" w:color="auto"/>
                <w:left w:val="none" w:sz="0" w:space="0" w:color="auto"/>
                <w:bottom w:val="none" w:sz="0" w:space="0" w:color="auto"/>
                <w:right w:val="none" w:sz="0" w:space="0" w:color="auto"/>
              </w:divBdr>
            </w:div>
            <w:div w:id="1231890290">
              <w:marLeft w:val="0"/>
              <w:marRight w:val="0"/>
              <w:marTop w:val="0"/>
              <w:marBottom w:val="0"/>
              <w:divBdr>
                <w:top w:val="none" w:sz="0" w:space="0" w:color="auto"/>
                <w:left w:val="none" w:sz="0" w:space="0" w:color="auto"/>
                <w:bottom w:val="none" w:sz="0" w:space="0" w:color="auto"/>
                <w:right w:val="none" w:sz="0" w:space="0" w:color="auto"/>
              </w:divBdr>
            </w:div>
            <w:div w:id="1465007032">
              <w:marLeft w:val="0"/>
              <w:marRight w:val="0"/>
              <w:marTop w:val="0"/>
              <w:marBottom w:val="0"/>
              <w:divBdr>
                <w:top w:val="none" w:sz="0" w:space="0" w:color="auto"/>
                <w:left w:val="none" w:sz="0" w:space="0" w:color="auto"/>
                <w:bottom w:val="none" w:sz="0" w:space="0" w:color="auto"/>
                <w:right w:val="none" w:sz="0" w:space="0" w:color="auto"/>
              </w:divBdr>
            </w:div>
            <w:div w:id="1506045571">
              <w:marLeft w:val="0"/>
              <w:marRight w:val="0"/>
              <w:marTop w:val="0"/>
              <w:marBottom w:val="0"/>
              <w:divBdr>
                <w:top w:val="none" w:sz="0" w:space="0" w:color="auto"/>
                <w:left w:val="none" w:sz="0" w:space="0" w:color="auto"/>
                <w:bottom w:val="none" w:sz="0" w:space="0" w:color="auto"/>
                <w:right w:val="none" w:sz="0" w:space="0" w:color="auto"/>
              </w:divBdr>
            </w:div>
            <w:div w:id="2131318869">
              <w:marLeft w:val="0"/>
              <w:marRight w:val="0"/>
              <w:marTop w:val="0"/>
              <w:marBottom w:val="0"/>
              <w:divBdr>
                <w:top w:val="none" w:sz="0" w:space="0" w:color="auto"/>
                <w:left w:val="none" w:sz="0" w:space="0" w:color="auto"/>
                <w:bottom w:val="none" w:sz="0" w:space="0" w:color="auto"/>
                <w:right w:val="none" w:sz="0" w:space="0" w:color="auto"/>
              </w:divBdr>
            </w:div>
          </w:divsChild>
        </w:div>
        <w:div w:id="241182934">
          <w:marLeft w:val="0"/>
          <w:marRight w:val="0"/>
          <w:marTop w:val="0"/>
          <w:marBottom w:val="0"/>
          <w:divBdr>
            <w:top w:val="none" w:sz="0" w:space="0" w:color="auto"/>
            <w:left w:val="none" w:sz="0" w:space="0" w:color="auto"/>
            <w:bottom w:val="none" w:sz="0" w:space="0" w:color="auto"/>
            <w:right w:val="none" w:sz="0" w:space="0" w:color="auto"/>
          </w:divBdr>
          <w:divsChild>
            <w:div w:id="306057781">
              <w:marLeft w:val="0"/>
              <w:marRight w:val="0"/>
              <w:marTop w:val="0"/>
              <w:marBottom w:val="0"/>
              <w:divBdr>
                <w:top w:val="none" w:sz="0" w:space="0" w:color="auto"/>
                <w:left w:val="none" w:sz="0" w:space="0" w:color="auto"/>
                <w:bottom w:val="none" w:sz="0" w:space="0" w:color="auto"/>
                <w:right w:val="none" w:sz="0" w:space="0" w:color="auto"/>
              </w:divBdr>
            </w:div>
            <w:div w:id="1158618433">
              <w:marLeft w:val="0"/>
              <w:marRight w:val="0"/>
              <w:marTop w:val="0"/>
              <w:marBottom w:val="0"/>
              <w:divBdr>
                <w:top w:val="none" w:sz="0" w:space="0" w:color="auto"/>
                <w:left w:val="none" w:sz="0" w:space="0" w:color="auto"/>
                <w:bottom w:val="none" w:sz="0" w:space="0" w:color="auto"/>
                <w:right w:val="none" w:sz="0" w:space="0" w:color="auto"/>
              </w:divBdr>
            </w:div>
            <w:div w:id="1475365850">
              <w:marLeft w:val="0"/>
              <w:marRight w:val="0"/>
              <w:marTop w:val="0"/>
              <w:marBottom w:val="0"/>
              <w:divBdr>
                <w:top w:val="none" w:sz="0" w:space="0" w:color="auto"/>
                <w:left w:val="none" w:sz="0" w:space="0" w:color="auto"/>
                <w:bottom w:val="none" w:sz="0" w:space="0" w:color="auto"/>
                <w:right w:val="none" w:sz="0" w:space="0" w:color="auto"/>
              </w:divBdr>
            </w:div>
            <w:div w:id="2123913076">
              <w:marLeft w:val="0"/>
              <w:marRight w:val="0"/>
              <w:marTop w:val="0"/>
              <w:marBottom w:val="0"/>
              <w:divBdr>
                <w:top w:val="none" w:sz="0" w:space="0" w:color="auto"/>
                <w:left w:val="none" w:sz="0" w:space="0" w:color="auto"/>
                <w:bottom w:val="none" w:sz="0" w:space="0" w:color="auto"/>
                <w:right w:val="none" w:sz="0" w:space="0" w:color="auto"/>
              </w:divBdr>
            </w:div>
          </w:divsChild>
        </w:div>
        <w:div w:id="277756168">
          <w:marLeft w:val="0"/>
          <w:marRight w:val="0"/>
          <w:marTop w:val="0"/>
          <w:marBottom w:val="0"/>
          <w:divBdr>
            <w:top w:val="none" w:sz="0" w:space="0" w:color="auto"/>
            <w:left w:val="none" w:sz="0" w:space="0" w:color="auto"/>
            <w:bottom w:val="none" w:sz="0" w:space="0" w:color="auto"/>
            <w:right w:val="none" w:sz="0" w:space="0" w:color="auto"/>
          </w:divBdr>
        </w:div>
        <w:div w:id="317268532">
          <w:marLeft w:val="0"/>
          <w:marRight w:val="0"/>
          <w:marTop w:val="0"/>
          <w:marBottom w:val="0"/>
          <w:divBdr>
            <w:top w:val="none" w:sz="0" w:space="0" w:color="auto"/>
            <w:left w:val="none" w:sz="0" w:space="0" w:color="auto"/>
            <w:bottom w:val="none" w:sz="0" w:space="0" w:color="auto"/>
            <w:right w:val="none" w:sz="0" w:space="0" w:color="auto"/>
          </w:divBdr>
        </w:div>
        <w:div w:id="321281146">
          <w:marLeft w:val="0"/>
          <w:marRight w:val="0"/>
          <w:marTop w:val="0"/>
          <w:marBottom w:val="0"/>
          <w:divBdr>
            <w:top w:val="none" w:sz="0" w:space="0" w:color="auto"/>
            <w:left w:val="none" w:sz="0" w:space="0" w:color="auto"/>
            <w:bottom w:val="none" w:sz="0" w:space="0" w:color="auto"/>
            <w:right w:val="none" w:sz="0" w:space="0" w:color="auto"/>
          </w:divBdr>
        </w:div>
        <w:div w:id="335697345">
          <w:marLeft w:val="0"/>
          <w:marRight w:val="0"/>
          <w:marTop w:val="0"/>
          <w:marBottom w:val="0"/>
          <w:divBdr>
            <w:top w:val="none" w:sz="0" w:space="0" w:color="auto"/>
            <w:left w:val="none" w:sz="0" w:space="0" w:color="auto"/>
            <w:bottom w:val="none" w:sz="0" w:space="0" w:color="auto"/>
            <w:right w:val="none" w:sz="0" w:space="0" w:color="auto"/>
          </w:divBdr>
        </w:div>
        <w:div w:id="337001042">
          <w:marLeft w:val="0"/>
          <w:marRight w:val="0"/>
          <w:marTop w:val="0"/>
          <w:marBottom w:val="0"/>
          <w:divBdr>
            <w:top w:val="none" w:sz="0" w:space="0" w:color="auto"/>
            <w:left w:val="none" w:sz="0" w:space="0" w:color="auto"/>
            <w:bottom w:val="none" w:sz="0" w:space="0" w:color="auto"/>
            <w:right w:val="none" w:sz="0" w:space="0" w:color="auto"/>
          </w:divBdr>
        </w:div>
        <w:div w:id="383138862">
          <w:marLeft w:val="0"/>
          <w:marRight w:val="0"/>
          <w:marTop w:val="0"/>
          <w:marBottom w:val="0"/>
          <w:divBdr>
            <w:top w:val="none" w:sz="0" w:space="0" w:color="auto"/>
            <w:left w:val="none" w:sz="0" w:space="0" w:color="auto"/>
            <w:bottom w:val="none" w:sz="0" w:space="0" w:color="auto"/>
            <w:right w:val="none" w:sz="0" w:space="0" w:color="auto"/>
          </w:divBdr>
        </w:div>
        <w:div w:id="386150161">
          <w:marLeft w:val="0"/>
          <w:marRight w:val="0"/>
          <w:marTop w:val="0"/>
          <w:marBottom w:val="0"/>
          <w:divBdr>
            <w:top w:val="none" w:sz="0" w:space="0" w:color="auto"/>
            <w:left w:val="none" w:sz="0" w:space="0" w:color="auto"/>
            <w:bottom w:val="none" w:sz="0" w:space="0" w:color="auto"/>
            <w:right w:val="none" w:sz="0" w:space="0" w:color="auto"/>
          </w:divBdr>
          <w:divsChild>
            <w:div w:id="135688053">
              <w:marLeft w:val="0"/>
              <w:marRight w:val="0"/>
              <w:marTop w:val="0"/>
              <w:marBottom w:val="0"/>
              <w:divBdr>
                <w:top w:val="none" w:sz="0" w:space="0" w:color="auto"/>
                <w:left w:val="none" w:sz="0" w:space="0" w:color="auto"/>
                <w:bottom w:val="none" w:sz="0" w:space="0" w:color="auto"/>
                <w:right w:val="none" w:sz="0" w:space="0" w:color="auto"/>
              </w:divBdr>
            </w:div>
            <w:div w:id="222715182">
              <w:marLeft w:val="0"/>
              <w:marRight w:val="0"/>
              <w:marTop w:val="0"/>
              <w:marBottom w:val="0"/>
              <w:divBdr>
                <w:top w:val="none" w:sz="0" w:space="0" w:color="auto"/>
                <w:left w:val="none" w:sz="0" w:space="0" w:color="auto"/>
                <w:bottom w:val="none" w:sz="0" w:space="0" w:color="auto"/>
                <w:right w:val="none" w:sz="0" w:space="0" w:color="auto"/>
              </w:divBdr>
            </w:div>
            <w:div w:id="1249462054">
              <w:marLeft w:val="0"/>
              <w:marRight w:val="0"/>
              <w:marTop w:val="0"/>
              <w:marBottom w:val="0"/>
              <w:divBdr>
                <w:top w:val="none" w:sz="0" w:space="0" w:color="auto"/>
                <w:left w:val="none" w:sz="0" w:space="0" w:color="auto"/>
                <w:bottom w:val="none" w:sz="0" w:space="0" w:color="auto"/>
                <w:right w:val="none" w:sz="0" w:space="0" w:color="auto"/>
              </w:divBdr>
            </w:div>
            <w:div w:id="2110812637">
              <w:marLeft w:val="0"/>
              <w:marRight w:val="0"/>
              <w:marTop w:val="0"/>
              <w:marBottom w:val="0"/>
              <w:divBdr>
                <w:top w:val="none" w:sz="0" w:space="0" w:color="auto"/>
                <w:left w:val="none" w:sz="0" w:space="0" w:color="auto"/>
                <w:bottom w:val="none" w:sz="0" w:space="0" w:color="auto"/>
                <w:right w:val="none" w:sz="0" w:space="0" w:color="auto"/>
              </w:divBdr>
            </w:div>
          </w:divsChild>
        </w:div>
        <w:div w:id="402139301">
          <w:marLeft w:val="0"/>
          <w:marRight w:val="0"/>
          <w:marTop w:val="0"/>
          <w:marBottom w:val="0"/>
          <w:divBdr>
            <w:top w:val="none" w:sz="0" w:space="0" w:color="auto"/>
            <w:left w:val="none" w:sz="0" w:space="0" w:color="auto"/>
            <w:bottom w:val="none" w:sz="0" w:space="0" w:color="auto"/>
            <w:right w:val="none" w:sz="0" w:space="0" w:color="auto"/>
          </w:divBdr>
          <w:divsChild>
            <w:div w:id="234897955">
              <w:marLeft w:val="0"/>
              <w:marRight w:val="0"/>
              <w:marTop w:val="0"/>
              <w:marBottom w:val="0"/>
              <w:divBdr>
                <w:top w:val="none" w:sz="0" w:space="0" w:color="auto"/>
                <w:left w:val="none" w:sz="0" w:space="0" w:color="auto"/>
                <w:bottom w:val="none" w:sz="0" w:space="0" w:color="auto"/>
                <w:right w:val="none" w:sz="0" w:space="0" w:color="auto"/>
              </w:divBdr>
            </w:div>
            <w:div w:id="474680531">
              <w:marLeft w:val="0"/>
              <w:marRight w:val="0"/>
              <w:marTop w:val="0"/>
              <w:marBottom w:val="0"/>
              <w:divBdr>
                <w:top w:val="none" w:sz="0" w:space="0" w:color="auto"/>
                <w:left w:val="none" w:sz="0" w:space="0" w:color="auto"/>
                <w:bottom w:val="none" w:sz="0" w:space="0" w:color="auto"/>
                <w:right w:val="none" w:sz="0" w:space="0" w:color="auto"/>
              </w:divBdr>
            </w:div>
            <w:div w:id="1284658138">
              <w:marLeft w:val="0"/>
              <w:marRight w:val="0"/>
              <w:marTop w:val="0"/>
              <w:marBottom w:val="0"/>
              <w:divBdr>
                <w:top w:val="none" w:sz="0" w:space="0" w:color="auto"/>
                <w:left w:val="none" w:sz="0" w:space="0" w:color="auto"/>
                <w:bottom w:val="none" w:sz="0" w:space="0" w:color="auto"/>
                <w:right w:val="none" w:sz="0" w:space="0" w:color="auto"/>
              </w:divBdr>
            </w:div>
            <w:div w:id="2017034136">
              <w:marLeft w:val="0"/>
              <w:marRight w:val="0"/>
              <w:marTop w:val="0"/>
              <w:marBottom w:val="0"/>
              <w:divBdr>
                <w:top w:val="none" w:sz="0" w:space="0" w:color="auto"/>
                <w:left w:val="none" w:sz="0" w:space="0" w:color="auto"/>
                <w:bottom w:val="none" w:sz="0" w:space="0" w:color="auto"/>
                <w:right w:val="none" w:sz="0" w:space="0" w:color="auto"/>
              </w:divBdr>
            </w:div>
          </w:divsChild>
        </w:div>
        <w:div w:id="431122123">
          <w:marLeft w:val="0"/>
          <w:marRight w:val="0"/>
          <w:marTop w:val="0"/>
          <w:marBottom w:val="0"/>
          <w:divBdr>
            <w:top w:val="none" w:sz="0" w:space="0" w:color="auto"/>
            <w:left w:val="none" w:sz="0" w:space="0" w:color="auto"/>
            <w:bottom w:val="none" w:sz="0" w:space="0" w:color="auto"/>
            <w:right w:val="none" w:sz="0" w:space="0" w:color="auto"/>
          </w:divBdr>
        </w:div>
        <w:div w:id="448092030">
          <w:marLeft w:val="0"/>
          <w:marRight w:val="0"/>
          <w:marTop w:val="0"/>
          <w:marBottom w:val="0"/>
          <w:divBdr>
            <w:top w:val="none" w:sz="0" w:space="0" w:color="auto"/>
            <w:left w:val="none" w:sz="0" w:space="0" w:color="auto"/>
            <w:bottom w:val="none" w:sz="0" w:space="0" w:color="auto"/>
            <w:right w:val="none" w:sz="0" w:space="0" w:color="auto"/>
          </w:divBdr>
          <w:divsChild>
            <w:div w:id="921569960">
              <w:marLeft w:val="0"/>
              <w:marRight w:val="0"/>
              <w:marTop w:val="0"/>
              <w:marBottom w:val="0"/>
              <w:divBdr>
                <w:top w:val="none" w:sz="0" w:space="0" w:color="auto"/>
                <w:left w:val="none" w:sz="0" w:space="0" w:color="auto"/>
                <w:bottom w:val="none" w:sz="0" w:space="0" w:color="auto"/>
                <w:right w:val="none" w:sz="0" w:space="0" w:color="auto"/>
              </w:divBdr>
            </w:div>
            <w:div w:id="1046293061">
              <w:marLeft w:val="0"/>
              <w:marRight w:val="0"/>
              <w:marTop w:val="0"/>
              <w:marBottom w:val="0"/>
              <w:divBdr>
                <w:top w:val="none" w:sz="0" w:space="0" w:color="auto"/>
                <w:left w:val="none" w:sz="0" w:space="0" w:color="auto"/>
                <w:bottom w:val="none" w:sz="0" w:space="0" w:color="auto"/>
                <w:right w:val="none" w:sz="0" w:space="0" w:color="auto"/>
              </w:divBdr>
              <w:divsChild>
                <w:div w:id="1214195039">
                  <w:marLeft w:val="-780"/>
                  <w:marRight w:val="0"/>
                  <w:marTop w:val="0"/>
                  <w:marBottom w:val="0"/>
                  <w:divBdr>
                    <w:top w:val="single" w:sz="6" w:space="0" w:color="8AA2BF"/>
                    <w:left w:val="single" w:sz="6" w:space="0" w:color="8AA2BF"/>
                    <w:bottom w:val="single" w:sz="6" w:space="0" w:color="8AA2BF"/>
                    <w:right w:val="single" w:sz="6" w:space="0" w:color="8AA2BF"/>
                  </w:divBdr>
                </w:div>
              </w:divsChild>
            </w:div>
            <w:div w:id="1081293927">
              <w:marLeft w:val="0"/>
              <w:marRight w:val="0"/>
              <w:marTop w:val="0"/>
              <w:marBottom w:val="0"/>
              <w:divBdr>
                <w:top w:val="none" w:sz="0" w:space="0" w:color="auto"/>
                <w:left w:val="none" w:sz="0" w:space="0" w:color="auto"/>
                <w:bottom w:val="none" w:sz="0" w:space="0" w:color="auto"/>
                <w:right w:val="none" w:sz="0" w:space="0" w:color="auto"/>
              </w:divBdr>
            </w:div>
            <w:div w:id="1302269341">
              <w:marLeft w:val="0"/>
              <w:marRight w:val="0"/>
              <w:marTop w:val="0"/>
              <w:marBottom w:val="0"/>
              <w:divBdr>
                <w:top w:val="none" w:sz="0" w:space="0" w:color="auto"/>
                <w:left w:val="none" w:sz="0" w:space="0" w:color="auto"/>
                <w:bottom w:val="none" w:sz="0" w:space="0" w:color="auto"/>
                <w:right w:val="none" w:sz="0" w:space="0" w:color="auto"/>
              </w:divBdr>
            </w:div>
            <w:div w:id="1322393260">
              <w:marLeft w:val="0"/>
              <w:marRight w:val="0"/>
              <w:marTop w:val="0"/>
              <w:marBottom w:val="0"/>
              <w:divBdr>
                <w:top w:val="none" w:sz="0" w:space="0" w:color="auto"/>
                <w:left w:val="none" w:sz="0" w:space="0" w:color="auto"/>
                <w:bottom w:val="none" w:sz="0" w:space="0" w:color="auto"/>
                <w:right w:val="none" w:sz="0" w:space="0" w:color="auto"/>
              </w:divBdr>
            </w:div>
            <w:div w:id="1379938978">
              <w:marLeft w:val="0"/>
              <w:marRight w:val="0"/>
              <w:marTop w:val="0"/>
              <w:marBottom w:val="0"/>
              <w:divBdr>
                <w:top w:val="none" w:sz="0" w:space="0" w:color="auto"/>
                <w:left w:val="none" w:sz="0" w:space="0" w:color="auto"/>
                <w:bottom w:val="none" w:sz="0" w:space="0" w:color="auto"/>
                <w:right w:val="none" w:sz="0" w:space="0" w:color="auto"/>
              </w:divBdr>
            </w:div>
            <w:div w:id="1470589673">
              <w:marLeft w:val="0"/>
              <w:marRight w:val="0"/>
              <w:marTop w:val="0"/>
              <w:marBottom w:val="0"/>
              <w:divBdr>
                <w:top w:val="none" w:sz="0" w:space="0" w:color="auto"/>
                <w:left w:val="none" w:sz="0" w:space="0" w:color="auto"/>
                <w:bottom w:val="none" w:sz="0" w:space="0" w:color="auto"/>
                <w:right w:val="none" w:sz="0" w:space="0" w:color="auto"/>
              </w:divBdr>
            </w:div>
            <w:div w:id="1601525224">
              <w:marLeft w:val="0"/>
              <w:marRight w:val="0"/>
              <w:marTop w:val="0"/>
              <w:marBottom w:val="0"/>
              <w:divBdr>
                <w:top w:val="none" w:sz="0" w:space="0" w:color="auto"/>
                <w:left w:val="none" w:sz="0" w:space="0" w:color="auto"/>
                <w:bottom w:val="none" w:sz="0" w:space="0" w:color="auto"/>
                <w:right w:val="none" w:sz="0" w:space="0" w:color="auto"/>
              </w:divBdr>
            </w:div>
          </w:divsChild>
        </w:div>
        <w:div w:id="461772469">
          <w:marLeft w:val="0"/>
          <w:marRight w:val="0"/>
          <w:marTop w:val="0"/>
          <w:marBottom w:val="0"/>
          <w:divBdr>
            <w:top w:val="none" w:sz="0" w:space="0" w:color="auto"/>
            <w:left w:val="none" w:sz="0" w:space="0" w:color="auto"/>
            <w:bottom w:val="none" w:sz="0" w:space="0" w:color="auto"/>
            <w:right w:val="none" w:sz="0" w:space="0" w:color="auto"/>
          </w:divBdr>
          <w:divsChild>
            <w:div w:id="229581645">
              <w:marLeft w:val="0"/>
              <w:marRight w:val="0"/>
              <w:marTop w:val="0"/>
              <w:marBottom w:val="0"/>
              <w:divBdr>
                <w:top w:val="none" w:sz="0" w:space="0" w:color="auto"/>
                <w:left w:val="none" w:sz="0" w:space="0" w:color="auto"/>
                <w:bottom w:val="none" w:sz="0" w:space="0" w:color="auto"/>
                <w:right w:val="none" w:sz="0" w:space="0" w:color="auto"/>
              </w:divBdr>
            </w:div>
            <w:div w:id="665792276">
              <w:marLeft w:val="0"/>
              <w:marRight w:val="0"/>
              <w:marTop w:val="0"/>
              <w:marBottom w:val="0"/>
              <w:divBdr>
                <w:top w:val="none" w:sz="0" w:space="0" w:color="auto"/>
                <w:left w:val="none" w:sz="0" w:space="0" w:color="auto"/>
                <w:bottom w:val="none" w:sz="0" w:space="0" w:color="auto"/>
                <w:right w:val="none" w:sz="0" w:space="0" w:color="auto"/>
              </w:divBdr>
            </w:div>
            <w:div w:id="705371502">
              <w:marLeft w:val="0"/>
              <w:marRight w:val="0"/>
              <w:marTop w:val="0"/>
              <w:marBottom w:val="0"/>
              <w:divBdr>
                <w:top w:val="none" w:sz="0" w:space="0" w:color="auto"/>
                <w:left w:val="none" w:sz="0" w:space="0" w:color="auto"/>
                <w:bottom w:val="none" w:sz="0" w:space="0" w:color="auto"/>
                <w:right w:val="none" w:sz="0" w:space="0" w:color="auto"/>
              </w:divBdr>
            </w:div>
            <w:div w:id="853036452">
              <w:marLeft w:val="0"/>
              <w:marRight w:val="0"/>
              <w:marTop w:val="0"/>
              <w:marBottom w:val="0"/>
              <w:divBdr>
                <w:top w:val="none" w:sz="0" w:space="0" w:color="auto"/>
                <w:left w:val="none" w:sz="0" w:space="0" w:color="auto"/>
                <w:bottom w:val="none" w:sz="0" w:space="0" w:color="auto"/>
                <w:right w:val="none" w:sz="0" w:space="0" w:color="auto"/>
              </w:divBdr>
            </w:div>
            <w:div w:id="934022453">
              <w:marLeft w:val="0"/>
              <w:marRight w:val="0"/>
              <w:marTop w:val="0"/>
              <w:marBottom w:val="0"/>
              <w:divBdr>
                <w:top w:val="none" w:sz="0" w:space="0" w:color="auto"/>
                <w:left w:val="none" w:sz="0" w:space="0" w:color="auto"/>
                <w:bottom w:val="none" w:sz="0" w:space="0" w:color="auto"/>
                <w:right w:val="none" w:sz="0" w:space="0" w:color="auto"/>
              </w:divBdr>
            </w:div>
            <w:div w:id="1629238241">
              <w:marLeft w:val="0"/>
              <w:marRight w:val="0"/>
              <w:marTop w:val="0"/>
              <w:marBottom w:val="0"/>
              <w:divBdr>
                <w:top w:val="none" w:sz="0" w:space="0" w:color="auto"/>
                <w:left w:val="none" w:sz="0" w:space="0" w:color="auto"/>
                <w:bottom w:val="none" w:sz="0" w:space="0" w:color="auto"/>
                <w:right w:val="none" w:sz="0" w:space="0" w:color="auto"/>
              </w:divBdr>
            </w:div>
            <w:div w:id="2082480798">
              <w:marLeft w:val="0"/>
              <w:marRight w:val="0"/>
              <w:marTop w:val="0"/>
              <w:marBottom w:val="0"/>
              <w:divBdr>
                <w:top w:val="none" w:sz="0" w:space="0" w:color="auto"/>
                <w:left w:val="none" w:sz="0" w:space="0" w:color="auto"/>
                <w:bottom w:val="none" w:sz="0" w:space="0" w:color="auto"/>
                <w:right w:val="none" w:sz="0" w:space="0" w:color="auto"/>
              </w:divBdr>
            </w:div>
          </w:divsChild>
        </w:div>
        <w:div w:id="462963029">
          <w:marLeft w:val="0"/>
          <w:marRight w:val="0"/>
          <w:marTop w:val="0"/>
          <w:marBottom w:val="0"/>
          <w:divBdr>
            <w:top w:val="none" w:sz="0" w:space="0" w:color="auto"/>
            <w:left w:val="none" w:sz="0" w:space="0" w:color="auto"/>
            <w:bottom w:val="none" w:sz="0" w:space="0" w:color="auto"/>
            <w:right w:val="none" w:sz="0" w:space="0" w:color="auto"/>
          </w:divBdr>
          <w:divsChild>
            <w:div w:id="1427925877">
              <w:marLeft w:val="0"/>
              <w:marRight w:val="0"/>
              <w:marTop w:val="0"/>
              <w:marBottom w:val="0"/>
              <w:divBdr>
                <w:top w:val="none" w:sz="0" w:space="0" w:color="auto"/>
                <w:left w:val="none" w:sz="0" w:space="0" w:color="auto"/>
                <w:bottom w:val="none" w:sz="0" w:space="0" w:color="auto"/>
                <w:right w:val="none" w:sz="0" w:space="0" w:color="auto"/>
              </w:divBdr>
            </w:div>
            <w:div w:id="1770467969">
              <w:marLeft w:val="0"/>
              <w:marRight w:val="0"/>
              <w:marTop w:val="0"/>
              <w:marBottom w:val="0"/>
              <w:divBdr>
                <w:top w:val="none" w:sz="0" w:space="0" w:color="auto"/>
                <w:left w:val="none" w:sz="0" w:space="0" w:color="auto"/>
                <w:bottom w:val="none" w:sz="0" w:space="0" w:color="auto"/>
                <w:right w:val="none" w:sz="0" w:space="0" w:color="auto"/>
              </w:divBdr>
            </w:div>
            <w:div w:id="1814717440">
              <w:marLeft w:val="0"/>
              <w:marRight w:val="0"/>
              <w:marTop w:val="0"/>
              <w:marBottom w:val="0"/>
              <w:divBdr>
                <w:top w:val="none" w:sz="0" w:space="0" w:color="auto"/>
                <w:left w:val="none" w:sz="0" w:space="0" w:color="auto"/>
                <w:bottom w:val="none" w:sz="0" w:space="0" w:color="auto"/>
                <w:right w:val="none" w:sz="0" w:space="0" w:color="auto"/>
              </w:divBdr>
            </w:div>
            <w:div w:id="2133285949">
              <w:marLeft w:val="0"/>
              <w:marRight w:val="0"/>
              <w:marTop w:val="0"/>
              <w:marBottom w:val="0"/>
              <w:divBdr>
                <w:top w:val="none" w:sz="0" w:space="0" w:color="auto"/>
                <w:left w:val="none" w:sz="0" w:space="0" w:color="auto"/>
                <w:bottom w:val="none" w:sz="0" w:space="0" w:color="auto"/>
                <w:right w:val="none" w:sz="0" w:space="0" w:color="auto"/>
              </w:divBdr>
            </w:div>
          </w:divsChild>
        </w:div>
        <w:div w:id="475873216">
          <w:marLeft w:val="0"/>
          <w:marRight w:val="0"/>
          <w:marTop w:val="0"/>
          <w:marBottom w:val="0"/>
          <w:divBdr>
            <w:top w:val="none" w:sz="0" w:space="0" w:color="auto"/>
            <w:left w:val="none" w:sz="0" w:space="0" w:color="auto"/>
            <w:bottom w:val="none" w:sz="0" w:space="0" w:color="auto"/>
            <w:right w:val="none" w:sz="0" w:space="0" w:color="auto"/>
          </w:divBdr>
          <w:divsChild>
            <w:div w:id="629284887">
              <w:marLeft w:val="0"/>
              <w:marRight w:val="0"/>
              <w:marTop w:val="0"/>
              <w:marBottom w:val="0"/>
              <w:divBdr>
                <w:top w:val="none" w:sz="0" w:space="0" w:color="auto"/>
                <w:left w:val="none" w:sz="0" w:space="0" w:color="auto"/>
                <w:bottom w:val="none" w:sz="0" w:space="0" w:color="auto"/>
                <w:right w:val="none" w:sz="0" w:space="0" w:color="auto"/>
              </w:divBdr>
            </w:div>
            <w:div w:id="1978484304">
              <w:marLeft w:val="0"/>
              <w:marRight w:val="0"/>
              <w:marTop w:val="0"/>
              <w:marBottom w:val="0"/>
              <w:divBdr>
                <w:top w:val="none" w:sz="0" w:space="0" w:color="auto"/>
                <w:left w:val="none" w:sz="0" w:space="0" w:color="auto"/>
                <w:bottom w:val="none" w:sz="0" w:space="0" w:color="auto"/>
                <w:right w:val="none" w:sz="0" w:space="0" w:color="auto"/>
              </w:divBdr>
            </w:div>
            <w:div w:id="2040624823">
              <w:marLeft w:val="0"/>
              <w:marRight w:val="0"/>
              <w:marTop w:val="0"/>
              <w:marBottom w:val="0"/>
              <w:divBdr>
                <w:top w:val="none" w:sz="0" w:space="0" w:color="auto"/>
                <w:left w:val="none" w:sz="0" w:space="0" w:color="auto"/>
                <w:bottom w:val="none" w:sz="0" w:space="0" w:color="auto"/>
                <w:right w:val="none" w:sz="0" w:space="0" w:color="auto"/>
              </w:divBdr>
            </w:div>
          </w:divsChild>
        </w:div>
        <w:div w:id="479004057">
          <w:marLeft w:val="0"/>
          <w:marRight w:val="0"/>
          <w:marTop w:val="0"/>
          <w:marBottom w:val="0"/>
          <w:divBdr>
            <w:top w:val="none" w:sz="0" w:space="0" w:color="auto"/>
            <w:left w:val="none" w:sz="0" w:space="0" w:color="auto"/>
            <w:bottom w:val="none" w:sz="0" w:space="0" w:color="auto"/>
            <w:right w:val="none" w:sz="0" w:space="0" w:color="auto"/>
          </w:divBdr>
          <w:divsChild>
            <w:div w:id="602765268">
              <w:marLeft w:val="0"/>
              <w:marRight w:val="0"/>
              <w:marTop w:val="0"/>
              <w:marBottom w:val="0"/>
              <w:divBdr>
                <w:top w:val="none" w:sz="0" w:space="0" w:color="auto"/>
                <w:left w:val="none" w:sz="0" w:space="0" w:color="auto"/>
                <w:bottom w:val="none" w:sz="0" w:space="0" w:color="auto"/>
                <w:right w:val="none" w:sz="0" w:space="0" w:color="auto"/>
              </w:divBdr>
            </w:div>
            <w:div w:id="1375423891">
              <w:marLeft w:val="0"/>
              <w:marRight w:val="0"/>
              <w:marTop w:val="0"/>
              <w:marBottom w:val="0"/>
              <w:divBdr>
                <w:top w:val="none" w:sz="0" w:space="0" w:color="auto"/>
                <w:left w:val="none" w:sz="0" w:space="0" w:color="auto"/>
                <w:bottom w:val="none" w:sz="0" w:space="0" w:color="auto"/>
                <w:right w:val="none" w:sz="0" w:space="0" w:color="auto"/>
              </w:divBdr>
            </w:div>
          </w:divsChild>
        </w:div>
        <w:div w:id="480317639">
          <w:marLeft w:val="0"/>
          <w:marRight w:val="0"/>
          <w:marTop w:val="0"/>
          <w:marBottom w:val="0"/>
          <w:divBdr>
            <w:top w:val="none" w:sz="0" w:space="0" w:color="auto"/>
            <w:left w:val="none" w:sz="0" w:space="0" w:color="auto"/>
            <w:bottom w:val="none" w:sz="0" w:space="0" w:color="auto"/>
            <w:right w:val="none" w:sz="0" w:space="0" w:color="auto"/>
          </w:divBdr>
          <w:divsChild>
            <w:div w:id="896088155">
              <w:marLeft w:val="-75"/>
              <w:marRight w:val="0"/>
              <w:marTop w:val="30"/>
              <w:marBottom w:val="30"/>
              <w:divBdr>
                <w:top w:val="none" w:sz="0" w:space="0" w:color="auto"/>
                <w:left w:val="none" w:sz="0" w:space="0" w:color="auto"/>
                <w:bottom w:val="none" w:sz="0" w:space="0" w:color="auto"/>
                <w:right w:val="none" w:sz="0" w:space="0" w:color="auto"/>
              </w:divBdr>
              <w:divsChild>
                <w:div w:id="43650329">
                  <w:marLeft w:val="0"/>
                  <w:marRight w:val="0"/>
                  <w:marTop w:val="0"/>
                  <w:marBottom w:val="0"/>
                  <w:divBdr>
                    <w:top w:val="none" w:sz="0" w:space="0" w:color="auto"/>
                    <w:left w:val="none" w:sz="0" w:space="0" w:color="auto"/>
                    <w:bottom w:val="none" w:sz="0" w:space="0" w:color="auto"/>
                    <w:right w:val="none" w:sz="0" w:space="0" w:color="auto"/>
                  </w:divBdr>
                  <w:divsChild>
                    <w:div w:id="1566916516">
                      <w:marLeft w:val="0"/>
                      <w:marRight w:val="0"/>
                      <w:marTop w:val="0"/>
                      <w:marBottom w:val="0"/>
                      <w:divBdr>
                        <w:top w:val="none" w:sz="0" w:space="0" w:color="auto"/>
                        <w:left w:val="none" w:sz="0" w:space="0" w:color="auto"/>
                        <w:bottom w:val="none" w:sz="0" w:space="0" w:color="auto"/>
                        <w:right w:val="none" w:sz="0" w:space="0" w:color="auto"/>
                      </w:divBdr>
                    </w:div>
                  </w:divsChild>
                </w:div>
                <w:div w:id="66194774">
                  <w:marLeft w:val="0"/>
                  <w:marRight w:val="0"/>
                  <w:marTop w:val="0"/>
                  <w:marBottom w:val="0"/>
                  <w:divBdr>
                    <w:top w:val="none" w:sz="0" w:space="0" w:color="auto"/>
                    <w:left w:val="none" w:sz="0" w:space="0" w:color="auto"/>
                    <w:bottom w:val="none" w:sz="0" w:space="0" w:color="auto"/>
                    <w:right w:val="none" w:sz="0" w:space="0" w:color="auto"/>
                  </w:divBdr>
                  <w:divsChild>
                    <w:div w:id="816337956">
                      <w:marLeft w:val="0"/>
                      <w:marRight w:val="0"/>
                      <w:marTop w:val="0"/>
                      <w:marBottom w:val="0"/>
                      <w:divBdr>
                        <w:top w:val="none" w:sz="0" w:space="0" w:color="auto"/>
                        <w:left w:val="none" w:sz="0" w:space="0" w:color="auto"/>
                        <w:bottom w:val="none" w:sz="0" w:space="0" w:color="auto"/>
                        <w:right w:val="none" w:sz="0" w:space="0" w:color="auto"/>
                      </w:divBdr>
                    </w:div>
                  </w:divsChild>
                </w:div>
                <w:div w:id="398601926">
                  <w:marLeft w:val="0"/>
                  <w:marRight w:val="0"/>
                  <w:marTop w:val="0"/>
                  <w:marBottom w:val="0"/>
                  <w:divBdr>
                    <w:top w:val="none" w:sz="0" w:space="0" w:color="auto"/>
                    <w:left w:val="none" w:sz="0" w:space="0" w:color="auto"/>
                    <w:bottom w:val="none" w:sz="0" w:space="0" w:color="auto"/>
                    <w:right w:val="none" w:sz="0" w:space="0" w:color="auto"/>
                  </w:divBdr>
                  <w:divsChild>
                    <w:div w:id="887229832">
                      <w:marLeft w:val="0"/>
                      <w:marRight w:val="0"/>
                      <w:marTop w:val="0"/>
                      <w:marBottom w:val="0"/>
                      <w:divBdr>
                        <w:top w:val="none" w:sz="0" w:space="0" w:color="auto"/>
                        <w:left w:val="none" w:sz="0" w:space="0" w:color="auto"/>
                        <w:bottom w:val="none" w:sz="0" w:space="0" w:color="auto"/>
                        <w:right w:val="none" w:sz="0" w:space="0" w:color="auto"/>
                      </w:divBdr>
                    </w:div>
                  </w:divsChild>
                </w:div>
                <w:div w:id="399669045">
                  <w:marLeft w:val="0"/>
                  <w:marRight w:val="0"/>
                  <w:marTop w:val="0"/>
                  <w:marBottom w:val="0"/>
                  <w:divBdr>
                    <w:top w:val="none" w:sz="0" w:space="0" w:color="auto"/>
                    <w:left w:val="none" w:sz="0" w:space="0" w:color="auto"/>
                    <w:bottom w:val="none" w:sz="0" w:space="0" w:color="auto"/>
                    <w:right w:val="none" w:sz="0" w:space="0" w:color="auto"/>
                  </w:divBdr>
                  <w:divsChild>
                    <w:div w:id="1672290637">
                      <w:marLeft w:val="0"/>
                      <w:marRight w:val="0"/>
                      <w:marTop w:val="0"/>
                      <w:marBottom w:val="0"/>
                      <w:divBdr>
                        <w:top w:val="none" w:sz="0" w:space="0" w:color="auto"/>
                        <w:left w:val="none" w:sz="0" w:space="0" w:color="auto"/>
                        <w:bottom w:val="none" w:sz="0" w:space="0" w:color="auto"/>
                        <w:right w:val="none" w:sz="0" w:space="0" w:color="auto"/>
                      </w:divBdr>
                    </w:div>
                  </w:divsChild>
                </w:div>
                <w:div w:id="463891792">
                  <w:marLeft w:val="0"/>
                  <w:marRight w:val="0"/>
                  <w:marTop w:val="0"/>
                  <w:marBottom w:val="0"/>
                  <w:divBdr>
                    <w:top w:val="none" w:sz="0" w:space="0" w:color="auto"/>
                    <w:left w:val="none" w:sz="0" w:space="0" w:color="auto"/>
                    <w:bottom w:val="none" w:sz="0" w:space="0" w:color="auto"/>
                    <w:right w:val="none" w:sz="0" w:space="0" w:color="auto"/>
                  </w:divBdr>
                  <w:divsChild>
                    <w:div w:id="609820268">
                      <w:marLeft w:val="0"/>
                      <w:marRight w:val="0"/>
                      <w:marTop w:val="0"/>
                      <w:marBottom w:val="0"/>
                      <w:divBdr>
                        <w:top w:val="none" w:sz="0" w:space="0" w:color="auto"/>
                        <w:left w:val="none" w:sz="0" w:space="0" w:color="auto"/>
                        <w:bottom w:val="none" w:sz="0" w:space="0" w:color="auto"/>
                        <w:right w:val="none" w:sz="0" w:space="0" w:color="auto"/>
                      </w:divBdr>
                    </w:div>
                  </w:divsChild>
                </w:div>
                <w:div w:id="515386101">
                  <w:marLeft w:val="0"/>
                  <w:marRight w:val="0"/>
                  <w:marTop w:val="0"/>
                  <w:marBottom w:val="0"/>
                  <w:divBdr>
                    <w:top w:val="none" w:sz="0" w:space="0" w:color="auto"/>
                    <w:left w:val="none" w:sz="0" w:space="0" w:color="auto"/>
                    <w:bottom w:val="none" w:sz="0" w:space="0" w:color="auto"/>
                    <w:right w:val="none" w:sz="0" w:space="0" w:color="auto"/>
                  </w:divBdr>
                  <w:divsChild>
                    <w:div w:id="579172481">
                      <w:marLeft w:val="0"/>
                      <w:marRight w:val="0"/>
                      <w:marTop w:val="0"/>
                      <w:marBottom w:val="0"/>
                      <w:divBdr>
                        <w:top w:val="none" w:sz="0" w:space="0" w:color="auto"/>
                        <w:left w:val="none" w:sz="0" w:space="0" w:color="auto"/>
                        <w:bottom w:val="none" w:sz="0" w:space="0" w:color="auto"/>
                        <w:right w:val="none" w:sz="0" w:space="0" w:color="auto"/>
                      </w:divBdr>
                    </w:div>
                  </w:divsChild>
                </w:div>
                <w:div w:id="543641806">
                  <w:marLeft w:val="0"/>
                  <w:marRight w:val="0"/>
                  <w:marTop w:val="0"/>
                  <w:marBottom w:val="0"/>
                  <w:divBdr>
                    <w:top w:val="none" w:sz="0" w:space="0" w:color="auto"/>
                    <w:left w:val="none" w:sz="0" w:space="0" w:color="auto"/>
                    <w:bottom w:val="none" w:sz="0" w:space="0" w:color="auto"/>
                    <w:right w:val="none" w:sz="0" w:space="0" w:color="auto"/>
                  </w:divBdr>
                  <w:divsChild>
                    <w:div w:id="1409956842">
                      <w:marLeft w:val="0"/>
                      <w:marRight w:val="0"/>
                      <w:marTop w:val="0"/>
                      <w:marBottom w:val="0"/>
                      <w:divBdr>
                        <w:top w:val="none" w:sz="0" w:space="0" w:color="auto"/>
                        <w:left w:val="none" w:sz="0" w:space="0" w:color="auto"/>
                        <w:bottom w:val="none" w:sz="0" w:space="0" w:color="auto"/>
                        <w:right w:val="none" w:sz="0" w:space="0" w:color="auto"/>
                      </w:divBdr>
                    </w:div>
                  </w:divsChild>
                </w:div>
                <w:div w:id="548611626">
                  <w:marLeft w:val="0"/>
                  <w:marRight w:val="0"/>
                  <w:marTop w:val="0"/>
                  <w:marBottom w:val="0"/>
                  <w:divBdr>
                    <w:top w:val="none" w:sz="0" w:space="0" w:color="auto"/>
                    <w:left w:val="none" w:sz="0" w:space="0" w:color="auto"/>
                    <w:bottom w:val="none" w:sz="0" w:space="0" w:color="auto"/>
                    <w:right w:val="none" w:sz="0" w:space="0" w:color="auto"/>
                  </w:divBdr>
                  <w:divsChild>
                    <w:div w:id="244996597">
                      <w:marLeft w:val="0"/>
                      <w:marRight w:val="0"/>
                      <w:marTop w:val="0"/>
                      <w:marBottom w:val="0"/>
                      <w:divBdr>
                        <w:top w:val="none" w:sz="0" w:space="0" w:color="auto"/>
                        <w:left w:val="none" w:sz="0" w:space="0" w:color="auto"/>
                        <w:bottom w:val="none" w:sz="0" w:space="0" w:color="auto"/>
                        <w:right w:val="none" w:sz="0" w:space="0" w:color="auto"/>
                      </w:divBdr>
                    </w:div>
                  </w:divsChild>
                </w:div>
                <w:div w:id="556210998">
                  <w:marLeft w:val="0"/>
                  <w:marRight w:val="0"/>
                  <w:marTop w:val="0"/>
                  <w:marBottom w:val="0"/>
                  <w:divBdr>
                    <w:top w:val="none" w:sz="0" w:space="0" w:color="auto"/>
                    <w:left w:val="none" w:sz="0" w:space="0" w:color="auto"/>
                    <w:bottom w:val="none" w:sz="0" w:space="0" w:color="auto"/>
                    <w:right w:val="none" w:sz="0" w:space="0" w:color="auto"/>
                  </w:divBdr>
                  <w:divsChild>
                    <w:div w:id="357047766">
                      <w:marLeft w:val="0"/>
                      <w:marRight w:val="0"/>
                      <w:marTop w:val="0"/>
                      <w:marBottom w:val="0"/>
                      <w:divBdr>
                        <w:top w:val="none" w:sz="0" w:space="0" w:color="auto"/>
                        <w:left w:val="none" w:sz="0" w:space="0" w:color="auto"/>
                        <w:bottom w:val="none" w:sz="0" w:space="0" w:color="auto"/>
                        <w:right w:val="none" w:sz="0" w:space="0" w:color="auto"/>
                      </w:divBdr>
                    </w:div>
                  </w:divsChild>
                </w:div>
                <w:div w:id="588386306">
                  <w:marLeft w:val="0"/>
                  <w:marRight w:val="0"/>
                  <w:marTop w:val="0"/>
                  <w:marBottom w:val="0"/>
                  <w:divBdr>
                    <w:top w:val="none" w:sz="0" w:space="0" w:color="auto"/>
                    <w:left w:val="none" w:sz="0" w:space="0" w:color="auto"/>
                    <w:bottom w:val="none" w:sz="0" w:space="0" w:color="auto"/>
                    <w:right w:val="none" w:sz="0" w:space="0" w:color="auto"/>
                  </w:divBdr>
                  <w:divsChild>
                    <w:div w:id="1285502350">
                      <w:marLeft w:val="0"/>
                      <w:marRight w:val="0"/>
                      <w:marTop w:val="0"/>
                      <w:marBottom w:val="0"/>
                      <w:divBdr>
                        <w:top w:val="none" w:sz="0" w:space="0" w:color="auto"/>
                        <w:left w:val="none" w:sz="0" w:space="0" w:color="auto"/>
                        <w:bottom w:val="none" w:sz="0" w:space="0" w:color="auto"/>
                        <w:right w:val="none" w:sz="0" w:space="0" w:color="auto"/>
                      </w:divBdr>
                    </w:div>
                  </w:divsChild>
                </w:div>
                <w:div w:id="602104149">
                  <w:marLeft w:val="0"/>
                  <w:marRight w:val="0"/>
                  <w:marTop w:val="0"/>
                  <w:marBottom w:val="0"/>
                  <w:divBdr>
                    <w:top w:val="none" w:sz="0" w:space="0" w:color="auto"/>
                    <w:left w:val="none" w:sz="0" w:space="0" w:color="auto"/>
                    <w:bottom w:val="none" w:sz="0" w:space="0" w:color="auto"/>
                    <w:right w:val="none" w:sz="0" w:space="0" w:color="auto"/>
                  </w:divBdr>
                  <w:divsChild>
                    <w:div w:id="844322072">
                      <w:marLeft w:val="0"/>
                      <w:marRight w:val="0"/>
                      <w:marTop w:val="0"/>
                      <w:marBottom w:val="0"/>
                      <w:divBdr>
                        <w:top w:val="none" w:sz="0" w:space="0" w:color="auto"/>
                        <w:left w:val="none" w:sz="0" w:space="0" w:color="auto"/>
                        <w:bottom w:val="none" w:sz="0" w:space="0" w:color="auto"/>
                        <w:right w:val="none" w:sz="0" w:space="0" w:color="auto"/>
                      </w:divBdr>
                    </w:div>
                  </w:divsChild>
                </w:div>
                <w:div w:id="632369584">
                  <w:marLeft w:val="0"/>
                  <w:marRight w:val="0"/>
                  <w:marTop w:val="0"/>
                  <w:marBottom w:val="0"/>
                  <w:divBdr>
                    <w:top w:val="none" w:sz="0" w:space="0" w:color="auto"/>
                    <w:left w:val="none" w:sz="0" w:space="0" w:color="auto"/>
                    <w:bottom w:val="none" w:sz="0" w:space="0" w:color="auto"/>
                    <w:right w:val="none" w:sz="0" w:space="0" w:color="auto"/>
                  </w:divBdr>
                  <w:divsChild>
                    <w:div w:id="472021248">
                      <w:marLeft w:val="0"/>
                      <w:marRight w:val="0"/>
                      <w:marTop w:val="0"/>
                      <w:marBottom w:val="0"/>
                      <w:divBdr>
                        <w:top w:val="none" w:sz="0" w:space="0" w:color="auto"/>
                        <w:left w:val="none" w:sz="0" w:space="0" w:color="auto"/>
                        <w:bottom w:val="none" w:sz="0" w:space="0" w:color="auto"/>
                        <w:right w:val="none" w:sz="0" w:space="0" w:color="auto"/>
                      </w:divBdr>
                    </w:div>
                  </w:divsChild>
                </w:div>
                <w:div w:id="641925964">
                  <w:marLeft w:val="0"/>
                  <w:marRight w:val="0"/>
                  <w:marTop w:val="0"/>
                  <w:marBottom w:val="0"/>
                  <w:divBdr>
                    <w:top w:val="none" w:sz="0" w:space="0" w:color="auto"/>
                    <w:left w:val="none" w:sz="0" w:space="0" w:color="auto"/>
                    <w:bottom w:val="none" w:sz="0" w:space="0" w:color="auto"/>
                    <w:right w:val="none" w:sz="0" w:space="0" w:color="auto"/>
                  </w:divBdr>
                  <w:divsChild>
                    <w:div w:id="366832191">
                      <w:marLeft w:val="0"/>
                      <w:marRight w:val="0"/>
                      <w:marTop w:val="0"/>
                      <w:marBottom w:val="0"/>
                      <w:divBdr>
                        <w:top w:val="none" w:sz="0" w:space="0" w:color="auto"/>
                        <w:left w:val="none" w:sz="0" w:space="0" w:color="auto"/>
                        <w:bottom w:val="none" w:sz="0" w:space="0" w:color="auto"/>
                        <w:right w:val="none" w:sz="0" w:space="0" w:color="auto"/>
                      </w:divBdr>
                    </w:div>
                  </w:divsChild>
                </w:div>
                <w:div w:id="658537817">
                  <w:marLeft w:val="0"/>
                  <w:marRight w:val="0"/>
                  <w:marTop w:val="0"/>
                  <w:marBottom w:val="0"/>
                  <w:divBdr>
                    <w:top w:val="none" w:sz="0" w:space="0" w:color="auto"/>
                    <w:left w:val="none" w:sz="0" w:space="0" w:color="auto"/>
                    <w:bottom w:val="none" w:sz="0" w:space="0" w:color="auto"/>
                    <w:right w:val="none" w:sz="0" w:space="0" w:color="auto"/>
                  </w:divBdr>
                  <w:divsChild>
                    <w:div w:id="1146823336">
                      <w:marLeft w:val="0"/>
                      <w:marRight w:val="0"/>
                      <w:marTop w:val="0"/>
                      <w:marBottom w:val="0"/>
                      <w:divBdr>
                        <w:top w:val="none" w:sz="0" w:space="0" w:color="auto"/>
                        <w:left w:val="none" w:sz="0" w:space="0" w:color="auto"/>
                        <w:bottom w:val="none" w:sz="0" w:space="0" w:color="auto"/>
                        <w:right w:val="none" w:sz="0" w:space="0" w:color="auto"/>
                      </w:divBdr>
                    </w:div>
                  </w:divsChild>
                </w:div>
                <w:div w:id="696463040">
                  <w:marLeft w:val="0"/>
                  <w:marRight w:val="0"/>
                  <w:marTop w:val="0"/>
                  <w:marBottom w:val="0"/>
                  <w:divBdr>
                    <w:top w:val="none" w:sz="0" w:space="0" w:color="auto"/>
                    <w:left w:val="none" w:sz="0" w:space="0" w:color="auto"/>
                    <w:bottom w:val="none" w:sz="0" w:space="0" w:color="auto"/>
                    <w:right w:val="none" w:sz="0" w:space="0" w:color="auto"/>
                  </w:divBdr>
                  <w:divsChild>
                    <w:div w:id="1554930432">
                      <w:marLeft w:val="0"/>
                      <w:marRight w:val="0"/>
                      <w:marTop w:val="0"/>
                      <w:marBottom w:val="0"/>
                      <w:divBdr>
                        <w:top w:val="none" w:sz="0" w:space="0" w:color="auto"/>
                        <w:left w:val="none" w:sz="0" w:space="0" w:color="auto"/>
                        <w:bottom w:val="none" w:sz="0" w:space="0" w:color="auto"/>
                        <w:right w:val="none" w:sz="0" w:space="0" w:color="auto"/>
                      </w:divBdr>
                    </w:div>
                  </w:divsChild>
                </w:div>
                <w:div w:id="745495281">
                  <w:marLeft w:val="0"/>
                  <w:marRight w:val="0"/>
                  <w:marTop w:val="0"/>
                  <w:marBottom w:val="0"/>
                  <w:divBdr>
                    <w:top w:val="none" w:sz="0" w:space="0" w:color="auto"/>
                    <w:left w:val="none" w:sz="0" w:space="0" w:color="auto"/>
                    <w:bottom w:val="none" w:sz="0" w:space="0" w:color="auto"/>
                    <w:right w:val="none" w:sz="0" w:space="0" w:color="auto"/>
                  </w:divBdr>
                  <w:divsChild>
                    <w:div w:id="1330250923">
                      <w:marLeft w:val="0"/>
                      <w:marRight w:val="0"/>
                      <w:marTop w:val="0"/>
                      <w:marBottom w:val="0"/>
                      <w:divBdr>
                        <w:top w:val="none" w:sz="0" w:space="0" w:color="auto"/>
                        <w:left w:val="none" w:sz="0" w:space="0" w:color="auto"/>
                        <w:bottom w:val="none" w:sz="0" w:space="0" w:color="auto"/>
                        <w:right w:val="none" w:sz="0" w:space="0" w:color="auto"/>
                      </w:divBdr>
                    </w:div>
                  </w:divsChild>
                </w:div>
                <w:div w:id="773522607">
                  <w:marLeft w:val="0"/>
                  <w:marRight w:val="0"/>
                  <w:marTop w:val="0"/>
                  <w:marBottom w:val="0"/>
                  <w:divBdr>
                    <w:top w:val="none" w:sz="0" w:space="0" w:color="auto"/>
                    <w:left w:val="none" w:sz="0" w:space="0" w:color="auto"/>
                    <w:bottom w:val="none" w:sz="0" w:space="0" w:color="auto"/>
                    <w:right w:val="none" w:sz="0" w:space="0" w:color="auto"/>
                  </w:divBdr>
                  <w:divsChild>
                    <w:div w:id="332336717">
                      <w:marLeft w:val="0"/>
                      <w:marRight w:val="0"/>
                      <w:marTop w:val="0"/>
                      <w:marBottom w:val="0"/>
                      <w:divBdr>
                        <w:top w:val="none" w:sz="0" w:space="0" w:color="auto"/>
                        <w:left w:val="none" w:sz="0" w:space="0" w:color="auto"/>
                        <w:bottom w:val="none" w:sz="0" w:space="0" w:color="auto"/>
                        <w:right w:val="none" w:sz="0" w:space="0" w:color="auto"/>
                      </w:divBdr>
                    </w:div>
                  </w:divsChild>
                </w:div>
                <w:div w:id="813909363">
                  <w:marLeft w:val="0"/>
                  <w:marRight w:val="0"/>
                  <w:marTop w:val="0"/>
                  <w:marBottom w:val="0"/>
                  <w:divBdr>
                    <w:top w:val="none" w:sz="0" w:space="0" w:color="auto"/>
                    <w:left w:val="none" w:sz="0" w:space="0" w:color="auto"/>
                    <w:bottom w:val="none" w:sz="0" w:space="0" w:color="auto"/>
                    <w:right w:val="none" w:sz="0" w:space="0" w:color="auto"/>
                  </w:divBdr>
                  <w:divsChild>
                    <w:div w:id="1814254355">
                      <w:marLeft w:val="0"/>
                      <w:marRight w:val="0"/>
                      <w:marTop w:val="0"/>
                      <w:marBottom w:val="0"/>
                      <w:divBdr>
                        <w:top w:val="none" w:sz="0" w:space="0" w:color="auto"/>
                        <w:left w:val="none" w:sz="0" w:space="0" w:color="auto"/>
                        <w:bottom w:val="none" w:sz="0" w:space="0" w:color="auto"/>
                        <w:right w:val="none" w:sz="0" w:space="0" w:color="auto"/>
                      </w:divBdr>
                    </w:div>
                  </w:divsChild>
                </w:div>
                <w:div w:id="821852501">
                  <w:marLeft w:val="0"/>
                  <w:marRight w:val="0"/>
                  <w:marTop w:val="0"/>
                  <w:marBottom w:val="0"/>
                  <w:divBdr>
                    <w:top w:val="none" w:sz="0" w:space="0" w:color="auto"/>
                    <w:left w:val="none" w:sz="0" w:space="0" w:color="auto"/>
                    <w:bottom w:val="none" w:sz="0" w:space="0" w:color="auto"/>
                    <w:right w:val="none" w:sz="0" w:space="0" w:color="auto"/>
                  </w:divBdr>
                  <w:divsChild>
                    <w:div w:id="1350638151">
                      <w:marLeft w:val="0"/>
                      <w:marRight w:val="0"/>
                      <w:marTop w:val="0"/>
                      <w:marBottom w:val="0"/>
                      <w:divBdr>
                        <w:top w:val="none" w:sz="0" w:space="0" w:color="auto"/>
                        <w:left w:val="none" w:sz="0" w:space="0" w:color="auto"/>
                        <w:bottom w:val="none" w:sz="0" w:space="0" w:color="auto"/>
                        <w:right w:val="none" w:sz="0" w:space="0" w:color="auto"/>
                      </w:divBdr>
                    </w:div>
                  </w:divsChild>
                </w:div>
                <w:div w:id="838889378">
                  <w:marLeft w:val="0"/>
                  <w:marRight w:val="0"/>
                  <w:marTop w:val="0"/>
                  <w:marBottom w:val="0"/>
                  <w:divBdr>
                    <w:top w:val="none" w:sz="0" w:space="0" w:color="auto"/>
                    <w:left w:val="none" w:sz="0" w:space="0" w:color="auto"/>
                    <w:bottom w:val="none" w:sz="0" w:space="0" w:color="auto"/>
                    <w:right w:val="none" w:sz="0" w:space="0" w:color="auto"/>
                  </w:divBdr>
                  <w:divsChild>
                    <w:div w:id="1935624158">
                      <w:marLeft w:val="0"/>
                      <w:marRight w:val="0"/>
                      <w:marTop w:val="0"/>
                      <w:marBottom w:val="0"/>
                      <w:divBdr>
                        <w:top w:val="none" w:sz="0" w:space="0" w:color="auto"/>
                        <w:left w:val="none" w:sz="0" w:space="0" w:color="auto"/>
                        <w:bottom w:val="none" w:sz="0" w:space="0" w:color="auto"/>
                        <w:right w:val="none" w:sz="0" w:space="0" w:color="auto"/>
                      </w:divBdr>
                    </w:div>
                  </w:divsChild>
                </w:div>
                <w:div w:id="849638510">
                  <w:marLeft w:val="0"/>
                  <w:marRight w:val="0"/>
                  <w:marTop w:val="0"/>
                  <w:marBottom w:val="0"/>
                  <w:divBdr>
                    <w:top w:val="none" w:sz="0" w:space="0" w:color="auto"/>
                    <w:left w:val="none" w:sz="0" w:space="0" w:color="auto"/>
                    <w:bottom w:val="none" w:sz="0" w:space="0" w:color="auto"/>
                    <w:right w:val="none" w:sz="0" w:space="0" w:color="auto"/>
                  </w:divBdr>
                  <w:divsChild>
                    <w:div w:id="1168638137">
                      <w:marLeft w:val="0"/>
                      <w:marRight w:val="0"/>
                      <w:marTop w:val="0"/>
                      <w:marBottom w:val="0"/>
                      <w:divBdr>
                        <w:top w:val="none" w:sz="0" w:space="0" w:color="auto"/>
                        <w:left w:val="none" w:sz="0" w:space="0" w:color="auto"/>
                        <w:bottom w:val="none" w:sz="0" w:space="0" w:color="auto"/>
                        <w:right w:val="none" w:sz="0" w:space="0" w:color="auto"/>
                      </w:divBdr>
                    </w:div>
                  </w:divsChild>
                </w:div>
                <w:div w:id="892892581">
                  <w:marLeft w:val="0"/>
                  <w:marRight w:val="0"/>
                  <w:marTop w:val="0"/>
                  <w:marBottom w:val="0"/>
                  <w:divBdr>
                    <w:top w:val="none" w:sz="0" w:space="0" w:color="auto"/>
                    <w:left w:val="none" w:sz="0" w:space="0" w:color="auto"/>
                    <w:bottom w:val="none" w:sz="0" w:space="0" w:color="auto"/>
                    <w:right w:val="none" w:sz="0" w:space="0" w:color="auto"/>
                  </w:divBdr>
                  <w:divsChild>
                    <w:div w:id="1271932161">
                      <w:marLeft w:val="0"/>
                      <w:marRight w:val="0"/>
                      <w:marTop w:val="0"/>
                      <w:marBottom w:val="0"/>
                      <w:divBdr>
                        <w:top w:val="none" w:sz="0" w:space="0" w:color="auto"/>
                        <w:left w:val="none" w:sz="0" w:space="0" w:color="auto"/>
                        <w:bottom w:val="none" w:sz="0" w:space="0" w:color="auto"/>
                        <w:right w:val="none" w:sz="0" w:space="0" w:color="auto"/>
                      </w:divBdr>
                    </w:div>
                  </w:divsChild>
                </w:div>
                <w:div w:id="1069037813">
                  <w:marLeft w:val="0"/>
                  <w:marRight w:val="0"/>
                  <w:marTop w:val="0"/>
                  <w:marBottom w:val="0"/>
                  <w:divBdr>
                    <w:top w:val="none" w:sz="0" w:space="0" w:color="auto"/>
                    <w:left w:val="none" w:sz="0" w:space="0" w:color="auto"/>
                    <w:bottom w:val="none" w:sz="0" w:space="0" w:color="auto"/>
                    <w:right w:val="none" w:sz="0" w:space="0" w:color="auto"/>
                  </w:divBdr>
                  <w:divsChild>
                    <w:div w:id="552930113">
                      <w:marLeft w:val="0"/>
                      <w:marRight w:val="0"/>
                      <w:marTop w:val="0"/>
                      <w:marBottom w:val="0"/>
                      <w:divBdr>
                        <w:top w:val="none" w:sz="0" w:space="0" w:color="auto"/>
                        <w:left w:val="none" w:sz="0" w:space="0" w:color="auto"/>
                        <w:bottom w:val="none" w:sz="0" w:space="0" w:color="auto"/>
                        <w:right w:val="none" w:sz="0" w:space="0" w:color="auto"/>
                      </w:divBdr>
                    </w:div>
                  </w:divsChild>
                </w:div>
                <w:div w:id="1173952820">
                  <w:marLeft w:val="0"/>
                  <w:marRight w:val="0"/>
                  <w:marTop w:val="0"/>
                  <w:marBottom w:val="0"/>
                  <w:divBdr>
                    <w:top w:val="none" w:sz="0" w:space="0" w:color="auto"/>
                    <w:left w:val="none" w:sz="0" w:space="0" w:color="auto"/>
                    <w:bottom w:val="none" w:sz="0" w:space="0" w:color="auto"/>
                    <w:right w:val="none" w:sz="0" w:space="0" w:color="auto"/>
                  </w:divBdr>
                  <w:divsChild>
                    <w:div w:id="1742754620">
                      <w:marLeft w:val="0"/>
                      <w:marRight w:val="0"/>
                      <w:marTop w:val="0"/>
                      <w:marBottom w:val="0"/>
                      <w:divBdr>
                        <w:top w:val="none" w:sz="0" w:space="0" w:color="auto"/>
                        <w:left w:val="none" w:sz="0" w:space="0" w:color="auto"/>
                        <w:bottom w:val="none" w:sz="0" w:space="0" w:color="auto"/>
                        <w:right w:val="none" w:sz="0" w:space="0" w:color="auto"/>
                      </w:divBdr>
                    </w:div>
                  </w:divsChild>
                </w:div>
                <w:div w:id="1190952149">
                  <w:marLeft w:val="0"/>
                  <w:marRight w:val="0"/>
                  <w:marTop w:val="0"/>
                  <w:marBottom w:val="0"/>
                  <w:divBdr>
                    <w:top w:val="none" w:sz="0" w:space="0" w:color="auto"/>
                    <w:left w:val="none" w:sz="0" w:space="0" w:color="auto"/>
                    <w:bottom w:val="none" w:sz="0" w:space="0" w:color="auto"/>
                    <w:right w:val="none" w:sz="0" w:space="0" w:color="auto"/>
                  </w:divBdr>
                  <w:divsChild>
                    <w:div w:id="1567254904">
                      <w:marLeft w:val="0"/>
                      <w:marRight w:val="0"/>
                      <w:marTop w:val="0"/>
                      <w:marBottom w:val="0"/>
                      <w:divBdr>
                        <w:top w:val="none" w:sz="0" w:space="0" w:color="auto"/>
                        <w:left w:val="none" w:sz="0" w:space="0" w:color="auto"/>
                        <w:bottom w:val="none" w:sz="0" w:space="0" w:color="auto"/>
                        <w:right w:val="none" w:sz="0" w:space="0" w:color="auto"/>
                      </w:divBdr>
                    </w:div>
                  </w:divsChild>
                </w:div>
                <w:div w:id="1270815352">
                  <w:marLeft w:val="0"/>
                  <w:marRight w:val="0"/>
                  <w:marTop w:val="0"/>
                  <w:marBottom w:val="0"/>
                  <w:divBdr>
                    <w:top w:val="none" w:sz="0" w:space="0" w:color="auto"/>
                    <w:left w:val="none" w:sz="0" w:space="0" w:color="auto"/>
                    <w:bottom w:val="none" w:sz="0" w:space="0" w:color="auto"/>
                    <w:right w:val="none" w:sz="0" w:space="0" w:color="auto"/>
                  </w:divBdr>
                  <w:divsChild>
                    <w:div w:id="552692629">
                      <w:marLeft w:val="0"/>
                      <w:marRight w:val="0"/>
                      <w:marTop w:val="0"/>
                      <w:marBottom w:val="0"/>
                      <w:divBdr>
                        <w:top w:val="none" w:sz="0" w:space="0" w:color="auto"/>
                        <w:left w:val="none" w:sz="0" w:space="0" w:color="auto"/>
                        <w:bottom w:val="none" w:sz="0" w:space="0" w:color="auto"/>
                        <w:right w:val="none" w:sz="0" w:space="0" w:color="auto"/>
                      </w:divBdr>
                    </w:div>
                  </w:divsChild>
                </w:div>
                <w:div w:id="1403523061">
                  <w:marLeft w:val="0"/>
                  <w:marRight w:val="0"/>
                  <w:marTop w:val="0"/>
                  <w:marBottom w:val="0"/>
                  <w:divBdr>
                    <w:top w:val="none" w:sz="0" w:space="0" w:color="auto"/>
                    <w:left w:val="none" w:sz="0" w:space="0" w:color="auto"/>
                    <w:bottom w:val="none" w:sz="0" w:space="0" w:color="auto"/>
                    <w:right w:val="none" w:sz="0" w:space="0" w:color="auto"/>
                  </w:divBdr>
                  <w:divsChild>
                    <w:div w:id="1093356468">
                      <w:marLeft w:val="0"/>
                      <w:marRight w:val="0"/>
                      <w:marTop w:val="0"/>
                      <w:marBottom w:val="0"/>
                      <w:divBdr>
                        <w:top w:val="none" w:sz="0" w:space="0" w:color="auto"/>
                        <w:left w:val="none" w:sz="0" w:space="0" w:color="auto"/>
                        <w:bottom w:val="none" w:sz="0" w:space="0" w:color="auto"/>
                        <w:right w:val="none" w:sz="0" w:space="0" w:color="auto"/>
                      </w:divBdr>
                    </w:div>
                  </w:divsChild>
                </w:div>
                <w:div w:id="1409155332">
                  <w:marLeft w:val="0"/>
                  <w:marRight w:val="0"/>
                  <w:marTop w:val="0"/>
                  <w:marBottom w:val="0"/>
                  <w:divBdr>
                    <w:top w:val="none" w:sz="0" w:space="0" w:color="auto"/>
                    <w:left w:val="none" w:sz="0" w:space="0" w:color="auto"/>
                    <w:bottom w:val="none" w:sz="0" w:space="0" w:color="auto"/>
                    <w:right w:val="none" w:sz="0" w:space="0" w:color="auto"/>
                  </w:divBdr>
                  <w:divsChild>
                    <w:div w:id="338042584">
                      <w:marLeft w:val="0"/>
                      <w:marRight w:val="0"/>
                      <w:marTop w:val="0"/>
                      <w:marBottom w:val="0"/>
                      <w:divBdr>
                        <w:top w:val="none" w:sz="0" w:space="0" w:color="auto"/>
                        <w:left w:val="none" w:sz="0" w:space="0" w:color="auto"/>
                        <w:bottom w:val="none" w:sz="0" w:space="0" w:color="auto"/>
                        <w:right w:val="none" w:sz="0" w:space="0" w:color="auto"/>
                      </w:divBdr>
                    </w:div>
                  </w:divsChild>
                </w:div>
                <w:div w:id="1477339215">
                  <w:marLeft w:val="0"/>
                  <w:marRight w:val="0"/>
                  <w:marTop w:val="0"/>
                  <w:marBottom w:val="0"/>
                  <w:divBdr>
                    <w:top w:val="none" w:sz="0" w:space="0" w:color="auto"/>
                    <w:left w:val="none" w:sz="0" w:space="0" w:color="auto"/>
                    <w:bottom w:val="none" w:sz="0" w:space="0" w:color="auto"/>
                    <w:right w:val="none" w:sz="0" w:space="0" w:color="auto"/>
                  </w:divBdr>
                  <w:divsChild>
                    <w:div w:id="807236858">
                      <w:marLeft w:val="0"/>
                      <w:marRight w:val="0"/>
                      <w:marTop w:val="0"/>
                      <w:marBottom w:val="0"/>
                      <w:divBdr>
                        <w:top w:val="none" w:sz="0" w:space="0" w:color="auto"/>
                        <w:left w:val="none" w:sz="0" w:space="0" w:color="auto"/>
                        <w:bottom w:val="none" w:sz="0" w:space="0" w:color="auto"/>
                        <w:right w:val="none" w:sz="0" w:space="0" w:color="auto"/>
                      </w:divBdr>
                    </w:div>
                  </w:divsChild>
                </w:div>
                <w:div w:id="1568372037">
                  <w:marLeft w:val="0"/>
                  <w:marRight w:val="0"/>
                  <w:marTop w:val="0"/>
                  <w:marBottom w:val="0"/>
                  <w:divBdr>
                    <w:top w:val="none" w:sz="0" w:space="0" w:color="auto"/>
                    <w:left w:val="none" w:sz="0" w:space="0" w:color="auto"/>
                    <w:bottom w:val="none" w:sz="0" w:space="0" w:color="auto"/>
                    <w:right w:val="none" w:sz="0" w:space="0" w:color="auto"/>
                  </w:divBdr>
                  <w:divsChild>
                    <w:div w:id="1942058685">
                      <w:marLeft w:val="0"/>
                      <w:marRight w:val="0"/>
                      <w:marTop w:val="0"/>
                      <w:marBottom w:val="0"/>
                      <w:divBdr>
                        <w:top w:val="none" w:sz="0" w:space="0" w:color="auto"/>
                        <w:left w:val="none" w:sz="0" w:space="0" w:color="auto"/>
                        <w:bottom w:val="none" w:sz="0" w:space="0" w:color="auto"/>
                        <w:right w:val="none" w:sz="0" w:space="0" w:color="auto"/>
                      </w:divBdr>
                    </w:div>
                  </w:divsChild>
                </w:div>
                <w:div w:id="1699234673">
                  <w:marLeft w:val="0"/>
                  <w:marRight w:val="0"/>
                  <w:marTop w:val="0"/>
                  <w:marBottom w:val="0"/>
                  <w:divBdr>
                    <w:top w:val="none" w:sz="0" w:space="0" w:color="auto"/>
                    <w:left w:val="none" w:sz="0" w:space="0" w:color="auto"/>
                    <w:bottom w:val="none" w:sz="0" w:space="0" w:color="auto"/>
                    <w:right w:val="none" w:sz="0" w:space="0" w:color="auto"/>
                  </w:divBdr>
                  <w:divsChild>
                    <w:div w:id="14309221">
                      <w:marLeft w:val="0"/>
                      <w:marRight w:val="0"/>
                      <w:marTop w:val="0"/>
                      <w:marBottom w:val="0"/>
                      <w:divBdr>
                        <w:top w:val="none" w:sz="0" w:space="0" w:color="auto"/>
                        <w:left w:val="none" w:sz="0" w:space="0" w:color="auto"/>
                        <w:bottom w:val="none" w:sz="0" w:space="0" w:color="auto"/>
                        <w:right w:val="none" w:sz="0" w:space="0" w:color="auto"/>
                      </w:divBdr>
                    </w:div>
                  </w:divsChild>
                </w:div>
                <w:div w:id="1772816797">
                  <w:marLeft w:val="0"/>
                  <w:marRight w:val="0"/>
                  <w:marTop w:val="0"/>
                  <w:marBottom w:val="0"/>
                  <w:divBdr>
                    <w:top w:val="none" w:sz="0" w:space="0" w:color="auto"/>
                    <w:left w:val="none" w:sz="0" w:space="0" w:color="auto"/>
                    <w:bottom w:val="none" w:sz="0" w:space="0" w:color="auto"/>
                    <w:right w:val="none" w:sz="0" w:space="0" w:color="auto"/>
                  </w:divBdr>
                  <w:divsChild>
                    <w:div w:id="59179598">
                      <w:marLeft w:val="0"/>
                      <w:marRight w:val="0"/>
                      <w:marTop w:val="0"/>
                      <w:marBottom w:val="0"/>
                      <w:divBdr>
                        <w:top w:val="none" w:sz="0" w:space="0" w:color="auto"/>
                        <w:left w:val="none" w:sz="0" w:space="0" w:color="auto"/>
                        <w:bottom w:val="none" w:sz="0" w:space="0" w:color="auto"/>
                        <w:right w:val="none" w:sz="0" w:space="0" w:color="auto"/>
                      </w:divBdr>
                    </w:div>
                  </w:divsChild>
                </w:div>
                <w:div w:id="1777670692">
                  <w:marLeft w:val="0"/>
                  <w:marRight w:val="0"/>
                  <w:marTop w:val="0"/>
                  <w:marBottom w:val="0"/>
                  <w:divBdr>
                    <w:top w:val="none" w:sz="0" w:space="0" w:color="auto"/>
                    <w:left w:val="none" w:sz="0" w:space="0" w:color="auto"/>
                    <w:bottom w:val="none" w:sz="0" w:space="0" w:color="auto"/>
                    <w:right w:val="none" w:sz="0" w:space="0" w:color="auto"/>
                  </w:divBdr>
                  <w:divsChild>
                    <w:div w:id="1662852915">
                      <w:marLeft w:val="0"/>
                      <w:marRight w:val="0"/>
                      <w:marTop w:val="0"/>
                      <w:marBottom w:val="0"/>
                      <w:divBdr>
                        <w:top w:val="none" w:sz="0" w:space="0" w:color="auto"/>
                        <w:left w:val="none" w:sz="0" w:space="0" w:color="auto"/>
                        <w:bottom w:val="none" w:sz="0" w:space="0" w:color="auto"/>
                        <w:right w:val="none" w:sz="0" w:space="0" w:color="auto"/>
                      </w:divBdr>
                    </w:div>
                  </w:divsChild>
                </w:div>
                <w:div w:id="1777676003">
                  <w:marLeft w:val="0"/>
                  <w:marRight w:val="0"/>
                  <w:marTop w:val="0"/>
                  <w:marBottom w:val="0"/>
                  <w:divBdr>
                    <w:top w:val="none" w:sz="0" w:space="0" w:color="auto"/>
                    <w:left w:val="none" w:sz="0" w:space="0" w:color="auto"/>
                    <w:bottom w:val="none" w:sz="0" w:space="0" w:color="auto"/>
                    <w:right w:val="none" w:sz="0" w:space="0" w:color="auto"/>
                  </w:divBdr>
                  <w:divsChild>
                    <w:div w:id="1570993503">
                      <w:marLeft w:val="0"/>
                      <w:marRight w:val="0"/>
                      <w:marTop w:val="0"/>
                      <w:marBottom w:val="0"/>
                      <w:divBdr>
                        <w:top w:val="none" w:sz="0" w:space="0" w:color="auto"/>
                        <w:left w:val="none" w:sz="0" w:space="0" w:color="auto"/>
                        <w:bottom w:val="none" w:sz="0" w:space="0" w:color="auto"/>
                        <w:right w:val="none" w:sz="0" w:space="0" w:color="auto"/>
                      </w:divBdr>
                    </w:div>
                  </w:divsChild>
                </w:div>
                <w:div w:id="1802651121">
                  <w:marLeft w:val="0"/>
                  <w:marRight w:val="0"/>
                  <w:marTop w:val="0"/>
                  <w:marBottom w:val="0"/>
                  <w:divBdr>
                    <w:top w:val="none" w:sz="0" w:space="0" w:color="auto"/>
                    <w:left w:val="none" w:sz="0" w:space="0" w:color="auto"/>
                    <w:bottom w:val="none" w:sz="0" w:space="0" w:color="auto"/>
                    <w:right w:val="none" w:sz="0" w:space="0" w:color="auto"/>
                  </w:divBdr>
                  <w:divsChild>
                    <w:div w:id="1947347707">
                      <w:marLeft w:val="0"/>
                      <w:marRight w:val="0"/>
                      <w:marTop w:val="0"/>
                      <w:marBottom w:val="0"/>
                      <w:divBdr>
                        <w:top w:val="none" w:sz="0" w:space="0" w:color="auto"/>
                        <w:left w:val="none" w:sz="0" w:space="0" w:color="auto"/>
                        <w:bottom w:val="none" w:sz="0" w:space="0" w:color="auto"/>
                        <w:right w:val="none" w:sz="0" w:space="0" w:color="auto"/>
                      </w:divBdr>
                    </w:div>
                  </w:divsChild>
                </w:div>
                <w:div w:id="1907301430">
                  <w:marLeft w:val="0"/>
                  <w:marRight w:val="0"/>
                  <w:marTop w:val="0"/>
                  <w:marBottom w:val="0"/>
                  <w:divBdr>
                    <w:top w:val="none" w:sz="0" w:space="0" w:color="auto"/>
                    <w:left w:val="none" w:sz="0" w:space="0" w:color="auto"/>
                    <w:bottom w:val="none" w:sz="0" w:space="0" w:color="auto"/>
                    <w:right w:val="none" w:sz="0" w:space="0" w:color="auto"/>
                  </w:divBdr>
                  <w:divsChild>
                    <w:div w:id="407390099">
                      <w:marLeft w:val="0"/>
                      <w:marRight w:val="0"/>
                      <w:marTop w:val="0"/>
                      <w:marBottom w:val="0"/>
                      <w:divBdr>
                        <w:top w:val="none" w:sz="0" w:space="0" w:color="auto"/>
                        <w:left w:val="none" w:sz="0" w:space="0" w:color="auto"/>
                        <w:bottom w:val="none" w:sz="0" w:space="0" w:color="auto"/>
                        <w:right w:val="none" w:sz="0" w:space="0" w:color="auto"/>
                      </w:divBdr>
                    </w:div>
                  </w:divsChild>
                </w:div>
                <w:div w:id="1915897485">
                  <w:marLeft w:val="0"/>
                  <w:marRight w:val="0"/>
                  <w:marTop w:val="0"/>
                  <w:marBottom w:val="0"/>
                  <w:divBdr>
                    <w:top w:val="none" w:sz="0" w:space="0" w:color="auto"/>
                    <w:left w:val="none" w:sz="0" w:space="0" w:color="auto"/>
                    <w:bottom w:val="none" w:sz="0" w:space="0" w:color="auto"/>
                    <w:right w:val="none" w:sz="0" w:space="0" w:color="auto"/>
                  </w:divBdr>
                  <w:divsChild>
                    <w:div w:id="2088184881">
                      <w:marLeft w:val="0"/>
                      <w:marRight w:val="0"/>
                      <w:marTop w:val="0"/>
                      <w:marBottom w:val="0"/>
                      <w:divBdr>
                        <w:top w:val="none" w:sz="0" w:space="0" w:color="auto"/>
                        <w:left w:val="none" w:sz="0" w:space="0" w:color="auto"/>
                        <w:bottom w:val="none" w:sz="0" w:space="0" w:color="auto"/>
                        <w:right w:val="none" w:sz="0" w:space="0" w:color="auto"/>
                      </w:divBdr>
                    </w:div>
                  </w:divsChild>
                </w:div>
                <w:div w:id="1977835824">
                  <w:marLeft w:val="0"/>
                  <w:marRight w:val="0"/>
                  <w:marTop w:val="0"/>
                  <w:marBottom w:val="0"/>
                  <w:divBdr>
                    <w:top w:val="none" w:sz="0" w:space="0" w:color="auto"/>
                    <w:left w:val="none" w:sz="0" w:space="0" w:color="auto"/>
                    <w:bottom w:val="none" w:sz="0" w:space="0" w:color="auto"/>
                    <w:right w:val="none" w:sz="0" w:space="0" w:color="auto"/>
                  </w:divBdr>
                  <w:divsChild>
                    <w:div w:id="84503783">
                      <w:marLeft w:val="0"/>
                      <w:marRight w:val="0"/>
                      <w:marTop w:val="0"/>
                      <w:marBottom w:val="0"/>
                      <w:divBdr>
                        <w:top w:val="none" w:sz="0" w:space="0" w:color="auto"/>
                        <w:left w:val="none" w:sz="0" w:space="0" w:color="auto"/>
                        <w:bottom w:val="none" w:sz="0" w:space="0" w:color="auto"/>
                        <w:right w:val="none" w:sz="0" w:space="0" w:color="auto"/>
                      </w:divBdr>
                    </w:div>
                  </w:divsChild>
                </w:div>
                <w:div w:id="2110543107">
                  <w:marLeft w:val="0"/>
                  <w:marRight w:val="0"/>
                  <w:marTop w:val="0"/>
                  <w:marBottom w:val="0"/>
                  <w:divBdr>
                    <w:top w:val="none" w:sz="0" w:space="0" w:color="auto"/>
                    <w:left w:val="none" w:sz="0" w:space="0" w:color="auto"/>
                    <w:bottom w:val="none" w:sz="0" w:space="0" w:color="auto"/>
                    <w:right w:val="none" w:sz="0" w:space="0" w:color="auto"/>
                  </w:divBdr>
                  <w:divsChild>
                    <w:div w:id="152993467">
                      <w:marLeft w:val="0"/>
                      <w:marRight w:val="0"/>
                      <w:marTop w:val="0"/>
                      <w:marBottom w:val="0"/>
                      <w:divBdr>
                        <w:top w:val="none" w:sz="0" w:space="0" w:color="auto"/>
                        <w:left w:val="none" w:sz="0" w:space="0" w:color="auto"/>
                        <w:bottom w:val="none" w:sz="0" w:space="0" w:color="auto"/>
                        <w:right w:val="none" w:sz="0" w:space="0" w:color="auto"/>
                      </w:divBdr>
                    </w:div>
                  </w:divsChild>
                </w:div>
                <w:div w:id="2141723678">
                  <w:marLeft w:val="0"/>
                  <w:marRight w:val="0"/>
                  <w:marTop w:val="0"/>
                  <w:marBottom w:val="0"/>
                  <w:divBdr>
                    <w:top w:val="none" w:sz="0" w:space="0" w:color="auto"/>
                    <w:left w:val="none" w:sz="0" w:space="0" w:color="auto"/>
                    <w:bottom w:val="none" w:sz="0" w:space="0" w:color="auto"/>
                    <w:right w:val="none" w:sz="0" w:space="0" w:color="auto"/>
                  </w:divBdr>
                  <w:divsChild>
                    <w:div w:id="1965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4908">
          <w:marLeft w:val="0"/>
          <w:marRight w:val="0"/>
          <w:marTop w:val="0"/>
          <w:marBottom w:val="0"/>
          <w:divBdr>
            <w:top w:val="none" w:sz="0" w:space="0" w:color="auto"/>
            <w:left w:val="none" w:sz="0" w:space="0" w:color="auto"/>
            <w:bottom w:val="none" w:sz="0" w:space="0" w:color="auto"/>
            <w:right w:val="none" w:sz="0" w:space="0" w:color="auto"/>
          </w:divBdr>
        </w:div>
        <w:div w:id="531964162">
          <w:marLeft w:val="0"/>
          <w:marRight w:val="0"/>
          <w:marTop w:val="0"/>
          <w:marBottom w:val="0"/>
          <w:divBdr>
            <w:top w:val="none" w:sz="0" w:space="0" w:color="auto"/>
            <w:left w:val="none" w:sz="0" w:space="0" w:color="auto"/>
            <w:bottom w:val="none" w:sz="0" w:space="0" w:color="auto"/>
            <w:right w:val="none" w:sz="0" w:space="0" w:color="auto"/>
          </w:divBdr>
          <w:divsChild>
            <w:div w:id="404036494">
              <w:marLeft w:val="0"/>
              <w:marRight w:val="0"/>
              <w:marTop w:val="0"/>
              <w:marBottom w:val="0"/>
              <w:divBdr>
                <w:top w:val="none" w:sz="0" w:space="0" w:color="auto"/>
                <w:left w:val="none" w:sz="0" w:space="0" w:color="auto"/>
                <w:bottom w:val="none" w:sz="0" w:space="0" w:color="auto"/>
                <w:right w:val="none" w:sz="0" w:space="0" w:color="auto"/>
              </w:divBdr>
            </w:div>
            <w:div w:id="597182122">
              <w:marLeft w:val="0"/>
              <w:marRight w:val="0"/>
              <w:marTop w:val="0"/>
              <w:marBottom w:val="0"/>
              <w:divBdr>
                <w:top w:val="none" w:sz="0" w:space="0" w:color="auto"/>
                <w:left w:val="none" w:sz="0" w:space="0" w:color="auto"/>
                <w:bottom w:val="none" w:sz="0" w:space="0" w:color="auto"/>
                <w:right w:val="none" w:sz="0" w:space="0" w:color="auto"/>
              </w:divBdr>
            </w:div>
            <w:div w:id="838928649">
              <w:marLeft w:val="0"/>
              <w:marRight w:val="0"/>
              <w:marTop w:val="0"/>
              <w:marBottom w:val="0"/>
              <w:divBdr>
                <w:top w:val="none" w:sz="0" w:space="0" w:color="auto"/>
                <w:left w:val="none" w:sz="0" w:space="0" w:color="auto"/>
                <w:bottom w:val="none" w:sz="0" w:space="0" w:color="auto"/>
                <w:right w:val="none" w:sz="0" w:space="0" w:color="auto"/>
              </w:divBdr>
            </w:div>
            <w:div w:id="981423100">
              <w:marLeft w:val="0"/>
              <w:marRight w:val="0"/>
              <w:marTop w:val="0"/>
              <w:marBottom w:val="0"/>
              <w:divBdr>
                <w:top w:val="none" w:sz="0" w:space="0" w:color="auto"/>
                <w:left w:val="none" w:sz="0" w:space="0" w:color="auto"/>
                <w:bottom w:val="none" w:sz="0" w:space="0" w:color="auto"/>
                <w:right w:val="none" w:sz="0" w:space="0" w:color="auto"/>
              </w:divBdr>
            </w:div>
            <w:div w:id="1511063974">
              <w:marLeft w:val="0"/>
              <w:marRight w:val="0"/>
              <w:marTop w:val="0"/>
              <w:marBottom w:val="0"/>
              <w:divBdr>
                <w:top w:val="none" w:sz="0" w:space="0" w:color="auto"/>
                <w:left w:val="none" w:sz="0" w:space="0" w:color="auto"/>
                <w:bottom w:val="none" w:sz="0" w:space="0" w:color="auto"/>
                <w:right w:val="none" w:sz="0" w:space="0" w:color="auto"/>
              </w:divBdr>
            </w:div>
          </w:divsChild>
        </w:div>
        <w:div w:id="554775151">
          <w:marLeft w:val="0"/>
          <w:marRight w:val="0"/>
          <w:marTop w:val="0"/>
          <w:marBottom w:val="0"/>
          <w:divBdr>
            <w:top w:val="none" w:sz="0" w:space="0" w:color="auto"/>
            <w:left w:val="none" w:sz="0" w:space="0" w:color="auto"/>
            <w:bottom w:val="none" w:sz="0" w:space="0" w:color="auto"/>
            <w:right w:val="none" w:sz="0" w:space="0" w:color="auto"/>
          </w:divBdr>
          <w:divsChild>
            <w:div w:id="598177331">
              <w:marLeft w:val="0"/>
              <w:marRight w:val="0"/>
              <w:marTop w:val="0"/>
              <w:marBottom w:val="0"/>
              <w:divBdr>
                <w:top w:val="none" w:sz="0" w:space="0" w:color="auto"/>
                <w:left w:val="none" w:sz="0" w:space="0" w:color="auto"/>
                <w:bottom w:val="none" w:sz="0" w:space="0" w:color="auto"/>
                <w:right w:val="none" w:sz="0" w:space="0" w:color="auto"/>
              </w:divBdr>
            </w:div>
            <w:div w:id="747384462">
              <w:marLeft w:val="0"/>
              <w:marRight w:val="0"/>
              <w:marTop w:val="0"/>
              <w:marBottom w:val="0"/>
              <w:divBdr>
                <w:top w:val="none" w:sz="0" w:space="0" w:color="auto"/>
                <w:left w:val="none" w:sz="0" w:space="0" w:color="auto"/>
                <w:bottom w:val="none" w:sz="0" w:space="0" w:color="auto"/>
                <w:right w:val="none" w:sz="0" w:space="0" w:color="auto"/>
              </w:divBdr>
            </w:div>
            <w:div w:id="804930677">
              <w:marLeft w:val="0"/>
              <w:marRight w:val="0"/>
              <w:marTop w:val="0"/>
              <w:marBottom w:val="0"/>
              <w:divBdr>
                <w:top w:val="none" w:sz="0" w:space="0" w:color="auto"/>
                <w:left w:val="none" w:sz="0" w:space="0" w:color="auto"/>
                <w:bottom w:val="none" w:sz="0" w:space="0" w:color="auto"/>
                <w:right w:val="none" w:sz="0" w:space="0" w:color="auto"/>
              </w:divBdr>
            </w:div>
            <w:div w:id="1068385207">
              <w:marLeft w:val="0"/>
              <w:marRight w:val="0"/>
              <w:marTop w:val="0"/>
              <w:marBottom w:val="0"/>
              <w:divBdr>
                <w:top w:val="none" w:sz="0" w:space="0" w:color="auto"/>
                <w:left w:val="none" w:sz="0" w:space="0" w:color="auto"/>
                <w:bottom w:val="none" w:sz="0" w:space="0" w:color="auto"/>
                <w:right w:val="none" w:sz="0" w:space="0" w:color="auto"/>
              </w:divBdr>
            </w:div>
            <w:div w:id="1348214011">
              <w:marLeft w:val="0"/>
              <w:marRight w:val="0"/>
              <w:marTop w:val="0"/>
              <w:marBottom w:val="0"/>
              <w:divBdr>
                <w:top w:val="none" w:sz="0" w:space="0" w:color="auto"/>
                <w:left w:val="none" w:sz="0" w:space="0" w:color="auto"/>
                <w:bottom w:val="none" w:sz="0" w:space="0" w:color="auto"/>
                <w:right w:val="none" w:sz="0" w:space="0" w:color="auto"/>
              </w:divBdr>
            </w:div>
            <w:div w:id="1634484243">
              <w:marLeft w:val="0"/>
              <w:marRight w:val="0"/>
              <w:marTop w:val="0"/>
              <w:marBottom w:val="0"/>
              <w:divBdr>
                <w:top w:val="none" w:sz="0" w:space="0" w:color="auto"/>
                <w:left w:val="none" w:sz="0" w:space="0" w:color="auto"/>
                <w:bottom w:val="none" w:sz="0" w:space="0" w:color="auto"/>
                <w:right w:val="none" w:sz="0" w:space="0" w:color="auto"/>
              </w:divBdr>
            </w:div>
            <w:div w:id="1754666484">
              <w:marLeft w:val="0"/>
              <w:marRight w:val="0"/>
              <w:marTop w:val="0"/>
              <w:marBottom w:val="0"/>
              <w:divBdr>
                <w:top w:val="none" w:sz="0" w:space="0" w:color="auto"/>
                <w:left w:val="none" w:sz="0" w:space="0" w:color="auto"/>
                <w:bottom w:val="none" w:sz="0" w:space="0" w:color="auto"/>
                <w:right w:val="none" w:sz="0" w:space="0" w:color="auto"/>
              </w:divBdr>
            </w:div>
            <w:div w:id="1766076667">
              <w:marLeft w:val="0"/>
              <w:marRight w:val="0"/>
              <w:marTop w:val="0"/>
              <w:marBottom w:val="0"/>
              <w:divBdr>
                <w:top w:val="none" w:sz="0" w:space="0" w:color="auto"/>
                <w:left w:val="none" w:sz="0" w:space="0" w:color="auto"/>
                <w:bottom w:val="none" w:sz="0" w:space="0" w:color="auto"/>
                <w:right w:val="none" w:sz="0" w:space="0" w:color="auto"/>
              </w:divBdr>
            </w:div>
            <w:div w:id="2106222491">
              <w:marLeft w:val="0"/>
              <w:marRight w:val="0"/>
              <w:marTop w:val="0"/>
              <w:marBottom w:val="0"/>
              <w:divBdr>
                <w:top w:val="none" w:sz="0" w:space="0" w:color="auto"/>
                <w:left w:val="none" w:sz="0" w:space="0" w:color="auto"/>
                <w:bottom w:val="none" w:sz="0" w:space="0" w:color="auto"/>
                <w:right w:val="none" w:sz="0" w:space="0" w:color="auto"/>
              </w:divBdr>
            </w:div>
          </w:divsChild>
        </w:div>
        <w:div w:id="564995659">
          <w:marLeft w:val="0"/>
          <w:marRight w:val="0"/>
          <w:marTop w:val="0"/>
          <w:marBottom w:val="0"/>
          <w:divBdr>
            <w:top w:val="none" w:sz="0" w:space="0" w:color="auto"/>
            <w:left w:val="none" w:sz="0" w:space="0" w:color="auto"/>
            <w:bottom w:val="none" w:sz="0" w:space="0" w:color="auto"/>
            <w:right w:val="none" w:sz="0" w:space="0" w:color="auto"/>
          </w:divBdr>
        </w:div>
        <w:div w:id="583608672">
          <w:marLeft w:val="0"/>
          <w:marRight w:val="0"/>
          <w:marTop w:val="0"/>
          <w:marBottom w:val="0"/>
          <w:divBdr>
            <w:top w:val="none" w:sz="0" w:space="0" w:color="auto"/>
            <w:left w:val="none" w:sz="0" w:space="0" w:color="auto"/>
            <w:bottom w:val="none" w:sz="0" w:space="0" w:color="auto"/>
            <w:right w:val="none" w:sz="0" w:space="0" w:color="auto"/>
          </w:divBdr>
          <w:divsChild>
            <w:div w:id="753210049">
              <w:marLeft w:val="0"/>
              <w:marRight w:val="0"/>
              <w:marTop w:val="0"/>
              <w:marBottom w:val="0"/>
              <w:divBdr>
                <w:top w:val="none" w:sz="0" w:space="0" w:color="auto"/>
                <w:left w:val="none" w:sz="0" w:space="0" w:color="auto"/>
                <w:bottom w:val="none" w:sz="0" w:space="0" w:color="auto"/>
                <w:right w:val="none" w:sz="0" w:space="0" w:color="auto"/>
              </w:divBdr>
            </w:div>
            <w:div w:id="1161971131">
              <w:marLeft w:val="0"/>
              <w:marRight w:val="0"/>
              <w:marTop w:val="0"/>
              <w:marBottom w:val="0"/>
              <w:divBdr>
                <w:top w:val="none" w:sz="0" w:space="0" w:color="auto"/>
                <w:left w:val="none" w:sz="0" w:space="0" w:color="auto"/>
                <w:bottom w:val="none" w:sz="0" w:space="0" w:color="auto"/>
                <w:right w:val="none" w:sz="0" w:space="0" w:color="auto"/>
              </w:divBdr>
            </w:div>
            <w:div w:id="2143959208">
              <w:marLeft w:val="0"/>
              <w:marRight w:val="0"/>
              <w:marTop w:val="0"/>
              <w:marBottom w:val="0"/>
              <w:divBdr>
                <w:top w:val="none" w:sz="0" w:space="0" w:color="auto"/>
                <w:left w:val="none" w:sz="0" w:space="0" w:color="auto"/>
                <w:bottom w:val="none" w:sz="0" w:space="0" w:color="auto"/>
                <w:right w:val="none" w:sz="0" w:space="0" w:color="auto"/>
              </w:divBdr>
            </w:div>
          </w:divsChild>
        </w:div>
        <w:div w:id="585267860">
          <w:marLeft w:val="0"/>
          <w:marRight w:val="0"/>
          <w:marTop w:val="0"/>
          <w:marBottom w:val="0"/>
          <w:divBdr>
            <w:top w:val="none" w:sz="0" w:space="0" w:color="auto"/>
            <w:left w:val="none" w:sz="0" w:space="0" w:color="auto"/>
            <w:bottom w:val="none" w:sz="0" w:space="0" w:color="auto"/>
            <w:right w:val="none" w:sz="0" w:space="0" w:color="auto"/>
          </w:divBdr>
          <w:divsChild>
            <w:div w:id="746459655">
              <w:marLeft w:val="-75"/>
              <w:marRight w:val="0"/>
              <w:marTop w:val="30"/>
              <w:marBottom w:val="30"/>
              <w:divBdr>
                <w:top w:val="none" w:sz="0" w:space="0" w:color="auto"/>
                <w:left w:val="none" w:sz="0" w:space="0" w:color="auto"/>
                <w:bottom w:val="none" w:sz="0" w:space="0" w:color="auto"/>
                <w:right w:val="none" w:sz="0" w:space="0" w:color="auto"/>
              </w:divBdr>
              <w:divsChild>
                <w:div w:id="50469348">
                  <w:marLeft w:val="0"/>
                  <w:marRight w:val="0"/>
                  <w:marTop w:val="0"/>
                  <w:marBottom w:val="0"/>
                  <w:divBdr>
                    <w:top w:val="none" w:sz="0" w:space="0" w:color="auto"/>
                    <w:left w:val="none" w:sz="0" w:space="0" w:color="auto"/>
                    <w:bottom w:val="none" w:sz="0" w:space="0" w:color="auto"/>
                    <w:right w:val="none" w:sz="0" w:space="0" w:color="auto"/>
                  </w:divBdr>
                  <w:divsChild>
                    <w:div w:id="1077284611">
                      <w:marLeft w:val="0"/>
                      <w:marRight w:val="0"/>
                      <w:marTop w:val="0"/>
                      <w:marBottom w:val="0"/>
                      <w:divBdr>
                        <w:top w:val="none" w:sz="0" w:space="0" w:color="auto"/>
                        <w:left w:val="none" w:sz="0" w:space="0" w:color="auto"/>
                        <w:bottom w:val="none" w:sz="0" w:space="0" w:color="auto"/>
                        <w:right w:val="none" w:sz="0" w:space="0" w:color="auto"/>
                      </w:divBdr>
                    </w:div>
                  </w:divsChild>
                </w:div>
                <w:div w:id="103159474">
                  <w:marLeft w:val="0"/>
                  <w:marRight w:val="0"/>
                  <w:marTop w:val="0"/>
                  <w:marBottom w:val="0"/>
                  <w:divBdr>
                    <w:top w:val="none" w:sz="0" w:space="0" w:color="auto"/>
                    <w:left w:val="none" w:sz="0" w:space="0" w:color="auto"/>
                    <w:bottom w:val="none" w:sz="0" w:space="0" w:color="auto"/>
                    <w:right w:val="none" w:sz="0" w:space="0" w:color="auto"/>
                  </w:divBdr>
                  <w:divsChild>
                    <w:div w:id="257834032">
                      <w:marLeft w:val="0"/>
                      <w:marRight w:val="0"/>
                      <w:marTop w:val="0"/>
                      <w:marBottom w:val="0"/>
                      <w:divBdr>
                        <w:top w:val="none" w:sz="0" w:space="0" w:color="auto"/>
                        <w:left w:val="none" w:sz="0" w:space="0" w:color="auto"/>
                        <w:bottom w:val="none" w:sz="0" w:space="0" w:color="auto"/>
                        <w:right w:val="none" w:sz="0" w:space="0" w:color="auto"/>
                      </w:divBdr>
                    </w:div>
                  </w:divsChild>
                </w:div>
                <w:div w:id="431972857">
                  <w:marLeft w:val="0"/>
                  <w:marRight w:val="0"/>
                  <w:marTop w:val="0"/>
                  <w:marBottom w:val="0"/>
                  <w:divBdr>
                    <w:top w:val="none" w:sz="0" w:space="0" w:color="auto"/>
                    <w:left w:val="none" w:sz="0" w:space="0" w:color="auto"/>
                    <w:bottom w:val="none" w:sz="0" w:space="0" w:color="auto"/>
                    <w:right w:val="none" w:sz="0" w:space="0" w:color="auto"/>
                  </w:divBdr>
                  <w:divsChild>
                    <w:div w:id="378749467">
                      <w:marLeft w:val="0"/>
                      <w:marRight w:val="0"/>
                      <w:marTop w:val="0"/>
                      <w:marBottom w:val="0"/>
                      <w:divBdr>
                        <w:top w:val="none" w:sz="0" w:space="0" w:color="auto"/>
                        <w:left w:val="none" w:sz="0" w:space="0" w:color="auto"/>
                        <w:bottom w:val="none" w:sz="0" w:space="0" w:color="auto"/>
                        <w:right w:val="none" w:sz="0" w:space="0" w:color="auto"/>
                      </w:divBdr>
                    </w:div>
                  </w:divsChild>
                </w:div>
                <w:div w:id="472648378">
                  <w:marLeft w:val="0"/>
                  <w:marRight w:val="0"/>
                  <w:marTop w:val="0"/>
                  <w:marBottom w:val="0"/>
                  <w:divBdr>
                    <w:top w:val="none" w:sz="0" w:space="0" w:color="auto"/>
                    <w:left w:val="none" w:sz="0" w:space="0" w:color="auto"/>
                    <w:bottom w:val="none" w:sz="0" w:space="0" w:color="auto"/>
                    <w:right w:val="none" w:sz="0" w:space="0" w:color="auto"/>
                  </w:divBdr>
                  <w:divsChild>
                    <w:div w:id="1255549849">
                      <w:marLeft w:val="0"/>
                      <w:marRight w:val="0"/>
                      <w:marTop w:val="0"/>
                      <w:marBottom w:val="0"/>
                      <w:divBdr>
                        <w:top w:val="none" w:sz="0" w:space="0" w:color="auto"/>
                        <w:left w:val="none" w:sz="0" w:space="0" w:color="auto"/>
                        <w:bottom w:val="none" w:sz="0" w:space="0" w:color="auto"/>
                        <w:right w:val="none" w:sz="0" w:space="0" w:color="auto"/>
                      </w:divBdr>
                    </w:div>
                  </w:divsChild>
                </w:div>
                <w:div w:id="607472452">
                  <w:marLeft w:val="0"/>
                  <w:marRight w:val="0"/>
                  <w:marTop w:val="0"/>
                  <w:marBottom w:val="0"/>
                  <w:divBdr>
                    <w:top w:val="none" w:sz="0" w:space="0" w:color="auto"/>
                    <w:left w:val="none" w:sz="0" w:space="0" w:color="auto"/>
                    <w:bottom w:val="none" w:sz="0" w:space="0" w:color="auto"/>
                    <w:right w:val="none" w:sz="0" w:space="0" w:color="auto"/>
                  </w:divBdr>
                  <w:divsChild>
                    <w:div w:id="497306680">
                      <w:marLeft w:val="0"/>
                      <w:marRight w:val="0"/>
                      <w:marTop w:val="0"/>
                      <w:marBottom w:val="0"/>
                      <w:divBdr>
                        <w:top w:val="none" w:sz="0" w:space="0" w:color="auto"/>
                        <w:left w:val="none" w:sz="0" w:space="0" w:color="auto"/>
                        <w:bottom w:val="none" w:sz="0" w:space="0" w:color="auto"/>
                        <w:right w:val="none" w:sz="0" w:space="0" w:color="auto"/>
                      </w:divBdr>
                    </w:div>
                  </w:divsChild>
                </w:div>
                <w:div w:id="655303525">
                  <w:marLeft w:val="0"/>
                  <w:marRight w:val="0"/>
                  <w:marTop w:val="0"/>
                  <w:marBottom w:val="0"/>
                  <w:divBdr>
                    <w:top w:val="none" w:sz="0" w:space="0" w:color="auto"/>
                    <w:left w:val="none" w:sz="0" w:space="0" w:color="auto"/>
                    <w:bottom w:val="none" w:sz="0" w:space="0" w:color="auto"/>
                    <w:right w:val="none" w:sz="0" w:space="0" w:color="auto"/>
                  </w:divBdr>
                  <w:divsChild>
                    <w:div w:id="746927002">
                      <w:marLeft w:val="0"/>
                      <w:marRight w:val="0"/>
                      <w:marTop w:val="0"/>
                      <w:marBottom w:val="0"/>
                      <w:divBdr>
                        <w:top w:val="none" w:sz="0" w:space="0" w:color="auto"/>
                        <w:left w:val="none" w:sz="0" w:space="0" w:color="auto"/>
                        <w:bottom w:val="none" w:sz="0" w:space="0" w:color="auto"/>
                        <w:right w:val="none" w:sz="0" w:space="0" w:color="auto"/>
                      </w:divBdr>
                    </w:div>
                  </w:divsChild>
                </w:div>
                <w:div w:id="947396257">
                  <w:marLeft w:val="0"/>
                  <w:marRight w:val="0"/>
                  <w:marTop w:val="0"/>
                  <w:marBottom w:val="0"/>
                  <w:divBdr>
                    <w:top w:val="none" w:sz="0" w:space="0" w:color="auto"/>
                    <w:left w:val="none" w:sz="0" w:space="0" w:color="auto"/>
                    <w:bottom w:val="none" w:sz="0" w:space="0" w:color="auto"/>
                    <w:right w:val="none" w:sz="0" w:space="0" w:color="auto"/>
                  </w:divBdr>
                  <w:divsChild>
                    <w:div w:id="1519659646">
                      <w:marLeft w:val="0"/>
                      <w:marRight w:val="0"/>
                      <w:marTop w:val="0"/>
                      <w:marBottom w:val="0"/>
                      <w:divBdr>
                        <w:top w:val="none" w:sz="0" w:space="0" w:color="auto"/>
                        <w:left w:val="none" w:sz="0" w:space="0" w:color="auto"/>
                        <w:bottom w:val="none" w:sz="0" w:space="0" w:color="auto"/>
                        <w:right w:val="none" w:sz="0" w:space="0" w:color="auto"/>
                      </w:divBdr>
                    </w:div>
                  </w:divsChild>
                </w:div>
                <w:div w:id="988904068">
                  <w:marLeft w:val="0"/>
                  <w:marRight w:val="0"/>
                  <w:marTop w:val="0"/>
                  <w:marBottom w:val="0"/>
                  <w:divBdr>
                    <w:top w:val="none" w:sz="0" w:space="0" w:color="auto"/>
                    <w:left w:val="none" w:sz="0" w:space="0" w:color="auto"/>
                    <w:bottom w:val="none" w:sz="0" w:space="0" w:color="auto"/>
                    <w:right w:val="none" w:sz="0" w:space="0" w:color="auto"/>
                  </w:divBdr>
                  <w:divsChild>
                    <w:div w:id="758718000">
                      <w:marLeft w:val="0"/>
                      <w:marRight w:val="0"/>
                      <w:marTop w:val="0"/>
                      <w:marBottom w:val="0"/>
                      <w:divBdr>
                        <w:top w:val="none" w:sz="0" w:space="0" w:color="auto"/>
                        <w:left w:val="none" w:sz="0" w:space="0" w:color="auto"/>
                        <w:bottom w:val="none" w:sz="0" w:space="0" w:color="auto"/>
                        <w:right w:val="none" w:sz="0" w:space="0" w:color="auto"/>
                      </w:divBdr>
                    </w:div>
                  </w:divsChild>
                </w:div>
                <w:div w:id="1150906750">
                  <w:marLeft w:val="0"/>
                  <w:marRight w:val="0"/>
                  <w:marTop w:val="0"/>
                  <w:marBottom w:val="0"/>
                  <w:divBdr>
                    <w:top w:val="none" w:sz="0" w:space="0" w:color="auto"/>
                    <w:left w:val="none" w:sz="0" w:space="0" w:color="auto"/>
                    <w:bottom w:val="none" w:sz="0" w:space="0" w:color="auto"/>
                    <w:right w:val="none" w:sz="0" w:space="0" w:color="auto"/>
                  </w:divBdr>
                  <w:divsChild>
                    <w:div w:id="1470513495">
                      <w:marLeft w:val="0"/>
                      <w:marRight w:val="0"/>
                      <w:marTop w:val="0"/>
                      <w:marBottom w:val="0"/>
                      <w:divBdr>
                        <w:top w:val="none" w:sz="0" w:space="0" w:color="auto"/>
                        <w:left w:val="none" w:sz="0" w:space="0" w:color="auto"/>
                        <w:bottom w:val="none" w:sz="0" w:space="0" w:color="auto"/>
                        <w:right w:val="none" w:sz="0" w:space="0" w:color="auto"/>
                      </w:divBdr>
                    </w:div>
                  </w:divsChild>
                </w:div>
                <w:div w:id="1346517607">
                  <w:marLeft w:val="0"/>
                  <w:marRight w:val="0"/>
                  <w:marTop w:val="0"/>
                  <w:marBottom w:val="0"/>
                  <w:divBdr>
                    <w:top w:val="none" w:sz="0" w:space="0" w:color="auto"/>
                    <w:left w:val="none" w:sz="0" w:space="0" w:color="auto"/>
                    <w:bottom w:val="none" w:sz="0" w:space="0" w:color="auto"/>
                    <w:right w:val="none" w:sz="0" w:space="0" w:color="auto"/>
                  </w:divBdr>
                  <w:divsChild>
                    <w:div w:id="556624105">
                      <w:marLeft w:val="0"/>
                      <w:marRight w:val="0"/>
                      <w:marTop w:val="0"/>
                      <w:marBottom w:val="0"/>
                      <w:divBdr>
                        <w:top w:val="none" w:sz="0" w:space="0" w:color="auto"/>
                        <w:left w:val="none" w:sz="0" w:space="0" w:color="auto"/>
                        <w:bottom w:val="none" w:sz="0" w:space="0" w:color="auto"/>
                        <w:right w:val="none" w:sz="0" w:space="0" w:color="auto"/>
                      </w:divBdr>
                    </w:div>
                  </w:divsChild>
                </w:div>
                <w:div w:id="1373337803">
                  <w:marLeft w:val="0"/>
                  <w:marRight w:val="0"/>
                  <w:marTop w:val="0"/>
                  <w:marBottom w:val="0"/>
                  <w:divBdr>
                    <w:top w:val="none" w:sz="0" w:space="0" w:color="auto"/>
                    <w:left w:val="none" w:sz="0" w:space="0" w:color="auto"/>
                    <w:bottom w:val="none" w:sz="0" w:space="0" w:color="auto"/>
                    <w:right w:val="none" w:sz="0" w:space="0" w:color="auto"/>
                  </w:divBdr>
                  <w:divsChild>
                    <w:div w:id="963655075">
                      <w:marLeft w:val="0"/>
                      <w:marRight w:val="0"/>
                      <w:marTop w:val="0"/>
                      <w:marBottom w:val="0"/>
                      <w:divBdr>
                        <w:top w:val="none" w:sz="0" w:space="0" w:color="auto"/>
                        <w:left w:val="none" w:sz="0" w:space="0" w:color="auto"/>
                        <w:bottom w:val="none" w:sz="0" w:space="0" w:color="auto"/>
                        <w:right w:val="none" w:sz="0" w:space="0" w:color="auto"/>
                      </w:divBdr>
                    </w:div>
                  </w:divsChild>
                </w:div>
                <w:div w:id="1430462475">
                  <w:marLeft w:val="0"/>
                  <w:marRight w:val="0"/>
                  <w:marTop w:val="0"/>
                  <w:marBottom w:val="0"/>
                  <w:divBdr>
                    <w:top w:val="none" w:sz="0" w:space="0" w:color="auto"/>
                    <w:left w:val="none" w:sz="0" w:space="0" w:color="auto"/>
                    <w:bottom w:val="none" w:sz="0" w:space="0" w:color="auto"/>
                    <w:right w:val="none" w:sz="0" w:space="0" w:color="auto"/>
                  </w:divBdr>
                  <w:divsChild>
                    <w:div w:id="123089358">
                      <w:marLeft w:val="0"/>
                      <w:marRight w:val="0"/>
                      <w:marTop w:val="0"/>
                      <w:marBottom w:val="0"/>
                      <w:divBdr>
                        <w:top w:val="none" w:sz="0" w:space="0" w:color="auto"/>
                        <w:left w:val="none" w:sz="0" w:space="0" w:color="auto"/>
                        <w:bottom w:val="none" w:sz="0" w:space="0" w:color="auto"/>
                        <w:right w:val="none" w:sz="0" w:space="0" w:color="auto"/>
                      </w:divBdr>
                    </w:div>
                  </w:divsChild>
                </w:div>
                <w:div w:id="1837260214">
                  <w:marLeft w:val="0"/>
                  <w:marRight w:val="0"/>
                  <w:marTop w:val="0"/>
                  <w:marBottom w:val="0"/>
                  <w:divBdr>
                    <w:top w:val="none" w:sz="0" w:space="0" w:color="auto"/>
                    <w:left w:val="none" w:sz="0" w:space="0" w:color="auto"/>
                    <w:bottom w:val="none" w:sz="0" w:space="0" w:color="auto"/>
                    <w:right w:val="none" w:sz="0" w:space="0" w:color="auto"/>
                  </w:divBdr>
                  <w:divsChild>
                    <w:div w:id="532813458">
                      <w:marLeft w:val="0"/>
                      <w:marRight w:val="0"/>
                      <w:marTop w:val="0"/>
                      <w:marBottom w:val="0"/>
                      <w:divBdr>
                        <w:top w:val="none" w:sz="0" w:space="0" w:color="auto"/>
                        <w:left w:val="none" w:sz="0" w:space="0" w:color="auto"/>
                        <w:bottom w:val="none" w:sz="0" w:space="0" w:color="auto"/>
                        <w:right w:val="none" w:sz="0" w:space="0" w:color="auto"/>
                      </w:divBdr>
                    </w:div>
                  </w:divsChild>
                </w:div>
                <w:div w:id="2079551587">
                  <w:marLeft w:val="0"/>
                  <w:marRight w:val="0"/>
                  <w:marTop w:val="0"/>
                  <w:marBottom w:val="0"/>
                  <w:divBdr>
                    <w:top w:val="none" w:sz="0" w:space="0" w:color="auto"/>
                    <w:left w:val="none" w:sz="0" w:space="0" w:color="auto"/>
                    <w:bottom w:val="none" w:sz="0" w:space="0" w:color="auto"/>
                    <w:right w:val="none" w:sz="0" w:space="0" w:color="auto"/>
                  </w:divBdr>
                  <w:divsChild>
                    <w:div w:id="19417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1749">
          <w:marLeft w:val="0"/>
          <w:marRight w:val="0"/>
          <w:marTop w:val="0"/>
          <w:marBottom w:val="0"/>
          <w:divBdr>
            <w:top w:val="none" w:sz="0" w:space="0" w:color="auto"/>
            <w:left w:val="none" w:sz="0" w:space="0" w:color="auto"/>
            <w:bottom w:val="none" w:sz="0" w:space="0" w:color="auto"/>
            <w:right w:val="none" w:sz="0" w:space="0" w:color="auto"/>
          </w:divBdr>
          <w:divsChild>
            <w:div w:id="415639213">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216045285">
              <w:marLeft w:val="0"/>
              <w:marRight w:val="0"/>
              <w:marTop w:val="0"/>
              <w:marBottom w:val="0"/>
              <w:divBdr>
                <w:top w:val="none" w:sz="0" w:space="0" w:color="auto"/>
                <w:left w:val="none" w:sz="0" w:space="0" w:color="auto"/>
                <w:bottom w:val="none" w:sz="0" w:space="0" w:color="auto"/>
                <w:right w:val="none" w:sz="0" w:space="0" w:color="auto"/>
              </w:divBdr>
            </w:div>
            <w:div w:id="1267352135">
              <w:marLeft w:val="0"/>
              <w:marRight w:val="0"/>
              <w:marTop w:val="0"/>
              <w:marBottom w:val="0"/>
              <w:divBdr>
                <w:top w:val="none" w:sz="0" w:space="0" w:color="auto"/>
                <w:left w:val="none" w:sz="0" w:space="0" w:color="auto"/>
                <w:bottom w:val="none" w:sz="0" w:space="0" w:color="auto"/>
                <w:right w:val="none" w:sz="0" w:space="0" w:color="auto"/>
              </w:divBdr>
            </w:div>
          </w:divsChild>
        </w:div>
        <w:div w:id="688797491">
          <w:marLeft w:val="0"/>
          <w:marRight w:val="0"/>
          <w:marTop w:val="0"/>
          <w:marBottom w:val="0"/>
          <w:divBdr>
            <w:top w:val="none" w:sz="0" w:space="0" w:color="auto"/>
            <w:left w:val="none" w:sz="0" w:space="0" w:color="auto"/>
            <w:bottom w:val="none" w:sz="0" w:space="0" w:color="auto"/>
            <w:right w:val="none" w:sz="0" w:space="0" w:color="auto"/>
          </w:divBdr>
          <w:divsChild>
            <w:div w:id="71246408">
              <w:marLeft w:val="0"/>
              <w:marRight w:val="0"/>
              <w:marTop w:val="0"/>
              <w:marBottom w:val="0"/>
              <w:divBdr>
                <w:top w:val="none" w:sz="0" w:space="0" w:color="auto"/>
                <w:left w:val="none" w:sz="0" w:space="0" w:color="auto"/>
                <w:bottom w:val="none" w:sz="0" w:space="0" w:color="auto"/>
                <w:right w:val="none" w:sz="0" w:space="0" w:color="auto"/>
              </w:divBdr>
            </w:div>
            <w:div w:id="627931818">
              <w:marLeft w:val="0"/>
              <w:marRight w:val="0"/>
              <w:marTop w:val="0"/>
              <w:marBottom w:val="0"/>
              <w:divBdr>
                <w:top w:val="none" w:sz="0" w:space="0" w:color="auto"/>
                <w:left w:val="none" w:sz="0" w:space="0" w:color="auto"/>
                <w:bottom w:val="none" w:sz="0" w:space="0" w:color="auto"/>
                <w:right w:val="none" w:sz="0" w:space="0" w:color="auto"/>
              </w:divBdr>
            </w:div>
          </w:divsChild>
        </w:div>
        <w:div w:id="707878861">
          <w:marLeft w:val="0"/>
          <w:marRight w:val="0"/>
          <w:marTop w:val="0"/>
          <w:marBottom w:val="0"/>
          <w:divBdr>
            <w:top w:val="none" w:sz="0" w:space="0" w:color="auto"/>
            <w:left w:val="none" w:sz="0" w:space="0" w:color="auto"/>
            <w:bottom w:val="none" w:sz="0" w:space="0" w:color="auto"/>
            <w:right w:val="none" w:sz="0" w:space="0" w:color="auto"/>
          </w:divBdr>
          <w:divsChild>
            <w:div w:id="599528137">
              <w:marLeft w:val="-75"/>
              <w:marRight w:val="0"/>
              <w:marTop w:val="30"/>
              <w:marBottom w:val="30"/>
              <w:divBdr>
                <w:top w:val="none" w:sz="0" w:space="0" w:color="auto"/>
                <w:left w:val="none" w:sz="0" w:space="0" w:color="auto"/>
                <w:bottom w:val="none" w:sz="0" w:space="0" w:color="auto"/>
                <w:right w:val="none" w:sz="0" w:space="0" w:color="auto"/>
              </w:divBdr>
              <w:divsChild>
                <w:div w:id="39018437">
                  <w:marLeft w:val="0"/>
                  <w:marRight w:val="0"/>
                  <w:marTop w:val="0"/>
                  <w:marBottom w:val="0"/>
                  <w:divBdr>
                    <w:top w:val="none" w:sz="0" w:space="0" w:color="auto"/>
                    <w:left w:val="none" w:sz="0" w:space="0" w:color="auto"/>
                    <w:bottom w:val="none" w:sz="0" w:space="0" w:color="auto"/>
                    <w:right w:val="none" w:sz="0" w:space="0" w:color="auto"/>
                  </w:divBdr>
                  <w:divsChild>
                    <w:div w:id="1516965095">
                      <w:marLeft w:val="0"/>
                      <w:marRight w:val="0"/>
                      <w:marTop w:val="0"/>
                      <w:marBottom w:val="0"/>
                      <w:divBdr>
                        <w:top w:val="none" w:sz="0" w:space="0" w:color="auto"/>
                        <w:left w:val="none" w:sz="0" w:space="0" w:color="auto"/>
                        <w:bottom w:val="none" w:sz="0" w:space="0" w:color="auto"/>
                        <w:right w:val="none" w:sz="0" w:space="0" w:color="auto"/>
                      </w:divBdr>
                    </w:div>
                  </w:divsChild>
                </w:div>
                <w:div w:id="92171948">
                  <w:marLeft w:val="0"/>
                  <w:marRight w:val="0"/>
                  <w:marTop w:val="0"/>
                  <w:marBottom w:val="0"/>
                  <w:divBdr>
                    <w:top w:val="none" w:sz="0" w:space="0" w:color="auto"/>
                    <w:left w:val="none" w:sz="0" w:space="0" w:color="auto"/>
                    <w:bottom w:val="none" w:sz="0" w:space="0" w:color="auto"/>
                    <w:right w:val="none" w:sz="0" w:space="0" w:color="auto"/>
                  </w:divBdr>
                  <w:divsChild>
                    <w:div w:id="933904902">
                      <w:marLeft w:val="0"/>
                      <w:marRight w:val="0"/>
                      <w:marTop w:val="0"/>
                      <w:marBottom w:val="0"/>
                      <w:divBdr>
                        <w:top w:val="none" w:sz="0" w:space="0" w:color="auto"/>
                        <w:left w:val="none" w:sz="0" w:space="0" w:color="auto"/>
                        <w:bottom w:val="none" w:sz="0" w:space="0" w:color="auto"/>
                        <w:right w:val="none" w:sz="0" w:space="0" w:color="auto"/>
                      </w:divBdr>
                    </w:div>
                    <w:div w:id="1962148742">
                      <w:marLeft w:val="0"/>
                      <w:marRight w:val="0"/>
                      <w:marTop w:val="0"/>
                      <w:marBottom w:val="0"/>
                      <w:divBdr>
                        <w:top w:val="none" w:sz="0" w:space="0" w:color="auto"/>
                        <w:left w:val="none" w:sz="0" w:space="0" w:color="auto"/>
                        <w:bottom w:val="none" w:sz="0" w:space="0" w:color="auto"/>
                        <w:right w:val="none" w:sz="0" w:space="0" w:color="auto"/>
                      </w:divBdr>
                    </w:div>
                  </w:divsChild>
                </w:div>
                <w:div w:id="186335635">
                  <w:marLeft w:val="0"/>
                  <w:marRight w:val="0"/>
                  <w:marTop w:val="0"/>
                  <w:marBottom w:val="0"/>
                  <w:divBdr>
                    <w:top w:val="none" w:sz="0" w:space="0" w:color="auto"/>
                    <w:left w:val="none" w:sz="0" w:space="0" w:color="auto"/>
                    <w:bottom w:val="none" w:sz="0" w:space="0" w:color="auto"/>
                    <w:right w:val="none" w:sz="0" w:space="0" w:color="auto"/>
                  </w:divBdr>
                  <w:divsChild>
                    <w:div w:id="679116752">
                      <w:marLeft w:val="0"/>
                      <w:marRight w:val="0"/>
                      <w:marTop w:val="0"/>
                      <w:marBottom w:val="0"/>
                      <w:divBdr>
                        <w:top w:val="none" w:sz="0" w:space="0" w:color="auto"/>
                        <w:left w:val="none" w:sz="0" w:space="0" w:color="auto"/>
                        <w:bottom w:val="none" w:sz="0" w:space="0" w:color="auto"/>
                        <w:right w:val="none" w:sz="0" w:space="0" w:color="auto"/>
                      </w:divBdr>
                    </w:div>
                  </w:divsChild>
                </w:div>
                <w:div w:id="224265522">
                  <w:marLeft w:val="0"/>
                  <w:marRight w:val="0"/>
                  <w:marTop w:val="0"/>
                  <w:marBottom w:val="0"/>
                  <w:divBdr>
                    <w:top w:val="none" w:sz="0" w:space="0" w:color="auto"/>
                    <w:left w:val="none" w:sz="0" w:space="0" w:color="auto"/>
                    <w:bottom w:val="none" w:sz="0" w:space="0" w:color="auto"/>
                    <w:right w:val="none" w:sz="0" w:space="0" w:color="auto"/>
                  </w:divBdr>
                  <w:divsChild>
                    <w:div w:id="1029989153">
                      <w:marLeft w:val="0"/>
                      <w:marRight w:val="0"/>
                      <w:marTop w:val="0"/>
                      <w:marBottom w:val="0"/>
                      <w:divBdr>
                        <w:top w:val="none" w:sz="0" w:space="0" w:color="auto"/>
                        <w:left w:val="none" w:sz="0" w:space="0" w:color="auto"/>
                        <w:bottom w:val="none" w:sz="0" w:space="0" w:color="auto"/>
                        <w:right w:val="none" w:sz="0" w:space="0" w:color="auto"/>
                      </w:divBdr>
                    </w:div>
                  </w:divsChild>
                </w:div>
                <w:div w:id="236597478">
                  <w:marLeft w:val="0"/>
                  <w:marRight w:val="0"/>
                  <w:marTop w:val="0"/>
                  <w:marBottom w:val="0"/>
                  <w:divBdr>
                    <w:top w:val="none" w:sz="0" w:space="0" w:color="auto"/>
                    <w:left w:val="none" w:sz="0" w:space="0" w:color="auto"/>
                    <w:bottom w:val="none" w:sz="0" w:space="0" w:color="auto"/>
                    <w:right w:val="none" w:sz="0" w:space="0" w:color="auto"/>
                  </w:divBdr>
                  <w:divsChild>
                    <w:div w:id="1110973966">
                      <w:marLeft w:val="0"/>
                      <w:marRight w:val="0"/>
                      <w:marTop w:val="0"/>
                      <w:marBottom w:val="0"/>
                      <w:divBdr>
                        <w:top w:val="none" w:sz="0" w:space="0" w:color="auto"/>
                        <w:left w:val="none" w:sz="0" w:space="0" w:color="auto"/>
                        <w:bottom w:val="none" w:sz="0" w:space="0" w:color="auto"/>
                        <w:right w:val="none" w:sz="0" w:space="0" w:color="auto"/>
                      </w:divBdr>
                    </w:div>
                  </w:divsChild>
                </w:div>
                <w:div w:id="252083052">
                  <w:marLeft w:val="0"/>
                  <w:marRight w:val="0"/>
                  <w:marTop w:val="0"/>
                  <w:marBottom w:val="0"/>
                  <w:divBdr>
                    <w:top w:val="none" w:sz="0" w:space="0" w:color="auto"/>
                    <w:left w:val="none" w:sz="0" w:space="0" w:color="auto"/>
                    <w:bottom w:val="none" w:sz="0" w:space="0" w:color="auto"/>
                    <w:right w:val="none" w:sz="0" w:space="0" w:color="auto"/>
                  </w:divBdr>
                  <w:divsChild>
                    <w:div w:id="386957088">
                      <w:marLeft w:val="0"/>
                      <w:marRight w:val="0"/>
                      <w:marTop w:val="0"/>
                      <w:marBottom w:val="0"/>
                      <w:divBdr>
                        <w:top w:val="none" w:sz="0" w:space="0" w:color="auto"/>
                        <w:left w:val="none" w:sz="0" w:space="0" w:color="auto"/>
                        <w:bottom w:val="none" w:sz="0" w:space="0" w:color="auto"/>
                        <w:right w:val="none" w:sz="0" w:space="0" w:color="auto"/>
                      </w:divBdr>
                    </w:div>
                  </w:divsChild>
                </w:div>
                <w:div w:id="328557066">
                  <w:marLeft w:val="0"/>
                  <w:marRight w:val="0"/>
                  <w:marTop w:val="0"/>
                  <w:marBottom w:val="0"/>
                  <w:divBdr>
                    <w:top w:val="none" w:sz="0" w:space="0" w:color="auto"/>
                    <w:left w:val="none" w:sz="0" w:space="0" w:color="auto"/>
                    <w:bottom w:val="none" w:sz="0" w:space="0" w:color="auto"/>
                    <w:right w:val="none" w:sz="0" w:space="0" w:color="auto"/>
                  </w:divBdr>
                  <w:divsChild>
                    <w:div w:id="1839882434">
                      <w:marLeft w:val="0"/>
                      <w:marRight w:val="0"/>
                      <w:marTop w:val="0"/>
                      <w:marBottom w:val="0"/>
                      <w:divBdr>
                        <w:top w:val="none" w:sz="0" w:space="0" w:color="auto"/>
                        <w:left w:val="none" w:sz="0" w:space="0" w:color="auto"/>
                        <w:bottom w:val="none" w:sz="0" w:space="0" w:color="auto"/>
                        <w:right w:val="none" w:sz="0" w:space="0" w:color="auto"/>
                      </w:divBdr>
                    </w:div>
                  </w:divsChild>
                </w:div>
                <w:div w:id="354044334">
                  <w:marLeft w:val="0"/>
                  <w:marRight w:val="0"/>
                  <w:marTop w:val="0"/>
                  <w:marBottom w:val="0"/>
                  <w:divBdr>
                    <w:top w:val="none" w:sz="0" w:space="0" w:color="auto"/>
                    <w:left w:val="none" w:sz="0" w:space="0" w:color="auto"/>
                    <w:bottom w:val="none" w:sz="0" w:space="0" w:color="auto"/>
                    <w:right w:val="none" w:sz="0" w:space="0" w:color="auto"/>
                  </w:divBdr>
                  <w:divsChild>
                    <w:div w:id="767652285">
                      <w:marLeft w:val="0"/>
                      <w:marRight w:val="0"/>
                      <w:marTop w:val="0"/>
                      <w:marBottom w:val="0"/>
                      <w:divBdr>
                        <w:top w:val="none" w:sz="0" w:space="0" w:color="auto"/>
                        <w:left w:val="none" w:sz="0" w:space="0" w:color="auto"/>
                        <w:bottom w:val="none" w:sz="0" w:space="0" w:color="auto"/>
                        <w:right w:val="none" w:sz="0" w:space="0" w:color="auto"/>
                      </w:divBdr>
                    </w:div>
                  </w:divsChild>
                </w:div>
                <w:div w:id="364839564">
                  <w:marLeft w:val="0"/>
                  <w:marRight w:val="0"/>
                  <w:marTop w:val="0"/>
                  <w:marBottom w:val="0"/>
                  <w:divBdr>
                    <w:top w:val="none" w:sz="0" w:space="0" w:color="auto"/>
                    <w:left w:val="none" w:sz="0" w:space="0" w:color="auto"/>
                    <w:bottom w:val="none" w:sz="0" w:space="0" w:color="auto"/>
                    <w:right w:val="none" w:sz="0" w:space="0" w:color="auto"/>
                  </w:divBdr>
                  <w:divsChild>
                    <w:div w:id="1353260525">
                      <w:marLeft w:val="0"/>
                      <w:marRight w:val="0"/>
                      <w:marTop w:val="0"/>
                      <w:marBottom w:val="0"/>
                      <w:divBdr>
                        <w:top w:val="none" w:sz="0" w:space="0" w:color="auto"/>
                        <w:left w:val="none" w:sz="0" w:space="0" w:color="auto"/>
                        <w:bottom w:val="none" w:sz="0" w:space="0" w:color="auto"/>
                        <w:right w:val="none" w:sz="0" w:space="0" w:color="auto"/>
                      </w:divBdr>
                    </w:div>
                  </w:divsChild>
                </w:div>
                <w:div w:id="448164778">
                  <w:marLeft w:val="0"/>
                  <w:marRight w:val="0"/>
                  <w:marTop w:val="0"/>
                  <w:marBottom w:val="0"/>
                  <w:divBdr>
                    <w:top w:val="none" w:sz="0" w:space="0" w:color="auto"/>
                    <w:left w:val="none" w:sz="0" w:space="0" w:color="auto"/>
                    <w:bottom w:val="none" w:sz="0" w:space="0" w:color="auto"/>
                    <w:right w:val="none" w:sz="0" w:space="0" w:color="auto"/>
                  </w:divBdr>
                  <w:divsChild>
                    <w:div w:id="1057322430">
                      <w:marLeft w:val="0"/>
                      <w:marRight w:val="0"/>
                      <w:marTop w:val="0"/>
                      <w:marBottom w:val="0"/>
                      <w:divBdr>
                        <w:top w:val="none" w:sz="0" w:space="0" w:color="auto"/>
                        <w:left w:val="none" w:sz="0" w:space="0" w:color="auto"/>
                        <w:bottom w:val="none" w:sz="0" w:space="0" w:color="auto"/>
                        <w:right w:val="none" w:sz="0" w:space="0" w:color="auto"/>
                      </w:divBdr>
                    </w:div>
                  </w:divsChild>
                </w:div>
                <w:div w:id="597837890">
                  <w:marLeft w:val="0"/>
                  <w:marRight w:val="0"/>
                  <w:marTop w:val="0"/>
                  <w:marBottom w:val="0"/>
                  <w:divBdr>
                    <w:top w:val="none" w:sz="0" w:space="0" w:color="auto"/>
                    <w:left w:val="none" w:sz="0" w:space="0" w:color="auto"/>
                    <w:bottom w:val="none" w:sz="0" w:space="0" w:color="auto"/>
                    <w:right w:val="none" w:sz="0" w:space="0" w:color="auto"/>
                  </w:divBdr>
                  <w:divsChild>
                    <w:div w:id="1237595371">
                      <w:marLeft w:val="0"/>
                      <w:marRight w:val="0"/>
                      <w:marTop w:val="0"/>
                      <w:marBottom w:val="0"/>
                      <w:divBdr>
                        <w:top w:val="none" w:sz="0" w:space="0" w:color="auto"/>
                        <w:left w:val="none" w:sz="0" w:space="0" w:color="auto"/>
                        <w:bottom w:val="none" w:sz="0" w:space="0" w:color="auto"/>
                        <w:right w:val="none" w:sz="0" w:space="0" w:color="auto"/>
                      </w:divBdr>
                    </w:div>
                  </w:divsChild>
                </w:div>
                <w:div w:id="600838909">
                  <w:marLeft w:val="0"/>
                  <w:marRight w:val="0"/>
                  <w:marTop w:val="0"/>
                  <w:marBottom w:val="0"/>
                  <w:divBdr>
                    <w:top w:val="none" w:sz="0" w:space="0" w:color="auto"/>
                    <w:left w:val="none" w:sz="0" w:space="0" w:color="auto"/>
                    <w:bottom w:val="none" w:sz="0" w:space="0" w:color="auto"/>
                    <w:right w:val="none" w:sz="0" w:space="0" w:color="auto"/>
                  </w:divBdr>
                  <w:divsChild>
                    <w:div w:id="1755124561">
                      <w:marLeft w:val="0"/>
                      <w:marRight w:val="0"/>
                      <w:marTop w:val="0"/>
                      <w:marBottom w:val="0"/>
                      <w:divBdr>
                        <w:top w:val="none" w:sz="0" w:space="0" w:color="auto"/>
                        <w:left w:val="none" w:sz="0" w:space="0" w:color="auto"/>
                        <w:bottom w:val="none" w:sz="0" w:space="0" w:color="auto"/>
                        <w:right w:val="none" w:sz="0" w:space="0" w:color="auto"/>
                      </w:divBdr>
                    </w:div>
                  </w:divsChild>
                </w:div>
                <w:div w:id="629553885">
                  <w:marLeft w:val="0"/>
                  <w:marRight w:val="0"/>
                  <w:marTop w:val="0"/>
                  <w:marBottom w:val="0"/>
                  <w:divBdr>
                    <w:top w:val="none" w:sz="0" w:space="0" w:color="auto"/>
                    <w:left w:val="none" w:sz="0" w:space="0" w:color="auto"/>
                    <w:bottom w:val="none" w:sz="0" w:space="0" w:color="auto"/>
                    <w:right w:val="none" w:sz="0" w:space="0" w:color="auto"/>
                  </w:divBdr>
                  <w:divsChild>
                    <w:div w:id="2036541887">
                      <w:marLeft w:val="0"/>
                      <w:marRight w:val="0"/>
                      <w:marTop w:val="0"/>
                      <w:marBottom w:val="0"/>
                      <w:divBdr>
                        <w:top w:val="none" w:sz="0" w:space="0" w:color="auto"/>
                        <w:left w:val="none" w:sz="0" w:space="0" w:color="auto"/>
                        <w:bottom w:val="none" w:sz="0" w:space="0" w:color="auto"/>
                        <w:right w:val="none" w:sz="0" w:space="0" w:color="auto"/>
                      </w:divBdr>
                    </w:div>
                  </w:divsChild>
                </w:div>
                <w:div w:id="638269949">
                  <w:marLeft w:val="0"/>
                  <w:marRight w:val="0"/>
                  <w:marTop w:val="0"/>
                  <w:marBottom w:val="0"/>
                  <w:divBdr>
                    <w:top w:val="none" w:sz="0" w:space="0" w:color="auto"/>
                    <w:left w:val="none" w:sz="0" w:space="0" w:color="auto"/>
                    <w:bottom w:val="none" w:sz="0" w:space="0" w:color="auto"/>
                    <w:right w:val="none" w:sz="0" w:space="0" w:color="auto"/>
                  </w:divBdr>
                  <w:divsChild>
                    <w:div w:id="847716355">
                      <w:marLeft w:val="0"/>
                      <w:marRight w:val="0"/>
                      <w:marTop w:val="0"/>
                      <w:marBottom w:val="0"/>
                      <w:divBdr>
                        <w:top w:val="none" w:sz="0" w:space="0" w:color="auto"/>
                        <w:left w:val="none" w:sz="0" w:space="0" w:color="auto"/>
                        <w:bottom w:val="none" w:sz="0" w:space="0" w:color="auto"/>
                        <w:right w:val="none" w:sz="0" w:space="0" w:color="auto"/>
                      </w:divBdr>
                    </w:div>
                  </w:divsChild>
                </w:div>
                <w:div w:id="650794189">
                  <w:marLeft w:val="0"/>
                  <w:marRight w:val="0"/>
                  <w:marTop w:val="0"/>
                  <w:marBottom w:val="0"/>
                  <w:divBdr>
                    <w:top w:val="none" w:sz="0" w:space="0" w:color="auto"/>
                    <w:left w:val="none" w:sz="0" w:space="0" w:color="auto"/>
                    <w:bottom w:val="none" w:sz="0" w:space="0" w:color="auto"/>
                    <w:right w:val="none" w:sz="0" w:space="0" w:color="auto"/>
                  </w:divBdr>
                  <w:divsChild>
                    <w:div w:id="2048526828">
                      <w:marLeft w:val="0"/>
                      <w:marRight w:val="0"/>
                      <w:marTop w:val="0"/>
                      <w:marBottom w:val="0"/>
                      <w:divBdr>
                        <w:top w:val="none" w:sz="0" w:space="0" w:color="auto"/>
                        <w:left w:val="none" w:sz="0" w:space="0" w:color="auto"/>
                        <w:bottom w:val="none" w:sz="0" w:space="0" w:color="auto"/>
                        <w:right w:val="none" w:sz="0" w:space="0" w:color="auto"/>
                      </w:divBdr>
                    </w:div>
                  </w:divsChild>
                </w:div>
                <w:div w:id="724069105">
                  <w:marLeft w:val="0"/>
                  <w:marRight w:val="0"/>
                  <w:marTop w:val="0"/>
                  <w:marBottom w:val="0"/>
                  <w:divBdr>
                    <w:top w:val="none" w:sz="0" w:space="0" w:color="auto"/>
                    <w:left w:val="none" w:sz="0" w:space="0" w:color="auto"/>
                    <w:bottom w:val="none" w:sz="0" w:space="0" w:color="auto"/>
                    <w:right w:val="none" w:sz="0" w:space="0" w:color="auto"/>
                  </w:divBdr>
                  <w:divsChild>
                    <w:div w:id="1344628848">
                      <w:marLeft w:val="0"/>
                      <w:marRight w:val="0"/>
                      <w:marTop w:val="0"/>
                      <w:marBottom w:val="0"/>
                      <w:divBdr>
                        <w:top w:val="none" w:sz="0" w:space="0" w:color="auto"/>
                        <w:left w:val="none" w:sz="0" w:space="0" w:color="auto"/>
                        <w:bottom w:val="none" w:sz="0" w:space="0" w:color="auto"/>
                        <w:right w:val="none" w:sz="0" w:space="0" w:color="auto"/>
                      </w:divBdr>
                    </w:div>
                  </w:divsChild>
                </w:div>
                <w:div w:id="742265790">
                  <w:marLeft w:val="0"/>
                  <w:marRight w:val="0"/>
                  <w:marTop w:val="0"/>
                  <w:marBottom w:val="0"/>
                  <w:divBdr>
                    <w:top w:val="none" w:sz="0" w:space="0" w:color="auto"/>
                    <w:left w:val="none" w:sz="0" w:space="0" w:color="auto"/>
                    <w:bottom w:val="none" w:sz="0" w:space="0" w:color="auto"/>
                    <w:right w:val="none" w:sz="0" w:space="0" w:color="auto"/>
                  </w:divBdr>
                  <w:divsChild>
                    <w:div w:id="426190969">
                      <w:marLeft w:val="0"/>
                      <w:marRight w:val="0"/>
                      <w:marTop w:val="0"/>
                      <w:marBottom w:val="0"/>
                      <w:divBdr>
                        <w:top w:val="none" w:sz="0" w:space="0" w:color="auto"/>
                        <w:left w:val="none" w:sz="0" w:space="0" w:color="auto"/>
                        <w:bottom w:val="none" w:sz="0" w:space="0" w:color="auto"/>
                        <w:right w:val="none" w:sz="0" w:space="0" w:color="auto"/>
                      </w:divBdr>
                    </w:div>
                  </w:divsChild>
                </w:div>
                <w:div w:id="916984424">
                  <w:marLeft w:val="0"/>
                  <w:marRight w:val="0"/>
                  <w:marTop w:val="0"/>
                  <w:marBottom w:val="0"/>
                  <w:divBdr>
                    <w:top w:val="none" w:sz="0" w:space="0" w:color="auto"/>
                    <w:left w:val="none" w:sz="0" w:space="0" w:color="auto"/>
                    <w:bottom w:val="none" w:sz="0" w:space="0" w:color="auto"/>
                    <w:right w:val="none" w:sz="0" w:space="0" w:color="auto"/>
                  </w:divBdr>
                  <w:divsChild>
                    <w:div w:id="1840190216">
                      <w:marLeft w:val="0"/>
                      <w:marRight w:val="0"/>
                      <w:marTop w:val="0"/>
                      <w:marBottom w:val="0"/>
                      <w:divBdr>
                        <w:top w:val="none" w:sz="0" w:space="0" w:color="auto"/>
                        <w:left w:val="none" w:sz="0" w:space="0" w:color="auto"/>
                        <w:bottom w:val="none" w:sz="0" w:space="0" w:color="auto"/>
                        <w:right w:val="none" w:sz="0" w:space="0" w:color="auto"/>
                      </w:divBdr>
                    </w:div>
                  </w:divsChild>
                </w:div>
                <w:div w:id="976449726">
                  <w:marLeft w:val="0"/>
                  <w:marRight w:val="0"/>
                  <w:marTop w:val="0"/>
                  <w:marBottom w:val="0"/>
                  <w:divBdr>
                    <w:top w:val="none" w:sz="0" w:space="0" w:color="auto"/>
                    <w:left w:val="none" w:sz="0" w:space="0" w:color="auto"/>
                    <w:bottom w:val="none" w:sz="0" w:space="0" w:color="auto"/>
                    <w:right w:val="none" w:sz="0" w:space="0" w:color="auto"/>
                  </w:divBdr>
                  <w:divsChild>
                    <w:div w:id="1509782871">
                      <w:marLeft w:val="0"/>
                      <w:marRight w:val="0"/>
                      <w:marTop w:val="0"/>
                      <w:marBottom w:val="0"/>
                      <w:divBdr>
                        <w:top w:val="none" w:sz="0" w:space="0" w:color="auto"/>
                        <w:left w:val="none" w:sz="0" w:space="0" w:color="auto"/>
                        <w:bottom w:val="none" w:sz="0" w:space="0" w:color="auto"/>
                        <w:right w:val="none" w:sz="0" w:space="0" w:color="auto"/>
                      </w:divBdr>
                    </w:div>
                  </w:divsChild>
                </w:div>
                <w:div w:id="977883974">
                  <w:marLeft w:val="0"/>
                  <w:marRight w:val="0"/>
                  <w:marTop w:val="0"/>
                  <w:marBottom w:val="0"/>
                  <w:divBdr>
                    <w:top w:val="none" w:sz="0" w:space="0" w:color="auto"/>
                    <w:left w:val="none" w:sz="0" w:space="0" w:color="auto"/>
                    <w:bottom w:val="none" w:sz="0" w:space="0" w:color="auto"/>
                    <w:right w:val="none" w:sz="0" w:space="0" w:color="auto"/>
                  </w:divBdr>
                  <w:divsChild>
                    <w:div w:id="1477145583">
                      <w:marLeft w:val="0"/>
                      <w:marRight w:val="0"/>
                      <w:marTop w:val="0"/>
                      <w:marBottom w:val="0"/>
                      <w:divBdr>
                        <w:top w:val="none" w:sz="0" w:space="0" w:color="auto"/>
                        <w:left w:val="none" w:sz="0" w:space="0" w:color="auto"/>
                        <w:bottom w:val="none" w:sz="0" w:space="0" w:color="auto"/>
                        <w:right w:val="none" w:sz="0" w:space="0" w:color="auto"/>
                      </w:divBdr>
                    </w:div>
                  </w:divsChild>
                </w:div>
                <w:div w:id="981467379">
                  <w:marLeft w:val="0"/>
                  <w:marRight w:val="0"/>
                  <w:marTop w:val="0"/>
                  <w:marBottom w:val="0"/>
                  <w:divBdr>
                    <w:top w:val="none" w:sz="0" w:space="0" w:color="auto"/>
                    <w:left w:val="none" w:sz="0" w:space="0" w:color="auto"/>
                    <w:bottom w:val="none" w:sz="0" w:space="0" w:color="auto"/>
                    <w:right w:val="none" w:sz="0" w:space="0" w:color="auto"/>
                  </w:divBdr>
                  <w:divsChild>
                    <w:div w:id="392630058">
                      <w:marLeft w:val="0"/>
                      <w:marRight w:val="0"/>
                      <w:marTop w:val="0"/>
                      <w:marBottom w:val="0"/>
                      <w:divBdr>
                        <w:top w:val="none" w:sz="0" w:space="0" w:color="auto"/>
                        <w:left w:val="none" w:sz="0" w:space="0" w:color="auto"/>
                        <w:bottom w:val="none" w:sz="0" w:space="0" w:color="auto"/>
                        <w:right w:val="none" w:sz="0" w:space="0" w:color="auto"/>
                      </w:divBdr>
                    </w:div>
                  </w:divsChild>
                </w:div>
                <w:div w:id="1040279616">
                  <w:marLeft w:val="0"/>
                  <w:marRight w:val="0"/>
                  <w:marTop w:val="0"/>
                  <w:marBottom w:val="0"/>
                  <w:divBdr>
                    <w:top w:val="none" w:sz="0" w:space="0" w:color="auto"/>
                    <w:left w:val="none" w:sz="0" w:space="0" w:color="auto"/>
                    <w:bottom w:val="none" w:sz="0" w:space="0" w:color="auto"/>
                    <w:right w:val="none" w:sz="0" w:space="0" w:color="auto"/>
                  </w:divBdr>
                  <w:divsChild>
                    <w:div w:id="2089187945">
                      <w:marLeft w:val="0"/>
                      <w:marRight w:val="0"/>
                      <w:marTop w:val="0"/>
                      <w:marBottom w:val="0"/>
                      <w:divBdr>
                        <w:top w:val="none" w:sz="0" w:space="0" w:color="auto"/>
                        <w:left w:val="none" w:sz="0" w:space="0" w:color="auto"/>
                        <w:bottom w:val="none" w:sz="0" w:space="0" w:color="auto"/>
                        <w:right w:val="none" w:sz="0" w:space="0" w:color="auto"/>
                      </w:divBdr>
                    </w:div>
                  </w:divsChild>
                </w:div>
                <w:div w:id="1102995807">
                  <w:marLeft w:val="0"/>
                  <w:marRight w:val="0"/>
                  <w:marTop w:val="0"/>
                  <w:marBottom w:val="0"/>
                  <w:divBdr>
                    <w:top w:val="none" w:sz="0" w:space="0" w:color="auto"/>
                    <w:left w:val="none" w:sz="0" w:space="0" w:color="auto"/>
                    <w:bottom w:val="none" w:sz="0" w:space="0" w:color="auto"/>
                    <w:right w:val="none" w:sz="0" w:space="0" w:color="auto"/>
                  </w:divBdr>
                  <w:divsChild>
                    <w:div w:id="2063286248">
                      <w:marLeft w:val="0"/>
                      <w:marRight w:val="0"/>
                      <w:marTop w:val="0"/>
                      <w:marBottom w:val="0"/>
                      <w:divBdr>
                        <w:top w:val="none" w:sz="0" w:space="0" w:color="auto"/>
                        <w:left w:val="none" w:sz="0" w:space="0" w:color="auto"/>
                        <w:bottom w:val="none" w:sz="0" w:space="0" w:color="auto"/>
                        <w:right w:val="none" w:sz="0" w:space="0" w:color="auto"/>
                      </w:divBdr>
                    </w:div>
                  </w:divsChild>
                </w:div>
                <w:div w:id="1241867586">
                  <w:marLeft w:val="0"/>
                  <w:marRight w:val="0"/>
                  <w:marTop w:val="0"/>
                  <w:marBottom w:val="0"/>
                  <w:divBdr>
                    <w:top w:val="none" w:sz="0" w:space="0" w:color="auto"/>
                    <w:left w:val="none" w:sz="0" w:space="0" w:color="auto"/>
                    <w:bottom w:val="none" w:sz="0" w:space="0" w:color="auto"/>
                    <w:right w:val="none" w:sz="0" w:space="0" w:color="auto"/>
                  </w:divBdr>
                  <w:divsChild>
                    <w:div w:id="467819338">
                      <w:marLeft w:val="0"/>
                      <w:marRight w:val="0"/>
                      <w:marTop w:val="0"/>
                      <w:marBottom w:val="0"/>
                      <w:divBdr>
                        <w:top w:val="none" w:sz="0" w:space="0" w:color="auto"/>
                        <w:left w:val="none" w:sz="0" w:space="0" w:color="auto"/>
                        <w:bottom w:val="none" w:sz="0" w:space="0" w:color="auto"/>
                        <w:right w:val="none" w:sz="0" w:space="0" w:color="auto"/>
                      </w:divBdr>
                    </w:div>
                  </w:divsChild>
                </w:div>
                <w:div w:id="1263801445">
                  <w:marLeft w:val="0"/>
                  <w:marRight w:val="0"/>
                  <w:marTop w:val="0"/>
                  <w:marBottom w:val="0"/>
                  <w:divBdr>
                    <w:top w:val="none" w:sz="0" w:space="0" w:color="auto"/>
                    <w:left w:val="none" w:sz="0" w:space="0" w:color="auto"/>
                    <w:bottom w:val="none" w:sz="0" w:space="0" w:color="auto"/>
                    <w:right w:val="none" w:sz="0" w:space="0" w:color="auto"/>
                  </w:divBdr>
                  <w:divsChild>
                    <w:div w:id="114830237">
                      <w:marLeft w:val="0"/>
                      <w:marRight w:val="0"/>
                      <w:marTop w:val="0"/>
                      <w:marBottom w:val="0"/>
                      <w:divBdr>
                        <w:top w:val="none" w:sz="0" w:space="0" w:color="auto"/>
                        <w:left w:val="none" w:sz="0" w:space="0" w:color="auto"/>
                        <w:bottom w:val="none" w:sz="0" w:space="0" w:color="auto"/>
                        <w:right w:val="none" w:sz="0" w:space="0" w:color="auto"/>
                      </w:divBdr>
                    </w:div>
                  </w:divsChild>
                </w:div>
                <w:div w:id="1326781287">
                  <w:marLeft w:val="0"/>
                  <w:marRight w:val="0"/>
                  <w:marTop w:val="0"/>
                  <w:marBottom w:val="0"/>
                  <w:divBdr>
                    <w:top w:val="none" w:sz="0" w:space="0" w:color="auto"/>
                    <w:left w:val="none" w:sz="0" w:space="0" w:color="auto"/>
                    <w:bottom w:val="none" w:sz="0" w:space="0" w:color="auto"/>
                    <w:right w:val="none" w:sz="0" w:space="0" w:color="auto"/>
                  </w:divBdr>
                  <w:divsChild>
                    <w:div w:id="1101296887">
                      <w:marLeft w:val="0"/>
                      <w:marRight w:val="0"/>
                      <w:marTop w:val="0"/>
                      <w:marBottom w:val="0"/>
                      <w:divBdr>
                        <w:top w:val="none" w:sz="0" w:space="0" w:color="auto"/>
                        <w:left w:val="none" w:sz="0" w:space="0" w:color="auto"/>
                        <w:bottom w:val="none" w:sz="0" w:space="0" w:color="auto"/>
                        <w:right w:val="none" w:sz="0" w:space="0" w:color="auto"/>
                      </w:divBdr>
                    </w:div>
                  </w:divsChild>
                </w:div>
                <w:div w:id="1387875906">
                  <w:marLeft w:val="0"/>
                  <w:marRight w:val="0"/>
                  <w:marTop w:val="0"/>
                  <w:marBottom w:val="0"/>
                  <w:divBdr>
                    <w:top w:val="none" w:sz="0" w:space="0" w:color="auto"/>
                    <w:left w:val="none" w:sz="0" w:space="0" w:color="auto"/>
                    <w:bottom w:val="none" w:sz="0" w:space="0" w:color="auto"/>
                    <w:right w:val="none" w:sz="0" w:space="0" w:color="auto"/>
                  </w:divBdr>
                  <w:divsChild>
                    <w:div w:id="2032563767">
                      <w:marLeft w:val="0"/>
                      <w:marRight w:val="0"/>
                      <w:marTop w:val="0"/>
                      <w:marBottom w:val="0"/>
                      <w:divBdr>
                        <w:top w:val="none" w:sz="0" w:space="0" w:color="auto"/>
                        <w:left w:val="none" w:sz="0" w:space="0" w:color="auto"/>
                        <w:bottom w:val="none" w:sz="0" w:space="0" w:color="auto"/>
                        <w:right w:val="none" w:sz="0" w:space="0" w:color="auto"/>
                      </w:divBdr>
                    </w:div>
                  </w:divsChild>
                </w:div>
                <w:div w:id="1389299110">
                  <w:marLeft w:val="0"/>
                  <w:marRight w:val="0"/>
                  <w:marTop w:val="0"/>
                  <w:marBottom w:val="0"/>
                  <w:divBdr>
                    <w:top w:val="none" w:sz="0" w:space="0" w:color="auto"/>
                    <w:left w:val="none" w:sz="0" w:space="0" w:color="auto"/>
                    <w:bottom w:val="none" w:sz="0" w:space="0" w:color="auto"/>
                    <w:right w:val="none" w:sz="0" w:space="0" w:color="auto"/>
                  </w:divBdr>
                  <w:divsChild>
                    <w:div w:id="1948080079">
                      <w:marLeft w:val="0"/>
                      <w:marRight w:val="0"/>
                      <w:marTop w:val="0"/>
                      <w:marBottom w:val="0"/>
                      <w:divBdr>
                        <w:top w:val="none" w:sz="0" w:space="0" w:color="auto"/>
                        <w:left w:val="none" w:sz="0" w:space="0" w:color="auto"/>
                        <w:bottom w:val="none" w:sz="0" w:space="0" w:color="auto"/>
                        <w:right w:val="none" w:sz="0" w:space="0" w:color="auto"/>
                      </w:divBdr>
                    </w:div>
                  </w:divsChild>
                </w:div>
                <w:div w:id="1444107869">
                  <w:marLeft w:val="0"/>
                  <w:marRight w:val="0"/>
                  <w:marTop w:val="0"/>
                  <w:marBottom w:val="0"/>
                  <w:divBdr>
                    <w:top w:val="none" w:sz="0" w:space="0" w:color="auto"/>
                    <w:left w:val="none" w:sz="0" w:space="0" w:color="auto"/>
                    <w:bottom w:val="none" w:sz="0" w:space="0" w:color="auto"/>
                    <w:right w:val="none" w:sz="0" w:space="0" w:color="auto"/>
                  </w:divBdr>
                  <w:divsChild>
                    <w:div w:id="1656184107">
                      <w:marLeft w:val="0"/>
                      <w:marRight w:val="0"/>
                      <w:marTop w:val="0"/>
                      <w:marBottom w:val="0"/>
                      <w:divBdr>
                        <w:top w:val="none" w:sz="0" w:space="0" w:color="auto"/>
                        <w:left w:val="none" w:sz="0" w:space="0" w:color="auto"/>
                        <w:bottom w:val="none" w:sz="0" w:space="0" w:color="auto"/>
                        <w:right w:val="none" w:sz="0" w:space="0" w:color="auto"/>
                      </w:divBdr>
                    </w:div>
                  </w:divsChild>
                </w:div>
                <w:div w:id="1530290055">
                  <w:marLeft w:val="0"/>
                  <w:marRight w:val="0"/>
                  <w:marTop w:val="0"/>
                  <w:marBottom w:val="0"/>
                  <w:divBdr>
                    <w:top w:val="none" w:sz="0" w:space="0" w:color="auto"/>
                    <w:left w:val="none" w:sz="0" w:space="0" w:color="auto"/>
                    <w:bottom w:val="none" w:sz="0" w:space="0" w:color="auto"/>
                    <w:right w:val="none" w:sz="0" w:space="0" w:color="auto"/>
                  </w:divBdr>
                  <w:divsChild>
                    <w:div w:id="818423369">
                      <w:marLeft w:val="0"/>
                      <w:marRight w:val="0"/>
                      <w:marTop w:val="0"/>
                      <w:marBottom w:val="0"/>
                      <w:divBdr>
                        <w:top w:val="none" w:sz="0" w:space="0" w:color="auto"/>
                        <w:left w:val="none" w:sz="0" w:space="0" w:color="auto"/>
                        <w:bottom w:val="none" w:sz="0" w:space="0" w:color="auto"/>
                        <w:right w:val="none" w:sz="0" w:space="0" w:color="auto"/>
                      </w:divBdr>
                    </w:div>
                  </w:divsChild>
                </w:div>
                <w:div w:id="1598249246">
                  <w:marLeft w:val="0"/>
                  <w:marRight w:val="0"/>
                  <w:marTop w:val="0"/>
                  <w:marBottom w:val="0"/>
                  <w:divBdr>
                    <w:top w:val="none" w:sz="0" w:space="0" w:color="auto"/>
                    <w:left w:val="none" w:sz="0" w:space="0" w:color="auto"/>
                    <w:bottom w:val="none" w:sz="0" w:space="0" w:color="auto"/>
                    <w:right w:val="none" w:sz="0" w:space="0" w:color="auto"/>
                  </w:divBdr>
                  <w:divsChild>
                    <w:div w:id="1867717683">
                      <w:marLeft w:val="0"/>
                      <w:marRight w:val="0"/>
                      <w:marTop w:val="0"/>
                      <w:marBottom w:val="0"/>
                      <w:divBdr>
                        <w:top w:val="none" w:sz="0" w:space="0" w:color="auto"/>
                        <w:left w:val="none" w:sz="0" w:space="0" w:color="auto"/>
                        <w:bottom w:val="none" w:sz="0" w:space="0" w:color="auto"/>
                        <w:right w:val="none" w:sz="0" w:space="0" w:color="auto"/>
                      </w:divBdr>
                    </w:div>
                  </w:divsChild>
                </w:div>
                <w:div w:id="1614745333">
                  <w:marLeft w:val="0"/>
                  <w:marRight w:val="0"/>
                  <w:marTop w:val="0"/>
                  <w:marBottom w:val="0"/>
                  <w:divBdr>
                    <w:top w:val="none" w:sz="0" w:space="0" w:color="auto"/>
                    <w:left w:val="none" w:sz="0" w:space="0" w:color="auto"/>
                    <w:bottom w:val="none" w:sz="0" w:space="0" w:color="auto"/>
                    <w:right w:val="none" w:sz="0" w:space="0" w:color="auto"/>
                  </w:divBdr>
                  <w:divsChild>
                    <w:div w:id="970206527">
                      <w:marLeft w:val="0"/>
                      <w:marRight w:val="0"/>
                      <w:marTop w:val="0"/>
                      <w:marBottom w:val="0"/>
                      <w:divBdr>
                        <w:top w:val="none" w:sz="0" w:space="0" w:color="auto"/>
                        <w:left w:val="none" w:sz="0" w:space="0" w:color="auto"/>
                        <w:bottom w:val="none" w:sz="0" w:space="0" w:color="auto"/>
                        <w:right w:val="none" w:sz="0" w:space="0" w:color="auto"/>
                      </w:divBdr>
                    </w:div>
                  </w:divsChild>
                </w:div>
                <w:div w:id="1780636531">
                  <w:marLeft w:val="0"/>
                  <w:marRight w:val="0"/>
                  <w:marTop w:val="0"/>
                  <w:marBottom w:val="0"/>
                  <w:divBdr>
                    <w:top w:val="none" w:sz="0" w:space="0" w:color="auto"/>
                    <w:left w:val="none" w:sz="0" w:space="0" w:color="auto"/>
                    <w:bottom w:val="none" w:sz="0" w:space="0" w:color="auto"/>
                    <w:right w:val="none" w:sz="0" w:space="0" w:color="auto"/>
                  </w:divBdr>
                  <w:divsChild>
                    <w:div w:id="875890775">
                      <w:marLeft w:val="0"/>
                      <w:marRight w:val="0"/>
                      <w:marTop w:val="0"/>
                      <w:marBottom w:val="0"/>
                      <w:divBdr>
                        <w:top w:val="none" w:sz="0" w:space="0" w:color="auto"/>
                        <w:left w:val="none" w:sz="0" w:space="0" w:color="auto"/>
                        <w:bottom w:val="none" w:sz="0" w:space="0" w:color="auto"/>
                        <w:right w:val="none" w:sz="0" w:space="0" w:color="auto"/>
                      </w:divBdr>
                    </w:div>
                  </w:divsChild>
                </w:div>
                <w:div w:id="1845629749">
                  <w:marLeft w:val="0"/>
                  <w:marRight w:val="0"/>
                  <w:marTop w:val="0"/>
                  <w:marBottom w:val="0"/>
                  <w:divBdr>
                    <w:top w:val="none" w:sz="0" w:space="0" w:color="auto"/>
                    <w:left w:val="none" w:sz="0" w:space="0" w:color="auto"/>
                    <w:bottom w:val="none" w:sz="0" w:space="0" w:color="auto"/>
                    <w:right w:val="none" w:sz="0" w:space="0" w:color="auto"/>
                  </w:divBdr>
                  <w:divsChild>
                    <w:div w:id="1850950253">
                      <w:marLeft w:val="0"/>
                      <w:marRight w:val="0"/>
                      <w:marTop w:val="0"/>
                      <w:marBottom w:val="0"/>
                      <w:divBdr>
                        <w:top w:val="none" w:sz="0" w:space="0" w:color="auto"/>
                        <w:left w:val="none" w:sz="0" w:space="0" w:color="auto"/>
                        <w:bottom w:val="none" w:sz="0" w:space="0" w:color="auto"/>
                        <w:right w:val="none" w:sz="0" w:space="0" w:color="auto"/>
                      </w:divBdr>
                    </w:div>
                  </w:divsChild>
                </w:div>
                <w:div w:id="1858343683">
                  <w:marLeft w:val="0"/>
                  <w:marRight w:val="0"/>
                  <w:marTop w:val="0"/>
                  <w:marBottom w:val="0"/>
                  <w:divBdr>
                    <w:top w:val="none" w:sz="0" w:space="0" w:color="auto"/>
                    <w:left w:val="none" w:sz="0" w:space="0" w:color="auto"/>
                    <w:bottom w:val="none" w:sz="0" w:space="0" w:color="auto"/>
                    <w:right w:val="none" w:sz="0" w:space="0" w:color="auto"/>
                  </w:divBdr>
                  <w:divsChild>
                    <w:div w:id="1026129068">
                      <w:marLeft w:val="0"/>
                      <w:marRight w:val="0"/>
                      <w:marTop w:val="0"/>
                      <w:marBottom w:val="0"/>
                      <w:divBdr>
                        <w:top w:val="none" w:sz="0" w:space="0" w:color="auto"/>
                        <w:left w:val="none" w:sz="0" w:space="0" w:color="auto"/>
                        <w:bottom w:val="none" w:sz="0" w:space="0" w:color="auto"/>
                        <w:right w:val="none" w:sz="0" w:space="0" w:color="auto"/>
                      </w:divBdr>
                    </w:div>
                  </w:divsChild>
                </w:div>
                <w:div w:id="1870796434">
                  <w:marLeft w:val="0"/>
                  <w:marRight w:val="0"/>
                  <w:marTop w:val="0"/>
                  <w:marBottom w:val="0"/>
                  <w:divBdr>
                    <w:top w:val="none" w:sz="0" w:space="0" w:color="auto"/>
                    <w:left w:val="none" w:sz="0" w:space="0" w:color="auto"/>
                    <w:bottom w:val="none" w:sz="0" w:space="0" w:color="auto"/>
                    <w:right w:val="none" w:sz="0" w:space="0" w:color="auto"/>
                  </w:divBdr>
                  <w:divsChild>
                    <w:div w:id="1158616612">
                      <w:marLeft w:val="0"/>
                      <w:marRight w:val="0"/>
                      <w:marTop w:val="0"/>
                      <w:marBottom w:val="0"/>
                      <w:divBdr>
                        <w:top w:val="none" w:sz="0" w:space="0" w:color="auto"/>
                        <w:left w:val="none" w:sz="0" w:space="0" w:color="auto"/>
                        <w:bottom w:val="none" w:sz="0" w:space="0" w:color="auto"/>
                        <w:right w:val="none" w:sz="0" w:space="0" w:color="auto"/>
                      </w:divBdr>
                    </w:div>
                  </w:divsChild>
                </w:div>
                <w:div w:id="1911306766">
                  <w:marLeft w:val="0"/>
                  <w:marRight w:val="0"/>
                  <w:marTop w:val="0"/>
                  <w:marBottom w:val="0"/>
                  <w:divBdr>
                    <w:top w:val="none" w:sz="0" w:space="0" w:color="auto"/>
                    <w:left w:val="none" w:sz="0" w:space="0" w:color="auto"/>
                    <w:bottom w:val="none" w:sz="0" w:space="0" w:color="auto"/>
                    <w:right w:val="none" w:sz="0" w:space="0" w:color="auto"/>
                  </w:divBdr>
                  <w:divsChild>
                    <w:div w:id="1490056180">
                      <w:marLeft w:val="0"/>
                      <w:marRight w:val="0"/>
                      <w:marTop w:val="0"/>
                      <w:marBottom w:val="0"/>
                      <w:divBdr>
                        <w:top w:val="none" w:sz="0" w:space="0" w:color="auto"/>
                        <w:left w:val="none" w:sz="0" w:space="0" w:color="auto"/>
                        <w:bottom w:val="none" w:sz="0" w:space="0" w:color="auto"/>
                        <w:right w:val="none" w:sz="0" w:space="0" w:color="auto"/>
                      </w:divBdr>
                    </w:div>
                  </w:divsChild>
                </w:div>
                <w:div w:id="1969356899">
                  <w:marLeft w:val="0"/>
                  <w:marRight w:val="0"/>
                  <w:marTop w:val="0"/>
                  <w:marBottom w:val="0"/>
                  <w:divBdr>
                    <w:top w:val="none" w:sz="0" w:space="0" w:color="auto"/>
                    <w:left w:val="none" w:sz="0" w:space="0" w:color="auto"/>
                    <w:bottom w:val="none" w:sz="0" w:space="0" w:color="auto"/>
                    <w:right w:val="none" w:sz="0" w:space="0" w:color="auto"/>
                  </w:divBdr>
                  <w:divsChild>
                    <w:div w:id="1930313438">
                      <w:marLeft w:val="0"/>
                      <w:marRight w:val="0"/>
                      <w:marTop w:val="0"/>
                      <w:marBottom w:val="0"/>
                      <w:divBdr>
                        <w:top w:val="none" w:sz="0" w:space="0" w:color="auto"/>
                        <w:left w:val="none" w:sz="0" w:space="0" w:color="auto"/>
                        <w:bottom w:val="none" w:sz="0" w:space="0" w:color="auto"/>
                        <w:right w:val="none" w:sz="0" w:space="0" w:color="auto"/>
                      </w:divBdr>
                    </w:div>
                  </w:divsChild>
                </w:div>
                <w:div w:id="1976132545">
                  <w:marLeft w:val="0"/>
                  <w:marRight w:val="0"/>
                  <w:marTop w:val="0"/>
                  <w:marBottom w:val="0"/>
                  <w:divBdr>
                    <w:top w:val="none" w:sz="0" w:space="0" w:color="auto"/>
                    <w:left w:val="none" w:sz="0" w:space="0" w:color="auto"/>
                    <w:bottom w:val="none" w:sz="0" w:space="0" w:color="auto"/>
                    <w:right w:val="none" w:sz="0" w:space="0" w:color="auto"/>
                  </w:divBdr>
                  <w:divsChild>
                    <w:div w:id="746533317">
                      <w:marLeft w:val="0"/>
                      <w:marRight w:val="0"/>
                      <w:marTop w:val="0"/>
                      <w:marBottom w:val="0"/>
                      <w:divBdr>
                        <w:top w:val="none" w:sz="0" w:space="0" w:color="auto"/>
                        <w:left w:val="none" w:sz="0" w:space="0" w:color="auto"/>
                        <w:bottom w:val="none" w:sz="0" w:space="0" w:color="auto"/>
                        <w:right w:val="none" w:sz="0" w:space="0" w:color="auto"/>
                      </w:divBdr>
                    </w:div>
                  </w:divsChild>
                </w:div>
                <w:div w:id="2143033114">
                  <w:marLeft w:val="0"/>
                  <w:marRight w:val="0"/>
                  <w:marTop w:val="0"/>
                  <w:marBottom w:val="0"/>
                  <w:divBdr>
                    <w:top w:val="none" w:sz="0" w:space="0" w:color="auto"/>
                    <w:left w:val="none" w:sz="0" w:space="0" w:color="auto"/>
                    <w:bottom w:val="none" w:sz="0" w:space="0" w:color="auto"/>
                    <w:right w:val="none" w:sz="0" w:space="0" w:color="auto"/>
                  </w:divBdr>
                  <w:divsChild>
                    <w:div w:id="1135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4383">
          <w:marLeft w:val="0"/>
          <w:marRight w:val="0"/>
          <w:marTop w:val="0"/>
          <w:marBottom w:val="0"/>
          <w:divBdr>
            <w:top w:val="none" w:sz="0" w:space="0" w:color="auto"/>
            <w:left w:val="none" w:sz="0" w:space="0" w:color="auto"/>
            <w:bottom w:val="none" w:sz="0" w:space="0" w:color="auto"/>
            <w:right w:val="none" w:sz="0" w:space="0" w:color="auto"/>
          </w:divBdr>
          <w:divsChild>
            <w:div w:id="86076978">
              <w:marLeft w:val="0"/>
              <w:marRight w:val="0"/>
              <w:marTop w:val="0"/>
              <w:marBottom w:val="0"/>
              <w:divBdr>
                <w:top w:val="none" w:sz="0" w:space="0" w:color="auto"/>
                <w:left w:val="none" w:sz="0" w:space="0" w:color="auto"/>
                <w:bottom w:val="none" w:sz="0" w:space="0" w:color="auto"/>
                <w:right w:val="none" w:sz="0" w:space="0" w:color="auto"/>
              </w:divBdr>
            </w:div>
            <w:div w:id="299187256">
              <w:marLeft w:val="0"/>
              <w:marRight w:val="0"/>
              <w:marTop w:val="0"/>
              <w:marBottom w:val="0"/>
              <w:divBdr>
                <w:top w:val="none" w:sz="0" w:space="0" w:color="auto"/>
                <w:left w:val="none" w:sz="0" w:space="0" w:color="auto"/>
                <w:bottom w:val="none" w:sz="0" w:space="0" w:color="auto"/>
                <w:right w:val="none" w:sz="0" w:space="0" w:color="auto"/>
              </w:divBdr>
            </w:div>
            <w:div w:id="939140283">
              <w:marLeft w:val="0"/>
              <w:marRight w:val="0"/>
              <w:marTop w:val="0"/>
              <w:marBottom w:val="0"/>
              <w:divBdr>
                <w:top w:val="none" w:sz="0" w:space="0" w:color="auto"/>
                <w:left w:val="none" w:sz="0" w:space="0" w:color="auto"/>
                <w:bottom w:val="none" w:sz="0" w:space="0" w:color="auto"/>
                <w:right w:val="none" w:sz="0" w:space="0" w:color="auto"/>
              </w:divBdr>
            </w:div>
          </w:divsChild>
        </w:div>
        <w:div w:id="767042093">
          <w:marLeft w:val="0"/>
          <w:marRight w:val="0"/>
          <w:marTop w:val="0"/>
          <w:marBottom w:val="0"/>
          <w:divBdr>
            <w:top w:val="none" w:sz="0" w:space="0" w:color="auto"/>
            <w:left w:val="none" w:sz="0" w:space="0" w:color="auto"/>
            <w:bottom w:val="none" w:sz="0" w:space="0" w:color="auto"/>
            <w:right w:val="none" w:sz="0" w:space="0" w:color="auto"/>
          </w:divBdr>
          <w:divsChild>
            <w:div w:id="72049356">
              <w:marLeft w:val="0"/>
              <w:marRight w:val="0"/>
              <w:marTop w:val="0"/>
              <w:marBottom w:val="0"/>
              <w:divBdr>
                <w:top w:val="none" w:sz="0" w:space="0" w:color="auto"/>
                <w:left w:val="none" w:sz="0" w:space="0" w:color="auto"/>
                <w:bottom w:val="none" w:sz="0" w:space="0" w:color="auto"/>
                <w:right w:val="none" w:sz="0" w:space="0" w:color="auto"/>
              </w:divBdr>
            </w:div>
            <w:div w:id="268776935">
              <w:marLeft w:val="0"/>
              <w:marRight w:val="0"/>
              <w:marTop w:val="0"/>
              <w:marBottom w:val="0"/>
              <w:divBdr>
                <w:top w:val="none" w:sz="0" w:space="0" w:color="auto"/>
                <w:left w:val="none" w:sz="0" w:space="0" w:color="auto"/>
                <w:bottom w:val="none" w:sz="0" w:space="0" w:color="auto"/>
                <w:right w:val="none" w:sz="0" w:space="0" w:color="auto"/>
              </w:divBdr>
            </w:div>
            <w:div w:id="1070006801">
              <w:marLeft w:val="0"/>
              <w:marRight w:val="0"/>
              <w:marTop w:val="0"/>
              <w:marBottom w:val="0"/>
              <w:divBdr>
                <w:top w:val="none" w:sz="0" w:space="0" w:color="auto"/>
                <w:left w:val="none" w:sz="0" w:space="0" w:color="auto"/>
                <w:bottom w:val="none" w:sz="0" w:space="0" w:color="auto"/>
                <w:right w:val="none" w:sz="0" w:space="0" w:color="auto"/>
              </w:divBdr>
            </w:div>
            <w:div w:id="1383602696">
              <w:marLeft w:val="0"/>
              <w:marRight w:val="0"/>
              <w:marTop w:val="0"/>
              <w:marBottom w:val="0"/>
              <w:divBdr>
                <w:top w:val="none" w:sz="0" w:space="0" w:color="auto"/>
                <w:left w:val="none" w:sz="0" w:space="0" w:color="auto"/>
                <w:bottom w:val="none" w:sz="0" w:space="0" w:color="auto"/>
                <w:right w:val="none" w:sz="0" w:space="0" w:color="auto"/>
              </w:divBdr>
            </w:div>
            <w:div w:id="1598100859">
              <w:marLeft w:val="0"/>
              <w:marRight w:val="0"/>
              <w:marTop w:val="0"/>
              <w:marBottom w:val="0"/>
              <w:divBdr>
                <w:top w:val="none" w:sz="0" w:space="0" w:color="auto"/>
                <w:left w:val="none" w:sz="0" w:space="0" w:color="auto"/>
                <w:bottom w:val="none" w:sz="0" w:space="0" w:color="auto"/>
                <w:right w:val="none" w:sz="0" w:space="0" w:color="auto"/>
              </w:divBdr>
            </w:div>
          </w:divsChild>
        </w:div>
        <w:div w:id="775250564">
          <w:marLeft w:val="0"/>
          <w:marRight w:val="0"/>
          <w:marTop w:val="0"/>
          <w:marBottom w:val="0"/>
          <w:divBdr>
            <w:top w:val="none" w:sz="0" w:space="0" w:color="auto"/>
            <w:left w:val="none" w:sz="0" w:space="0" w:color="auto"/>
            <w:bottom w:val="none" w:sz="0" w:space="0" w:color="auto"/>
            <w:right w:val="none" w:sz="0" w:space="0" w:color="auto"/>
          </w:divBdr>
          <w:divsChild>
            <w:div w:id="230237349">
              <w:marLeft w:val="0"/>
              <w:marRight w:val="0"/>
              <w:marTop w:val="0"/>
              <w:marBottom w:val="0"/>
              <w:divBdr>
                <w:top w:val="none" w:sz="0" w:space="0" w:color="auto"/>
                <w:left w:val="none" w:sz="0" w:space="0" w:color="auto"/>
                <w:bottom w:val="none" w:sz="0" w:space="0" w:color="auto"/>
                <w:right w:val="none" w:sz="0" w:space="0" w:color="auto"/>
              </w:divBdr>
            </w:div>
            <w:div w:id="1852451727">
              <w:marLeft w:val="0"/>
              <w:marRight w:val="0"/>
              <w:marTop w:val="0"/>
              <w:marBottom w:val="0"/>
              <w:divBdr>
                <w:top w:val="none" w:sz="0" w:space="0" w:color="auto"/>
                <w:left w:val="none" w:sz="0" w:space="0" w:color="auto"/>
                <w:bottom w:val="none" w:sz="0" w:space="0" w:color="auto"/>
                <w:right w:val="none" w:sz="0" w:space="0" w:color="auto"/>
              </w:divBdr>
            </w:div>
          </w:divsChild>
        </w:div>
        <w:div w:id="792358266">
          <w:marLeft w:val="0"/>
          <w:marRight w:val="0"/>
          <w:marTop w:val="0"/>
          <w:marBottom w:val="0"/>
          <w:divBdr>
            <w:top w:val="none" w:sz="0" w:space="0" w:color="auto"/>
            <w:left w:val="none" w:sz="0" w:space="0" w:color="auto"/>
            <w:bottom w:val="none" w:sz="0" w:space="0" w:color="auto"/>
            <w:right w:val="none" w:sz="0" w:space="0" w:color="auto"/>
          </w:divBdr>
          <w:divsChild>
            <w:div w:id="1501119537">
              <w:marLeft w:val="-75"/>
              <w:marRight w:val="0"/>
              <w:marTop w:val="30"/>
              <w:marBottom w:val="30"/>
              <w:divBdr>
                <w:top w:val="none" w:sz="0" w:space="0" w:color="auto"/>
                <w:left w:val="none" w:sz="0" w:space="0" w:color="auto"/>
                <w:bottom w:val="none" w:sz="0" w:space="0" w:color="auto"/>
                <w:right w:val="none" w:sz="0" w:space="0" w:color="auto"/>
              </w:divBdr>
              <w:divsChild>
                <w:div w:id="47072822">
                  <w:marLeft w:val="0"/>
                  <w:marRight w:val="0"/>
                  <w:marTop w:val="0"/>
                  <w:marBottom w:val="0"/>
                  <w:divBdr>
                    <w:top w:val="none" w:sz="0" w:space="0" w:color="auto"/>
                    <w:left w:val="none" w:sz="0" w:space="0" w:color="auto"/>
                    <w:bottom w:val="none" w:sz="0" w:space="0" w:color="auto"/>
                    <w:right w:val="none" w:sz="0" w:space="0" w:color="auto"/>
                  </w:divBdr>
                  <w:divsChild>
                    <w:div w:id="106776654">
                      <w:marLeft w:val="0"/>
                      <w:marRight w:val="0"/>
                      <w:marTop w:val="0"/>
                      <w:marBottom w:val="0"/>
                      <w:divBdr>
                        <w:top w:val="none" w:sz="0" w:space="0" w:color="auto"/>
                        <w:left w:val="none" w:sz="0" w:space="0" w:color="auto"/>
                        <w:bottom w:val="none" w:sz="0" w:space="0" w:color="auto"/>
                        <w:right w:val="none" w:sz="0" w:space="0" w:color="auto"/>
                      </w:divBdr>
                    </w:div>
                  </w:divsChild>
                </w:div>
                <w:div w:id="655183955">
                  <w:marLeft w:val="0"/>
                  <w:marRight w:val="0"/>
                  <w:marTop w:val="0"/>
                  <w:marBottom w:val="0"/>
                  <w:divBdr>
                    <w:top w:val="none" w:sz="0" w:space="0" w:color="auto"/>
                    <w:left w:val="none" w:sz="0" w:space="0" w:color="auto"/>
                    <w:bottom w:val="none" w:sz="0" w:space="0" w:color="auto"/>
                    <w:right w:val="none" w:sz="0" w:space="0" w:color="auto"/>
                  </w:divBdr>
                  <w:divsChild>
                    <w:div w:id="1735666302">
                      <w:marLeft w:val="0"/>
                      <w:marRight w:val="0"/>
                      <w:marTop w:val="0"/>
                      <w:marBottom w:val="0"/>
                      <w:divBdr>
                        <w:top w:val="none" w:sz="0" w:space="0" w:color="auto"/>
                        <w:left w:val="none" w:sz="0" w:space="0" w:color="auto"/>
                        <w:bottom w:val="none" w:sz="0" w:space="0" w:color="auto"/>
                        <w:right w:val="none" w:sz="0" w:space="0" w:color="auto"/>
                      </w:divBdr>
                    </w:div>
                  </w:divsChild>
                </w:div>
                <w:div w:id="735131412">
                  <w:marLeft w:val="0"/>
                  <w:marRight w:val="0"/>
                  <w:marTop w:val="0"/>
                  <w:marBottom w:val="0"/>
                  <w:divBdr>
                    <w:top w:val="none" w:sz="0" w:space="0" w:color="auto"/>
                    <w:left w:val="none" w:sz="0" w:space="0" w:color="auto"/>
                    <w:bottom w:val="none" w:sz="0" w:space="0" w:color="auto"/>
                    <w:right w:val="none" w:sz="0" w:space="0" w:color="auto"/>
                  </w:divBdr>
                  <w:divsChild>
                    <w:div w:id="1190024499">
                      <w:marLeft w:val="0"/>
                      <w:marRight w:val="0"/>
                      <w:marTop w:val="0"/>
                      <w:marBottom w:val="0"/>
                      <w:divBdr>
                        <w:top w:val="none" w:sz="0" w:space="0" w:color="auto"/>
                        <w:left w:val="none" w:sz="0" w:space="0" w:color="auto"/>
                        <w:bottom w:val="none" w:sz="0" w:space="0" w:color="auto"/>
                        <w:right w:val="none" w:sz="0" w:space="0" w:color="auto"/>
                      </w:divBdr>
                    </w:div>
                  </w:divsChild>
                </w:div>
                <w:div w:id="781195393">
                  <w:marLeft w:val="0"/>
                  <w:marRight w:val="0"/>
                  <w:marTop w:val="0"/>
                  <w:marBottom w:val="0"/>
                  <w:divBdr>
                    <w:top w:val="none" w:sz="0" w:space="0" w:color="auto"/>
                    <w:left w:val="none" w:sz="0" w:space="0" w:color="auto"/>
                    <w:bottom w:val="none" w:sz="0" w:space="0" w:color="auto"/>
                    <w:right w:val="none" w:sz="0" w:space="0" w:color="auto"/>
                  </w:divBdr>
                  <w:divsChild>
                    <w:div w:id="1578248980">
                      <w:marLeft w:val="0"/>
                      <w:marRight w:val="0"/>
                      <w:marTop w:val="0"/>
                      <w:marBottom w:val="0"/>
                      <w:divBdr>
                        <w:top w:val="none" w:sz="0" w:space="0" w:color="auto"/>
                        <w:left w:val="none" w:sz="0" w:space="0" w:color="auto"/>
                        <w:bottom w:val="none" w:sz="0" w:space="0" w:color="auto"/>
                        <w:right w:val="none" w:sz="0" w:space="0" w:color="auto"/>
                      </w:divBdr>
                    </w:div>
                  </w:divsChild>
                </w:div>
                <w:div w:id="847913192">
                  <w:marLeft w:val="0"/>
                  <w:marRight w:val="0"/>
                  <w:marTop w:val="0"/>
                  <w:marBottom w:val="0"/>
                  <w:divBdr>
                    <w:top w:val="none" w:sz="0" w:space="0" w:color="auto"/>
                    <w:left w:val="none" w:sz="0" w:space="0" w:color="auto"/>
                    <w:bottom w:val="none" w:sz="0" w:space="0" w:color="auto"/>
                    <w:right w:val="none" w:sz="0" w:space="0" w:color="auto"/>
                  </w:divBdr>
                  <w:divsChild>
                    <w:div w:id="413623795">
                      <w:marLeft w:val="0"/>
                      <w:marRight w:val="0"/>
                      <w:marTop w:val="0"/>
                      <w:marBottom w:val="0"/>
                      <w:divBdr>
                        <w:top w:val="none" w:sz="0" w:space="0" w:color="auto"/>
                        <w:left w:val="none" w:sz="0" w:space="0" w:color="auto"/>
                        <w:bottom w:val="none" w:sz="0" w:space="0" w:color="auto"/>
                        <w:right w:val="none" w:sz="0" w:space="0" w:color="auto"/>
                      </w:divBdr>
                    </w:div>
                  </w:divsChild>
                </w:div>
                <w:div w:id="878123708">
                  <w:marLeft w:val="0"/>
                  <w:marRight w:val="0"/>
                  <w:marTop w:val="0"/>
                  <w:marBottom w:val="0"/>
                  <w:divBdr>
                    <w:top w:val="none" w:sz="0" w:space="0" w:color="auto"/>
                    <w:left w:val="none" w:sz="0" w:space="0" w:color="auto"/>
                    <w:bottom w:val="none" w:sz="0" w:space="0" w:color="auto"/>
                    <w:right w:val="none" w:sz="0" w:space="0" w:color="auto"/>
                  </w:divBdr>
                  <w:divsChild>
                    <w:div w:id="965892524">
                      <w:marLeft w:val="0"/>
                      <w:marRight w:val="0"/>
                      <w:marTop w:val="0"/>
                      <w:marBottom w:val="0"/>
                      <w:divBdr>
                        <w:top w:val="none" w:sz="0" w:space="0" w:color="auto"/>
                        <w:left w:val="none" w:sz="0" w:space="0" w:color="auto"/>
                        <w:bottom w:val="none" w:sz="0" w:space="0" w:color="auto"/>
                        <w:right w:val="none" w:sz="0" w:space="0" w:color="auto"/>
                      </w:divBdr>
                    </w:div>
                  </w:divsChild>
                </w:div>
                <w:div w:id="1013842144">
                  <w:marLeft w:val="0"/>
                  <w:marRight w:val="0"/>
                  <w:marTop w:val="0"/>
                  <w:marBottom w:val="0"/>
                  <w:divBdr>
                    <w:top w:val="none" w:sz="0" w:space="0" w:color="auto"/>
                    <w:left w:val="none" w:sz="0" w:space="0" w:color="auto"/>
                    <w:bottom w:val="none" w:sz="0" w:space="0" w:color="auto"/>
                    <w:right w:val="none" w:sz="0" w:space="0" w:color="auto"/>
                  </w:divBdr>
                  <w:divsChild>
                    <w:div w:id="111748771">
                      <w:marLeft w:val="0"/>
                      <w:marRight w:val="0"/>
                      <w:marTop w:val="0"/>
                      <w:marBottom w:val="0"/>
                      <w:divBdr>
                        <w:top w:val="none" w:sz="0" w:space="0" w:color="auto"/>
                        <w:left w:val="none" w:sz="0" w:space="0" w:color="auto"/>
                        <w:bottom w:val="none" w:sz="0" w:space="0" w:color="auto"/>
                        <w:right w:val="none" w:sz="0" w:space="0" w:color="auto"/>
                      </w:divBdr>
                    </w:div>
                  </w:divsChild>
                </w:div>
                <w:div w:id="1093893147">
                  <w:marLeft w:val="0"/>
                  <w:marRight w:val="0"/>
                  <w:marTop w:val="0"/>
                  <w:marBottom w:val="0"/>
                  <w:divBdr>
                    <w:top w:val="none" w:sz="0" w:space="0" w:color="auto"/>
                    <w:left w:val="none" w:sz="0" w:space="0" w:color="auto"/>
                    <w:bottom w:val="none" w:sz="0" w:space="0" w:color="auto"/>
                    <w:right w:val="none" w:sz="0" w:space="0" w:color="auto"/>
                  </w:divBdr>
                  <w:divsChild>
                    <w:div w:id="2069451003">
                      <w:marLeft w:val="0"/>
                      <w:marRight w:val="0"/>
                      <w:marTop w:val="0"/>
                      <w:marBottom w:val="0"/>
                      <w:divBdr>
                        <w:top w:val="none" w:sz="0" w:space="0" w:color="auto"/>
                        <w:left w:val="none" w:sz="0" w:space="0" w:color="auto"/>
                        <w:bottom w:val="none" w:sz="0" w:space="0" w:color="auto"/>
                        <w:right w:val="none" w:sz="0" w:space="0" w:color="auto"/>
                      </w:divBdr>
                    </w:div>
                  </w:divsChild>
                </w:div>
                <w:div w:id="1120106850">
                  <w:marLeft w:val="0"/>
                  <w:marRight w:val="0"/>
                  <w:marTop w:val="0"/>
                  <w:marBottom w:val="0"/>
                  <w:divBdr>
                    <w:top w:val="none" w:sz="0" w:space="0" w:color="auto"/>
                    <w:left w:val="none" w:sz="0" w:space="0" w:color="auto"/>
                    <w:bottom w:val="none" w:sz="0" w:space="0" w:color="auto"/>
                    <w:right w:val="none" w:sz="0" w:space="0" w:color="auto"/>
                  </w:divBdr>
                  <w:divsChild>
                    <w:div w:id="264192590">
                      <w:marLeft w:val="0"/>
                      <w:marRight w:val="0"/>
                      <w:marTop w:val="0"/>
                      <w:marBottom w:val="0"/>
                      <w:divBdr>
                        <w:top w:val="none" w:sz="0" w:space="0" w:color="auto"/>
                        <w:left w:val="none" w:sz="0" w:space="0" w:color="auto"/>
                        <w:bottom w:val="none" w:sz="0" w:space="0" w:color="auto"/>
                        <w:right w:val="none" w:sz="0" w:space="0" w:color="auto"/>
                      </w:divBdr>
                    </w:div>
                  </w:divsChild>
                </w:div>
                <w:div w:id="1211764970">
                  <w:marLeft w:val="0"/>
                  <w:marRight w:val="0"/>
                  <w:marTop w:val="0"/>
                  <w:marBottom w:val="0"/>
                  <w:divBdr>
                    <w:top w:val="none" w:sz="0" w:space="0" w:color="auto"/>
                    <w:left w:val="none" w:sz="0" w:space="0" w:color="auto"/>
                    <w:bottom w:val="none" w:sz="0" w:space="0" w:color="auto"/>
                    <w:right w:val="none" w:sz="0" w:space="0" w:color="auto"/>
                  </w:divBdr>
                  <w:divsChild>
                    <w:div w:id="989673498">
                      <w:marLeft w:val="0"/>
                      <w:marRight w:val="0"/>
                      <w:marTop w:val="0"/>
                      <w:marBottom w:val="0"/>
                      <w:divBdr>
                        <w:top w:val="none" w:sz="0" w:space="0" w:color="auto"/>
                        <w:left w:val="none" w:sz="0" w:space="0" w:color="auto"/>
                        <w:bottom w:val="none" w:sz="0" w:space="0" w:color="auto"/>
                        <w:right w:val="none" w:sz="0" w:space="0" w:color="auto"/>
                      </w:divBdr>
                    </w:div>
                  </w:divsChild>
                </w:div>
                <w:div w:id="1294748329">
                  <w:marLeft w:val="0"/>
                  <w:marRight w:val="0"/>
                  <w:marTop w:val="0"/>
                  <w:marBottom w:val="0"/>
                  <w:divBdr>
                    <w:top w:val="none" w:sz="0" w:space="0" w:color="auto"/>
                    <w:left w:val="none" w:sz="0" w:space="0" w:color="auto"/>
                    <w:bottom w:val="none" w:sz="0" w:space="0" w:color="auto"/>
                    <w:right w:val="none" w:sz="0" w:space="0" w:color="auto"/>
                  </w:divBdr>
                  <w:divsChild>
                    <w:div w:id="1446001186">
                      <w:marLeft w:val="0"/>
                      <w:marRight w:val="0"/>
                      <w:marTop w:val="0"/>
                      <w:marBottom w:val="0"/>
                      <w:divBdr>
                        <w:top w:val="none" w:sz="0" w:space="0" w:color="auto"/>
                        <w:left w:val="none" w:sz="0" w:space="0" w:color="auto"/>
                        <w:bottom w:val="none" w:sz="0" w:space="0" w:color="auto"/>
                        <w:right w:val="none" w:sz="0" w:space="0" w:color="auto"/>
                      </w:divBdr>
                    </w:div>
                  </w:divsChild>
                </w:div>
                <w:div w:id="1498498551">
                  <w:marLeft w:val="0"/>
                  <w:marRight w:val="0"/>
                  <w:marTop w:val="0"/>
                  <w:marBottom w:val="0"/>
                  <w:divBdr>
                    <w:top w:val="none" w:sz="0" w:space="0" w:color="auto"/>
                    <w:left w:val="none" w:sz="0" w:space="0" w:color="auto"/>
                    <w:bottom w:val="none" w:sz="0" w:space="0" w:color="auto"/>
                    <w:right w:val="none" w:sz="0" w:space="0" w:color="auto"/>
                  </w:divBdr>
                  <w:divsChild>
                    <w:div w:id="811866880">
                      <w:marLeft w:val="0"/>
                      <w:marRight w:val="0"/>
                      <w:marTop w:val="0"/>
                      <w:marBottom w:val="0"/>
                      <w:divBdr>
                        <w:top w:val="none" w:sz="0" w:space="0" w:color="auto"/>
                        <w:left w:val="none" w:sz="0" w:space="0" w:color="auto"/>
                        <w:bottom w:val="none" w:sz="0" w:space="0" w:color="auto"/>
                        <w:right w:val="none" w:sz="0" w:space="0" w:color="auto"/>
                      </w:divBdr>
                    </w:div>
                  </w:divsChild>
                </w:div>
                <w:div w:id="1689869295">
                  <w:marLeft w:val="0"/>
                  <w:marRight w:val="0"/>
                  <w:marTop w:val="0"/>
                  <w:marBottom w:val="0"/>
                  <w:divBdr>
                    <w:top w:val="none" w:sz="0" w:space="0" w:color="auto"/>
                    <w:left w:val="none" w:sz="0" w:space="0" w:color="auto"/>
                    <w:bottom w:val="none" w:sz="0" w:space="0" w:color="auto"/>
                    <w:right w:val="none" w:sz="0" w:space="0" w:color="auto"/>
                  </w:divBdr>
                  <w:divsChild>
                    <w:div w:id="1000036037">
                      <w:marLeft w:val="0"/>
                      <w:marRight w:val="0"/>
                      <w:marTop w:val="0"/>
                      <w:marBottom w:val="0"/>
                      <w:divBdr>
                        <w:top w:val="none" w:sz="0" w:space="0" w:color="auto"/>
                        <w:left w:val="none" w:sz="0" w:space="0" w:color="auto"/>
                        <w:bottom w:val="none" w:sz="0" w:space="0" w:color="auto"/>
                        <w:right w:val="none" w:sz="0" w:space="0" w:color="auto"/>
                      </w:divBdr>
                    </w:div>
                  </w:divsChild>
                </w:div>
                <w:div w:id="1742364811">
                  <w:marLeft w:val="0"/>
                  <w:marRight w:val="0"/>
                  <w:marTop w:val="0"/>
                  <w:marBottom w:val="0"/>
                  <w:divBdr>
                    <w:top w:val="none" w:sz="0" w:space="0" w:color="auto"/>
                    <w:left w:val="none" w:sz="0" w:space="0" w:color="auto"/>
                    <w:bottom w:val="none" w:sz="0" w:space="0" w:color="auto"/>
                    <w:right w:val="none" w:sz="0" w:space="0" w:color="auto"/>
                  </w:divBdr>
                  <w:divsChild>
                    <w:div w:id="3506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110">
          <w:marLeft w:val="0"/>
          <w:marRight w:val="0"/>
          <w:marTop w:val="0"/>
          <w:marBottom w:val="0"/>
          <w:divBdr>
            <w:top w:val="none" w:sz="0" w:space="0" w:color="auto"/>
            <w:left w:val="none" w:sz="0" w:space="0" w:color="auto"/>
            <w:bottom w:val="none" w:sz="0" w:space="0" w:color="auto"/>
            <w:right w:val="none" w:sz="0" w:space="0" w:color="auto"/>
          </w:divBdr>
        </w:div>
        <w:div w:id="802233067">
          <w:marLeft w:val="0"/>
          <w:marRight w:val="0"/>
          <w:marTop w:val="0"/>
          <w:marBottom w:val="0"/>
          <w:divBdr>
            <w:top w:val="none" w:sz="0" w:space="0" w:color="auto"/>
            <w:left w:val="none" w:sz="0" w:space="0" w:color="auto"/>
            <w:bottom w:val="none" w:sz="0" w:space="0" w:color="auto"/>
            <w:right w:val="none" w:sz="0" w:space="0" w:color="auto"/>
          </w:divBdr>
          <w:divsChild>
            <w:div w:id="654913871">
              <w:marLeft w:val="0"/>
              <w:marRight w:val="0"/>
              <w:marTop w:val="0"/>
              <w:marBottom w:val="0"/>
              <w:divBdr>
                <w:top w:val="none" w:sz="0" w:space="0" w:color="auto"/>
                <w:left w:val="none" w:sz="0" w:space="0" w:color="auto"/>
                <w:bottom w:val="none" w:sz="0" w:space="0" w:color="auto"/>
                <w:right w:val="none" w:sz="0" w:space="0" w:color="auto"/>
              </w:divBdr>
            </w:div>
            <w:div w:id="984817317">
              <w:marLeft w:val="0"/>
              <w:marRight w:val="0"/>
              <w:marTop w:val="0"/>
              <w:marBottom w:val="0"/>
              <w:divBdr>
                <w:top w:val="none" w:sz="0" w:space="0" w:color="auto"/>
                <w:left w:val="none" w:sz="0" w:space="0" w:color="auto"/>
                <w:bottom w:val="none" w:sz="0" w:space="0" w:color="auto"/>
                <w:right w:val="none" w:sz="0" w:space="0" w:color="auto"/>
              </w:divBdr>
            </w:div>
          </w:divsChild>
        </w:div>
        <w:div w:id="819731694">
          <w:marLeft w:val="0"/>
          <w:marRight w:val="0"/>
          <w:marTop w:val="0"/>
          <w:marBottom w:val="0"/>
          <w:divBdr>
            <w:top w:val="none" w:sz="0" w:space="0" w:color="auto"/>
            <w:left w:val="none" w:sz="0" w:space="0" w:color="auto"/>
            <w:bottom w:val="none" w:sz="0" w:space="0" w:color="auto"/>
            <w:right w:val="none" w:sz="0" w:space="0" w:color="auto"/>
          </w:divBdr>
          <w:divsChild>
            <w:div w:id="498810312">
              <w:marLeft w:val="-75"/>
              <w:marRight w:val="0"/>
              <w:marTop w:val="30"/>
              <w:marBottom w:val="30"/>
              <w:divBdr>
                <w:top w:val="none" w:sz="0" w:space="0" w:color="auto"/>
                <w:left w:val="none" w:sz="0" w:space="0" w:color="auto"/>
                <w:bottom w:val="none" w:sz="0" w:space="0" w:color="auto"/>
                <w:right w:val="none" w:sz="0" w:space="0" w:color="auto"/>
              </w:divBdr>
              <w:divsChild>
                <w:div w:id="127209362">
                  <w:marLeft w:val="0"/>
                  <w:marRight w:val="0"/>
                  <w:marTop w:val="0"/>
                  <w:marBottom w:val="0"/>
                  <w:divBdr>
                    <w:top w:val="none" w:sz="0" w:space="0" w:color="auto"/>
                    <w:left w:val="none" w:sz="0" w:space="0" w:color="auto"/>
                    <w:bottom w:val="none" w:sz="0" w:space="0" w:color="auto"/>
                    <w:right w:val="none" w:sz="0" w:space="0" w:color="auto"/>
                  </w:divBdr>
                  <w:divsChild>
                    <w:div w:id="242567734">
                      <w:marLeft w:val="0"/>
                      <w:marRight w:val="0"/>
                      <w:marTop w:val="0"/>
                      <w:marBottom w:val="0"/>
                      <w:divBdr>
                        <w:top w:val="none" w:sz="0" w:space="0" w:color="auto"/>
                        <w:left w:val="none" w:sz="0" w:space="0" w:color="auto"/>
                        <w:bottom w:val="none" w:sz="0" w:space="0" w:color="auto"/>
                        <w:right w:val="none" w:sz="0" w:space="0" w:color="auto"/>
                      </w:divBdr>
                    </w:div>
                  </w:divsChild>
                </w:div>
                <w:div w:id="249124544">
                  <w:marLeft w:val="0"/>
                  <w:marRight w:val="0"/>
                  <w:marTop w:val="0"/>
                  <w:marBottom w:val="0"/>
                  <w:divBdr>
                    <w:top w:val="none" w:sz="0" w:space="0" w:color="auto"/>
                    <w:left w:val="none" w:sz="0" w:space="0" w:color="auto"/>
                    <w:bottom w:val="none" w:sz="0" w:space="0" w:color="auto"/>
                    <w:right w:val="none" w:sz="0" w:space="0" w:color="auto"/>
                  </w:divBdr>
                  <w:divsChild>
                    <w:div w:id="309331632">
                      <w:marLeft w:val="0"/>
                      <w:marRight w:val="0"/>
                      <w:marTop w:val="0"/>
                      <w:marBottom w:val="0"/>
                      <w:divBdr>
                        <w:top w:val="none" w:sz="0" w:space="0" w:color="auto"/>
                        <w:left w:val="none" w:sz="0" w:space="0" w:color="auto"/>
                        <w:bottom w:val="none" w:sz="0" w:space="0" w:color="auto"/>
                        <w:right w:val="none" w:sz="0" w:space="0" w:color="auto"/>
                      </w:divBdr>
                    </w:div>
                  </w:divsChild>
                </w:div>
                <w:div w:id="253634861">
                  <w:marLeft w:val="0"/>
                  <w:marRight w:val="0"/>
                  <w:marTop w:val="0"/>
                  <w:marBottom w:val="0"/>
                  <w:divBdr>
                    <w:top w:val="none" w:sz="0" w:space="0" w:color="auto"/>
                    <w:left w:val="none" w:sz="0" w:space="0" w:color="auto"/>
                    <w:bottom w:val="none" w:sz="0" w:space="0" w:color="auto"/>
                    <w:right w:val="none" w:sz="0" w:space="0" w:color="auto"/>
                  </w:divBdr>
                  <w:divsChild>
                    <w:div w:id="1208759960">
                      <w:marLeft w:val="0"/>
                      <w:marRight w:val="0"/>
                      <w:marTop w:val="0"/>
                      <w:marBottom w:val="0"/>
                      <w:divBdr>
                        <w:top w:val="none" w:sz="0" w:space="0" w:color="auto"/>
                        <w:left w:val="none" w:sz="0" w:space="0" w:color="auto"/>
                        <w:bottom w:val="none" w:sz="0" w:space="0" w:color="auto"/>
                        <w:right w:val="none" w:sz="0" w:space="0" w:color="auto"/>
                      </w:divBdr>
                    </w:div>
                  </w:divsChild>
                </w:div>
                <w:div w:id="449059256">
                  <w:marLeft w:val="0"/>
                  <w:marRight w:val="0"/>
                  <w:marTop w:val="0"/>
                  <w:marBottom w:val="0"/>
                  <w:divBdr>
                    <w:top w:val="none" w:sz="0" w:space="0" w:color="auto"/>
                    <w:left w:val="none" w:sz="0" w:space="0" w:color="auto"/>
                    <w:bottom w:val="none" w:sz="0" w:space="0" w:color="auto"/>
                    <w:right w:val="none" w:sz="0" w:space="0" w:color="auto"/>
                  </w:divBdr>
                  <w:divsChild>
                    <w:div w:id="374812472">
                      <w:marLeft w:val="0"/>
                      <w:marRight w:val="0"/>
                      <w:marTop w:val="0"/>
                      <w:marBottom w:val="0"/>
                      <w:divBdr>
                        <w:top w:val="none" w:sz="0" w:space="0" w:color="auto"/>
                        <w:left w:val="none" w:sz="0" w:space="0" w:color="auto"/>
                        <w:bottom w:val="none" w:sz="0" w:space="0" w:color="auto"/>
                        <w:right w:val="none" w:sz="0" w:space="0" w:color="auto"/>
                      </w:divBdr>
                    </w:div>
                  </w:divsChild>
                </w:div>
                <w:div w:id="638002769">
                  <w:marLeft w:val="0"/>
                  <w:marRight w:val="0"/>
                  <w:marTop w:val="0"/>
                  <w:marBottom w:val="0"/>
                  <w:divBdr>
                    <w:top w:val="none" w:sz="0" w:space="0" w:color="auto"/>
                    <w:left w:val="none" w:sz="0" w:space="0" w:color="auto"/>
                    <w:bottom w:val="none" w:sz="0" w:space="0" w:color="auto"/>
                    <w:right w:val="none" w:sz="0" w:space="0" w:color="auto"/>
                  </w:divBdr>
                  <w:divsChild>
                    <w:div w:id="593825017">
                      <w:marLeft w:val="0"/>
                      <w:marRight w:val="0"/>
                      <w:marTop w:val="0"/>
                      <w:marBottom w:val="0"/>
                      <w:divBdr>
                        <w:top w:val="none" w:sz="0" w:space="0" w:color="auto"/>
                        <w:left w:val="none" w:sz="0" w:space="0" w:color="auto"/>
                        <w:bottom w:val="none" w:sz="0" w:space="0" w:color="auto"/>
                        <w:right w:val="none" w:sz="0" w:space="0" w:color="auto"/>
                      </w:divBdr>
                    </w:div>
                  </w:divsChild>
                </w:div>
                <w:div w:id="841355306">
                  <w:marLeft w:val="0"/>
                  <w:marRight w:val="0"/>
                  <w:marTop w:val="0"/>
                  <w:marBottom w:val="0"/>
                  <w:divBdr>
                    <w:top w:val="none" w:sz="0" w:space="0" w:color="auto"/>
                    <w:left w:val="none" w:sz="0" w:space="0" w:color="auto"/>
                    <w:bottom w:val="none" w:sz="0" w:space="0" w:color="auto"/>
                    <w:right w:val="none" w:sz="0" w:space="0" w:color="auto"/>
                  </w:divBdr>
                  <w:divsChild>
                    <w:div w:id="947275675">
                      <w:marLeft w:val="0"/>
                      <w:marRight w:val="0"/>
                      <w:marTop w:val="0"/>
                      <w:marBottom w:val="0"/>
                      <w:divBdr>
                        <w:top w:val="none" w:sz="0" w:space="0" w:color="auto"/>
                        <w:left w:val="none" w:sz="0" w:space="0" w:color="auto"/>
                        <w:bottom w:val="none" w:sz="0" w:space="0" w:color="auto"/>
                        <w:right w:val="none" w:sz="0" w:space="0" w:color="auto"/>
                      </w:divBdr>
                    </w:div>
                  </w:divsChild>
                </w:div>
                <w:div w:id="843202977">
                  <w:marLeft w:val="0"/>
                  <w:marRight w:val="0"/>
                  <w:marTop w:val="0"/>
                  <w:marBottom w:val="0"/>
                  <w:divBdr>
                    <w:top w:val="none" w:sz="0" w:space="0" w:color="auto"/>
                    <w:left w:val="none" w:sz="0" w:space="0" w:color="auto"/>
                    <w:bottom w:val="none" w:sz="0" w:space="0" w:color="auto"/>
                    <w:right w:val="none" w:sz="0" w:space="0" w:color="auto"/>
                  </w:divBdr>
                  <w:divsChild>
                    <w:div w:id="860050816">
                      <w:marLeft w:val="0"/>
                      <w:marRight w:val="0"/>
                      <w:marTop w:val="0"/>
                      <w:marBottom w:val="0"/>
                      <w:divBdr>
                        <w:top w:val="none" w:sz="0" w:space="0" w:color="auto"/>
                        <w:left w:val="none" w:sz="0" w:space="0" w:color="auto"/>
                        <w:bottom w:val="none" w:sz="0" w:space="0" w:color="auto"/>
                        <w:right w:val="none" w:sz="0" w:space="0" w:color="auto"/>
                      </w:divBdr>
                    </w:div>
                  </w:divsChild>
                </w:div>
                <w:div w:id="961035712">
                  <w:marLeft w:val="0"/>
                  <w:marRight w:val="0"/>
                  <w:marTop w:val="0"/>
                  <w:marBottom w:val="0"/>
                  <w:divBdr>
                    <w:top w:val="none" w:sz="0" w:space="0" w:color="auto"/>
                    <w:left w:val="none" w:sz="0" w:space="0" w:color="auto"/>
                    <w:bottom w:val="none" w:sz="0" w:space="0" w:color="auto"/>
                    <w:right w:val="none" w:sz="0" w:space="0" w:color="auto"/>
                  </w:divBdr>
                  <w:divsChild>
                    <w:div w:id="1572619861">
                      <w:marLeft w:val="0"/>
                      <w:marRight w:val="0"/>
                      <w:marTop w:val="0"/>
                      <w:marBottom w:val="0"/>
                      <w:divBdr>
                        <w:top w:val="none" w:sz="0" w:space="0" w:color="auto"/>
                        <w:left w:val="none" w:sz="0" w:space="0" w:color="auto"/>
                        <w:bottom w:val="none" w:sz="0" w:space="0" w:color="auto"/>
                        <w:right w:val="none" w:sz="0" w:space="0" w:color="auto"/>
                      </w:divBdr>
                    </w:div>
                  </w:divsChild>
                </w:div>
                <w:div w:id="977612121">
                  <w:marLeft w:val="0"/>
                  <w:marRight w:val="0"/>
                  <w:marTop w:val="0"/>
                  <w:marBottom w:val="0"/>
                  <w:divBdr>
                    <w:top w:val="none" w:sz="0" w:space="0" w:color="auto"/>
                    <w:left w:val="none" w:sz="0" w:space="0" w:color="auto"/>
                    <w:bottom w:val="none" w:sz="0" w:space="0" w:color="auto"/>
                    <w:right w:val="none" w:sz="0" w:space="0" w:color="auto"/>
                  </w:divBdr>
                  <w:divsChild>
                    <w:div w:id="1451777446">
                      <w:marLeft w:val="0"/>
                      <w:marRight w:val="0"/>
                      <w:marTop w:val="0"/>
                      <w:marBottom w:val="0"/>
                      <w:divBdr>
                        <w:top w:val="none" w:sz="0" w:space="0" w:color="auto"/>
                        <w:left w:val="none" w:sz="0" w:space="0" w:color="auto"/>
                        <w:bottom w:val="none" w:sz="0" w:space="0" w:color="auto"/>
                        <w:right w:val="none" w:sz="0" w:space="0" w:color="auto"/>
                      </w:divBdr>
                    </w:div>
                  </w:divsChild>
                </w:div>
                <w:div w:id="1117916275">
                  <w:marLeft w:val="0"/>
                  <w:marRight w:val="0"/>
                  <w:marTop w:val="0"/>
                  <w:marBottom w:val="0"/>
                  <w:divBdr>
                    <w:top w:val="none" w:sz="0" w:space="0" w:color="auto"/>
                    <w:left w:val="none" w:sz="0" w:space="0" w:color="auto"/>
                    <w:bottom w:val="none" w:sz="0" w:space="0" w:color="auto"/>
                    <w:right w:val="none" w:sz="0" w:space="0" w:color="auto"/>
                  </w:divBdr>
                  <w:divsChild>
                    <w:div w:id="429279756">
                      <w:marLeft w:val="0"/>
                      <w:marRight w:val="0"/>
                      <w:marTop w:val="0"/>
                      <w:marBottom w:val="0"/>
                      <w:divBdr>
                        <w:top w:val="none" w:sz="0" w:space="0" w:color="auto"/>
                        <w:left w:val="none" w:sz="0" w:space="0" w:color="auto"/>
                        <w:bottom w:val="none" w:sz="0" w:space="0" w:color="auto"/>
                        <w:right w:val="none" w:sz="0" w:space="0" w:color="auto"/>
                      </w:divBdr>
                    </w:div>
                  </w:divsChild>
                </w:div>
                <w:div w:id="1173254602">
                  <w:marLeft w:val="0"/>
                  <w:marRight w:val="0"/>
                  <w:marTop w:val="0"/>
                  <w:marBottom w:val="0"/>
                  <w:divBdr>
                    <w:top w:val="none" w:sz="0" w:space="0" w:color="auto"/>
                    <w:left w:val="none" w:sz="0" w:space="0" w:color="auto"/>
                    <w:bottom w:val="none" w:sz="0" w:space="0" w:color="auto"/>
                    <w:right w:val="none" w:sz="0" w:space="0" w:color="auto"/>
                  </w:divBdr>
                  <w:divsChild>
                    <w:div w:id="1802184492">
                      <w:marLeft w:val="0"/>
                      <w:marRight w:val="0"/>
                      <w:marTop w:val="0"/>
                      <w:marBottom w:val="0"/>
                      <w:divBdr>
                        <w:top w:val="none" w:sz="0" w:space="0" w:color="auto"/>
                        <w:left w:val="none" w:sz="0" w:space="0" w:color="auto"/>
                        <w:bottom w:val="none" w:sz="0" w:space="0" w:color="auto"/>
                        <w:right w:val="none" w:sz="0" w:space="0" w:color="auto"/>
                      </w:divBdr>
                    </w:div>
                  </w:divsChild>
                </w:div>
                <w:div w:id="1447383968">
                  <w:marLeft w:val="0"/>
                  <w:marRight w:val="0"/>
                  <w:marTop w:val="0"/>
                  <w:marBottom w:val="0"/>
                  <w:divBdr>
                    <w:top w:val="none" w:sz="0" w:space="0" w:color="auto"/>
                    <w:left w:val="none" w:sz="0" w:space="0" w:color="auto"/>
                    <w:bottom w:val="none" w:sz="0" w:space="0" w:color="auto"/>
                    <w:right w:val="none" w:sz="0" w:space="0" w:color="auto"/>
                  </w:divBdr>
                  <w:divsChild>
                    <w:div w:id="863595229">
                      <w:marLeft w:val="0"/>
                      <w:marRight w:val="0"/>
                      <w:marTop w:val="0"/>
                      <w:marBottom w:val="0"/>
                      <w:divBdr>
                        <w:top w:val="none" w:sz="0" w:space="0" w:color="auto"/>
                        <w:left w:val="none" w:sz="0" w:space="0" w:color="auto"/>
                        <w:bottom w:val="none" w:sz="0" w:space="0" w:color="auto"/>
                        <w:right w:val="none" w:sz="0" w:space="0" w:color="auto"/>
                      </w:divBdr>
                    </w:div>
                  </w:divsChild>
                </w:div>
                <w:div w:id="1984692564">
                  <w:marLeft w:val="0"/>
                  <w:marRight w:val="0"/>
                  <w:marTop w:val="0"/>
                  <w:marBottom w:val="0"/>
                  <w:divBdr>
                    <w:top w:val="none" w:sz="0" w:space="0" w:color="auto"/>
                    <w:left w:val="none" w:sz="0" w:space="0" w:color="auto"/>
                    <w:bottom w:val="none" w:sz="0" w:space="0" w:color="auto"/>
                    <w:right w:val="none" w:sz="0" w:space="0" w:color="auto"/>
                  </w:divBdr>
                  <w:divsChild>
                    <w:div w:id="1998538039">
                      <w:marLeft w:val="0"/>
                      <w:marRight w:val="0"/>
                      <w:marTop w:val="0"/>
                      <w:marBottom w:val="0"/>
                      <w:divBdr>
                        <w:top w:val="none" w:sz="0" w:space="0" w:color="auto"/>
                        <w:left w:val="none" w:sz="0" w:space="0" w:color="auto"/>
                        <w:bottom w:val="none" w:sz="0" w:space="0" w:color="auto"/>
                        <w:right w:val="none" w:sz="0" w:space="0" w:color="auto"/>
                      </w:divBdr>
                    </w:div>
                  </w:divsChild>
                </w:div>
                <w:div w:id="2039575442">
                  <w:marLeft w:val="0"/>
                  <w:marRight w:val="0"/>
                  <w:marTop w:val="0"/>
                  <w:marBottom w:val="0"/>
                  <w:divBdr>
                    <w:top w:val="none" w:sz="0" w:space="0" w:color="auto"/>
                    <w:left w:val="none" w:sz="0" w:space="0" w:color="auto"/>
                    <w:bottom w:val="none" w:sz="0" w:space="0" w:color="auto"/>
                    <w:right w:val="none" w:sz="0" w:space="0" w:color="auto"/>
                  </w:divBdr>
                  <w:divsChild>
                    <w:div w:id="1795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8968">
          <w:marLeft w:val="0"/>
          <w:marRight w:val="0"/>
          <w:marTop w:val="0"/>
          <w:marBottom w:val="0"/>
          <w:divBdr>
            <w:top w:val="none" w:sz="0" w:space="0" w:color="auto"/>
            <w:left w:val="none" w:sz="0" w:space="0" w:color="auto"/>
            <w:bottom w:val="none" w:sz="0" w:space="0" w:color="auto"/>
            <w:right w:val="none" w:sz="0" w:space="0" w:color="auto"/>
          </w:divBdr>
          <w:divsChild>
            <w:div w:id="153641692">
              <w:marLeft w:val="0"/>
              <w:marRight w:val="0"/>
              <w:marTop w:val="0"/>
              <w:marBottom w:val="0"/>
              <w:divBdr>
                <w:top w:val="none" w:sz="0" w:space="0" w:color="auto"/>
                <w:left w:val="none" w:sz="0" w:space="0" w:color="auto"/>
                <w:bottom w:val="none" w:sz="0" w:space="0" w:color="auto"/>
                <w:right w:val="none" w:sz="0" w:space="0" w:color="auto"/>
              </w:divBdr>
            </w:div>
            <w:div w:id="666395912">
              <w:marLeft w:val="0"/>
              <w:marRight w:val="0"/>
              <w:marTop w:val="0"/>
              <w:marBottom w:val="0"/>
              <w:divBdr>
                <w:top w:val="none" w:sz="0" w:space="0" w:color="auto"/>
                <w:left w:val="none" w:sz="0" w:space="0" w:color="auto"/>
                <w:bottom w:val="none" w:sz="0" w:space="0" w:color="auto"/>
                <w:right w:val="none" w:sz="0" w:space="0" w:color="auto"/>
              </w:divBdr>
            </w:div>
            <w:div w:id="838422218">
              <w:marLeft w:val="0"/>
              <w:marRight w:val="0"/>
              <w:marTop w:val="0"/>
              <w:marBottom w:val="0"/>
              <w:divBdr>
                <w:top w:val="none" w:sz="0" w:space="0" w:color="auto"/>
                <w:left w:val="none" w:sz="0" w:space="0" w:color="auto"/>
                <w:bottom w:val="none" w:sz="0" w:space="0" w:color="auto"/>
                <w:right w:val="none" w:sz="0" w:space="0" w:color="auto"/>
              </w:divBdr>
            </w:div>
            <w:div w:id="1240481411">
              <w:marLeft w:val="0"/>
              <w:marRight w:val="0"/>
              <w:marTop w:val="0"/>
              <w:marBottom w:val="0"/>
              <w:divBdr>
                <w:top w:val="none" w:sz="0" w:space="0" w:color="auto"/>
                <w:left w:val="none" w:sz="0" w:space="0" w:color="auto"/>
                <w:bottom w:val="none" w:sz="0" w:space="0" w:color="auto"/>
                <w:right w:val="none" w:sz="0" w:space="0" w:color="auto"/>
              </w:divBdr>
            </w:div>
          </w:divsChild>
        </w:div>
        <w:div w:id="871263151">
          <w:marLeft w:val="0"/>
          <w:marRight w:val="0"/>
          <w:marTop w:val="0"/>
          <w:marBottom w:val="0"/>
          <w:divBdr>
            <w:top w:val="none" w:sz="0" w:space="0" w:color="auto"/>
            <w:left w:val="none" w:sz="0" w:space="0" w:color="auto"/>
            <w:bottom w:val="none" w:sz="0" w:space="0" w:color="auto"/>
            <w:right w:val="none" w:sz="0" w:space="0" w:color="auto"/>
          </w:divBdr>
          <w:divsChild>
            <w:div w:id="1618175938">
              <w:marLeft w:val="-75"/>
              <w:marRight w:val="0"/>
              <w:marTop w:val="30"/>
              <w:marBottom w:val="30"/>
              <w:divBdr>
                <w:top w:val="none" w:sz="0" w:space="0" w:color="auto"/>
                <w:left w:val="none" w:sz="0" w:space="0" w:color="auto"/>
                <w:bottom w:val="none" w:sz="0" w:space="0" w:color="auto"/>
                <w:right w:val="none" w:sz="0" w:space="0" w:color="auto"/>
              </w:divBdr>
              <w:divsChild>
                <w:div w:id="200285365">
                  <w:marLeft w:val="0"/>
                  <w:marRight w:val="0"/>
                  <w:marTop w:val="0"/>
                  <w:marBottom w:val="0"/>
                  <w:divBdr>
                    <w:top w:val="none" w:sz="0" w:space="0" w:color="auto"/>
                    <w:left w:val="none" w:sz="0" w:space="0" w:color="auto"/>
                    <w:bottom w:val="none" w:sz="0" w:space="0" w:color="auto"/>
                    <w:right w:val="none" w:sz="0" w:space="0" w:color="auto"/>
                  </w:divBdr>
                  <w:divsChild>
                    <w:div w:id="2098862235">
                      <w:marLeft w:val="0"/>
                      <w:marRight w:val="0"/>
                      <w:marTop w:val="0"/>
                      <w:marBottom w:val="0"/>
                      <w:divBdr>
                        <w:top w:val="none" w:sz="0" w:space="0" w:color="auto"/>
                        <w:left w:val="none" w:sz="0" w:space="0" w:color="auto"/>
                        <w:bottom w:val="none" w:sz="0" w:space="0" w:color="auto"/>
                        <w:right w:val="none" w:sz="0" w:space="0" w:color="auto"/>
                      </w:divBdr>
                    </w:div>
                  </w:divsChild>
                </w:div>
                <w:div w:id="231082597">
                  <w:marLeft w:val="0"/>
                  <w:marRight w:val="0"/>
                  <w:marTop w:val="0"/>
                  <w:marBottom w:val="0"/>
                  <w:divBdr>
                    <w:top w:val="none" w:sz="0" w:space="0" w:color="auto"/>
                    <w:left w:val="none" w:sz="0" w:space="0" w:color="auto"/>
                    <w:bottom w:val="none" w:sz="0" w:space="0" w:color="auto"/>
                    <w:right w:val="none" w:sz="0" w:space="0" w:color="auto"/>
                  </w:divBdr>
                  <w:divsChild>
                    <w:div w:id="1178736415">
                      <w:marLeft w:val="0"/>
                      <w:marRight w:val="0"/>
                      <w:marTop w:val="0"/>
                      <w:marBottom w:val="0"/>
                      <w:divBdr>
                        <w:top w:val="none" w:sz="0" w:space="0" w:color="auto"/>
                        <w:left w:val="none" w:sz="0" w:space="0" w:color="auto"/>
                        <w:bottom w:val="none" w:sz="0" w:space="0" w:color="auto"/>
                        <w:right w:val="none" w:sz="0" w:space="0" w:color="auto"/>
                      </w:divBdr>
                    </w:div>
                  </w:divsChild>
                </w:div>
                <w:div w:id="357852964">
                  <w:marLeft w:val="0"/>
                  <w:marRight w:val="0"/>
                  <w:marTop w:val="0"/>
                  <w:marBottom w:val="0"/>
                  <w:divBdr>
                    <w:top w:val="none" w:sz="0" w:space="0" w:color="auto"/>
                    <w:left w:val="none" w:sz="0" w:space="0" w:color="auto"/>
                    <w:bottom w:val="none" w:sz="0" w:space="0" w:color="auto"/>
                    <w:right w:val="none" w:sz="0" w:space="0" w:color="auto"/>
                  </w:divBdr>
                  <w:divsChild>
                    <w:div w:id="643121404">
                      <w:marLeft w:val="0"/>
                      <w:marRight w:val="0"/>
                      <w:marTop w:val="0"/>
                      <w:marBottom w:val="0"/>
                      <w:divBdr>
                        <w:top w:val="none" w:sz="0" w:space="0" w:color="auto"/>
                        <w:left w:val="none" w:sz="0" w:space="0" w:color="auto"/>
                        <w:bottom w:val="none" w:sz="0" w:space="0" w:color="auto"/>
                        <w:right w:val="none" w:sz="0" w:space="0" w:color="auto"/>
                      </w:divBdr>
                    </w:div>
                  </w:divsChild>
                </w:div>
                <w:div w:id="473987700">
                  <w:marLeft w:val="0"/>
                  <w:marRight w:val="0"/>
                  <w:marTop w:val="0"/>
                  <w:marBottom w:val="0"/>
                  <w:divBdr>
                    <w:top w:val="none" w:sz="0" w:space="0" w:color="auto"/>
                    <w:left w:val="none" w:sz="0" w:space="0" w:color="auto"/>
                    <w:bottom w:val="none" w:sz="0" w:space="0" w:color="auto"/>
                    <w:right w:val="none" w:sz="0" w:space="0" w:color="auto"/>
                  </w:divBdr>
                  <w:divsChild>
                    <w:div w:id="1996645671">
                      <w:marLeft w:val="0"/>
                      <w:marRight w:val="0"/>
                      <w:marTop w:val="0"/>
                      <w:marBottom w:val="0"/>
                      <w:divBdr>
                        <w:top w:val="none" w:sz="0" w:space="0" w:color="auto"/>
                        <w:left w:val="none" w:sz="0" w:space="0" w:color="auto"/>
                        <w:bottom w:val="none" w:sz="0" w:space="0" w:color="auto"/>
                        <w:right w:val="none" w:sz="0" w:space="0" w:color="auto"/>
                      </w:divBdr>
                    </w:div>
                  </w:divsChild>
                </w:div>
                <w:div w:id="570624107">
                  <w:marLeft w:val="0"/>
                  <w:marRight w:val="0"/>
                  <w:marTop w:val="0"/>
                  <w:marBottom w:val="0"/>
                  <w:divBdr>
                    <w:top w:val="none" w:sz="0" w:space="0" w:color="auto"/>
                    <w:left w:val="none" w:sz="0" w:space="0" w:color="auto"/>
                    <w:bottom w:val="none" w:sz="0" w:space="0" w:color="auto"/>
                    <w:right w:val="none" w:sz="0" w:space="0" w:color="auto"/>
                  </w:divBdr>
                  <w:divsChild>
                    <w:div w:id="1570964648">
                      <w:marLeft w:val="0"/>
                      <w:marRight w:val="0"/>
                      <w:marTop w:val="0"/>
                      <w:marBottom w:val="0"/>
                      <w:divBdr>
                        <w:top w:val="none" w:sz="0" w:space="0" w:color="auto"/>
                        <w:left w:val="none" w:sz="0" w:space="0" w:color="auto"/>
                        <w:bottom w:val="none" w:sz="0" w:space="0" w:color="auto"/>
                        <w:right w:val="none" w:sz="0" w:space="0" w:color="auto"/>
                      </w:divBdr>
                    </w:div>
                  </w:divsChild>
                </w:div>
                <w:div w:id="650521666">
                  <w:marLeft w:val="0"/>
                  <w:marRight w:val="0"/>
                  <w:marTop w:val="0"/>
                  <w:marBottom w:val="0"/>
                  <w:divBdr>
                    <w:top w:val="none" w:sz="0" w:space="0" w:color="auto"/>
                    <w:left w:val="none" w:sz="0" w:space="0" w:color="auto"/>
                    <w:bottom w:val="none" w:sz="0" w:space="0" w:color="auto"/>
                    <w:right w:val="none" w:sz="0" w:space="0" w:color="auto"/>
                  </w:divBdr>
                  <w:divsChild>
                    <w:div w:id="1014301160">
                      <w:marLeft w:val="0"/>
                      <w:marRight w:val="0"/>
                      <w:marTop w:val="0"/>
                      <w:marBottom w:val="0"/>
                      <w:divBdr>
                        <w:top w:val="none" w:sz="0" w:space="0" w:color="auto"/>
                        <w:left w:val="none" w:sz="0" w:space="0" w:color="auto"/>
                        <w:bottom w:val="none" w:sz="0" w:space="0" w:color="auto"/>
                        <w:right w:val="none" w:sz="0" w:space="0" w:color="auto"/>
                      </w:divBdr>
                    </w:div>
                  </w:divsChild>
                </w:div>
                <w:div w:id="737482259">
                  <w:marLeft w:val="0"/>
                  <w:marRight w:val="0"/>
                  <w:marTop w:val="0"/>
                  <w:marBottom w:val="0"/>
                  <w:divBdr>
                    <w:top w:val="none" w:sz="0" w:space="0" w:color="auto"/>
                    <w:left w:val="none" w:sz="0" w:space="0" w:color="auto"/>
                    <w:bottom w:val="none" w:sz="0" w:space="0" w:color="auto"/>
                    <w:right w:val="none" w:sz="0" w:space="0" w:color="auto"/>
                  </w:divBdr>
                  <w:divsChild>
                    <w:div w:id="1570266707">
                      <w:marLeft w:val="0"/>
                      <w:marRight w:val="0"/>
                      <w:marTop w:val="0"/>
                      <w:marBottom w:val="0"/>
                      <w:divBdr>
                        <w:top w:val="none" w:sz="0" w:space="0" w:color="auto"/>
                        <w:left w:val="none" w:sz="0" w:space="0" w:color="auto"/>
                        <w:bottom w:val="none" w:sz="0" w:space="0" w:color="auto"/>
                        <w:right w:val="none" w:sz="0" w:space="0" w:color="auto"/>
                      </w:divBdr>
                    </w:div>
                  </w:divsChild>
                </w:div>
                <w:div w:id="931663030">
                  <w:marLeft w:val="0"/>
                  <w:marRight w:val="0"/>
                  <w:marTop w:val="0"/>
                  <w:marBottom w:val="0"/>
                  <w:divBdr>
                    <w:top w:val="none" w:sz="0" w:space="0" w:color="auto"/>
                    <w:left w:val="none" w:sz="0" w:space="0" w:color="auto"/>
                    <w:bottom w:val="none" w:sz="0" w:space="0" w:color="auto"/>
                    <w:right w:val="none" w:sz="0" w:space="0" w:color="auto"/>
                  </w:divBdr>
                  <w:divsChild>
                    <w:div w:id="732119523">
                      <w:marLeft w:val="0"/>
                      <w:marRight w:val="0"/>
                      <w:marTop w:val="0"/>
                      <w:marBottom w:val="0"/>
                      <w:divBdr>
                        <w:top w:val="none" w:sz="0" w:space="0" w:color="auto"/>
                        <w:left w:val="none" w:sz="0" w:space="0" w:color="auto"/>
                        <w:bottom w:val="none" w:sz="0" w:space="0" w:color="auto"/>
                        <w:right w:val="none" w:sz="0" w:space="0" w:color="auto"/>
                      </w:divBdr>
                    </w:div>
                  </w:divsChild>
                </w:div>
                <w:div w:id="1114128694">
                  <w:marLeft w:val="0"/>
                  <w:marRight w:val="0"/>
                  <w:marTop w:val="0"/>
                  <w:marBottom w:val="0"/>
                  <w:divBdr>
                    <w:top w:val="none" w:sz="0" w:space="0" w:color="auto"/>
                    <w:left w:val="none" w:sz="0" w:space="0" w:color="auto"/>
                    <w:bottom w:val="none" w:sz="0" w:space="0" w:color="auto"/>
                    <w:right w:val="none" w:sz="0" w:space="0" w:color="auto"/>
                  </w:divBdr>
                  <w:divsChild>
                    <w:div w:id="842822629">
                      <w:marLeft w:val="0"/>
                      <w:marRight w:val="0"/>
                      <w:marTop w:val="0"/>
                      <w:marBottom w:val="0"/>
                      <w:divBdr>
                        <w:top w:val="none" w:sz="0" w:space="0" w:color="auto"/>
                        <w:left w:val="none" w:sz="0" w:space="0" w:color="auto"/>
                        <w:bottom w:val="none" w:sz="0" w:space="0" w:color="auto"/>
                        <w:right w:val="none" w:sz="0" w:space="0" w:color="auto"/>
                      </w:divBdr>
                    </w:div>
                  </w:divsChild>
                </w:div>
                <w:div w:id="1278559715">
                  <w:marLeft w:val="0"/>
                  <w:marRight w:val="0"/>
                  <w:marTop w:val="0"/>
                  <w:marBottom w:val="0"/>
                  <w:divBdr>
                    <w:top w:val="none" w:sz="0" w:space="0" w:color="auto"/>
                    <w:left w:val="none" w:sz="0" w:space="0" w:color="auto"/>
                    <w:bottom w:val="none" w:sz="0" w:space="0" w:color="auto"/>
                    <w:right w:val="none" w:sz="0" w:space="0" w:color="auto"/>
                  </w:divBdr>
                  <w:divsChild>
                    <w:div w:id="1556888725">
                      <w:marLeft w:val="0"/>
                      <w:marRight w:val="0"/>
                      <w:marTop w:val="0"/>
                      <w:marBottom w:val="0"/>
                      <w:divBdr>
                        <w:top w:val="none" w:sz="0" w:space="0" w:color="auto"/>
                        <w:left w:val="none" w:sz="0" w:space="0" w:color="auto"/>
                        <w:bottom w:val="none" w:sz="0" w:space="0" w:color="auto"/>
                        <w:right w:val="none" w:sz="0" w:space="0" w:color="auto"/>
                      </w:divBdr>
                    </w:div>
                  </w:divsChild>
                </w:div>
                <w:div w:id="1376200795">
                  <w:marLeft w:val="0"/>
                  <w:marRight w:val="0"/>
                  <w:marTop w:val="0"/>
                  <w:marBottom w:val="0"/>
                  <w:divBdr>
                    <w:top w:val="none" w:sz="0" w:space="0" w:color="auto"/>
                    <w:left w:val="none" w:sz="0" w:space="0" w:color="auto"/>
                    <w:bottom w:val="none" w:sz="0" w:space="0" w:color="auto"/>
                    <w:right w:val="none" w:sz="0" w:space="0" w:color="auto"/>
                  </w:divBdr>
                  <w:divsChild>
                    <w:div w:id="1163618930">
                      <w:marLeft w:val="0"/>
                      <w:marRight w:val="0"/>
                      <w:marTop w:val="0"/>
                      <w:marBottom w:val="0"/>
                      <w:divBdr>
                        <w:top w:val="none" w:sz="0" w:space="0" w:color="auto"/>
                        <w:left w:val="none" w:sz="0" w:space="0" w:color="auto"/>
                        <w:bottom w:val="none" w:sz="0" w:space="0" w:color="auto"/>
                        <w:right w:val="none" w:sz="0" w:space="0" w:color="auto"/>
                      </w:divBdr>
                    </w:div>
                  </w:divsChild>
                </w:div>
                <w:div w:id="1429696841">
                  <w:marLeft w:val="0"/>
                  <w:marRight w:val="0"/>
                  <w:marTop w:val="0"/>
                  <w:marBottom w:val="0"/>
                  <w:divBdr>
                    <w:top w:val="none" w:sz="0" w:space="0" w:color="auto"/>
                    <w:left w:val="none" w:sz="0" w:space="0" w:color="auto"/>
                    <w:bottom w:val="none" w:sz="0" w:space="0" w:color="auto"/>
                    <w:right w:val="none" w:sz="0" w:space="0" w:color="auto"/>
                  </w:divBdr>
                  <w:divsChild>
                    <w:div w:id="1700162299">
                      <w:marLeft w:val="0"/>
                      <w:marRight w:val="0"/>
                      <w:marTop w:val="0"/>
                      <w:marBottom w:val="0"/>
                      <w:divBdr>
                        <w:top w:val="none" w:sz="0" w:space="0" w:color="auto"/>
                        <w:left w:val="none" w:sz="0" w:space="0" w:color="auto"/>
                        <w:bottom w:val="none" w:sz="0" w:space="0" w:color="auto"/>
                        <w:right w:val="none" w:sz="0" w:space="0" w:color="auto"/>
                      </w:divBdr>
                    </w:div>
                  </w:divsChild>
                </w:div>
                <w:div w:id="1447888044">
                  <w:marLeft w:val="0"/>
                  <w:marRight w:val="0"/>
                  <w:marTop w:val="0"/>
                  <w:marBottom w:val="0"/>
                  <w:divBdr>
                    <w:top w:val="none" w:sz="0" w:space="0" w:color="auto"/>
                    <w:left w:val="none" w:sz="0" w:space="0" w:color="auto"/>
                    <w:bottom w:val="none" w:sz="0" w:space="0" w:color="auto"/>
                    <w:right w:val="none" w:sz="0" w:space="0" w:color="auto"/>
                  </w:divBdr>
                  <w:divsChild>
                    <w:div w:id="1915243371">
                      <w:marLeft w:val="0"/>
                      <w:marRight w:val="0"/>
                      <w:marTop w:val="0"/>
                      <w:marBottom w:val="0"/>
                      <w:divBdr>
                        <w:top w:val="none" w:sz="0" w:space="0" w:color="auto"/>
                        <w:left w:val="none" w:sz="0" w:space="0" w:color="auto"/>
                        <w:bottom w:val="none" w:sz="0" w:space="0" w:color="auto"/>
                        <w:right w:val="none" w:sz="0" w:space="0" w:color="auto"/>
                      </w:divBdr>
                    </w:div>
                  </w:divsChild>
                </w:div>
                <w:div w:id="1500195435">
                  <w:marLeft w:val="0"/>
                  <w:marRight w:val="0"/>
                  <w:marTop w:val="0"/>
                  <w:marBottom w:val="0"/>
                  <w:divBdr>
                    <w:top w:val="none" w:sz="0" w:space="0" w:color="auto"/>
                    <w:left w:val="none" w:sz="0" w:space="0" w:color="auto"/>
                    <w:bottom w:val="none" w:sz="0" w:space="0" w:color="auto"/>
                    <w:right w:val="none" w:sz="0" w:space="0" w:color="auto"/>
                  </w:divBdr>
                  <w:divsChild>
                    <w:div w:id="1312365382">
                      <w:marLeft w:val="0"/>
                      <w:marRight w:val="0"/>
                      <w:marTop w:val="0"/>
                      <w:marBottom w:val="0"/>
                      <w:divBdr>
                        <w:top w:val="none" w:sz="0" w:space="0" w:color="auto"/>
                        <w:left w:val="none" w:sz="0" w:space="0" w:color="auto"/>
                        <w:bottom w:val="none" w:sz="0" w:space="0" w:color="auto"/>
                        <w:right w:val="none" w:sz="0" w:space="0" w:color="auto"/>
                      </w:divBdr>
                    </w:div>
                  </w:divsChild>
                </w:div>
                <w:div w:id="1671178861">
                  <w:marLeft w:val="0"/>
                  <w:marRight w:val="0"/>
                  <w:marTop w:val="0"/>
                  <w:marBottom w:val="0"/>
                  <w:divBdr>
                    <w:top w:val="none" w:sz="0" w:space="0" w:color="auto"/>
                    <w:left w:val="none" w:sz="0" w:space="0" w:color="auto"/>
                    <w:bottom w:val="none" w:sz="0" w:space="0" w:color="auto"/>
                    <w:right w:val="none" w:sz="0" w:space="0" w:color="auto"/>
                  </w:divBdr>
                  <w:divsChild>
                    <w:div w:id="767652264">
                      <w:marLeft w:val="0"/>
                      <w:marRight w:val="0"/>
                      <w:marTop w:val="0"/>
                      <w:marBottom w:val="0"/>
                      <w:divBdr>
                        <w:top w:val="none" w:sz="0" w:space="0" w:color="auto"/>
                        <w:left w:val="none" w:sz="0" w:space="0" w:color="auto"/>
                        <w:bottom w:val="none" w:sz="0" w:space="0" w:color="auto"/>
                        <w:right w:val="none" w:sz="0" w:space="0" w:color="auto"/>
                      </w:divBdr>
                    </w:div>
                  </w:divsChild>
                </w:div>
                <w:div w:id="1710717529">
                  <w:marLeft w:val="0"/>
                  <w:marRight w:val="0"/>
                  <w:marTop w:val="0"/>
                  <w:marBottom w:val="0"/>
                  <w:divBdr>
                    <w:top w:val="none" w:sz="0" w:space="0" w:color="auto"/>
                    <w:left w:val="none" w:sz="0" w:space="0" w:color="auto"/>
                    <w:bottom w:val="none" w:sz="0" w:space="0" w:color="auto"/>
                    <w:right w:val="none" w:sz="0" w:space="0" w:color="auto"/>
                  </w:divBdr>
                  <w:divsChild>
                    <w:div w:id="1368263620">
                      <w:marLeft w:val="0"/>
                      <w:marRight w:val="0"/>
                      <w:marTop w:val="0"/>
                      <w:marBottom w:val="0"/>
                      <w:divBdr>
                        <w:top w:val="none" w:sz="0" w:space="0" w:color="auto"/>
                        <w:left w:val="none" w:sz="0" w:space="0" w:color="auto"/>
                        <w:bottom w:val="none" w:sz="0" w:space="0" w:color="auto"/>
                        <w:right w:val="none" w:sz="0" w:space="0" w:color="auto"/>
                      </w:divBdr>
                    </w:div>
                  </w:divsChild>
                </w:div>
                <w:div w:id="1713849673">
                  <w:marLeft w:val="0"/>
                  <w:marRight w:val="0"/>
                  <w:marTop w:val="0"/>
                  <w:marBottom w:val="0"/>
                  <w:divBdr>
                    <w:top w:val="none" w:sz="0" w:space="0" w:color="auto"/>
                    <w:left w:val="none" w:sz="0" w:space="0" w:color="auto"/>
                    <w:bottom w:val="none" w:sz="0" w:space="0" w:color="auto"/>
                    <w:right w:val="none" w:sz="0" w:space="0" w:color="auto"/>
                  </w:divBdr>
                  <w:divsChild>
                    <w:div w:id="1885437083">
                      <w:marLeft w:val="0"/>
                      <w:marRight w:val="0"/>
                      <w:marTop w:val="0"/>
                      <w:marBottom w:val="0"/>
                      <w:divBdr>
                        <w:top w:val="none" w:sz="0" w:space="0" w:color="auto"/>
                        <w:left w:val="none" w:sz="0" w:space="0" w:color="auto"/>
                        <w:bottom w:val="none" w:sz="0" w:space="0" w:color="auto"/>
                        <w:right w:val="none" w:sz="0" w:space="0" w:color="auto"/>
                      </w:divBdr>
                    </w:div>
                  </w:divsChild>
                </w:div>
                <w:div w:id="1721704021">
                  <w:marLeft w:val="0"/>
                  <w:marRight w:val="0"/>
                  <w:marTop w:val="0"/>
                  <w:marBottom w:val="0"/>
                  <w:divBdr>
                    <w:top w:val="none" w:sz="0" w:space="0" w:color="auto"/>
                    <w:left w:val="none" w:sz="0" w:space="0" w:color="auto"/>
                    <w:bottom w:val="none" w:sz="0" w:space="0" w:color="auto"/>
                    <w:right w:val="none" w:sz="0" w:space="0" w:color="auto"/>
                  </w:divBdr>
                  <w:divsChild>
                    <w:div w:id="721632520">
                      <w:marLeft w:val="0"/>
                      <w:marRight w:val="0"/>
                      <w:marTop w:val="0"/>
                      <w:marBottom w:val="0"/>
                      <w:divBdr>
                        <w:top w:val="none" w:sz="0" w:space="0" w:color="auto"/>
                        <w:left w:val="none" w:sz="0" w:space="0" w:color="auto"/>
                        <w:bottom w:val="none" w:sz="0" w:space="0" w:color="auto"/>
                        <w:right w:val="none" w:sz="0" w:space="0" w:color="auto"/>
                      </w:divBdr>
                    </w:div>
                  </w:divsChild>
                </w:div>
                <w:div w:id="1783190054">
                  <w:marLeft w:val="0"/>
                  <w:marRight w:val="0"/>
                  <w:marTop w:val="0"/>
                  <w:marBottom w:val="0"/>
                  <w:divBdr>
                    <w:top w:val="none" w:sz="0" w:space="0" w:color="auto"/>
                    <w:left w:val="none" w:sz="0" w:space="0" w:color="auto"/>
                    <w:bottom w:val="none" w:sz="0" w:space="0" w:color="auto"/>
                    <w:right w:val="none" w:sz="0" w:space="0" w:color="auto"/>
                  </w:divBdr>
                  <w:divsChild>
                    <w:div w:id="1444151912">
                      <w:marLeft w:val="0"/>
                      <w:marRight w:val="0"/>
                      <w:marTop w:val="0"/>
                      <w:marBottom w:val="0"/>
                      <w:divBdr>
                        <w:top w:val="none" w:sz="0" w:space="0" w:color="auto"/>
                        <w:left w:val="none" w:sz="0" w:space="0" w:color="auto"/>
                        <w:bottom w:val="none" w:sz="0" w:space="0" w:color="auto"/>
                        <w:right w:val="none" w:sz="0" w:space="0" w:color="auto"/>
                      </w:divBdr>
                    </w:div>
                  </w:divsChild>
                </w:div>
                <w:div w:id="1857033390">
                  <w:marLeft w:val="0"/>
                  <w:marRight w:val="0"/>
                  <w:marTop w:val="0"/>
                  <w:marBottom w:val="0"/>
                  <w:divBdr>
                    <w:top w:val="none" w:sz="0" w:space="0" w:color="auto"/>
                    <w:left w:val="none" w:sz="0" w:space="0" w:color="auto"/>
                    <w:bottom w:val="none" w:sz="0" w:space="0" w:color="auto"/>
                    <w:right w:val="none" w:sz="0" w:space="0" w:color="auto"/>
                  </w:divBdr>
                  <w:divsChild>
                    <w:div w:id="905187422">
                      <w:marLeft w:val="0"/>
                      <w:marRight w:val="0"/>
                      <w:marTop w:val="0"/>
                      <w:marBottom w:val="0"/>
                      <w:divBdr>
                        <w:top w:val="none" w:sz="0" w:space="0" w:color="auto"/>
                        <w:left w:val="none" w:sz="0" w:space="0" w:color="auto"/>
                        <w:bottom w:val="none" w:sz="0" w:space="0" w:color="auto"/>
                        <w:right w:val="none" w:sz="0" w:space="0" w:color="auto"/>
                      </w:divBdr>
                    </w:div>
                  </w:divsChild>
                </w:div>
                <w:div w:id="2045399432">
                  <w:marLeft w:val="0"/>
                  <w:marRight w:val="0"/>
                  <w:marTop w:val="0"/>
                  <w:marBottom w:val="0"/>
                  <w:divBdr>
                    <w:top w:val="none" w:sz="0" w:space="0" w:color="auto"/>
                    <w:left w:val="none" w:sz="0" w:space="0" w:color="auto"/>
                    <w:bottom w:val="none" w:sz="0" w:space="0" w:color="auto"/>
                    <w:right w:val="none" w:sz="0" w:space="0" w:color="auto"/>
                  </w:divBdr>
                  <w:divsChild>
                    <w:div w:id="8171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8564">
          <w:marLeft w:val="0"/>
          <w:marRight w:val="0"/>
          <w:marTop w:val="0"/>
          <w:marBottom w:val="0"/>
          <w:divBdr>
            <w:top w:val="none" w:sz="0" w:space="0" w:color="auto"/>
            <w:left w:val="none" w:sz="0" w:space="0" w:color="auto"/>
            <w:bottom w:val="none" w:sz="0" w:space="0" w:color="auto"/>
            <w:right w:val="none" w:sz="0" w:space="0" w:color="auto"/>
          </w:divBdr>
          <w:divsChild>
            <w:div w:id="289170078">
              <w:marLeft w:val="0"/>
              <w:marRight w:val="0"/>
              <w:marTop w:val="0"/>
              <w:marBottom w:val="0"/>
              <w:divBdr>
                <w:top w:val="none" w:sz="0" w:space="0" w:color="auto"/>
                <w:left w:val="none" w:sz="0" w:space="0" w:color="auto"/>
                <w:bottom w:val="none" w:sz="0" w:space="0" w:color="auto"/>
                <w:right w:val="none" w:sz="0" w:space="0" w:color="auto"/>
              </w:divBdr>
            </w:div>
            <w:div w:id="2055346970">
              <w:marLeft w:val="0"/>
              <w:marRight w:val="0"/>
              <w:marTop w:val="0"/>
              <w:marBottom w:val="0"/>
              <w:divBdr>
                <w:top w:val="none" w:sz="0" w:space="0" w:color="auto"/>
                <w:left w:val="none" w:sz="0" w:space="0" w:color="auto"/>
                <w:bottom w:val="none" w:sz="0" w:space="0" w:color="auto"/>
                <w:right w:val="none" w:sz="0" w:space="0" w:color="auto"/>
              </w:divBdr>
            </w:div>
          </w:divsChild>
        </w:div>
        <w:div w:id="899363983">
          <w:marLeft w:val="0"/>
          <w:marRight w:val="0"/>
          <w:marTop w:val="0"/>
          <w:marBottom w:val="0"/>
          <w:divBdr>
            <w:top w:val="none" w:sz="0" w:space="0" w:color="auto"/>
            <w:left w:val="none" w:sz="0" w:space="0" w:color="auto"/>
            <w:bottom w:val="none" w:sz="0" w:space="0" w:color="auto"/>
            <w:right w:val="none" w:sz="0" w:space="0" w:color="auto"/>
          </w:divBdr>
        </w:div>
        <w:div w:id="915869645">
          <w:marLeft w:val="0"/>
          <w:marRight w:val="0"/>
          <w:marTop w:val="0"/>
          <w:marBottom w:val="0"/>
          <w:divBdr>
            <w:top w:val="none" w:sz="0" w:space="0" w:color="auto"/>
            <w:left w:val="none" w:sz="0" w:space="0" w:color="auto"/>
            <w:bottom w:val="none" w:sz="0" w:space="0" w:color="auto"/>
            <w:right w:val="none" w:sz="0" w:space="0" w:color="auto"/>
          </w:divBdr>
          <w:divsChild>
            <w:div w:id="2045060894">
              <w:marLeft w:val="-75"/>
              <w:marRight w:val="0"/>
              <w:marTop w:val="30"/>
              <w:marBottom w:val="30"/>
              <w:divBdr>
                <w:top w:val="none" w:sz="0" w:space="0" w:color="auto"/>
                <w:left w:val="none" w:sz="0" w:space="0" w:color="auto"/>
                <w:bottom w:val="none" w:sz="0" w:space="0" w:color="auto"/>
                <w:right w:val="none" w:sz="0" w:space="0" w:color="auto"/>
              </w:divBdr>
              <w:divsChild>
                <w:div w:id="64766941">
                  <w:marLeft w:val="0"/>
                  <w:marRight w:val="0"/>
                  <w:marTop w:val="0"/>
                  <w:marBottom w:val="0"/>
                  <w:divBdr>
                    <w:top w:val="none" w:sz="0" w:space="0" w:color="auto"/>
                    <w:left w:val="none" w:sz="0" w:space="0" w:color="auto"/>
                    <w:bottom w:val="none" w:sz="0" w:space="0" w:color="auto"/>
                    <w:right w:val="none" w:sz="0" w:space="0" w:color="auto"/>
                  </w:divBdr>
                  <w:divsChild>
                    <w:div w:id="725690935">
                      <w:marLeft w:val="0"/>
                      <w:marRight w:val="0"/>
                      <w:marTop w:val="0"/>
                      <w:marBottom w:val="0"/>
                      <w:divBdr>
                        <w:top w:val="none" w:sz="0" w:space="0" w:color="auto"/>
                        <w:left w:val="none" w:sz="0" w:space="0" w:color="auto"/>
                        <w:bottom w:val="none" w:sz="0" w:space="0" w:color="auto"/>
                        <w:right w:val="none" w:sz="0" w:space="0" w:color="auto"/>
                      </w:divBdr>
                    </w:div>
                  </w:divsChild>
                </w:div>
                <w:div w:id="67577482">
                  <w:marLeft w:val="0"/>
                  <w:marRight w:val="0"/>
                  <w:marTop w:val="0"/>
                  <w:marBottom w:val="0"/>
                  <w:divBdr>
                    <w:top w:val="none" w:sz="0" w:space="0" w:color="auto"/>
                    <w:left w:val="none" w:sz="0" w:space="0" w:color="auto"/>
                    <w:bottom w:val="none" w:sz="0" w:space="0" w:color="auto"/>
                    <w:right w:val="none" w:sz="0" w:space="0" w:color="auto"/>
                  </w:divBdr>
                  <w:divsChild>
                    <w:div w:id="468522796">
                      <w:marLeft w:val="0"/>
                      <w:marRight w:val="0"/>
                      <w:marTop w:val="0"/>
                      <w:marBottom w:val="0"/>
                      <w:divBdr>
                        <w:top w:val="none" w:sz="0" w:space="0" w:color="auto"/>
                        <w:left w:val="none" w:sz="0" w:space="0" w:color="auto"/>
                        <w:bottom w:val="none" w:sz="0" w:space="0" w:color="auto"/>
                        <w:right w:val="none" w:sz="0" w:space="0" w:color="auto"/>
                      </w:divBdr>
                    </w:div>
                  </w:divsChild>
                </w:div>
                <w:div w:id="78066865">
                  <w:marLeft w:val="0"/>
                  <w:marRight w:val="0"/>
                  <w:marTop w:val="0"/>
                  <w:marBottom w:val="0"/>
                  <w:divBdr>
                    <w:top w:val="none" w:sz="0" w:space="0" w:color="auto"/>
                    <w:left w:val="none" w:sz="0" w:space="0" w:color="auto"/>
                    <w:bottom w:val="none" w:sz="0" w:space="0" w:color="auto"/>
                    <w:right w:val="none" w:sz="0" w:space="0" w:color="auto"/>
                  </w:divBdr>
                  <w:divsChild>
                    <w:div w:id="701632343">
                      <w:marLeft w:val="0"/>
                      <w:marRight w:val="0"/>
                      <w:marTop w:val="0"/>
                      <w:marBottom w:val="0"/>
                      <w:divBdr>
                        <w:top w:val="none" w:sz="0" w:space="0" w:color="auto"/>
                        <w:left w:val="none" w:sz="0" w:space="0" w:color="auto"/>
                        <w:bottom w:val="none" w:sz="0" w:space="0" w:color="auto"/>
                        <w:right w:val="none" w:sz="0" w:space="0" w:color="auto"/>
                      </w:divBdr>
                    </w:div>
                  </w:divsChild>
                </w:div>
                <w:div w:id="107432464">
                  <w:marLeft w:val="0"/>
                  <w:marRight w:val="0"/>
                  <w:marTop w:val="0"/>
                  <w:marBottom w:val="0"/>
                  <w:divBdr>
                    <w:top w:val="none" w:sz="0" w:space="0" w:color="auto"/>
                    <w:left w:val="none" w:sz="0" w:space="0" w:color="auto"/>
                    <w:bottom w:val="none" w:sz="0" w:space="0" w:color="auto"/>
                    <w:right w:val="none" w:sz="0" w:space="0" w:color="auto"/>
                  </w:divBdr>
                  <w:divsChild>
                    <w:div w:id="2115974932">
                      <w:marLeft w:val="0"/>
                      <w:marRight w:val="0"/>
                      <w:marTop w:val="0"/>
                      <w:marBottom w:val="0"/>
                      <w:divBdr>
                        <w:top w:val="none" w:sz="0" w:space="0" w:color="auto"/>
                        <w:left w:val="none" w:sz="0" w:space="0" w:color="auto"/>
                        <w:bottom w:val="none" w:sz="0" w:space="0" w:color="auto"/>
                        <w:right w:val="none" w:sz="0" w:space="0" w:color="auto"/>
                      </w:divBdr>
                    </w:div>
                  </w:divsChild>
                </w:div>
                <w:div w:id="114834545">
                  <w:marLeft w:val="0"/>
                  <w:marRight w:val="0"/>
                  <w:marTop w:val="0"/>
                  <w:marBottom w:val="0"/>
                  <w:divBdr>
                    <w:top w:val="none" w:sz="0" w:space="0" w:color="auto"/>
                    <w:left w:val="none" w:sz="0" w:space="0" w:color="auto"/>
                    <w:bottom w:val="none" w:sz="0" w:space="0" w:color="auto"/>
                    <w:right w:val="none" w:sz="0" w:space="0" w:color="auto"/>
                  </w:divBdr>
                  <w:divsChild>
                    <w:div w:id="981076536">
                      <w:marLeft w:val="0"/>
                      <w:marRight w:val="0"/>
                      <w:marTop w:val="0"/>
                      <w:marBottom w:val="0"/>
                      <w:divBdr>
                        <w:top w:val="none" w:sz="0" w:space="0" w:color="auto"/>
                        <w:left w:val="none" w:sz="0" w:space="0" w:color="auto"/>
                        <w:bottom w:val="none" w:sz="0" w:space="0" w:color="auto"/>
                        <w:right w:val="none" w:sz="0" w:space="0" w:color="auto"/>
                      </w:divBdr>
                    </w:div>
                  </w:divsChild>
                </w:div>
                <w:div w:id="117456761">
                  <w:marLeft w:val="0"/>
                  <w:marRight w:val="0"/>
                  <w:marTop w:val="0"/>
                  <w:marBottom w:val="0"/>
                  <w:divBdr>
                    <w:top w:val="none" w:sz="0" w:space="0" w:color="auto"/>
                    <w:left w:val="none" w:sz="0" w:space="0" w:color="auto"/>
                    <w:bottom w:val="none" w:sz="0" w:space="0" w:color="auto"/>
                    <w:right w:val="none" w:sz="0" w:space="0" w:color="auto"/>
                  </w:divBdr>
                  <w:divsChild>
                    <w:div w:id="1218588672">
                      <w:marLeft w:val="0"/>
                      <w:marRight w:val="0"/>
                      <w:marTop w:val="0"/>
                      <w:marBottom w:val="0"/>
                      <w:divBdr>
                        <w:top w:val="none" w:sz="0" w:space="0" w:color="auto"/>
                        <w:left w:val="none" w:sz="0" w:space="0" w:color="auto"/>
                        <w:bottom w:val="none" w:sz="0" w:space="0" w:color="auto"/>
                        <w:right w:val="none" w:sz="0" w:space="0" w:color="auto"/>
                      </w:divBdr>
                    </w:div>
                  </w:divsChild>
                </w:div>
                <w:div w:id="131948631">
                  <w:marLeft w:val="0"/>
                  <w:marRight w:val="0"/>
                  <w:marTop w:val="0"/>
                  <w:marBottom w:val="0"/>
                  <w:divBdr>
                    <w:top w:val="none" w:sz="0" w:space="0" w:color="auto"/>
                    <w:left w:val="none" w:sz="0" w:space="0" w:color="auto"/>
                    <w:bottom w:val="none" w:sz="0" w:space="0" w:color="auto"/>
                    <w:right w:val="none" w:sz="0" w:space="0" w:color="auto"/>
                  </w:divBdr>
                  <w:divsChild>
                    <w:div w:id="171576127">
                      <w:marLeft w:val="0"/>
                      <w:marRight w:val="0"/>
                      <w:marTop w:val="0"/>
                      <w:marBottom w:val="0"/>
                      <w:divBdr>
                        <w:top w:val="none" w:sz="0" w:space="0" w:color="auto"/>
                        <w:left w:val="none" w:sz="0" w:space="0" w:color="auto"/>
                        <w:bottom w:val="none" w:sz="0" w:space="0" w:color="auto"/>
                        <w:right w:val="none" w:sz="0" w:space="0" w:color="auto"/>
                      </w:divBdr>
                    </w:div>
                  </w:divsChild>
                </w:div>
                <w:div w:id="297107222">
                  <w:marLeft w:val="0"/>
                  <w:marRight w:val="0"/>
                  <w:marTop w:val="0"/>
                  <w:marBottom w:val="0"/>
                  <w:divBdr>
                    <w:top w:val="none" w:sz="0" w:space="0" w:color="auto"/>
                    <w:left w:val="none" w:sz="0" w:space="0" w:color="auto"/>
                    <w:bottom w:val="none" w:sz="0" w:space="0" w:color="auto"/>
                    <w:right w:val="none" w:sz="0" w:space="0" w:color="auto"/>
                  </w:divBdr>
                  <w:divsChild>
                    <w:div w:id="1589149161">
                      <w:marLeft w:val="0"/>
                      <w:marRight w:val="0"/>
                      <w:marTop w:val="0"/>
                      <w:marBottom w:val="0"/>
                      <w:divBdr>
                        <w:top w:val="none" w:sz="0" w:space="0" w:color="auto"/>
                        <w:left w:val="none" w:sz="0" w:space="0" w:color="auto"/>
                        <w:bottom w:val="none" w:sz="0" w:space="0" w:color="auto"/>
                        <w:right w:val="none" w:sz="0" w:space="0" w:color="auto"/>
                      </w:divBdr>
                    </w:div>
                  </w:divsChild>
                </w:div>
                <w:div w:id="367919863">
                  <w:marLeft w:val="0"/>
                  <w:marRight w:val="0"/>
                  <w:marTop w:val="0"/>
                  <w:marBottom w:val="0"/>
                  <w:divBdr>
                    <w:top w:val="none" w:sz="0" w:space="0" w:color="auto"/>
                    <w:left w:val="none" w:sz="0" w:space="0" w:color="auto"/>
                    <w:bottom w:val="none" w:sz="0" w:space="0" w:color="auto"/>
                    <w:right w:val="none" w:sz="0" w:space="0" w:color="auto"/>
                  </w:divBdr>
                  <w:divsChild>
                    <w:div w:id="357388147">
                      <w:marLeft w:val="0"/>
                      <w:marRight w:val="0"/>
                      <w:marTop w:val="0"/>
                      <w:marBottom w:val="0"/>
                      <w:divBdr>
                        <w:top w:val="none" w:sz="0" w:space="0" w:color="auto"/>
                        <w:left w:val="none" w:sz="0" w:space="0" w:color="auto"/>
                        <w:bottom w:val="none" w:sz="0" w:space="0" w:color="auto"/>
                        <w:right w:val="none" w:sz="0" w:space="0" w:color="auto"/>
                      </w:divBdr>
                    </w:div>
                  </w:divsChild>
                </w:div>
                <w:div w:id="467288586">
                  <w:marLeft w:val="0"/>
                  <w:marRight w:val="0"/>
                  <w:marTop w:val="0"/>
                  <w:marBottom w:val="0"/>
                  <w:divBdr>
                    <w:top w:val="none" w:sz="0" w:space="0" w:color="auto"/>
                    <w:left w:val="none" w:sz="0" w:space="0" w:color="auto"/>
                    <w:bottom w:val="none" w:sz="0" w:space="0" w:color="auto"/>
                    <w:right w:val="none" w:sz="0" w:space="0" w:color="auto"/>
                  </w:divBdr>
                  <w:divsChild>
                    <w:div w:id="1036274143">
                      <w:marLeft w:val="0"/>
                      <w:marRight w:val="0"/>
                      <w:marTop w:val="0"/>
                      <w:marBottom w:val="0"/>
                      <w:divBdr>
                        <w:top w:val="none" w:sz="0" w:space="0" w:color="auto"/>
                        <w:left w:val="none" w:sz="0" w:space="0" w:color="auto"/>
                        <w:bottom w:val="none" w:sz="0" w:space="0" w:color="auto"/>
                        <w:right w:val="none" w:sz="0" w:space="0" w:color="auto"/>
                      </w:divBdr>
                    </w:div>
                  </w:divsChild>
                </w:div>
                <w:div w:id="487015506">
                  <w:marLeft w:val="0"/>
                  <w:marRight w:val="0"/>
                  <w:marTop w:val="0"/>
                  <w:marBottom w:val="0"/>
                  <w:divBdr>
                    <w:top w:val="none" w:sz="0" w:space="0" w:color="auto"/>
                    <w:left w:val="none" w:sz="0" w:space="0" w:color="auto"/>
                    <w:bottom w:val="none" w:sz="0" w:space="0" w:color="auto"/>
                    <w:right w:val="none" w:sz="0" w:space="0" w:color="auto"/>
                  </w:divBdr>
                  <w:divsChild>
                    <w:div w:id="827332413">
                      <w:marLeft w:val="0"/>
                      <w:marRight w:val="0"/>
                      <w:marTop w:val="0"/>
                      <w:marBottom w:val="0"/>
                      <w:divBdr>
                        <w:top w:val="none" w:sz="0" w:space="0" w:color="auto"/>
                        <w:left w:val="none" w:sz="0" w:space="0" w:color="auto"/>
                        <w:bottom w:val="none" w:sz="0" w:space="0" w:color="auto"/>
                        <w:right w:val="none" w:sz="0" w:space="0" w:color="auto"/>
                      </w:divBdr>
                    </w:div>
                  </w:divsChild>
                </w:div>
                <w:div w:id="599029591">
                  <w:marLeft w:val="0"/>
                  <w:marRight w:val="0"/>
                  <w:marTop w:val="0"/>
                  <w:marBottom w:val="0"/>
                  <w:divBdr>
                    <w:top w:val="none" w:sz="0" w:space="0" w:color="auto"/>
                    <w:left w:val="none" w:sz="0" w:space="0" w:color="auto"/>
                    <w:bottom w:val="none" w:sz="0" w:space="0" w:color="auto"/>
                    <w:right w:val="none" w:sz="0" w:space="0" w:color="auto"/>
                  </w:divBdr>
                  <w:divsChild>
                    <w:div w:id="597449809">
                      <w:marLeft w:val="0"/>
                      <w:marRight w:val="0"/>
                      <w:marTop w:val="0"/>
                      <w:marBottom w:val="0"/>
                      <w:divBdr>
                        <w:top w:val="none" w:sz="0" w:space="0" w:color="auto"/>
                        <w:left w:val="none" w:sz="0" w:space="0" w:color="auto"/>
                        <w:bottom w:val="none" w:sz="0" w:space="0" w:color="auto"/>
                        <w:right w:val="none" w:sz="0" w:space="0" w:color="auto"/>
                      </w:divBdr>
                    </w:div>
                  </w:divsChild>
                </w:div>
                <w:div w:id="744572694">
                  <w:marLeft w:val="0"/>
                  <w:marRight w:val="0"/>
                  <w:marTop w:val="0"/>
                  <w:marBottom w:val="0"/>
                  <w:divBdr>
                    <w:top w:val="none" w:sz="0" w:space="0" w:color="auto"/>
                    <w:left w:val="none" w:sz="0" w:space="0" w:color="auto"/>
                    <w:bottom w:val="none" w:sz="0" w:space="0" w:color="auto"/>
                    <w:right w:val="none" w:sz="0" w:space="0" w:color="auto"/>
                  </w:divBdr>
                  <w:divsChild>
                    <w:div w:id="1998338947">
                      <w:marLeft w:val="0"/>
                      <w:marRight w:val="0"/>
                      <w:marTop w:val="0"/>
                      <w:marBottom w:val="0"/>
                      <w:divBdr>
                        <w:top w:val="none" w:sz="0" w:space="0" w:color="auto"/>
                        <w:left w:val="none" w:sz="0" w:space="0" w:color="auto"/>
                        <w:bottom w:val="none" w:sz="0" w:space="0" w:color="auto"/>
                        <w:right w:val="none" w:sz="0" w:space="0" w:color="auto"/>
                      </w:divBdr>
                    </w:div>
                  </w:divsChild>
                </w:div>
                <w:div w:id="781995090">
                  <w:marLeft w:val="0"/>
                  <w:marRight w:val="0"/>
                  <w:marTop w:val="0"/>
                  <w:marBottom w:val="0"/>
                  <w:divBdr>
                    <w:top w:val="none" w:sz="0" w:space="0" w:color="auto"/>
                    <w:left w:val="none" w:sz="0" w:space="0" w:color="auto"/>
                    <w:bottom w:val="none" w:sz="0" w:space="0" w:color="auto"/>
                    <w:right w:val="none" w:sz="0" w:space="0" w:color="auto"/>
                  </w:divBdr>
                  <w:divsChild>
                    <w:div w:id="1892426285">
                      <w:marLeft w:val="0"/>
                      <w:marRight w:val="0"/>
                      <w:marTop w:val="0"/>
                      <w:marBottom w:val="0"/>
                      <w:divBdr>
                        <w:top w:val="none" w:sz="0" w:space="0" w:color="auto"/>
                        <w:left w:val="none" w:sz="0" w:space="0" w:color="auto"/>
                        <w:bottom w:val="none" w:sz="0" w:space="0" w:color="auto"/>
                        <w:right w:val="none" w:sz="0" w:space="0" w:color="auto"/>
                      </w:divBdr>
                    </w:div>
                  </w:divsChild>
                </w:div>
                <w:div w:id="858394213">
                  <w:marLeft w:val="0"/>
                  <w:marRight w:val="0"/>
                  <w:marTop w:val="0"/>
                  <w:marBottom w:val="0"/>
                  <w:divBdr>
                    <w:top w:val="none" w:sz="0" w:space="0" w:color="auto"/>
                    <w:left w:val="none" w:sz="0" w:space="0" w:color="auto"/>
                    <w:bottom w:val="none" w:sz="0" w:space="0" w:color="auto"/>
                    <w:right w:val="none" w:sz="0" w:space="0" w:color="auto"/>
                  </w:divBdr>
                  <w:divsChild>
                    <w:div w:id="1447190629">
                      <w:marLeft w:val="0"/>
                      <w:marRight w:val="0"/>
                      <w:marTop w:val="0"/>
                      <w:marBottom w:val="0"/>
                      <w:divBdr>
                        <w:top w:val="none" w:sz="0" w:space="0" w:color="auto"/>
                        <w:left w:val="none" w:sz="0" w:space="0" w:color="auto"/>
                        <w:bottom w:val="none" w:sz="0" w:space="0" w:color="auto"/>
                        <w:right w:val="none" w:sz="0" w:space="0" w:color="auto"/>
                      </w:divBdr>
                    </w:div>
                  </w:divsChild>
                </w:div>
                <w:div w:id="931625622">
                  <w:marLeft w:val="0"/>
                  <w:marRight w:val="0"/>
                  <w:marTop w:val="0"/>
                  <w:marBottom w:val="0"/>
                  <w:divBdr>
                    <w:top w:val="none" w:sz="0" w:space="0" w:color="auto"/>
                    <w:left w:val="none" w:sz="0" w:space="0" w:color="auto"/>
                    <w:bottom w:val="none" w:sz="0" w:space="0" w:color="auto"/>
                    <w:right w:val="none" w:sz="0" w:space="0" w:color="auto"/>
                  </w:divBdr>
                  <w:divsChild>
                    <w:div w:id="1818185585">
                      <w:marLeft w:val="0"/>
                      <w:marRight w:val="0"/>
                      <w:marTop w:val="0"/>
                      <w:marBottom w:val="0"/>
                      <w:divBdr>
                        <w:top w:val="none" w:sz="0" w:space="0" w:color="auto"/>
                        <w:left w:val="none" w:sz="0" w:space="0" w:color="auto"/>
                        <w:bottom w:val="none" w:sz="0" w:space="0" w:color="auto"/>
                        <w:right w:val="none" w:sz="0" w:space="0" w:color="auto"/>
                      </w:divBdr>
                    </w:div>
                  </w:divsChild>
                </w:div>
                <w:div w:id="1033070272">
                  <w:marLeft w:val="0"/>
                  <w:marRight w:val="0"/>
                  <w:marTop w:val="0"/>
                  <w:marBottom w:val="0"/>
                  <w:divBdr>
                    <w:top w:val="none" w:sz="0" w:space="0" w:color="auto"/>
                    <w:left w:val="none" w:sz="0" w:space="0" w:color="auto"/>
                    <w:bottom w:val="none" w:sz="0" w:space="0" w:color="auto"/>
                    <w:right w:val="none" w:sz="0" w:space="0" w:color="auto"/>
                  </w:divBdr>
                  <w:divsChild>
                    <w:div w:id="294458451">
                      <w:marLeft w:val="0"/>
                      <w:marRight w:val="0"/>
                      <w:marTop w:val="0"/>
                      <w:marBottom w:val="0"/>
                      <w:divBdr>
                        <w:top w:val="none" w:sz="0" w:space="0" w:color="auto"/>
                        <w:left w:val="none" w:sz="0" w:space="0" w:color="auto"/>
                        <w:bottom w:val="none" w:sz="0" w:space="0" w:color="auto"/>
                        <w:right w:val="none" w:sz="0" w:space="0" w:color="auto"/>
                      </w:divBdr>
                    </w:div>
                  </w:divsChild>
                </w:div>
                <w:div w:id="1071192219">
                  <w:marLeft w:val="0"/>
                  <w:marRight w:val="0"/>
                  <w:marTop w:val="0"/>
                  <w:marBottom w:val="0"/>
                  <w:divBdr>
                    <w:top w:val="none" w:sz="0" w:space="0" w:color="auto"/>
                    <w:left w:val="none" w:sz="0" w:space="0" w:color="auto"/>
                    <w:bottom w:val="none" w:sz="0" w:space="0" w:color="auto"/>
                    <w:right w:val="none" w:sz="0" w:space="0" w:color="auto"/>
                  </w:divBdr>
                  <w:divsChild>
                    <w:div w:id="932589610">
                      <w:marLeft w:val="0"/>
                      <w:marRight w:val="0"/>
                      <w:marTop w:val="0"/>
                      <w:marBottom w:val="0"/>
                      <w:divBdr>
                        <w:top w:val="none" w:sz="0" w:space="0" w:color="auto"/>
                        <w:left w:val="none" w:sz="0" w:space="0" w:color="auto"/>
                        <w:bottom w:val="none" w:sz="0" w:space="0" w:color="auto"/>
                        <w:right w:val="none" w:sz="0" w:space="0" w:color="auto"/>
                      </w:divBdr>
                    </w:div>
                  </w:divsChild>
                </w:div>
                <w:div w:id="1112898024">
                  <w:marLeft w:val="0"/>
                  <w:marRight w:val="0"/>
                  <w:marTop w:val="0"/>
                  <w:marBottom w:val="0"/>
                  <w:divBdr>
                    <w:top w:val="none" w:sz="0" w:space="0" w:color="auto"/>
                    <w:left w:val="none" w:sz="0" w:space="0" w:color="auto"/>
                    <w:bottom w:val="none" w:sz="0" w:space="0" w:color="auto"/>
                    <w:right w:val="none" w:sz="0" w:space="0" w:color="auto"/>
                  </w:divBdr>
                  <w:divsChild>
                    <w:div w:id="1811634627">
                      <w:marLeft w:val="0"/>
                      <w:marRight w:val="0"/>
                      <w:marTop w:val="0"/>
                      <w:marBottom w:val="0"/>
                      <w:divBdr>
                        <w:top w:val="none" w:sz="0" w:space="0" w:color="auto"/>
                        <w:left w:val="none" w:sz="0" w:space="0" w:color="auto"/>
                        <w:bottom w:val="none" w:sz="0" w:space="0" w:color="auto"/>
                        <w:right w:val="none" w:sz="0" w:space="0" w:color="auto"/>
                      </w:divBdr>
                    </w:div>
                  </w:divsChild>
                </w:div>
                <w:div w:id="1126389418">
                  <w:marLeft w:val="0"/>
                  <w:marRight w:val="0"/>
                  <w:marTop w:val="0"/>
                  <w:marBottom w:val="0"/>
                  <w:divBdr>
                    <w:top w:val="none" w:sz="0" w:space="0" w:color="auto"/>
                    <w:left w:val="none" w:sz="0" w:space="0" w:color="auto"/>
                    <w:bottom w:val="none" w:sz="0" w:space="0" w:color="auto"/>
                    <w:right w:val="none" w:sz="0" w:space="0" w:color="auto"/>
                  </w:divBdr>
                  <w:divsChild>
                    <w:div w:id="1291202552">
                      <w:marLeft w:val="0"/>
                      <w:marRight w:val="0"/>
                      <w:marTop w:val="0"/>
                      <w:marBottom w:val="0"/>
                      <w:divBdr>
                        <w:top w:val="none" w:sz="0" w:space="0" w:color="auto"/>
                        <w:left w:val="none" w:sz="0" w:space="0" w:color="auto"/>
                        <w:bottom w:val="none" w:sz="0" w:space="0" w:color="auto"/>
                        <w:right w:val="none" w:sz="0" w:space="0" w:color="auto"/>
                      </w:divBdr>
                    </w:div>
                  </w:divsChild>
                </w:div>
                <w:div w:id="1280721716">
                  <w:marLeft w:val="0"/>
                  <w:marRight w:val="0"/>
                  <w:marTop w:val="0"/>
                  <w:marBottom w:val="0"/>
                  <w:divBdr>
                    <w:top w:val="none" w:sz="0" w:space="0" w:color="auto"/>
                    <w:left w:val="none" w:sz="0" w:space="0" w:color="auto"/>
                    <w:bottom w:val="none" w:sz="0" w:space="0" w:color="auto"/>
                    <w:right w:val="none" w:sz="0" w:space="0" w:color="auto"/>
                  </w:divBdr>
                  <w:divsChild>
                    <w:div w:id="1991907215">
                      <w:marLeft w:val="0"/>
                      <w:marRight w:val="0"/>
                      <w:marTop w:val="0"/>
                      <w:marBottom w:val="0"/>
                      <w:divBdr>
                        <w:top w:val="none" w:sz="0" w:space="0" w:color="auto"/>
                        <w:left w:val="none" w:sz="0" w:space="0" w:color="auto"/>
                        <w:bottom w:val="none" w:sz="0" w:space="0" w:color="auto"/>
                        <w:right w:val="none" w:sz="0" w:space="0" w:color="auto"/>
                      </w:divBdr>
                    </w:div>
                  </w:divsChild>
                </w:div>
                <w:div w:id="1280726658">
                  <w:marLeft w:val="0"/>
                  <w:marRight w:val="0"/>
                  <w:marTop w:val="0"/>
                  <w:marBottom w:val="0"/>
                  <w:divBdr>
                    <w:top w:val="none" w:sz="0" w:space="0" w:color="auto"/>
                    <w:left w:val="none" w:sz="0" w:space="0" w:color="auto"/>
                    <w:bottom w:val="none" w:sz="0" w:space="0" w:color="auto"/>
                    <w:right w:val="none" w:sz="0" w:space="0" w:color="auto"/>
                  </w:divBdr>
                  <w:divsChild>
                    <w:div w:id="1183393370">
                      <w:marLeft w:val="0"/>
                      <w:marRight w:val="0"/>
                      <w:marTop w:val="0"/>
                      <w:marBottom w:val="0"/>
                      <w:divBdr>
                        <w:top w:val="none" w:sz="0" w:space="0" w:color="auto"/>
                        <w:left w:val="none" w:sz="0" w:space="0" w:color="auto"/>
                        <w:bottom w:val="none" w:sz="0" w:space="0" w:color="auto"/>
                        <w:right w:val="none" w:sz="0" w:space="0" w:color="auto"/>
                      </w:divBdr>
                    </w:div>
                  </w:divsChild>
                </w:div>
                <w:div w:id="1358459697">
                  <w:marLeft w:val="0"/>
                  <w:marRight w:val="0"/>
                  <w:marTop w:val="0"/>
                  <w:marBottom w:val="0"/>
                  <w:divBdr>
                    <w:top w:val="none" w:sz="0" w:space="0" w:color="auto"/>
                    <w:left w:val="none" w:sz="0" w:space="0" w:color="auto"/>
                    <w:bottom w:val="none" w:sz="0" w:space="0" w:color="auto"/>
                    <w:right w:val="none" w:sz="0" w:space="0" w:color="auto"/>
                  </w:divBdr>
                  <w:divsChild>
                    <w:div w:id="1811286145">
                      <w:marLeft w:val="0"/>
                      <w:marRight w:val="0"/>
                      <w:marTop w:val="0"/>
                      <w:marBottom w:val="0"/>
                      <w:divBdr>
                        <w:top w:val="none" w:sz="0" w:space="0" w:color="auto"/>
                        <w:left w:val="none" w:sz="0" w:space="0" w:color="auto"/>
                        <w:bottom w:val="none" w:sz="0" w:space="0" w:color="auto"/>
                        <w:right w:val="none" w:sz="0" w:space="0" w:color="auto"/>
                      </w:divBdr>
                    </w:div>
                  </w:divsChild>
                </w:div>
                <w:div w:id="1380206754">
                  <w:marLeft w:val="0"/>
                  <w:marRight w:val="0"/>
                  <w:marTop w:val="0"/>
                  <w:marBottom w:val="0"/>
                  <w:divBdr>
                    <w:top w:val="none" w:sz="0" w:space="0" w:color="auto"/>
                    <w:left w:val="none" w:sz="0" w:space="0" w:color="auto"/>
                    <w:bottom w:val="none" w:sz="0" w:space="0" w:color="auto"/>
                    <w:right w:val="none" w:sz="0" w:space="0" w:color="auto"/>
                  </w:divBdr>
                  <w:divsChild>
                    <w:div w:id="792482430">
                      <w:marLeft w:val="0"/>
                      <w:marRight w:val="0"/>
                      <w:marTop w:val="0"/>
                      <w:marBottom w:val="0"/>
                      <w:divBdr>
                        <w:top w:val="none" w:sz="0" w:space="0" w:color="auto"/>
                        <w:left w:val="none" w:sz="0" w:space="0" w:color="auto"/>
                        <w:bottom w:val="none" w:sz="0" w:space="0" w:color="auto"/>
                        <w:right w:val="none" w:sz="0" w:space="0" w:color="auto"/>
                      </w:divBdr>
                    </w:div>
                  </w:divsChild>
                </w:div>
                <w:div w:id="1391271669">
                  <w:marLeft w:val="0"/>
                  <w:marRight w:val="0"/>
                  <w:marTop w:val="0"/>
                  <w:marBottom w:val="0"/>
                  <w:divBdr>
                    <w:top w:val="none" w:sz="0" w:space="0" w:color="auto"/>
                    <w:left w:val="none" w:sz="0" w:space="0" w:color="auto"/>
                    <w:bottom w:val="none" w:sz="0" w:space="0" w:color="auto"/>
                    <w:right w:val="none" w:sz="0" w:space="0" w:color="auto"/>
                  </w:divBdr>
                  <w:divsChild>
                    <w:div w:id="1248879545">
                      <w:marLeft w:val="0"/>
                      <w:marRight w:val="0"/>
                      <w:marTop w:val="0"/>
                      <w:marBottom w:val="0"/>
                      <w:divBdr>
                        <w:top w:val="none" w:sz="0" w:space="0" w:color="auto"/>
                        <w:left w:val="none" w:sz="0" w:space="0" w:color="auto"/>
                        <w:bottom w:val="none" w:sz="0" w:space="0" w:color="auto"/>
                        <w:right w:val="none" w:sz="0" w:space="0" w:color="auto"/>
                      </w:divBdr>
                    </w:div>
                  </w:divsChild>
                </w:div>
                <w:div w:id="1607888261">
                  <w:marLeft w:val="0"/>
                  <w:marRight w:val="0"/>
                  <w:marTop w:val="0"/>
                  <w:marBottom w:val="0"/>
                  <w:divBdr>
                    <w:top w:val="none" w:sz="0" w:space="0" w:color="auto"/>
                    <w:left w:val="none" w:sz="0" w:space="0" w:color="auto"/>
                    <w:bottom w:val="none" w:sz="0" w:space="0" w:color="auto"/>
                    <w:right w:val="none" w:sz="0" w:space="0" w:color="auto"/>
                  </w:divBdr>
                  <w:divsChild>
                    <w:div w:id="600995871">
                      <w:marLeft w:val="0"/>
                      <w:marRight w:val="0"/>
                      <w:marTop w:val="0"/>
                      <w:marBottom w:val="0"/>
                      <w:divBdr>
                        <w:top w:val="none" w:sz="0" w:space="0" w:color="auto"/>
                        <w:left w:val="none" w:sz="0" w:space="0" w:color="auto"/>
                        <w:bottom w:val="none" w:sz="0" w:space="0" w:color="auto"/>
                        <w:right w:val="none" w:sz="0" w:space="0" w:color="auto"/>
                      </w:divBdr>
                    </w:div>
                  </w:divsChild>
                </w:div>
                <w:div w:id="1702585686">
                  <w:marLeft w:val="0"/>
                  <w:marRight w:val="0"/>
                  <w:marTop w:val="0"/>
                  <w:marBottom w:val="0"/>
                  <w:divBdr>
                    <w:top w:val="none" w:sz="0" w:space="0" w:color="auto"/>
                    <w:left w:val="none" w:sz="0" w:space="0" w:color="auto"/>
                    <w:bottom w:val="none" w:sz="0" w:space="0" w:color="auto"/>
                    <w:right w:val="none" w:sz="0" w:space="0" w:color="auto"/>
                  </w:divBdr>
                  <w:divsChild>
                    <w:div w:id="1774478389">
                      <w:marLeft w:val="0"/>
                      <w:marRight w:val="0"/>
                      <w:marTop w:val="0"/>
                      <w:marBottom w:val="0"/>
                      <w:divBdr>
                        <w:top w:val="none" w:sz="0" w:space="0" w:color="auto"/>
                        <w:left w:val="none" w:sz="0" w:space="0" w:color="auto"/>
                        <w:bottom w:val="none" w:sz="0" w:space="0" w:color="auto"/>
                        <w:right w:val="none" w:sz="0" w:space="0" w:color="auto"/>
                      </w:divBdr>
                    </w:div>
                  </w:divsChild>
                </w:div>
                <w:div w:id="1719545523">
                  <w:marLeft w:val="0"/>
                  <w:marRight w:val="0"/>
                  <w:marTop w:val="0"/>
                  <w:marBottom w:val="0"/>
                  <w:divBdr>
                    <w:top w:val="none" w:sz="0" w:space="0" w:color="auto"/>
                    <w:left w:val="none" w:sz="0" w:space="0" w:color="auto"/>
                    <w:bottom w:val="none" w:sz="0" w:space="0" w:color="auto"/>
                    <w:right w:val="none" w:sz="0" w:space="0" w:color="auto"/>
                  </w:divBdr>
                  <w:divsChild>
                    <w:div w:id="294025998">
                      <w:marLeft w:val="0"/>
                      <w:marRight w:val="0"/>
                      <w:marTop w:val="0"/>
                      <w:marBottom w:val="0"/>
                      <w:divBdr>
                        <w:top w:val="none" w:sz="0" w:space="0" w:color="auto"/>
                        <w:left w:val="none" w:sz="0" w:space="0" w:color="auto"/>
                        <w:bottom w:val="none" w:sz="0" w:space="0" w:color="auto"/>
                        <w:right w:val="none" w:sz="0" w:space="0" w:color="auto"/>
                      </w:divBdr>
                    </w:div>
                  </w:divsChild>
                </w:div>
                <w:div w:id="1726223402">
                  <w:marLeft w:val="0"/>
                  <w:marRight w:val="0"/>
                  <w:marTop w:val="0"/>
                  <w:marBottom w:val="0"/>
                  <w:divBdr>
                    <w:top w:val="none" w:sz="0" w:space="0" w:color="auto"/>
                    <w:left w:val="none" w:sz="0" w:space="0" w:color="auto"/>
                    <w:bottom w:val="none" w:sz="0" w:space="0" w:color="auto"/>
                    <w:right w:val="none" w:sz="0" w:space="0" w:color="auto"/>
                  </w:divBdr>
                  <w:divsChild>
                    <w:div w:id="305553914">
                      <w:marLeft w:val="0"/>
                      <w:marRight w:val="0"/>
                      <w:marTop w:val="0"/>
                      <w:marBottom w:val="0"/>
                      <w:divBdr>
                        <w:top w:val="none" w:sz="0" w:space="0" w:color="auto"/>
                        <w:left w:val="none" w:sz="0" w:space="0" w:color="auto"/>
                        <w:bottom w:val="none" w:sz="0" w:space="0" w:color="auto"/>
                        <w:right w:val="none" w:sz="0" w:space="0" w:color="auto"/>
                      </w:divBdr>
                    </w:div>
                  </w:divsChild>
                </w:div>
                <w:div w:id="1727412246">
                  <w:marLeft w:val="0"/>
                  <w:marRight w:val="0"/>
                  <w:marTop w:val="0"/>
                  <w:marBottom w:val="0"/>
                  <w:divBdr>
                    <w:top w:val="none" w:sz="0" w:space="0" w:color="auto"/>
                    <w:left w:val="none" w:sz="0" w:space="0" w:color="auto"/>
                    <w:bottom w:val="none" w:sz="0" w:space="0" w:color="auto"/>
                    <w:right w:val="none" w:sz="0" w:space="0" w:color="auto"/>
                  </w:divBdr>
                  <w:divsChild>
                    <w:div w:id="777916456">
                      <w:marLeft w:val="0"/>
                      <w:marRight w:val="0"/>
                      <w:marTop w:val="0"/>
                      <w:marBottom w:val="0"/>
                      <w:divBdr>
                        <w:top w:val="none" w:sz="0" w:space="0" w:color="auto"/>
                        <w:left w:val="none" w:sz="0" w:space="0" w:color="auto"/>
                        <w:bottom w:val="none" w:sz="0" w:space="0" w:color="auto"/>
                        <w:right w:val="none" w:sz="0" w:space="0" w:color="auto"/>
                      </w:divBdr>
                    </w:div>
                  </w:divsChild>
                </w:div>
                <w:div w:id="1768773584">
                  <w:marLeft w:val="0"/>
                  <w:marRight w:val="0"/>
                  <w:marTop w:val="0"/>
                  <w:marBottom w:val="0"/>
                  <w:divBdr>
                    <w:top w:val="none" w:sz="0" w:space="0" w:color="auto"/>
                    <w:left w:val="none" w:sz="0" w:space="0" w:color="auto"/>
                    <w:bottom w:val="none" w:sz="0" w:space="0" w:color="auto"/>
                    <w:right w:val="none" w:sz="0" w:space="0" w:color="auto"/>
                  </w:divBdr>
                  <w:divsChild>
                    <w:div w:id="1232085474">
                      <w:marLeft w:val="0"/>
                      <w:marRight w:val="0"/>
                      <w:marTop w:val="0"/>
                      <w:marBottom w:val="0"/>
                      <w:divBdr>
                        <w:top w:val="none" w:sz="0" w:space="0" w:color="auto"/>
                        <w:left w:val="none" w:sz="0" w:space="0" w:color="auto"/>
                        <w:bottom w:val="none" w:sz="0" w:space="0" w:color="auto"/>
                        <w:right w:val="none" w:sz="0" w:space="0" w:color="auto"/>
                      </w:divBdr>
                    </w:div>
                  </w:divsChild>
                </w:div>
                <w:div w:id="1869760191">
                  <w:marLeft w:val="0"/>
                  <w:marRight w:val="0"/>
                  <w:marTop w:val="0"/>
                  <w:marBottom w:val="0"/>
                  <w:divBdr>
                    <w:top w:val="none" w:sz="0" w:space="0" w:color="auto"/>
                    <w:left w:val="none" w:sz="0" w:space="0" w:color="auto"/>
                    <w:bottom w:val="none" w:sz="0" w:space="0" w:color="auto"/>
                    <w:right w:val="none" w:sz="0" w:space="0" w:color="auto"/>
                  </w:divBdr>
                  <w:divsChild>
                    <w:div w:id="1752698724">
                      <w:marLeft w:val="0"/>
                      <w:marRight w:val="0"/>
                      <w:marTop w:val="0"/>
                      <w:marBottom w:val="0"/>
                      <w:divBdr>
                        <w:top w:val="none" w:sz="0" w:space="0" w:color="auto"/>
                        <w:left w:val="none" w:sz="0" w:space="0" w:color="auto"/>
                        <w:bottom w:val="none" w:sz="0" w:space="0" w:color="auto"/>
                        <w:right w:val="none" w:sz="0" w:space="0" w:color="auto"/>
                      </w:divBdr>
                    </w:div>
                  </w:divsChild>
                </w:div>
                <w:div w:id="1921209464">
                  <w:marLeft w:val="0"/>
                  <w:marRight w:val="0"/>
                  <w:marTop w:val="0"/>
                  <w:marBottom w:val="0"/>
                  <w:divBdr>
                    <w:top w:val="none" w:sz="0" w:space="0" w:color="auto"/>
                    <w:left w:val="none" w:sz="0" w:space="0" w:color="auto"/>
                    <w:bottom w:val="none" w:sz="0" w:space="0" w:color="auto"/>
                    <w:right w:val="none" w:sz="0" w:space="0" w:color="auto"/>
                  </w:divBdr>
                  <w:divsChild>
                    <w:div w:id="521087212">
                      <w:marLeft w:val="0"/>
                      <w:marRight w:val="0"/>
                      <w:marTop w:val="0"/>
                      <w:marBottom w:val="0"/>
                      <w:divBdr>
                        <w:top w:val="none" w:sz="0" w:space="0" w:color="auto"/>
                        <w:left w:val="none" w:sz="0" w:space="0" w:color="auto"/>
                        <w:bottom w:val="none" w:sz="0" w:space="0" w:color="auto"/>
                        <w:right w:val="none" w:sz="0" w:space="0" w:color="auto"/>
                      </w:divBdr>
                    </w:div>
                  </w:divsChild>
                </w:div>
                <w:div w:id="1939866440">
                  <w:marLeft w:val="0"/>
                  <w:marRight w:val="0"/>
                  <w:marTop w:val="0"/>
                  <w:marBottom w:val="0"/>
                  <w:divBdr>
                    <w:top w:val="none" w:sz="0" w:space="0" w:color="auto"/>
                    <w:left w:val="none" w:sz="0" w:space="0" w:color="auto"/>
                    <w:bottom w:val="none" w:sz="0" w:space="0" w:color="auto"/>
                    <w:right w:val="none" w:sz="0" w:space="0" w:color="auto"/>
                  </w:divBdr>
                  <w:divsChild>
                    <w:div w:id="1054620339">
                      <w:marLeft w:val="0"/>
                      <w:marRight w:val="0"/>
                      <w:marTop w:val="0"/>
                      <w:marBottom w:val="0"/>
                      <w:divBdr>
                        <w:top w:val="none" w:sz="0" w:space="0" w:color="auto"/>
                        <w:left w:val="none" w:sz="0" w:space="0" w:color="auto"/>
                        <w:bottom w:val="none" w:sz="0" w:space="0" w:color="auto"/>
                        <w:right w:val="none" w:sz="0" w:space="0" w:color="auto"/>
                      </w:divBdr>
                    </w:div>
                  </w:divsChild>
                </w:div>
                <w:div w:id="2066372034">
                  <w:marLeft w:val="0"/>
                  <w:marRight w:val="0"/>
                  <w:marTop w:val="0"/>
                  <w:marBottom w:val="0"/>
                  <w:divBdr>
                    <w:top w:val="none" w:sz="0" w:space="0" w:color="auto"/>
                    <w:left w:val="none" w:sz="0" w:space="0" w:color="auto"/>
                    <w:bottom w:val="none" w:sz="0" w:space="0" w:color="auto"/>
                    <w:right w:val="none" w:sz="0" w:space="0" w:color="auto"/>
                  </w:divBdr>
                  <w:divsChild>
                    <w:div w:id="2622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5867">
          <w:marLeft w:val="0"/>
          <w:marRight w:val="0"/>
          <w:marTop w:val="0"/>
          <w:marBottom w:val="0"/>
          <w:divBdr>
            <w:top w:val="none" w:sz="0" w:space="0" w:color="auto"/>
            <w:left w:val="none" w:sz="0" w:space="0" w:color="auto"/>
            <w:bottom w:val="none" w:sz="0" w:space="0" w:color="auto"/>
            <w:right w:val="none" w:sz="0" w:space="0" w:color="auto"/>
          </w:divBdr>
        </w:div>
        <w:div w:id="928126537">
          <w:marLeft w:val="0"/>
          <w:marRight w:val="0"/>
          <w:marTop w:val="0"/>
          <w:marBottom w:val="0"/>
          <w:divBdr>
            <w:top w:val="none" w:sz="0" w:space="0" w:color="auto"/>
            <w:left w:val="none" w:sz="0" w:space="0" w:color="auto"/>
            <w:bottom w:val="none" w:sz="0" w:space="0" w:color="auto"/>
            <w:right w:val="none" w:sz="0" w:space="0" w:color="auto"/>
          </w:divBdr>
          <w:divsChild>
            <w:div w:id="52313654">
              <w:marLeft w:val="0"/>
              <w:marRight w:val="0"/>
              <w:marTop w:val="0"/>
              <w:marBottom w:val="0"/>
              <w:divBdr>
                <w:top w:val="none" w:sz="0" w:space="0" w:color="auto"/>
                <w:left w:val="none" w:sz="0" w:space="0" w:color="auto"/>
                <w:bottom w:val="none" w:sz="0" w:space="0" w:color="auto"/>
                <w:right w:val="none" w:sz="0" w:space="0" w:color="auto"/>
              </w:divBdr>
            </w:div>
            <w:div w:id="455106792">
              <w:marLeft w:val="0"/>
              <w:marRight w:val="0"/>
              <w:marTop w:val="0"/>
              <w:marBottom w:val="0"/>
              <w:divBdr>
                <w:top w:val="none" w:sz="0" w:space="0" w:color="auto"/>
                <w:left w:val="none" w:sz="0" w:space="0" w:color="auto"/>
                <w:bottom w:val="none" w:sz="0" w:space="0" w:color="auto"/>
                <w:right w:val="none" w:sz="0" w:space="0" w:color="auto"/>
              </w:divBdr>
            </w:div>
            <w:div w:id="514030896">
              <w:marLeft w:val="0"/>
              <w:marRight w:val="0"/>
              <w:marTop w:val="0"/>
              <w:marBottom w:val="0"/>
              <w:divBdr>
                <w:top w:val="none" w:sz="0" w:space="0" w:color="auto"/>
                <w:left w:val="none" w:sz="0" w:space="0" w:color="auto"/>
                <w:bottom w:val="none" w:sz="0" w:space="0" w:color="auto"/>
                <w:right w:val="none" w:sz="0" w:space="0" w:color="auto"/>
              </w:divBdr>
            </w:div>
            <w:div w:id="1377198570">
              <w:marLeft w:val="0"/>
              <w:marRight w:val="0"/>
              <w:marTop w:val="0"/>
              <w:marBottom w:val="0"/>
              <w:divBdr>
                <w:top w:val="none" w:sz="0" w:space="0" w:color="auto"/>
                <w:left w:val="none" w:sz="0" w:space="0" w:color="auto"/>
                <w:bottom w:val="none" w:sz="0" w:space="0" w:color="auto"/>
                <w:right w:val="none" w:sz="0" w:space="0" w:color="auto"/>
              </w:divBdr>
            </w:div>
            <w:div w:id="1941060866">
              <w:marLeft w:val="0"/>
              <w:marRight w:val="0"/>
              <w:marTop w:val="0"/>
              <w:marBottom w:val="0"/>
              <w:divBdr>
                <w:top w:val="none" w:sz="0" w:space="0" w:color="auto"/>
                <w:left w:val="none" w:sz="0" w:space="0" w:color="auto"/>
                <w:bottom w:val="none" w:sz="0" w:space="0" w:color="auto"/>
                <w:right w:val="none" w:sz="0" w:space="0" w:color="auto"/>
              </w:divBdr>
            </w:div>
          </w:divsChild>
        </w:div>
        <w:div w:id="939292183">
          <w:marLeft w:val="0"/>
          <w:marRight w:val="0"/>
          <w:marTop w:val="0"/>
          <w:marBottom w:val="0"/>
          <w:divBdr>
            <w:top w:val="none" w:sz="0" w:space="0" w:color="auto"/>
            <w:left w:val="none" w:sz="0" w:space="0" w:color="auto"/>
            <w:bottom w:val="none" w:sz="0" w:space="0" w:color="auto"/>
            <w:right w:val="none" w:sz="0" w:space="0" w:color="auto"/>
          </w:divBdr>
          <w:divsChild>
            <w:div w:id="234438662">
              <w:marLeft w:val="-75"/>
              <w:marRight w:val="0"/>
              <w:marTop w:val="30"/>
              <w:marBottom w:val="30"/>
              <w:divBdr>
                <w:top w:val="none" w:sz="0" w:space="0" w:color="auto"/>
                <w:left w:val="none" w:sz="0" w:space="0" w:color="auto"/>
                <w:bottom w:val="none" w:sz="0" w:space="0" w:color="auto"/>
                <w:right w:val="none" w:sz="0" w:space="0" w:color="auto"/>
              </w:divBdr>
              <w:divsChild>
                <w:div w:id="115831920">
                  <w:marLeft w:val="0"/>
                  <w:marRight w:val="0"/>
                  <w:marTop w:val="0"/>
                  <w:marBottom w:val="0"/>
                  <w:divBdr>
                    <w:top w:val="none" w:sz="0" w:space="0" w:color="auto"/>
                    <w:left w:val="none" w:sz="0" w:space="0" w:color="auto"/>
                    <w:bottom w:val="none" w:sz="0" w:space="0" w:color="auto"/>
                    <w:right w:val="none" w:sz="0" w:space="0" w:color="auto"/>
                  </w:divBdr>
                  <w:divsChild>
                    <w:div w:id="1164009782">
                      <w:marLeft w:val="0"/>
                      <w:marRight w:val="0"/>
                      <w:marTop w:val="0"/>
                      <w:marBottom w:val="0"/>
                      <w:divBdr>
                        <w:top w:val="none" w:sz="0" w:space="0" w:color="auto"/>
                        <w:left w:val="none" w:sz="0" w:space="0" w:color="auto"/>
                        <w:bottom w:val="none" w:sz="0" w:space="0" w:color="auto"/>
                        <w:right w:val="none" w:sz="0" w:space="0" w:color="auto"/>
                      </w:divBdr>
                    </w:div>
                  </w:divsChild>
                </w:div>
                <w:div w:id="226720752">
                  <w:marLeft w:val="0"/>
                  <w:marRight w:val="0"/>
                  <w:marTop w:val="0"/>
                  <w:marBottom w:val="0"/>
                  <w:divBdr>
                    <w:top w:val="none" w:sz="0" w:space="0" w:color="auto"/>
                    <w:left w:val="none" w:sz="0" w:space="0" w:color="auto"/>
                    <w:bottom w:val="none" w:sz="0" w:space="0" w:color="auto"/>
                    <w:right w:val="none" w:sz="0" w:space="0" w:color="auto"/>
                  </w:divBdr>
                  <w:divsChild>
                    <w:div w:id="2108883098">
                      <w:marLeft w:val="0"/>
                      <w:marRight w:val="0"/>
                      <w:marTop w:val="0"/>
                      <w:marBottom w:val="0"/>
                      <w:divBdr>
                        <w:top w:val="none" w:sz="0" w:space="0" w:color="auto"/>
                        <w:left w:val="none" w:sz="0" w:space="0" w:color="auto"/>
                        <w:bottom w:val="none" w:sz="0" w:space="0" w:color="auto"/>
                        <w:right w:val="none" w:sz="0" w:space="0" w:color="auto"/>
                      </w:divBdr>
                    </w:div>
                  </w:divsChild>
                </w:div>
                <w:div w:id="305597155">
                  <w:marLeft w:val="0"/>
                  <w:marRight w:val="0"/>
                  <w:marTop w:val="0"/>
                  <w:marBottom w:val="0"/>
                  <w:divBdr>
                    <w:top w:val="none" w:sz="0" w:space="0" w:color="auto"/>
                    <w:left w:val="none" w:sz="0" w:space="0" w:color="auto"/>
                    <w:bottom w:val="none" w:sz="0" w:space="0" w:color="auto"/>
                    <w:right w:val="none" w:sz="0" w:space="0" w:color="auto"/>
                  </w:divBdr>
                  <w:divsChild>
                    <w:div w:id="528028580">
                      <w:marLeft w:val="0"/>
                      <w:marRight w:val="0"/>
                      <w:marTop w:val="0"/>
                      <w:marBottom w:val="0"/>
                      <w:divBdr>
                        <w:top w:val="none" w:sz="0" w:space="0" w:color="auto"/>
                        <w:left w:val="none" w:sz="0" w:space="0" w:color="auto"/>
                        <w:bottom w:val="none" w:sz="0" w:space="0" w:color="auto"/>
                        <w:right w:val="none" w:sz="0" w:space="0" w:color="auto"/>
                      </w:divBdr>
                    </w:div>
                  </w:divsChild>
                </w:div>
                <w:div w:id="312804397">
                  <w:marLeft w:val="0"/>
                  <w:marRight w:val="0"/>
                  <w:marTop w:val="0"/>
                  <w:marBottom w:val="0"/>
                  <w:divBdr>
                    <w:top w:val="none" w:sz="0" w:space="0" w:color="auto"/>
                    <w:left w:val="none" w:sz="0" w:space="0" w:color="auto"/>
                    <w:bottom w:val="none" w:sz="0" w:space="0" w:color="auto"/>
                    <w:right w:val="none" w:sz="0" w:space="0" w:color="auto"/>
                  </w:divBdr>
                  <w:divsChild>
                    <w:div w:id="721058782">
                      <w:marLeft w:val="0"/>
                      <w:marRight w:val="0"/>
                      <w:marTop w:val="0"/>
                      <w:marBottom w:val="0"/>
                      <w:divBdr>
                        <w:top w:val="none" w:sz="0" w:space="0" w:color="auto"/>
                        <w:left w:val="none" w:sz="0" w:space="0" w:color="auto"/>
                        <w:bottom w:val="none" w:sz="0" w:space="0" w:color="auto"/>
                        <w:right w:val="none" w:sz="0" w:space="0" w:color="auto"/>
                      </w:divBdr>
                    </w:div>
                  </w:divsChild>
                </w:div>
                <w:div w:id="328100872">
                  <w:marLeft w:val="0"/>
                  <w:marRight w:val="0"/>
                  <w:marTop w:val="0"/>
                  <w:marBottom w:val="0"/>
                  <w:divBdr>
                    <w:top w:val="none" w:sz="0" w:space="0" w:color="auto"/>
                    <w:left w:val="none" w:sz="0" w:space="0" w:color="auto"/>
                    <w:bottom w:val="none" w:sz="0" w:space="0" w:color="auto"/>
                    <w:right w:val="none" w:sz="0" w:space="0" w:color="auto"/>
                  </w:divBdr>
                  <w:divsChild>
                    <w:div w:id="2139568866">
                      <w:marLeft w:val="0"/>
                      <w:marRight w:val="0"/>
                      <w:marTop w:val="0"/>
                      <w:marBottom w:val="0"/>
                      <w:divBdr>
                        <w:top w:val="none" w:sz="0" w:space="0" w:color="auto"/>
                        <w:left w:val="none" w:sz="0" w:space="0" w:color="auto"/>
                        <w:bottom w:val="none" w:sz="0" w:space="0" w:color="auto"/>
                        <w:right w:val="none" w:sz="0" w:space="0" w:color="auto"/>
                      </w:divBdr>
                    </w:div>
                  </w:divsChild>
                </w:div>
                <w:div w:id="352266940">
                  <w:marLeft w:val="0"/>
                  <w:marRight w:val="0"/>
                  <w:marTop w:val="0"/>
                  <w:marBottom w:val="0"/>
                  <w:divBdr>
                    <w:top w:val="none" w:sz="0" w:space="0" w:color="auto"/>
                    <w:left w:val="none" w:sz="0" w:space="0" w:color="auto"/>
                    <w:bottom w:val="none" w:sz="0" w:space="0" w:color="auto"/>
                    <w:right w:val="none" w:sz="0" w:space="0" w:color="auto"/>
                  </w:divBdr>
                  <w:divsChild>
                    <w:div w:id="320932378">
                      <w:marLeft w:val="0"/>
                      <w:marRight w:val="0"/>
                      <w:marTop w:val="0"/>
                      <w:marBottom w:val="0"/>
                      <w:divBdr>
                        <w:top w:val="none" w:sz="0" w:space="0" w:color="auto"/>
                        <w:left w:val="none" w:sz="0" w:space="0" w:color="auto"/>
                        <w:bottom w:val="none" w:sz="0" w:space="0" w:color="auto"/>
                        <w:right w:val="none" w:sz="0" w:space="0" w:color="auto"/>
                      </w:divBdr>
                    </w:div>
                  </w:divsChild>
                </w:div>
                <w:div w:id="358093509">
                  <w:marLeft w:val="0"/>
                  <w:marRight w:val="0"/>
                  <w:marTop w:val="0"/>
                  <w:marBottom w:val="0"/>
                  <w:divBdr>
                    <w:top w:val="none" w:sz="0" w:space="0" w:color="auto"/>
                    <w:left w:val="none" w:sz="0" w:space="0" w:color="auto"/>
                    <w:bottom w:val="none" w:sz="0" w:space="0" w:color="auto"/>
                    <w:right w:val="none" w:sz="0" w:space="0" w:color="auto"/>
                  </w:divBdr>
                  <w:divsChild>
                    <w:div w:id="208803939">
                      <w:marLeft w:val="0"/>
                      <w:marRight w:val="0"/>
                      <w:marTop w:val="0"/>
                      <w:marBottom w:val="0"/>
                      <w:divBdr>
                        <w:top w:val="none" w:sz="0" w:space="0" w:color="auto"/>
                        <w:left w:val="none" w:sz="0" w:space="0" w:color="auto"/>
                        <w:bottom w:val="none" w:sz="0" w:space="0" w:color="auto"/>
                        <w:right w:val="none" w:sz="0" w:space="0" w:color="auto"/>
                      </w:divBdr>
                    </w:div>
                  </w:divsChild>
                </w:div>
                <w:div w:id="425922526">
                  <w:marLeft w:val="0"/>
                  <w:marRight w:val="0"/>
                  <w:marTop w:val="0"/>
                  <w:marBottom w:val="0"/>
                  <w:divBdr>
                    <w:top w:val="none" w:sz="0" w:space="0" w:color="auto"/>
                    <w:left w:val="none" w:sz="0" w:space="0" w:color="auto"/>
                    <w:bottom w:val="none" w:sz="0" w:space="0" w:color="auto"/>
                    <w:right w:val="none" w:sz="0" w:space="0" w:color="auto"/>
                  </w:divBdr>
                  <w:divsChild>
                    <w:div w:id="2004048833">
                      <w:marLeft w:val="0"/>
                      <w:marRight w:val="0"/>
                      <w:marTop w:val="0"/>
                      <w:marBottom w:val="0"/>
                      <w:divBdr>
                        <w:top w:val="none" w:sz="0" w:space="0" w:color="auto"/>
                        <w:left w:val="none" w:sz="0" w:space="0" w:color="auto"/>
                        <w:bottom w:val="none" w:sz="0" w:space="0" w:color="auto"/>
                        <w:right w:val="none" w:sz="0" w:space="0" w:color="auto"/>
                      </w:divBdr>
                    </w:div>
                  </w:divsChild>
                </w:div>
                <w:div w:id="437913216">
                  <w:marLeft w:val="0"/>
                  <w:marRight w:val="0"/>
                  <w:marTop w:val="0"/>
                  <w:marBottom w:val="0"/>
                  <w:divBdr>
                    <w:top w:val="none" w:sz="0" w:space="0" w:color="auto"/>
                    <w:left w:val="none" w:sz="0" w:space="0" w:color="auto"/>
                    <w:bottom w:val="none" w:sz="0" w:space="0" w:color="auto"/>
                    <w:right w:val="none" w:sz="0" w:space="0" w:color="auto"/>
                  </w:divBdr>
                  <w:divsChild>
                    <w:div w:id="311450798">
                      <w:marLeft w:val="0"/>
                      <w:marRight w:val="0"/>
                      <w:marTop w:val="0"/>
                      <w:marBottom w:val="0"/>
                      <w:divBdr>
                        <w:top w:val="none" w:sz="0" w:space="0" w:color="auto"/>
                        <w:left w:val="none" w:sz="0" w:space="0" w:color="auto"/>
                        <w:bottom w:val="none" w:sz="0" w:space="0" w:color="auto"/>
                        <w:right w:val="none" w:sz="0" w:space="0" w:color="auto"/>
                      </w:divBdr>
                    </w:div>
                  </w:divsChild>
                </w:div>
                <w:div w:id="508639026">
                  <w:marLeft w:val="0"/>
                  <w:marRight w:val="0"/>
                  <w:marTop w:val="0"/>
                  <w:marBottom w:val="0"/>
                  <w:divBdr>
                    <w:top w:val="none" w:sz="0" w:space="0" w:color="auto"/>
                    <w:left w:val="none" w:sz="0" w:space="0" w:color="auto"/>
                    <w:bottom w:val="none" w:sz="0" w:space="0" w:color="auto"/>
                    <w:right w:val="none" w:sz="0" w:space="0" w:color="auto"/>
                  </w:divBdr>
                  <w:divsChild>
                    <w:div w:id="152919638">
                      <w:marLeft w:val="0"/>
                      <w:marRight w:val="0"/>
                      <w:marTop w:val="0"/>
                      <w:marBottom w:val="0"/>
                      <w:divBdr>
                        <w:top w:val="none" w:sz="0" w:space="0" w:color="auto"/>
                        <w:left w:val="none" w:sz="0" w:space="0" w:color="auto"/>
                        <w:bottom w:val="none" w:sz="0" w:space="0" w:color="auto"/>
                        <w:right w:val="none" w:sz="0" w:space="0" w:color="auto"/>
                      </w:divBdr>
                    </w:div>
                  </w:divsChild>
                </w:div>
                <w:div w:id="561406539">
                  <w:marLeft w:val="0"/>
                  <w:marRight w:val="0"/>
                  <w:marTop w:val="0"/>
                  <w:marBottom w:val="0"/>
                  <w:divBdr>
                    <w:top w:val="none" w:sz="0" w:space="0" w:color="auto"/>
                    <w:left w:val="none" w:sz="0" w:space="0" w:color="auto"/>
                    <w:bottom w:val="none" w:sz="0" w:space="0" w:color="auto"/>
                    <w:right w:val="none" w:sz="0" w:space="0" w:color="auto"/>
                  </w:divBdr>
                  <w:divsChild>
                    <w:div w:id="23987181">
                      <w:marLeft w:val="0"/>
                      <w:marRight w:val="0"/>
                      <w:marTop w:val="0"/>
                      <w:marBottom w:val="0"/>
                      <w:divBdr>
                        <w:top w:val="none" w:sz="0" w:space="0" w:color="auto"/>
                        <w:left w:val="none" w:sz="0" w:space="0" w:color="auto"/>
                        <w:bottom w:val="none" w:sz="0" w:space="0" w:color="auto"/>
                        <w:right w:val="none" w:sz="0" w:space="0" w:color="auto"/>
                      </w:divBdr>
                    </w:div>
                  </w:divsChild>
                </w:div>
                <w:div w:id="578952757">
                  <w:marLeft w:val="0"/>
                  <w:marRight w:val="0"/>
                  <w:marTop w:val="0"/>
                  <w:marBottom w:val="0"/>
                  <w:divBdr>
                    <w:top w:val="none" w:sz="0" w:space="0" w:color="auto"/>
                    <w:left w:val="none" w:sz="0" w:space="0" w:color="auto"/>
                    <w:bottom w:val="none" w:sz="0" w:space="0" w:color="auto"/>
                    <w:right w:val="none" w:sz="0" w:space="0" w:color="auto"/>
                  </w:divBdr>
                  <w:divsChild>
                    <w:div w:id="1102265629">
                      <w:marLeft w:val="0"/>
                      <w:marRight w:val="0"/>
                      <w:marTop w:val="0"/>
                      <w:marBottom w:val="0"/>
                      <w:divBdr>
                        <w:top w:val="none" w:sz="0" w:space="0" w:color="auto"/>
                        <w:left w:val="none" w:sz="0" w:space="0" w:color="auto"/>
                        <w:bottom w:val="none" w:sz="0" w:space="0" w:color="auto"/>
                        <w:right w:val="none" w:sz="0" w:space="0" w:color="auto"/>
                      </w:divBdr>
                    </w:div>
                  </w:divsChild>
                </w:div>
                <w:div w:id="609892316">
                  <w:marLeft w:val="0"/>
                  <w:marRight w:val="0"/>
                  <w:marTop w:val="0"/>
                  <w:marBottom w:val="0"/>
                  <w:divBdr>
                    <w:top w:val="none" w:sz="0" w:space="0" w:color="auto"/>
                    <w:left w:val="none" w:sz="0" w:space="0" w:color="auto"/>
                    <w:bottom w:val="none" w:sz="0" w:space="0" w:color="auto"/>
                    <w:right w:val="none" w:sz="0" w:space="0" w:color="auto"/>
                  </w:divBdr>
                  <w:divsChild>
                    <w:div w:id="1133987726">
                      <w:marLeft w:val="0"/>
                      <w:marRight w:val="0"/>
                      <w:marTop w:val="0"/>
                      <w:marBottom w:val="0"/>
                      <w:divBdr>
                        <w:top w:val="none" w:sz="0" w:space="0" w:color="auto"/>
                        <w:left w:val="none" w:sz="0" w:space="0" w:color="auto"/>
                        <w:bottom w:val="none" w:sz="0" w:space="0" w:color="auto"/>
                        <w:right w:val="none" w:sz="0" w:space="0" w:color="auto"/>
                      </w:divBdr>
                    </w:div>
                  </w:divsChild>
                </w:div>
                <w:div w:id="626817787">
                  <w:marLeft w:val="0"/>
                  <w:marRight w:val="0"/>
                  <w:marTop w:val="0"/>
                  <w:marBottom w:val="0"/>
                  <w:divBdr>
                    <w:top w:val="none" w:sz="0" w:space="0" w:color="auto"/>
                    <w:left w:val="none" w:sz="0" w:space="0" w:color="auto"/>
                    <w:bottom w:val="none" w:sz="0" w:space="0" w:color="auto"/>
                    <w:right w:val="none" w:sz="0" w:space="0" w:color="auto"/>
                  </w:divBdr>
                  <w:divsChild>
                    <w:div w:id="1509295832">
                      <w:marLeft w:val="0"/>
                      <w:marRight w:val="0"/>
                      <w:marTop w:val="0"/>
                      <w:marBottom w:val="0"/>
                      <w:divBdr>
                        <w:top w:val="none" w:sz="0" w:space="0" w:color="auto"/>
                        <w:left w:val="none" w:sz="0" w:space="0" w:color="auto"/>
                        <w:bottom w:val="none" w:sz="0" w:space="0" w:color="auto"/>
                        <w:right w:val="none" w:sz="0" w:space="0" w:color="auto"/>
                      </w:divBdr>
                    </w:div>
                  </w:divsChild>
                </w:div>
                <w:div w:id="671220208">
                  <w:marLeft w:val="0"/>
                  <w:marRight w:val="0"/>
                  <w:marTop w:val="0"/>
                  <w:marBottom w:val="0"/>
                  <w:divBdr>
                    <w:top w:val="none" w:sz="0" w:space="0" w:color="auto"/>
                    <w:left w:val="none" w:sz="0" w:space="0" w:color="auto"/>
                    <w:bottom w:val="none" w:sz="0" w:space="0" w:color="auto"/>
                    <w:right w:val="none" w:sz="0" w:space="0" w:color="auto"/>
                  </w:divBdr>
                  <w:divsChild>
                    <w:div w:id="2038315814">
                      <w:marLeft w:val="0"/>
                      <w:marRight w:val="0"/>
                      <w:marTop w:val="0"/>
                      <w:marBottom w:val="0"/>
                      <w:divBdr>
                        <w:top w:val="none" w:sz="0" w:space="0" w:color="auto"/>
                        <w:left w:val="none" w:sz="0" w:space="0" w:color="auto"/>
                        <w:bottom w:val="none" w:sz="0" w:space="0" w:color="auto"/>
                        <w:right w:val="none" w:sz="0" w:space="0" w:color="auto"/>
                      </w:divBdr>
                    </w:div>
                  </w:divsChild>
                </w:div>
                <w:div w:id="682172355">
                  <w:marLeft w:val="0"/>
                  <w:marRight w:val="0"/>
                  <w:marTop w:val="0"/>
                  <w:marBottom w:val="0"/>
                  <w:divBdr>
                    <w:top w:val="none" w:sz="0" w:space="0" w:color="auto"/>
                    <w:left w:val="none" w:sz="0" w:space="0" w:color="auto"/>
                    <w:bottom w:val="none" w:sz="0" w:space="0" w:color="auto"/>
                    <w:right w:val="none" w:sz="0" w:space="0" w:color="auto"/>
                  </w:divBdr>
                  <w:divsChild>
                    <w:div w:id="1436942560">
                      <w:marLeft w:val="0"/>
                      <w:marRight w:val="0"/>
                      <w:marTop w:val="0"/>
                      <w:marBottom w:val="0"/>
                      <w:divBdr>
                        <w:top w:val="none" w:sz="0" w:space="0" w:color="auto"/>
                        <w:left w:val="none" w:sz="0" w:space="0" w:color="auto"/>
                        <w:bottom w:val="none" w:sz="0" w:space="0" w:color="auto"/>
                        <w:right w:val="none" w:sz="0" w:space="0" w:color="auto"/>
                      </w:divBdr>
                    </w:div>
                  </w:divsChild>
                </w:div>
                <w:div w:id="737827139">
                  <w:marLeft w:val="0"/>
                  <w:marRight w:val="0"/>
                  <w:marTop w:val="0"/>
                  <w:marBottom w:val="0"/>
                  <w:divBdr>
                    <w:top w:val="none" w:sz="0" w:space="0" w:color="auto"/>
                    <w:left w:val="none" w:sz="0" w:space="0" w:color="auto"/>
                    <w:bottom w:val="none" w:sz="0" w:space="0" w:color="auto"/>
                    <w:right w:val="none" w:sz="0" w:space="0" w:color="auto"/>
                  </w:divBdr>
                  <w:divsChild>
                    <w:div w:id="994843334">
                      <w:marLeft w:val="0"/>
                      <w:marRight w:val="0"/>
                      <w:marTop w:val="0"/>
                      <w:marBottom w:val="0"/>
                      <w:divBdr>
                        <w:top w:val="none" w:sz="0" w:space="0" w:color="auto"/>
                        <w:left w:val="none" w:sz="0" w:space="0" w:color="auto"/>
                        <w:bottom w:val="none" w:sz="0" w:space="0" w:color="auto"/>
                        <w:right w:val="none" w:sz="0" w:space="0" w:color="auto"/>
                      </w:divBdr>
                    </w:div>
                  </w:divsChild>
                </w:div>
                <w:div w:id="814878174">
                  <w:marLeft w:val="0"/>
                  <w:marRight w:val="0"/>
                  <w:marTop w:val="0"/>
                  <w:marBottom w:val="0"/>
                  <w:divBdr>
                    <w:top w:val="none" w:sz="0" w:space="0" w:color="auto"/>
                    <w:left w:val="none" w:sz="0" w:space="0" w:color="auto"/>
                    <w:bottom w:val="none" w:sz="0" w:space="0" w:color="auto"/>
                    <w:right w:val="none" w:sz="0" w:space="0" w:color="auto"/>
                  </w:divBdr>
                  <w:divsChild>
                    <w:div w:id="622886275">
                      <w:marLeft w:val="0"/>
                      <w:marRight w:val="0"/>
                      <w:marTop w:val="0"/>
                      <w:marBottom w:val="0"/>
                      <w:divBdr>
                        <w:top w:val="none" w:sz="0" w:space="0" w:color="auto"/>
                        <w:left w:val="none" w:sz="0" w:space="0" w:color="auto"/>
                        <w:bottom w:val="none" w:sz="0" w:space="0" w:color="auto"/>
                        <w:right w:val="none" w:sz="0" w:space="0" w:color="auto"/>
                      </w:divBdr>
                    </w:div>
                  </w:divsChild>
                </w:div>
                <w:div w:id="847911203">
                  <w:marLeft w:val="0"/>
                  <w:marRight w:val="0"/>
                  <w:marTop w:val="0"/>
                  <w:marBottom w:val="0"/>
                  <w:divBdr>
                    <w:top w:val="none" w:sz="0" w:space="0" w:color="auto"/>
                    <w:left w:val="none" w:sz="0" w:space="0" w:color="auto"/>
                    <w:bottom w:val="none" w:sz="0" w:space="0" w:color="auto"/>
                    <w:right w:val="none" w:sz="0" w:space="0" w:color="auto"/>
                  </w:divBdr>
                  <w:divsChild>
                    <w:div w:id="854685656">
                      <w:marLeft w:val="0"/>
                      <w:marRight w:val="0"/>
                      <w:marTop w:val="0"/>
                      <w:marBottom w:val="0"/>
                      <w:divBdr>
                        <w:top w:val="none" w:sz="0" w:space="0" w:color="auto"/>
                        <w:left w:val="none" w:sz="0" w:space="0" w:color="auto"/>
                        <w:bottom w:val="none" w:sz="0" w:space="0" w:color="auto"/>
                        <w:right w:val="none" w:sz="0" w:space="0" w:color="auto"/>
                      </w:divBdr>
                    </w:div>
                  </w:divsChild>
                </w:div>
                <w:div w:id="877739696">
                  <w:marLeft w:val="0"/>
                  <w:marRight w:val="0"/>
                  <w:marTop w:val="0"/>
                  <w:marBottom w:val="0"/>
                  <w:divBdr>
                    <w:top w:val="none" w:sz="0" w:space="0" w:color="auto"/>
                    <w:left w:val="none" w:sz="0" w:space="0" w:color="auto"/>
                    <w:bottom w:val="none" w:sz="0" w:space="0" w:color="auto"/>
                    <w:right w:val="none" w:sz="0" w:space="0" w:color="auto"/>
                  </w:divBdr>
                  <w:divsChild>
                    <w:div w:id="1370375281">
                      <w:marLeft w:val="0"/>
                      <w:marRight w:val="0"/>
                      <w:marTop w:val="0"/>
                      <w:marBottom w:val="0"/>
                      <w:divBdr>
                        <w:top w:val="none" w:sz="0" w:space="0" w:color="auto"/>
                        <w:left w:val="none" w:sz="0" w:space="0" w:color="auto"/>
                        <w:bottom w:val="none" w:sz="0" w:space="0" w:color="auto"/>
                        <w:right w:val="none" w:sz="0" w:space="0" w:color="auto"/>
                      </w:divBdr>
                    </w:div>
                  </w:divsChild>
                </w:div>
                <w:div w:id="1079642527">
                  <w:marLeft w:val="0"/>
                  <w:marRight w:val="0"/>
                  <w:marTop w:val="0"/>
                  <w:marBottom w:val="0"/>
                  <w:divBdr>
                    <w:top w:val="none" w:sz="0" w:space="0" w:color="auto"/>
                    <w:left w:val="none" w:sz="0" w:space="0" w:color="auto"/>
                    <w:bottom w:val="none" w:sz="0" w:space="0" w:color="auto"/>
                    <w:right w:val="none" w:sz="0" w:space="0" w:color="auto"/>
                  </w:divBdr>
                  <w:divsChild>
                    <w:div w:id="1684623370">
                      <w:marLeft w:val="0"/>
                      <w:marRight w:val="0"/>
                      <w:marTop w:val="0"/>
                      <w:marBottom w:val="0"/>
                      <w:divBdr>
                        <w:top w:val="none" w:sz="0" w:space="0" w:color="auto"/>
                        <w:left w:val="none" w:sz="0" w:space="0" w:color="auto"/>
                        <w:bottom w:val="none" w:sz="0" w:space="0" w:color="auto"/>
                        <w:right w:val="none" w:sz="0" w:space="0" w:color="auto"/>
                      </w:divBdr>
                    </w:div>
                  </w:divsChild>
                </w:div>
                <w:div w:id="1093938973">
                  <w:marLeft w:val="0"/>
                  <w:marRight w:val="0"/>
                  <w:marTop w:val="0"/>
                  <w:marBottom w:val="0"/>
                  <w:divBdr>
                    <w:top w:val="none" w:sz="0" w:space="0" w:color="auto"/>
                    <w:left w:val="none" w:sz="0" w:space="0" w:color="auto"/>
                    <w:bottom w:val="none" w:sz="0" w:space="0" w:color="auto"/>
                    <w:right w:val="none" w:sz="0" w:space="0" w:color="auto"/>
                  </w:divBdr>
                  <w:divsChild>
                    <w:div w:id="2056537481">
                      <w:marLeft w:val="0"/>
                      <w:marRight w:val="0"/>
                      <w:marTop w:val="0"/>
                      <w:marBottom w:val="0"/>
                      <w:divBdr>
                        <w:top w:val="none" w:sz="0" w:space="0" w:color="auto"/>
                        <w:left w:val="none" w:sz="0" w:space="0" w:color="auto"/>
                        <w:bottom w:val="none" w:sz="0" w:space="0" w:color="auto"/>
                        <w:right w:val="none" w:sz="0" w:space="0" w:color="auto"/>
                      </w:divBdr>
                    </w:div>
                  </w:divsChild>
                </w:div>
                <w:div w:id="1110196494">
                  <w:marLeft w:val="0"/>
                  <w:marRight w:val="0"/>
                  <w:marTop w:val="0"/>
                  <w:marBottom w:val="0"/>
                  <w:divBdr>
                    <w:top w:val="none" w:sz="0" w:space="0" w:color="auto"/>
                    <w:left w:val="none" w:sz="0" w:space="0" w:color="auto"/>
                    <w:bottom w:val="none" w:sz="0" w:space="0" w:color="auto"/>
                    <w:right w:val="none" w:sz="0" w:space="0" w:color="auto"/>
                  </w:divBdr>
                  <w:divsChild>
                    <w:div w:id="1880121839">
                      <w:marLeft w:val="0"/>
                      <w:marRight w:val="0"/>
                      <w:marTop w:val="0"/>
                      <w:marBottom w:val="0"/>
                      <w:divBdr>
                        <w:top w:val="none" w:sz="0" w:space="0" w:color="auto"/>
                        <w:left w:val="none" w:sz="0" w:space="0" w:color="auto"/>
                        <w:bottom w:val="none" w:sz="0" w:space="0" w:color="auto"/>
                        <w:right w:val="none" w:sz="0" w:space="0" w:color="auto"/>
                      </w:divBdr>
                    </w:div>
                  </w:divsChild>
                </w:div>
                <w:div w:id="1182668126">
                  <w:marLeft w:val="0"/>
                  <w:marRight w:val="0"/>
                  <w:marTop w:val="0"/>
                  <w:marBottom w:val="0"/>
                  <w:divBdr>
                    <w:top w:val="none" w:sz="0" w:space="0" w:color="auto"/>
                    <w:left w:val="none" w:sz="0" w:space="0" w:color="auto"/>
                    <w:bottom w:val="none" w:sz="0" w:space="0" w:color="auto"/>
                    <w:right w:val="none" w:sz="0" w:space="0" w:color="auto"/>
                  </w:divBdr>
                  <w:divsChild>
                    <w:div w:id="2146123672">
                      <w:marLeft w:val="0"/>
                      <w:marRight w:val="0"/>
                      <w:marTop w:val="0"/>
                      <w:marBottom w:val="0"/>
                      <w:divBdr>
                        <w:top w:val="none" w:sz="0" w:space="0" w:color="auto"/>
                        <w:left w:val="none" w:sz="0" w:space="0" w:color="auto"/>
                        <w:bottom w:val="none" w:sz="0" w:space="0" w:color="auto"/>
                        <w:right w:val="none" w:sz="0" w:space="0" w:color="auto"/>
                      </w:divBdr>
                    </w:div>
                  </w:divsChild>
                </w:div>
                <w:div w:id="1337031223">
                  <w:marLeft w:val="0"/>
                  <w:marRight w:val="0"/>
                  <w:marTop w:val="0"/>
                  <w:marBottom w:val="0"/>
                  <w:divBdr>
                    <w:top w:val="none" w:sz="0" w:space="0" w:color="auto"/>
                    <w:left w:val="none" w:sz="0" w:space="0" w:color="auto"/>
                    <w:bottom w:val="none" w:sz="0" w:space="0" w:color="auto"/>
                    <w:right w:val="none" w:sz="0" w:space="0" w:color="auto"/>
                  </w:divBdr>
                  <w:divsChild>
                    <w:div w:id="1272934964">
                      <w:marLeft w:val="0"/>
                      <w:marRight w:val="0"/>
                      <w:marTop w:val="0"/>
                      <w:marBottom w:val="0"/>
                      <w:divBdr>
                        <w:top w:val="none" w:sz="0" w:space="0" w:color="auto"/>
                        <w:left w:val="none" w:sz="0" w:space="0" w:color="auto"/>
                        <w:bottom w:val="none" w:sz="0" w:space="0" w:color="auto"/>
                        <w:right w:val="none" w:sz="0" w:space="0" w:color="auto"/>
                      </w:divBdr>
                    </w:div>
                  </w:divsChild>
                </w:div>
                <w:div w:id="1418869199">
                  <w:marLeft w:val="0"/>
                  <w:marRight w:val="0"/>
                  <w:marTop w:val="0"/>
                  <w:marBottom w:val="0"/>
                  <w:divBdr>
                    <w:top w:val="none" w:sz="0" w:space="0" w:color="auto"/>
                    <w:left w:val="none" w:sz="0" w:space="0" w:color="auto"/>
                    <w:bottom w:val="none" w:sz="0" w:space="0" w:color="auto"/>
                    <w:right w:val="none" w:sz="0" w:space="0" w:color="auto"/>
                  </w:divBdr>
                  <w:divsChild>
                    <w:div w:id="2089570058">
                      <w:marLeft w:val="0"/>
                      <w:marRight w:val="0"/>
                      <w:marTop w:val="0"/>
                      <w:marBottom w:val="0"/>
                      <w:divBdr>
                        <w:top w:val="none" w:sz="0" w:space="0" w:color="auto"/>
                        <w:left w:val="none" w:sz="0" w:space="0" w:color="auto"/>
                        <w:bottom w:val="none" w:sz="0" w:space="0" w:color="auto"/>
                        <w:right w:val="none" w:sz="0" w:space="0" w:color="auto"/>
                      </w:divBdr>
                    </w:div>
                  </w:divsChild>
                </w:div>
                <w:div w:id="1436054893">
                  <w:marLeft w:val="0"/>
                  <w:marRight w:val="0"/>
                  <w:marTop w:val="0"/>
                  <w:marBottom w:val="0"/>
                  <w:divBdr>
                    <w:top w:val="none" w:sz="0" w:space="0" w:color="auto"/>
                    <w:left w:val="none" w:sz="0" w:space="0" w:color="auto"/>
                    <w:bottom w:val="none" w:sz="0" w:space="0" w:color="auto"/>
                    <w:right w:val="none" w:sz="0" w:space="0" w:color="auto"/>
                  </w:divBdr>
                  <w:divsChild>
                    <w:div w:id="835073330">
                      <w:marLeft w:val="0"/>
                      <w:marRight w:val="0"/>
                      <w:marTop w:val="0"/>
                      <w:marBottom w:val="0"/>
                      <w:divBdr>
                        <w:top w:val="none" w:sz="0" w:space="0" w:color="auto"/>
                        <w:left w:val="none" w:sz="0" w:space="0" w:color="auto"/>
                        <w:bottom w:val="none" w:sz="0" w:space="0" w:color="auto"/>
                        <w:right w:val="none" w:sz="0" w:space="0" w:color="auto"/>
                      </w:divBdr>
                    </w:div>
                  </w:divsChild>
                </w:div>
                <w:div w:id="1534683401">
                  <w:marLeft w:val="0"/>
                  <w:marRight w:val="0"/>
                  <w:marTop w:val="0"/>
                  <w:marBottom w:val="0"/>
                  <w:divBdr>
                    <w:top w:val="none" w:sz="0" w:space="0" w:color="auto"/>
                    <w:left w:val="none" w:sz="0" w:space="0" w:color="auto"/>
                    <w:bottom w:val="none" w:sz="0" w:space="0" w:color="auto"/>
                    <w:right w:val="none" w:sz="0" w:space="0" w:color="auto"/>
                  </w:divBdr>
                  <w:divsChild>
                    <w:div w:id="629825645">
                      <w:marLeft w:val="0"/>
                      <w:marRight w:val="0"/>
                      <w:marTop w:val="0"/>
                      <w:marBottom w:val="0"/>
                      <w:divBdr>
                        <w:top w:val="none" w:sz="0" w:space="0" w:color="auto"/>
                        <w:left w:val="none" w:sz="0" w:space="0" w:color="auto"/>
                        <w:bottom w:val="none" w:sz="0" w:space="0" w:color="auto"/>
                        <w:right w:val="none" w:sz="0" w:space="0" w:color="auto"/>
                      </w:divBdr>
                    </w:div>
                  </w:divsChild>
                </w:div>
                <w:div w:id="1554997427">
                  <w:marLeft w:val="0"/>
                  <w:marRight w:val="0"/>
                  <w:marTop w:val="0"/>
                  <w:marBottom w:val="0"/>
                  <w:divBdr>
                    <w:top w:val="none" w:sz="0" w:space="0" w:color="auto"/>
                    <w:left w:val="none" w:sz="0" w:space="0" w:color="auto"/>
                    <w:bottom w:val="none" w:sz="0" w:space="0" w:color="auto"/>
                    <w:right w:val="none" w:sz="0" w:space="0" w:color="auto"/>
                  </w:divBdr>
                  <w:divsChild>
                    <w:div w:id="1768187383">
                      <w:marLeft w:val="0"/>
                      <w:marRight w:val="0"/>
                      <w:marTop w:val="0"/>
                      <w:marBottom w:val="0"/>
                      <w:divBdr>
                        <w:top w:val="none" w:sz="0" w:space="0" w:color="auto"/>
                        <w:left w:val="none" w:sz="0" w:space="0" w:color="auto"/>
                        <w:bottom w:val="none" w:sz="0" w:space="0" w:color="auto"/>
                        <w:right w:val="none" w:sz="0" w:space="0" w:color="auto"/>
                      </w:divBdr>
                    </w:div>
                  </w:divsChild>
                </w:div>
                <w:div w:id="1593315221">
                  <w:marLeft w:val="0"/>
                  <w:marRight w:val="0"/>
                  <w:marTop w:val="0"/>
                  <w:marBottom w:val="0"/>
                  <w:divBdr>
                    <w:top w:val="none" w:sz="0" w:space="0" w:color="auto"/>
                    <w:left w:val="none" w:sz="0" w:space="0" w:color="auto"/>
                    <w:bottom w:val="none" w:sz="0" w:space="0" w:color="auto"/>
                    <w:right w:val="none" w:sz="0" w:space="0" w:color="auto"/>
                  </w:divBdr>
                  <w:divsChild>
                    <w:div w:id="456266085">
                      <w:marLeft w:val="0"/>
                      <w:marRight w:val="0"/>
                      <w:marTop w:val="0"/>
                      <w:marBottom w:val="0"/>
                      <w:divBdr>
                        <w:top w:val="none" w:sz="0" w:space="0" w:color="auto"/>
                        <w:left w:val="none" w:sz="0" w:space="0" w:color="auto"/>
                        <w:bottom w:val="none" w:sz="0" w:space="0" w:color="auto"/>
                        <w:right w:val="none" w:sz="0" w:space="0" w:color="auto"/>
                      </w:divBdr>
                    </w:div>
                  </w:divsChild>
                </w:div>
                <w:div w:id="1876188601">
                  <w:marLeft w:val="0"/>
                  <w:marRight w:val="0"/>
                  <w:marTop w:val="0"/>
                  <w:marBottom w:val="0"/>
                  <w:divBdr>
                    <w:top w:val="none" w:sz="0" w:space="0" w:color="auto"/>
                    <w:left w:val="none" w:sz="0" w:space="0" w:color="auto"/>
                    <w:bottom w:val="none" w:sz="0" w:space="0" w:color="auto"/>
                    <w:right w:val="none" w:sz="0" w:space="0" w:color="auto"/>
                  </w:divBdr>
                  <w:divsChild>
                    <w:div w:id="1146623374">
                      <w:marLeft w:val="0"/>
                      <w:marRight w:val="0"/>
                      <w:marTop w:val="0"/>
                      <w:marBottom w:val="0"/>
                      <w:divBdr>
                        <w:top w:val="none" w:sz="0" w:space="0" w:color="auto"/>
                        <w:left w:val="none" w:sz="0" w:space="0" w:color="auto"/>
                        <w:bottom w:val="none" w:sz="0" w:space="0" w:color="auto"/>
                        <w:right w:val="none" w:sz="0" w:space="0" w:color="auto"/>
                      </w:divBdr>
                    </w:div>
                  </w:divsChild>
                </w:div>
                <w:div w:id="1959288682">
                  <w:marLeft w:val="0"/>
                  <w:marRight w:val="0"/>
                  <w:marTop w:val="0"/>
                  <w:marBottom w:val="0"/>
                  <w:divBdr>
                    <w:top w:val="none" w:sz="0" w:space="0" w:color="auto"/>
                    <w:left w:val="none" w:sz="0" w:space="0" w:color="auto"/>
                    <w:bottom w:val="none" w:sz="0" w:space="0" w:color="auto"/>
                    <w:right w:val="none" w:sz="0" w:space="0" w:color="auto"/>
                  </w:divBdr>
                  <w:divsChild>
                    <w:div w:id="2121872401">
                      <w:marLeft w:val="0"/>
                      <w:marRight w:val="0"/>
                      <w:marTop w:val="0"/>
                      <w:marBottom w:val="0"/>
                      <w:divBdr>
                        <w:top w:val="none" w:sz="0" w:space="0" w:color="auto"/>
                        <w:left w:val="none" w:sz="0" w:space="0" w:color="auto"/>
                        <w:bottom w:val="none" w:sz="0" w:space="0" w:color="auto"/>
                        <w:right w:val="none" w:sz="0" w:space="0" w:color="auto"/>
                      </w:divBdr>
                    </w:div>
                  </w:divsChild>
                </w:div>
                <w:div w:id="2100634091">
                  <w:marLeft w:val="0"/>
                  <w:marRight w:val="0"/>
                  <w:marTop w:val="0"/>
                  <w:marBottom w:val="0"/>
                  <w:divBdr>
                    <w:top w:val="none" w:sz="0" w:space="0" w:color="auto"/>
                    <w:left w:val="none" w:sz="0" w:space="0" w:color="auto"/>
                    <w:bottom w:val="none" w:sz="0" w:space="0" w:color="auto"/>
                    <w:right w:val="none" w:sz="0" w:space="0" w:color="auto"/>
                  </w:divBdr>
                  <w:divsChild>
                    <w:div w:id="590503409">
                      <w:marLeft w:val="0"/>
                      <w:marRight w:val="0"/>
                      <w:marTop w:val="0"/>
                      <w:marBottom w:val="0"/>
                      <w:divBdr>
                        <w:top w:val="none" w:sz="0" w:space="0" w:color="auto"/>
                        <w:left w:val="none" w:sz="0" w:space="0" w:color="auto"/>
                        <w:bottom w:val="none" w:sz="0" w:space="0" w:color="auto"/>
                        <w:right w:val="none" w:sz="0" w:space="0" w:color="auto"/>
                      </w:divBdr>
                    </w:div>
                  </w:divsChild>
                </w:div>
                <w:div w:id="2105565613">
                  <w:marLeft w:val="0"/>
                  <w:marRight w:val="0"/>
                  <w:marTop w:val="0"/>
                  <w:marBottom w:val="0"/>
                  <w:divBdr>
                    <w:top w:val="none" w:sz="0" w:space="0" w:color="auto"/>
                    <w:left w:val="none" w:sz="0" w:space="0" w:color="auto"/>
                    <w:bottom w:val="none" w:sz="0" w:space="0" w:color="auto"/>
                    <w:right w:val="none" w:sz="0" w:space="0" w:color="auto"/>
                  </w:divBdr>
                  <w:divsChild>
                    <w:div w:id="1646086229">
                      <w:marLeft w:val="0"/>
                      <w:marRight w:val="0"/>
                      <w:marTop w:val="0"/>
                      <w:marBottom w:val="0"/>
                      <w:divBdr>
                        <w:top w:val="none" w:sz="0" w:space="0" w:color="auto"/>
                        <w:left w:val="none" w:sz="0" w:space="0" w:color="auto"/>
                        <w:bottom w:val="none" w:sz="0" w:space="0" w:color="auto"/>
                        <w:right w:val="none" w:sz="0" w:space="0" w:color="auto"/>
                      </w:divBdr>
                    </w:div>
                  </w:divsChild>
                </w:div>
                <w:div w:id="2126579023">
                  <w:marLeft w:val="0"/>
                  <w:marRight w:val="0"/>
                  <w:marTop w:val="0"/>
                  <w:marBottom w:val="0"/>
                  <w:divBdr>
                    <w:top w:val="none" w:sz="0" w:space="0" w:color="auto"/>
                    <w:left w:val="none" w:sz="0" w:space="0" w:color="auto"/>
                    <w:bottom w:val="none" w:sz="0" w:space="0" w:color="auto"/>
                    <w:right w:val="none" w:sz="0" w:space="0" w:color="auto"/>
                  </w:divBdr>
                  <w:divsChild>
                    <w:div w:id="11938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5055">
          <w:marLeft w:val="0"/>
          <w:marRight w:val="0"/>
          <w:marTop w:val="0"/>
          <w:marBottom w:val="0"/>
          <w:divBdr>
            <w:top w:val="none" w:sz="0" w:space="0" w:color="auto"/>
            <w:left w:val="none" w:sz="0" w:space="0" w:color="auto"/>
            <w:bottom w:val="none" w:sz="0" w:space="0" w:color="auto"/>
            <w:right w:val="none" w:sz="0" w:space="0" w:color="auto"/>
          </w:divBdr>
        </w:div>
        <w:div w:id="970210755">
          <w:marLeft w:val="0"/>
          <w:marRight w:val="0"/>
          <w:marTop w:val="0"/>
          <w:marBottom w:val="0"/>
          <w:divBdr>
            <w:top w:val="none" w:sz="0" w:space="0" w:color="auto"/>
            <w:left w:val="none" w:sz="0" w:space="0" w:color="auto"/>
            <w:bottom w:val="none" w:sz="0" w:space="0" w:color="auto"/>
            <w:right w:val="none" w:sz="0" w:space="0" w:color="auto"/>
          </w:divBdr>
          <w:divsChild>
            <w:div w:id="1139423772">
              <w:marLeft w:val="0"/>
              <w:marRight w:val="0"/>
              <w:marTop w:val="0"/>
              <w:marBottom w:val="0"/>
              <w:divBdr>
                <w:top w:val="none" w:sz="0" w:space="0" w:color="auto"/>
                <w:left w:val="none" w:sz="0" w:space="0" w:color="auto"/>
                <w:bottom w:val="none" w:sz="0" w:space="0" w:color="auto"/>
                <w:right w:val="none" w:sz="0" w:space="0" w:color="auto"/>
              </w:divBdr>
            </w:div>
            <w:div w:id="1296326027">
              <w:marLeft w:val="0"/>
              <w:marRight w:val="0"/>
              <w:marTop w:val="0"/>
              <w:marBottom w:val="0"/>
              <w:divBdr>
                <w:top w:val="none" w:sz="0" w:space="0" w:color="auto"/>
                <w:left w:val="none" w:sz="0" w:space="0" w:color="auto"/>
                <w:bottom w:val="none" w:sz="0" w:space="0" w:color="auto"/>
                <w:right w:val="none" w:sz="0" w:space="0" w:color="auto"/>
              </w:divBdr>
            </w:div>
            <w:div w:id="1562013011">
              <w:marLeft w:val="0"/>
              <w:marRight w:val="0"/>
              <w:marTop w:val="0"/>
              <w:marBottom w:val="0"/>
              <w:divBdr>
                <w:top w:val="none" w:sz="0" w:space="0" w:color="auto"/>
                <w:left w:val="none" w:sz="0" w:space="0" w:color="auto"/>
                <w:bottom w:val="none" w:sz="0" w:space="0" w:color="auto"/>
                <w:right w:val="none" w:sz="0" w:space="0" w:color="auto"/>
              </w:divBdr>
            </w:div>
            <w:div w:id="1774284509">
              <w:marLeft w:val="0"/>
              <w:marRight w:val="0"/>
              <w:marTop w:val="0"/>
              <w:marBottom w:val="0"/>
              <w:divBdr>
                <w:top w:val="none" w:sz="0" w:space="0" w:color="auto"/>
                <w:left w:val="none" w:sz="0" w:space="0" w:color="auto"/>
                <w:bottom w:val="none" w:sz="0" w:space="0" w:color="auto"/>
                <w:right w:val="none" w:sz="0" w:space="0" w:color="auto"/>
              </w:divBdr>
            </w:div>
          </w:divsChild>
        </w:div>
        <w:div w:id="995912542">
          <w:marLeft w:val="0"/>
          <w:marRight w:val="0"/>
          <w:marTop w:val="0"/>
          <w:marBottom w:val="0"/>
          <w:divBdr>
            <w:top w:val="none" w:sz="0" w:space="0" w:color="auto"/>
            <w:left w:val="none" w:sz="0" w:space="0" w:color="auto"/>
            <w:bottom w:val="none" w:sz="0" w:space="0" w:color="auto"/>
            <w:right w:val="none" w:sz="0" w:space="0" w:color="auto"/>
          </w:divBdr>
        </w:div>
        <w:div w:id="1003897827">
          <w:marLeft w:val="0"/>
          <w:marRight w:val="0"/>
          <w:marTop w:val="0"/>
          <w:marBottom w:val="0"/>
          <w:divBdr>
            <w:top w:val="none" w:sz="0" w:space="0" w:color="auto"/>
            <w:left w:val="none" w:sz="0" w:space="0" w:color="auto"/>
            <w:bottom w:val="none" w:sz="0" w:space="0" w:color="auto"/>
            <w:right w:val="none" w:sz="0" w:space="0" w:color="auto"/>
          </w:divBdr>
          <w:divsChild>
            <w:div w:id="105658190">
              <w:marLeft w:val="0"/>
              <w:marRight w:val="0"/>
              <w:marTop w:val="0"/>
              <w:marBottom w:val="0"/>
              <w:divBdr>
                <w:top w:val="none" w:sz="0" w:space="0" w:color="auto"/>
                <w:left w:val="none" w:sz="0" w:space="0" w:color="auto"/>
                <w:bottom w:val="none" w:sz="0" w:space="0" w:color="auto"/>
                <w:right w:val="none" w:sz="0" w:space="0" w:color="auto"/>
              </w:divBdr>
            </w:div>
            <w:div w:id="228007115">
              <w:marLeft w:val="0"/>
              <w:marRight w:val="0"/>
              <w:marTop w:val="0"/>
              <w:marBottom w:val="0"/>
              <w:divBdr>
                <w:top w:val="none" w:sz="0" w:space="0" w:color="auto"/>
                <w:left w:val="none" w:sz="0" w:space="0" w:color="auto"/>
                <w:bottom w:val="none" w:sz="0" w:space="0" w:color="auto"/>
                <w:right w:val="none" w:sz="0" w:space="0" w:color="auto"/>
              </w:divBdr>
            </w:div>
            <w:div w:id="240607789">
              <w:marLeft w:val="0"/>
              <w:marRight w:val="0"/>
              <w:marTop w:val="0"/>
              <w:marBottom w:val="0"/>
              <w:divBdr>
                <w:top w:val="none" w:sz="0" w:space="0" w:color="auto"/>
                <w:left w:val="none" w:sz="0" w:space="0" w:color="auto"/>
                <w:bottom w:val="none" w:sz="0" w:space="0" w:color="auto"/>
                <w:right w:val="none" w:sz="0" w:space="0" w:color="auto"/>
              </w:divBdr>
            </w:div>
            <w:div w:id="1745105043">
              <w:marLeft w:val="0"/>
              <w:marRight w:val="0"/>
              <w:marTop w:val="0"/>
              <w:marBottom w:val="0"/>
              <w:divBdr>
                <w:top w:val="none" w:sz="0" w:space="0" w:color="auto"/>
                <w:left w:val="none" w:sz="0" w:space="0" w:color="auto"/>
                <w:bottom w:val="none" w:sz="0" w:space="0" w:color="auto"/>
                <w:right w:val="none" w:sz="0" w:space="0" w:color="auto"/>
              </w:divBdr>
            </w:div>
          </w:divsChild>
        </w:div>
        <w:div w:id="1090079399">
          <w:marLeft w:val="0"/>
          <w:marRight w:val="0"/>
          <w:marTop w:val="0"/>
          <w:marBottom w:val="0"/>
          <w:divBdr>
            <w:top w:val="none" w:sz="0" w:space="0" w:color="auto"/>
            <w:left w:val="none" w:sz="0" w:space="0" w:color="auto"/>
            <w:bottom w:val="none" w:sz="0" w:space="0" w:color="auto"/>
            <w:right w:val="none" w:sz="0" w:space="0" w:color="auto"/>
          </w:divBdr>
        </w:div>
        <w:div w:id="1100292323">
          <w:marLeft w:val="0"/>
          <w:marRight w:val="0"/>
          <w:marTop w:val="0"/>
          <w:marBottom w:val="0"/>
          <w:divBdr>
            <w:top w:val="none" w:sz="0" w:space="0" w:color="auto"/>
            <w:left w:val="none" w:sz="0" w:space="0" w:color="auto"/>
            <w:bottom w:val="none" w:sz="0" w:space="0" w:color="auto"/>
            <w:right w:val="none" w:sz="0" w:space="0" w:color="auto"/>
          </w:divBdr>
          <w:divsChild>
            <w:div w:id="643854215">
              <w:marLeft w:val="-75"/>
              <w:marRight w:val="0"/>
              <w:marTop w:val="30"/>
              <w:marBottom w:val="30"/>
              <w:divBdr>
                <w:top w:val="none" w:sz="0" w:space="0" w:color="auto"/>
                <w:left w:val="none" w:sz="0" w:space="0" w:color="auto"/>
                <w:bottom w:val="none" w:sz="0" w:space="0" w:color="auto"/>
                <w:right w:val="none" w:sz="0" w:space="0" w:color="auto"/>
              </w:divBdr>
              <w:divsChild>
                <w:div w:id="21901755">
                  <w:marLeft w:val="0"/>
                  <w:marRight w:val="0"/>
                  <w:marTop w:val="0"/>
                  <w:marBottom w:val="0"/>
                  <w:divBdr>
                    <w:top w:val="none" w:sz="0" w:space="0" w:color="auto"/>
                    <w:left w:val="none" w:sz="0" w:space="0" w:color="auto"/>
                    <w:bottom w:val="none" w:sz="0" w:space="0" w:color="auto"/>
                    <w:right w:val="none" w:sz="0" w:space="0" w:color="auto"/>
                  </w:divBdr>
                  <w:divsChild>
                    <w:div w:id="11684719">
                      <w:marLeft w:val="0"/>
                      <w:marRight w:val="0"/>
                      <w:marTop w:val="0"/>
                      <w:marBottom w:val="0"/>
                      <w:divBdr>
                        <w:top w:val="none" w:sz="0" w:space="0" w:color="auto"/>
                        <w:left w:val="none" w:sz="0" w:space="0" w:color="auto"/>
                        <w:bottom w:val="none" w:sz="0" w:space="0" w:color="auto"/>
                        <w:right w:val="none" w:sz="0" w:space="0" w:color="auto"/>
                      </w:divBdr>
                    </w:div>
                  </w:divsChild>
                </w:div>
                <w:div w:id="85881494">
                  <w:marLeft w:val="0"/>
                  <w:marRight w:val="0"/>
                  <w:marTop w:val="0"/>
                  <w:marBottom w:val="0"/>
                  <w:divBdr>
                    <w:top w:val="none" w:sz="0" w:space="0" w:color="auto"/>
                    <w:left w:val="none" w:sz="0" w:space="0" w:color="auto"/>
                    <w:bottom w:val="none" w:sz="0" w:space="0" w:color="auto"/>
                    <w:right w:val="none" w:sz="0" w:space="0" w:color="auto"/>
                  </w:divBdr>
                  <w:divsChild>
                    <w:div w:id="1372461378">
                      <w:marLeft w:val="0"/>
                      <w:marRight w:val="0"/>
                      <w:marTop w:val="0"/>
                      <w:marBottom w:val="0"/>
                      <w:divBdr>
                        <w:top w:val="none" w:sz="0" w:space="0" w:color="auto"/>
                        <w:left w:val="none" w:sz="0" w:space="0" w:color="auto"/>
                        <w:bottom w:val="none" w:sz="0" w:space="0" w:color="auto"/>
                        <w:right w:val="none" w:sz="0" w:space="0" w:color="auto"/>
                      </w:divBdr>
                    </w:div>
                  </w:divsChild>
                </w:div>
                <w:div w:id="120198872">
                  <w:marLeft w:val="0"/>
                  <w:marRight w:val="0"/>
                  <w:marTop w:val="0"/>
                  <w:marBottom w:val="0"/>
                  <w:divBdr>
                    <w:top w:val="none" w:sz="0" w:space="0" w:color="auto"/>
                    <w:left w:val="none" w:sz="0" w:space="0" w:color="auto"/>
                    <w:bottom w:val="none" w:sz="0" w:space="0" w:color="auto"/>
                    <w:right w:val="none" w:sz="0" w:space="0" w:color="auto"/>
                  </w:divBdr>
                  <w:divsChild>
                    <w:div w:id="927422647">
                      <w:marLeft w:val="0"/>
                      <w:marRight w:val="0"/>
                      <w:marTop w:val="0"/>
                      <w:marBottom w:val="0"/>
                      <w:divBdr>
                        <w:top w:val="none" w:sz="0" w:space="0" w:color="auto"/>
                        <w:left w:val="none" w:sz="0" w:space="0" w:color="auto"/>
                        <w:bottom w:val="none" w:sz="0" w:space="0" w:color="auto"/>
                        <w:right w:val="none" w:sz="0" w:space="0" w:color="auto"/>
                      </w:divBdr>
                    </w:div>
                  </w:divsChild>
                </w:div>
                <w:div w:id="158011117">
                  <w:marLeft w:val="0"/>
                  <w:marRight w:val="0"/>
                  <w:marTop w:val="0"/>
                  <w:marBottom w:val="0"/>
                  <w:divBdr>
                    <w:top w:val="none" w:sz="0" w:space="0" w:color="auto"/>
                    <w:left w:val="none" w:sz="0" w:space="0" w:color="auto"/>
                    <w:bottom w:val="none" w:sz="0" w:space="0" w:color="auto"/>
                    <w:right w:val="none" w:sz="0" w:space="0" w:color="auto"/>
                  </w:divBdr>
                  <w:divsChild>
                    <w:div w:id="1706976580">
                      <w:marLeft w:val="0"/>
                      <w:marRight w:val="0"/>
                      <w:marTop w:val="0"/>
                      <w:marBottom w:val="0"/>
                      <w:divBdr>
                        <w:top w:val="none" w:sz="0" w:space="0" w:color="auto"/>
                        <w:left w:val="none" w:sz="0" w:space="0" w:color="auto"/>
                        <w:bottom w:val="none" w:sz="0" w:space="0" w:color="auto"/>
                        <w:right w:val="none" w:sz="0" w:space="0" w:color="auto"/>
                      </w:divBdr>
                    </w:div>
                  </w:divsChild>
                </w:div>
                <w:div w:id="168181378">
                  <w:marLeft w:val="0"/>
                  <w:marRight w:val="0"/>
                  <w:marTop w:val="0"/>
                  <w:marBottom w:val="0"/>
                  <w:divBdr>
                    <w:top w:val="none" w:sz="0" w:space="0" w:color="auto"/>
                    <w:left w:val="none" w:sz="0" w:space="0" w:color="auto"/>
                    <w:bottom w:val="none" w:sz="0" w:space="0" w:color="auto"/>
                    <w:right w:val="none" w:sz="0" w:space="0" w:color="auto"/>
                  </w:divBdr>
                  <w:divsChild>
                    <w:div w:id="689837938">
                      <w:marLeft w:val="0"/>
                      <w:marRight w:val="0"/>
                      <w:marTop w:val="0"/>
                      <w:marBottom w:val="0"/>
                      <w:divBdr>
                        <w:top w:val="none" w:sz="0" w:space="0" w:color="auto"/>
                        <w:left w:val="none" w:sz="0" w:space="0" w:color="auto"/>
                        <w:bottom w:val="none" w:sz="0" w:space="0" w:color="auto"/>
                        <w:right w:val="none" w:sz="0" w:space="0" w:color="auto"/>
                      </w:divBdr>
                    </w:div>
                  </w:divsChild>
                </w:div>
                <w:div w:id="248276168">
                  <w:marLeft w:val="0"/>
                  <w:marRight w:val="0"/>
                  <w:marTop w:val="0"/>
                  <w:marBottom w:val="0"/>
                  <w:divBdr>
                    <w:top w:val="none" w:sz="0" w:space="0" w:color="auto"/>
                    <w:left w:val="none" w:sz="0" w:space="0" w:color="auto"/>
                    <w:bottom w:val="none" w:sz="0" w:space="0" w:color="auto"/>
                    <w:right w:val="none" w:sz="0" w:space="0" w:color="auto"/>
                  </w:divBdr>
                  <w:divsChild>
                    <w:div w:id="1572542116">
                      <w:marLeft w:val="0"/>
                      <w:marRight w:val="0"/>
                      <w:marTop w:val="0"/>
                      <w:marBottom w:val="0"/>
                      <w:divBdr>
                        <w:top w:val="none" w:sz="0" w:space="0" w:color="auto"/>
                        <w:left w:val="none" w:sz="0" w:space="0" w:color="auto"/>
                        <w:bottom w:val="none" w:sz="0" w:space="0" w:color="auto"/>
                        <w:right w:val="none" w:sz="0" w:space="0" w:color="auto"/>
                      </w:divBdr>
                    </w:div>
                  </w:divsChild>
                </w:div>
                <w:div w:id="309747327">
                  <w:marLeft w:val="0"/>
                  <w:marRight w:val="0"/>
                  <w:marTop w:val="0"/>
                  <w:marBottom w:val="0"/>
                  <w:divBdr>
                    <w:top w:val="none" w:sz="0" w:space="0" w:color="auto"/>
                    <w:left w:val="none" w:sz="0" w:space="0" w:color="auto"/>
                    <w:bottom w:val="none" w:sz="0" w:space="0" w:color="auto"/>
                    <w:right w:val="none" w:sz="0" w:space="0" w:color="auto"/>
                  </w:divBdr>
                  <w:divsChild>
                    <w:div w:id="1912499522">
                      <w:marLeft w:val="0"/>
                      <w:marRight w:val="0"/>
                      <w:marTop w:val="0"/>
                      <w:marBottom w:val="0"/>
                      <w:divBdr>
                        <w:top w:val="none" w:sz="0" w:space="0" w:color="auto"/>
                        <w:left w:val="none" w:sz="0" w:space="0" w:color="auto"/>
                        <w:bottom w:val="none" w:sz="0" w:space="0" w:color="auto"/>
                        <w:right w:val="none" w:sz="0" w:space="0" w:color="auto"/>
                      </w:divBdr>
                    </w:div>
                  </w:divsChild>
                </w:div>
                <w:div w:id="323902659">
                  <w:marLeft w:val="0"/>
                  <w:marRight w:val="0"/>
                  <w:marTop w:val="0"/>
                  <w:marBottom w:val="0"/>
                  <w:divBdr>
                    <w:top w:val="none" w:sz="0" w:space="0" w:color="auto"/>
                    <w:left w:val="none" w:sz="0" w:space="0" w:color="auto"/>
                    <w:bottom w:val="none" w:sz="0" w:space="0" w:color="auto"/>
                    <w:right w:val="none" w:sz="0" w:space="0" w:color="auto"/>
                  </w:divBdr>
                  <w:divsChild>
                    <w:div w:id="904492931">
                      <w:marLeft w:val="0"/>
                      <w:marRight w:val="0"/>
                      <w:marTop w:val="0"/>
                      <w:marBottom w:val="0"/>
                      <w:divBdr>
                        <w:top w:val="none" w:sz="0" w:space="0" w:color="auto"/>
                        <w:left w:val="none" w:sz="0" w:space="0" w:color="auto"/>
                        <w:bottom w:val="none" w:sz="0" w:space="0" w:color="auto"/>
                        <w:right w:val="none" w:sz="0" w:space="0" w:color="auto"/>
                      </w:divBdr>
                    </w:div>
                  </w:divsChild>
                </w:div>
                <w:div w:id="405542638">
                  <w:marLeft w:val="0"/>
                  <w:marRight w:val="0"/>
                  <w:marTop w:val="0"/>
                  <w:marBottom w:val="0"/>
                  <w:divBdr>
                    <w:top w:val="none" w:sz="0" w:space="0" w:color="auto"/>
                    <w:left w:val="none" w:sz="0" w:space="0" w:color="auto"/>
                    <w:bottom w:val="none" w:sz="0" w:space="0" w:color="auto"/>
                    <w:right w:val="none" w:sz="0" w:space="0" w:color="auto"/>
                  </w:divBdr>
                  <w:divsChild>
                    <w:div w:id="310790506">
                      <w:marLeft w:val="0"/>
                      <w:marRight w:val="0"/>
                      <w:marTop w:val="0"/>
                      <w:marBottom w:val="0"/>
                      <w:divBdr>
                        <w:top w:val="none" w:sz="0" w:space="0" w:color="auto"/>
                        <w:left w:val="none" w:sz="0" w:space="0" w:color="auto"/>
                        <w:bottom w:val="none" w:sz="0" w:space="0" w:color="auto"/>
                        <w:right w:val="none" w:sz="0" w:space="0" w:color="auto"/>
                      </w:divBdr>
                    </w:div>
                  </w:divsChild>
                </w:div>
                <w:div w:id="451216577">
                  <w:marLeft w:val="0"/>
                  <w:marRight w:val="0"/>
                  <w:marTop w:val="0"/>
                  <w:marBottom w:val="0"/>
                  <w:divBdr>
                    <w:top w:val="none" w:sz="0" w:space="0" w:color="auto"/>
                    <w:left w:val="none" w:sz="0" w:space="0" w:color="auto"/>
                    <w:bottom w:val="none" w:sz="0" w:space="0" w:color="auto"/>
                    <w:right w:val="none" w:sz="0" w:space="0" w:color="auto"/>
                  </w:divBdr>
                  <w:divsChild>
                    <w:div w:id="1986274781">
                      <w:marLeft w:val="0"/>
                      <w:marRight w:val="0"/>
                      <w:marTop w:val="0"/>
                      <w:marBottom w:val="0"/>
                      <w:divBdr>
                        <w:top w:val="none" w:sz="0" w:space="0" w:color="auto"/>
                        <w:left w:val="none" w:sz="0" w:space="0" w:color="auto"/>
                        <w:bottom w:val="none" w:sz="0" w:space="0" w:color="auto"/>
                        <w:right w:val="none" w:sz="0" w:space="0" w:color="auto"/>
                      </w:divBdr>
                    </w:div>
                  </w:divsChild>
                </w:div>
                <w:div w:id="626622137">
                  <w:marLeft w:val="0"/>
                  <w:marRight w:val="0"/>
                  <w:marTop w:val="0"/>
                  <w:marBottom w:val="0"/>
                  <w:divBdr>
                    <w:top w:val="none" w:sz="0" w:space="0" w:color="auto"/>
                    <w:left w:val="none" w:sz="0" w:space="0" w:color="auto"/>
                    <w:bottom w:val="none" w:sz="0" w:space="0" w:color="auto"/>
                    <w:right w:val="none" w:sz="0" w:space="0" w:color="auto"/>
                  </w:divBdr>
                  <w:divsChild>
                    <w:div w:id="393772962">
                      <w:marLeft w:val="0"/>
                      <w:marRight w:val="0"/>
                      <w:marTop w:val="0"/>
                      <w:marBottom w:val="0"/>
                      <w:divBdr>
                        <w:top w:val="none" w:sz="0" w:space="0" w:color="auto"/>
                        <w:left w:val="none" w:sz="0" w:space="0" w:color="auto"/>
                        <w:bottom w:val="none" w:sz="0" w:space="0" w:color="auto"/>
                        <w:right w:val="none" w:sz="0" w:space="0" w:color="auto"/>
                      </w:divBdr>
                    </w:div>
                  </w:divsChild>
                </w:div>
                <w:div w:id="633679653">
                  <w:marLeft w:val="0"/>
                  <w:marRight w:val="0"/>
                  <w:marTop w:val="0"/>
                  <w:marBottom w:val="0"/>
                  <w:divBdr>
                    <w:top w:val="none" w:sz="0" w:space="0" w:color="auto"/>
                    <w:left w:val="none" w:sz="0" w:space="0" w:color="auto"/>
                    <w:bottom w:val="none" w:sz="0" w:space="0" w:color="auto"/>
                    <w:right w:val="none" w:sz="0" w:space="0" w:color="auto"/>
                  </w:divBdr>
                  <w:divsChild>
                    <w:div w:id="39015224">
                      <w:marLeft w:val="0"/>
                      <w:marRight w:val="0"/>
                      <w:marTop w:val="0"/>
                      <w:marBottom w:val="0"/>
                      <w:divBdr>
                        <w:top w:val="none" w:sz="0" w:space="0" w:color="auto"/>
                        <w:left w:val="none" w:sz="0" w:space="0" w:color="auto"/>
                        <w:bottom w:val="none" w:sz="0" w:space="0" w:color="auto"/>
                        <w:right w:val="none" w:sz="0" w:space="0" w:color="auto"/>
                      </w:divBdr>
                    </w:div>
                  </w:divsChild>
                </w:div>
                <w:div w:id="642000487">
                  <w:marLeft w:val="0"/>
                  <w:marRight w:val="0"/>
                  <w:marTop w:val="0"/>
                  <w:marBottom w:val="0"/>
                  <w:divBdr>
                    <w:top w:val="none" w:sz="0" w:space="0" w:color="auto"/>
                    <w:left w:val="none" w:sz="0" w:space="0" w:color="auto"/>
                    <w:bottom w:val="none" w:sz="0" w:space="0" w:color="auto"/>
                    <w:right w:val="none" w:sz="0" w:space="0" w:color="auto"/>
                  </w:divBdr>
                  <w:divsChild>
                    <w:div w:id="1500080893">
                      <w:marLeft w:val="0"/>
                      <w:marRight w:val="0"/>
                      <w:marTop w:val="0"/>
                      <w:marBottom w:val="0"/>
                      <w:divBdr>
                        <w:top w:val="none" w:sz="0" w:space="0" w:color="auto"/>
                        <w:left w:val="none" w:sz="0" w:space="0" w:color="auto"/>
                        <w:bottom w:val="none" w:sz="0" w:space="0" w:color="auto"/>
                        <w:right w:val="none" w:sz="0" w:space="0" w:color="auto"/>
                      </w:divBdr>
                    </w:div>
                  </w:divsChild>
                </w:div>
                <w:div w:id="768430869">
                  <w:marLeft w:val="0"/>
                  <w:marRight w:val="0"/>
                  <w:marTop w:val="0"/>
                  <w:marBottom w:val="0"/>
                  <w:divBdr>
                    <w:top w:val="none" w:sz="0" w:space="0" w:color="auto"/>
                    <w:left w:val="none" w:sz="0" w:space="0" w:color="auto"/>
                    <w:bottom w:val="none" w:sz="0" w:space="0" w:color="auto"/>
                    <w:right w:val="none" w:sz="0" w:space="0" w:color="auto"/>
                  </w:divBdr>
                  <w:divsChild>
                    <w:div w:id="1493134361">
                      <w:marLeft w:val="0"/>
                      <w:marRight w:val="0"/>
                      <w:marTop w:val="0"/>
                      <w:marBottom w:val="0"/>
                      <w:divBdr>
                        <w:top w:val="none" w:sz="0" w:space="0" w:color="auto"/>
                        <w:left w:val="none" w:sz="0" w:space="0" w:color="auto"/>
                        <w:bottom w:val="none" w:sz="0" w:space="0" w:color="auto"/>
                        <w:right w:val="none" w:sz="0" w:space="0" w:color="auto"/>
                      </w:divBdr>
                    </w:div>
                  </w:divsChild>
                </w:div>
                <w:div w:id="835609933">
                  <w:marLeft w:val="0"/>
                  <w:marRight w:val="0"/>
                  <w:marTop w:val="0"/>
                  <w:marBottom w:val="0"/>
                  <w:divBdr>
                    <w:top w:val="none" w:sz="0" w:space="0" w:color="auto"/>
                    <w:left w:val="none" w:sz="0" w:space="0" w:color="auto"/>
                    <w:bottom w:val="none" w:sz="0" w:space="0" w:color="auto"/>
                    <w:right w:val="none" w:sz="0" w:space="0" w:color="auto"/>
                  </w:divBdr>
                  <w:divsChild>
                    <w:div w:id="621619437">
                      <w:marLeft w:val="0"/>
                      <w:marRight w:val="0"/>
                      <w:marTop w:val="0"/>
                      <w:marBottom w:val="0"/>
                      <w:divBdr>
                        <w:top w:val="none" w:sz="0" w:space="0" w:color="auto"/>
                        <w:left w:val="none" w:sz="0" w:space="0" w:color="auto"/>
                        <w:bottom w:val="none" w:sz="0" w:space="0" w:color="auto"/>
                        <w:right w:val="none" w:sz="0" w:space="0" w:color="auto"/>
                      </w:divBdr>
                    </w:div>
                  </w:divsChild>
                </w:div>
                <w:div w:id="888033864">
                  <w:marLeft w:val="0"/>
                  <w:marRight w:val="0"/>
                  <w:marTop w:val="0"/>
                  <w:marBottom w:val="0"/>
                  <w:divBdr>
                    <w:top w:val="none" w:sz="0" w:space="0" w:color="auto"/>
                    <w:left w:val="none" w:sz="0" w:space="0" w:color="auto"/>
                    <w:bottom w:val="none" w:sz="0" w:space="0" w:color="auto"/>
                    <w:right w:val="none" w:sz="0" w:space="0" w:color="auto"/>
                  </w:divBdr>
                  <w:divsChild>
                    <w:div w:id="1066533432">
                      <w:marLeft w:val="0"/>
                      <w:marRight w:val="0"/>
                      <w:marTop w:val="0"/>
                      <w:marBottom w:val="0"/>
                      <w:divBdr>
                        <w:top w:val="none" w:sz="0" w:space="0" w:color="auto"/>
                        <w:left w:val="none" w:sz="0" w:space="0" w:color="auto"/>
                        <w:bottom w:val="none" w:sz="0" w:space="0" w:color="auto"/>
                        <w:right w:val="none" w:sz="0" w:space="0" w:color="auto"/>
                      </w:divBdr>
                    </w:div>
                  </w:divsChild>
                </w:div>
                <w:div w:id="957687969">
                  <w:marLeft w:val="0"/>
                  <w:marRight w:val="0"/>
                  <w:marTop w:val="0"/>
                  <w:marBottom w:val="0"/>
                  <w:divBdr>
                    <w:top w:val="none" w:sz="0" w:space="0" w:color="auto"/>
                    <w:left w:val="none" w:sz="0" w:space="0" w:color="auto"/>
                    <w:bottom w:val="none" w:sz="0" w:space="0" w:color="auto"/>
                    <w:right w:val="none" w:sz="0" w:space="0" w:color="auto"/>
                  </w:divBdr>
                  <w:divsChild>
                    <w:div w:id="399720260">
                      <w:marLeft w:val="0"/>
                      <w:marRight w:val="0"/>
                      <w:marTop w:val="0"/>
                      <w:marBottom w:val="0"/>
                      <w:divBdr>
                        <w:top w:val="none" w:sz="0" w:space="0" w:color="auto"/>
                        <w:left w:val="none" w:sz="0" w:space="0" w:color="auto"/>
                        <w:bottom w:val="none" w:sz="0" w:space="0" w:color="auto"/>
                        <w:right w:val="none" w:sz="0" w:space="0" w:color="auto"/>
                      </w:divBdr>
                    </w:div>
                  </w:divsChild>
                </w:div>
                <w:div w:id="1019769383">
                  <w:marLeft w:val="0"/>
                  <w:marRight w:val="0"/>
                  <w:marTop w:val="0"/>
                  <w:marBottom w:val="0"/>
                  <w:divBdr>
                    <w:top w:val="none" w:sz="0" w:space="0" w:color="auto"/>
                    <w:left w:val="none" w:sz="0" w:space="0" w:color="auto"/>
                    <w:bottom w:val="none" w:sz="0" w:space="0" w:color="auto"/>
                    <w:right w:val="none" w:sz="0" w:space="0" w:color="auto"/>
                  </w:divBdr>
                  <w:divsChild>
                    <w:div w:id="1117794345">
                      <w:marLeft w:val="0"/>
                      <w:marRight w:val="0"/>
                      <w:marTop w:val="0"/>
                      <w:marBottom w:val="0"/>
                      <w:divBdr>
                        <w:top w:val="none" w:sz="0" w:space="0" w:color="auto"/>
                        <w:left w:val="none" w:sz="0" w:space="0" w:color="auto"/>
                        <w:bottom w:val="none" w:sz="0" w:space="0" w:color="auto"/>
                        <w:right w:val="none" w:sz="0" w:space="0" w:color="auto"/>
                      </w:divBdr>
                    </w:div>
                  </w:divsChild>
                </w:div>
                <w:div w:id="1109206158">
                  <w:marLeft w:val="0"/>
                  <w:marRight w:val="0"/>
                  <w:marTop w:val="0"/>
                  <w:marBottom w:val="0"/>
                  <w:divBdr>
                    <w:top w:val="none" w:sz="0" w:space="0" w:color="auto"/>
                    <w:left w:val="none" w:sz="0" w:space="0" w:color="auto"/>
                    <w:bottom w:val="none" w:sz="0" w:space="0" w:color="auto"/>
                    <w:right w:val="none" w:sz="0" w:space="0" w:color="auto"/>
                  </w:divBdr>
                  <w:divsChild>
                    <w:div w:id="1575624561">
                      <w:marLeft w:val="0"/>
                      <w:marRight w:val="0"/>
                      <w:marTop w:val="0"/>
                      <w:marBottom w:val="0"/>
                      <w:divBdr>
                        <w:top w:val="none" w:sz="0" w:space="0" w:color="auto"/>
                        <w:left w:val="none" w:sz="0" w:space="0" w:color="auto"/>
                        <w:bottom w:val="none" w:sz="0" w:space="0" w:color="auto"/>
                        <w:right w:val="none" w:sz="0" w:space="0" w:color="auto"/>
                      </w:divBdr>
                    </w:div>
                  </w:divsChild>
                </w:div>
                <w:div w:id="1180389795">
                  <w:marLeft w:val="0"/>
                  <w:marRight w:val="0"/>
                  <w:marTop w:val="0"/>
                  <w:marBottom w:val="0"/>
                  <w:divBdr>
                    <w:top w:val="none" w:sz="0" w:space="0" w:color="auto"/>
                    <w:left w:val="none" w:sz="0" w:space="0" w:color="auto"/>
                    <w:bottom w:val="none" w:sz="0" w:space="0" w:color="auto"/>
                    <w:right w:val="none" w:sz="0" w:space="0" w:color="auto"/>
                  </w:divBdr>
                  <w:divsChild>
                    <w:div w:id="2059628407">
                      <w:marLeft w:val="0"/>
                      <w:marRight w:val="0"/>
                      <w:marTop w:val="0"/>
                      <w:marBottom w:val="0"/>
                      <w:divBdr>
                        <w:top w:val="none" w:sz="0" w:space="0" w:color="auto"/>
                        <w:left w:val="none" w:sz="0" w:space="0" w:color="auto"/>
                        <w:bottom w:val="none" w:sz="0" w:space="0" w:color="auto"/>
                        <w:right w:val="none" w:sz="0" w:space="0" w:color="auto"/>
                      </w:divBdr>
                    </w:div>
                  </w:divsChild>
                </w:div>
                <w:div w:id="1226791942">
                  <w:marLeft w:val="0"/>
                  <w:marRight w:val="0"/>
                  <w:marTop w:val="0"/>
                  <w:marBottom w:val="0"/>
                  <w:divBdr>
                    <w:top w:val="none" w:sz="0" w:space="0" w:color="auto"/>
                    <w:left w:val="none" w:sz="0" w:space="0" w:color="auto"/>
                    <w:bottom w:val="none" w:sz="0" w:space="0" w:color="auto"/>
                    <w:right w:val="none" w:sz="0" w:space="0" w:color="auto"/>
                  </w:divBdr>
                  <w:divsChild>
                    <w:div w:id="406879990">
                      <w:marLeft w:val="0"/>
                      <w:marRight w:val="0"/>
                      <w:marTop w:val="0"/>
                      <w:marBottom w:val="0"/>
                      <w:divBdr>
                        <w:top w:val="none" w:sz="0" w:space="0" w:color="auto"/>
                        <w:left w:val="none" w:sz="0" w:space="0" w:color="auto"/>
                        <w:bottom w:val="none" w:sz="0" w:space="0" w:color="auto"/>
                        <w:right w:val="none" w:sz="0" w:space="0" w:color="auto"/>
                      </w:divBdr>
                    </w:div>
                  </w:divsChild>
                </w:div>
                <w:div w:id="1234314701">
                  <w:marLeft w:val="0"/>
                  <w:marRight w:val="0"/>
                  <w:marTop w:val="0"/>
                  <w:marBottom w:val="0"/>
                  <w:divBdr>
                    <w:top w:val="none" w:sz="0" w:space="0" w:color="auto"/>
                    <w:left w:val="none" w:sz="0" w:space="0" w:color="auto"/>
                    <w:bottom w:val="none" w:sz="0" w:space="0" w:color="auto"/>
                    <w:right w:val="none" w:sz="0" w:space="0" w:color="auto"/>
                  </w:divBdr>
                  <w:divsChild>
                    <w:div w:id="1511867128">
                      <w:marLeft w:val="0"/>
                      <w:marRight w:val="0"/>
                      <w:marTop w:val="0"/>
                      <w:marBottom w:val="0"/>
                      <w:divBdr>
                        <w:top w:val="none" w:sz="0" w:space="0" w:color="auto"/>
                        <w:left w:val="none" w:sz="0" w:space="0" w:color="auto"/>
                        <w:bottom w:val="none" w:sz="0" w:space="0" w:color="auto"/>
                        <w:right w:val="none" w:sz="0" w:space="0" w:color="auto"/>
                      </w:divBdr>
                    </w:div>
                  </w:divsChild>
                </w:div>
                <w:div w:id="1308782143">
                  <w:marLeft w:val="0"/>
                  <w:marRight w:val="0"/>
                  <w:marTop w:val="0"/>
                  <w:marBottom w:val="0"/>
                  <w:divBdr>
                    <w:top w:val="none" w:sz="0" w:space="0" w:color="auto"/>
                    <w:left w:val="none" w:sz="0" w:space="0" w:color="auto"/>
                    <w:bottom w:val="none" w:sz="0" w:space="0" w:color="auto"/>
                    <w:right w:val="none" w:sz="0" w:space="0" w:color="auto"/>
                  </w:divBdr>
                  <w:divsChild>
                    <w:div w:id="609550628">
                      <w:marLeft w:val="0"/>
                      <w:marRight w:val="0"/>
                      <w:marTop w:val="0"/>
                      <w:marBottom w:val="0"/>
                      <w:divBdr>
                        <w:top w:val="none" w:sz="0" w:space="0" w:color="auto"/>
                        <w:left w:val="none" w:sz="0" w:space="0" w:color="auto"/>
                        <w:bottom w:val="none" w:sz="0" w:space="0" w:color="auto"/>
                        <w:right w:val="none" w:sz="0" w:space="0" w:color="auto"/>
                      </w:divBdr>
                    </w:div>
                  </w:divsChild>
                </w:div>
                <w:div w:id="1343434727">
                  <w:marLeft w:val="0"/>
                  <w:marRight w:val="0"/>
                  <w:marTop w:val="0"/>
                  <w:marBottom w:val="0"/>
                  <w:divBdr>
                    <w:top w:val="none" w:sz="0" w:space="0" w:color="auto"/>
                    <w:left w:val="none" w:sz="0" w:space="0" w:color="auto"/>
                    <w:bottom w:val="none" w:sz="0" w:space="0" w:color="auto"/>
                    <w:right w:val="none" w:sz="0" w:space="0" w:color="auto"/>
                  </w:divBdr>
                  <w:divsChild>
                    <w:div w:id="251017242">
                      <w:marLeft w:val="0"/>
                      <w:marRight w:val="0"/>
                      <w:marTop w:val="0"/>
                      <w:marBottom w:val="0"/>
                      <w:divBdr>
                        <w:top w:val="none" w:sz="0" w:space="0" w:color="auto"/>
                        <w:left w:val="none" w:sz="0" w:space="0" w:color="auto"/>
                        <w:bottom w:val="none" w:sz="0" w:space="0" w:color="auto"/>
                        <w:right w:val="none" w:sz="0" w:space="0" w:color="auto"/>
                      </w:divBdr>
                    </w:div>
                  </w:divsChild>
                </w:div>
                <w:div w:id="1488355027">
                  <w:marLeft w:val="0"/>
                  <w:marRight w:val="0"/>
                  <w:marTop w:val="0"/>
                  <w:marBottom w:val="0"/>
                  <w:divBdr>
                    <w:top w:val="none" w:sz="0" w:space="0" w:color="auto"/>
                    <w:left w:val="none" w:sz="0" w:space="0" w:color="auto"/>
                    <w:bottom w:val="none" w:sz="0" w:space="0" w:color="auto"/>
                    <w:right w:val="none" w:sz="0" w:space="0" w:color="auto"/>
                  </w:divBdr>
                  <w:divsChild>
                    <w:div w:id="1903178871">
                      <w:marLeft w:val="0"/>
                      <w:marRight w:val="0"/>
                      <w:marTop w:val="0"/>
                      <w:marBottom w:val="0"/>
                      <w:divBdr>
                        <w:top w:val="none" w:sz="0" w:space="0" w:color="auto"/>
                        <w:left w:val="none" w:sz="0" w:space="0" w:color="auto"/>
                        <w:bottom w:val="none" w:sz="0" w:space="0" w:color="auto"/>
                        <w:right w:val="none" w:sz="0" w:space="0" w:color="auto"/>
                      </w:divBdr>
                    </w:div>
                  </w:divsChild>
                </w:div>
                <w:div w:id="1556233456">
                  <w:marLeft w:val="0"/>
                  <w:marRight w:val="0"/>
                  <w:marTop w:val="0"/>
                  <w:marBottom w:val="0"/>
                  <w:divBdr>
                    <w:top w:val="none" w:sz="0" w:space="0" w:color="auto"/>
                    <w:left w:val="none" w:sz="0" w:space="0" w:color="auto"/>
                    <w:bottom w:val="none" w:sz="0" w:space="0" w:color="auto"/>
                    <w:right w:val="none" w:sz="0" w:space="0" w:color="auto"/>
                  </w:divBdr>
                  <w:divsChild>
                    <w:div w:id="1806191754">
                      <w:marLeft w:val="0"/>
                      <w:marRight w:val="0"/>
                      <w:marTop w:val="0"/>
                      <w:marBottom w:val="0"/>
                      <w:divBdr>
                        <w:top w:val="none" w:sz="0" w:space="0" w:color="auto"/>
                        <w:left w:val="none" w:sz="0" w:space="0" w:color="auto"/>
                        <w:bottom w:val="none" w:sz="0" w:space="0" w:color="auto"/>
                        <w:right w:val="none" w:sz="0" w:space="0" w:color="auto"/>
                      </w:divBdr>
                    </w:div>
                  </w:divsChild>
                </w:div>
                <w:div w:id="1632859593">
                  <w:marLeft w:val="0"/>
                  <w:marRight w:val="0"/>
                  <w:marTop w:val="0"/>
                  <w:marBottom w:val="0"/>
                  <w:divBdr>
                    <w:top w:val="none" w:sz="0" w:space="0" w:color="auto"/>
                    <w:left w:val="none" w:sz="0" w:space="0" w:color="auto"/>
                    <w:bottom w:val="none" w:sz="0" w:space="0" w:color="auto"/>
                    <w:right w:val="none" w:sz="0" w:space="0" w:color="auto"/>
                  </w:divBdr>
                  <w:divsChild>
                    <w:div w:id="84615716">
                      <w:marLeft w:val="0"/>
                      <w:marRight w:val="0"/>
                      <w:marTop w:val="0"/>
                      <w:marBottom w:val="0"/>
                      <w:divBdr>
                        <w:top w:val="none" w:sz="0" w:space="0" w:color="auto"/>
                        <w:left w:val="none" w:sz="0" w:space="0" w:color="auto"/>
                        <w:bottom w:val="none" w:sz="0" w:space="0" w:color="auto"/>
                        <w:right w:val="none" w:sz="0" w:space="0" w:color="auto"/>
                      </w:divBdr>
                    </w:div>
                  </w:divsChild>
                </w:div>
                <w:div w:id="1640840903">
                  <w:marLeft w:val="0"/>
                  <w:marRight w:val="0"/>
                  <w:marTop w:val="0"/>
                  <w:marBottom w:val="0"/>
                  <w:divBdr>
                    <w:top w:val="none" w:sz="0" w:space="0" w:color="auto"/>
                    <w:left w:val="none" w:sz="0" w:space="0" w:color="auto"/>
                    <w:bottom w:val="none" w:sz="0" w:space="0" w:color="auto"/>
                    <w:right w:val="none" w:sz="0" w:space="0" w:color="auto"/>
                  </w:divBdr>
                  <w:divsChild>
                    <w:div w:id="1909724364">
                      <w:marLeft w:val="0"/>
                      <w:marRight w:val="0"/>
                      <w:marTop w:val="0"/>
                      <w:marBottom w:val="0"/>
                      <w:divBdr>
                        <w:top w:val="none" w:sz="0" w:space="0" w:color="auto"/>
                        <w:left w:val="none" w:sz="0" w:space="0" w:color="auto"/>
                        <w:bottom w:val="none" w:sz="0" w:space="0" w:color="auto"/>
                        <w:right w:val="none" w:sz="0" w:space="0" w:color="auto"/>
                      </w:divBdr>
                    </w:div>
                  </w:divsChild>
                </w:div>
                <w:div w:id="1691100335">
                  <w:marLeft w:val="0"/>
                  <w:marRight w:val="0"/>
                  <w:marTop w:val="0"/>
                  <w:marBottom w:val="0"/>
                  <w:divBdr>
                    <w:top w:val="none" w:sz="0" w:space="0" w:color="auto"/>
                    <w:left w:val="none" w:sz="0" w:space="0" w:color="auto"/>
                    <w:bottom w:val="none" w:sz="0" w:space="0" w:color="auto"/>
                    <w:right w:val="none" w:sz="0" w:space="0" w:color="auto"/>
                  </w:divBdr>
                  <w:divsChild>
                    <w:div w:id="2010063527">
                      <w:marLeft w:val="0"/>
                      <w:marRight w:val="0"/>
                      <w:marTop w:val="0"/>
                      <w:marBottom w:val="0"/>
                      <w:divBdr>
                        <w:top w:val="none" w:sz="0" w:space="0" w:color="auto"/>
                        <w:left w:val="none" w:sz="0" w:space="0" w:color="auto"/>
                        <w:bottom w:val="none" w:sz="0" w:space="0" w:color="auto"/>
                        <w:right w:val="none" w:sz="0" w:space="0" w:color="auto"/>
                      </w:divBdr>
                    </w:div>
                  </w:divsChild>
                </w:div>
                <w:div w:id="1723677224">
                  <w:marLeft w:val="0"/>
                  <w:marRight w:val="0"/>
                  <w:marTop w:val="0"/>
                  <w:marBottom w:val="0"/>
                  <w:divBdr>
                    <w:top w:val="none" w:sz="0" w:space="0" w:color="auto"/>
                    <w:left w:val="none" w:sz="0" w:space="0" w:color="auto"/>
                    <w:bottom w:val="none" w:sz="0" w:space="0" w:color="auto"/>
                    <w:right w:val="none" w:sz="0" w:space="0" w:color="auto"/>
                  </w:divBdr>
                  <w:divsChild>
                    <w:div w:id="2027361047">
                      <w:marLeft w:val="0"/>
                      <w:marRight w:val="0"/>
                      <w:marTop w:val="0"/>
                      <w:marBottom w:val="0"/>
                      <w:divBdr>
                        <w:top w:val="none" w:sz="0" w:space="0" w:color="auto"/>
                        <w:left w:val="none" w:sz="0" w:space="0" w:color="auto"/>
                        <w:bottom w:val="none" w:sz="0" w:space="0" w:color="auto"/>
                        <w:right w:val="none" w:sz="0" w:space="0" w:color="auto"/>
                      </w:divBdr>
                    </w:div>
                  </w:divsChild>
                </w:div>
                <w:div w:id="1788312230">
                  <w:marLeft w:val="0"/>
                  <w:marRight w:val="0"/>
                  <w:marTop w:val="0"/>
                  <w:marBottom w:val="0"/>
                  <w:divBdr>
                    <w:top w:val="none" w:sz="0" w:space="0" w:color="auto"/>
                    <w:left w:val="none" w:sz="0" w:space="0" w:color="auto"/>
                    <w:bottom w:val="none" w:sz="0" w:space="0" w:color="auto"/>
                    <w:right w:val="none" w:sz="0" w:space="0" w:color="auto"/>
                  </w:divBdr>
                  <w:divsChild>
                    <w:div w:id="1262182066">
                      <w:marLeft w:val="0"/>
                      <w:marRight w:val="0"/>
                      <w:marTop w:val="0"/>
                      <w:marBottom w:val="0"/>
                      <w:divBdr>
                        <w:top w:val="none" w:sz="0" w:space="0" w:color="auto"/>
                        <w:left w:val="none" w:sz="0" w:space="0" w:color="auto"/>
                        <w:bottom w:val="none" w:sz="0" w:space="0" w:color="auto"/>
                        <w:right w:val="none" w:sz="0" w:space="0" w:color="auto"/>
                      </w:divBdr>
                    </w:div>
                  </w:divsChild>
                </w:div>
                <w:div w:id="1808432092">
                  <w:marLeft w:val="0"/>
                  <w:marRight w:val="0"/>
                  <w:marTop w:val="0"/>
                  <w:marBottom w:val="0"/>
                  <w:divBdr>
                    <w:top w:val="none" w:sz="0" w:space="0" w:color="auto"/>
                    <w:left w:val="none" w:sz="0" w:space="0" w:color="auto"/>
                    <w:bottom w:val="none" w:sz="0" w:space="0" w:color="auto"/>
                    <w:right w:val="none" w:sz="0" w:space="0" w:color="auto"/>
                  </w:divBdr>
                  <w:divsChild>
                    <w:div w:id="1344016211">
                      <w:marLeft w:val="0"/>
                      <w:marRight w:val="0"/>
                      <w:marTop w:val="0"/>
                      <w:marBottom w:val="0"/>
                      <w:divBdr>
                        <w:top w:val="none" w:sz="0" w:space="0" w:color="auto"/>
                        <w:left w:val="none" w:sz="0" w:space="0" w:color="auto"/>
                        <w:bottom w:val="none" w:sz="0" w:space="0" w:color="auto"/>
                        <w:right w:val="none" w:sz="0" w:space="0" w:color="auto"/>
                      </w:divBdr>
                    </w:div>
                  </w:divsChild>
                </w:div>
                <w:div w:id="1898470263">
                  <w:marLeft w:val="0"/>
                  <w:marRight w:val="0"/>
                  <w:marTop w:val="0"/>
                  <w:marBottom w:val="0"/>
                  <w:divBdr>
                    <w:top w:val="none" w:sz="0" w:space="0" w:color="auto"/>
                    <w:left w:val="none" w:sz="0" w:space="0" w:color="auto"/>
                    <w:bottom w:val="none" w:sz="0" w:space="0" w:color="auto"/>
                    <w:right w:val="none" w:sz="0" w:space="0" w:color="auto"/>
                  </w:divBdr>
                  <w:divsChild>
                    <w:div w:id="1813402396">
                      <w:marLeft w:val="0"/>
                      <w:marRight w:val="0"/>
                      <w:marTop w:val="0"/>
                      <w:marBottom w:val="0"/>
                      <w:divBdr>
                        <w:top w:val="none" w:sz="0" w:space="0" w:color="auto"/>
                        <w:left w:val="none" w:sz="0" w:space="0" w:color="auto"/>
                        <w:bottom w:val="none" w:sz="0" w:space="0" w:color="auto"/>
                        <w:right w:val="none" w:sz="0" w:space="0" w:color="auto"/>
                      </w:divBdr>
                    </w:div>
                  </w:divsChild>
                </w:div>
                <w:div w:id="1976176391">
                  <w:marLeft w:val="0"/>
                  <w:marRight w:val="0"/>
                  <w:marTop w:val="0"/>
                  <w:marBottom w:val="0"/>
                  <w:divBdr>
                    <w:top w:val="none" w:sz="0" w:space="0" w:color="auto"/>
                    <w:left w:val="none" w:sz="0" w:space="0" w:color="auto"/>
                    <w:bottom w:val="none" w:sz="0" w:space="0" w:color="auto"/>
                    <w:right w:val="none" w:sz="0" w:space="0" w:color="auto"/>
                  </w:divBdr>
                  <w:divsChild>
                    <w:div w:id="1623922372">
                      <w:marLeft w:val="0"/>
                      <w:marRight w:val="0"/>
                      <w:marTop w:val="0"/>
                      <w:marBottom w:val="0"/>
                      <w:divBdr>
                        <w:top w:val="none" w:sz="0" w:space="0" w:color="auto"/>
                        <w:left w:val="none" w:sz="0" w:space="0" w:color="auto"/>
                        <w:bottom w:val="none" w:sz="0" w:space="0" w:color="auto"/>
                        <w:right w:val="none" w:sz="0" w:space="0" w:color="auto"/>
                      </w:divBdr>
                    </w:div>
                  </w:divsChild>
                </w:div>
                <w:div w:id="2129817706">
                  <w:marLeft w:val="0"/>
                  <w:marRight w:val="0"/>
                  <w:marTop w:val="0"/>
                  <w:marBottom w:val="0"/>
                  <w:divBdr>
                    <w:top w:val="none" w:sz="0" w:space="0" w:color="auto"/>
                    <w:left w:val="none" w:sz="0" w:space="0" w:color="auto"/>
                    <w:bottom w:val="none" w:sz="0" w:space="0" w:color="auto"/>
                    <w:right w:val="none" w:sz="0" w:space="0" w:color="auto"/>
                  </w:divBdr>
                  <w:divsChild>
                    <w:div w:id="1286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0386">
          <w:marLeft w:val="0"/>
          <w:marRight w:val="0"/>
          <w:marTop w:val="0"/>
          <w:marBottom w:val="0"/>
          <w:divBdr>
            <w:top w:val="none" w:sz="0" w:space="0" w:color="auto"/>
            <w:left w:val="none" w:sz="0" w:space="0" w:color="auto"/>
            <w:bottom w:val="none" w:sz="0" w:space="0" w:color="auto"/>
            <w:right w:val="none" w:sz="0" w:space="0" w:color="auto"/>
          </w:divBdr>
        </w:div>
        <w:div w:id="1137645127">
          <w:marLeft w:val="0"/>
          <w:marRight w:val="0"/>
          <w:marTop w:val="0"/>
          <w:marBottom w:val="0"/>
          <w:divBdr>
            <w:top w:val="none" w:sz="0" w:space="0" w:color="auto"/>
            <w:left w:val="none" w:sz="0" w:space="0" w:color="auto"/>
            <w:bottom w:val="none" w:sz="0" w:space="0" w:color="auto"/>
            <w:right w:val="none" w:sz="0" w:space="0" w:color="auto"/>
          </w:divBdr>
        </w:div>
        <w:div w:id="1174682959">
          <w:marLeft w:val="0"/>
          <w:marRight w:val="0"/>
          <w:marTop w:val="0"/>
          <w:marBottom w:val="0"/>
          <w:divBdr>
            <w:top w:val="none" w:sz="0" w:space="0" w:color="auto"/>
            <w:left w:val="none" w:sz="0" w:space="0" w:color="auto"/>
            <w:bottom w:val="none" w:sz="0" w:space="0" w:color="auto"/>
            <w:right w:val="none" w:sz="0" w:space="0" w:color="auto"/>
          </w:divBdr>
        </w:div>
        <w:div w:id="1176774117">
          <w:marLeft w:val="0"/>
          <w:marRight w:val="0"/>
          <w:marTop w:val="0"/>
          <w:marBottom w:val="0"/>
          <w:divBdr>
            <w:top w:val="none" w:sz="0" w:space="0" w:color="auto"/>
            <w:left w:val="none" w:sz="0" w:space="0" w:color="auto"/>
            <w:bottom w:val="none" w:sz="0" w:space="0" w:color="auto"/>
            <w:right w:val="none" w:sz="0" w:space="0" w:color="auto"/>
          </w:divBdr>
          <w:divsChild>
            <w:div w:id="1642928001">
              <w:marLeft w:val="-75"/>
              <w:marRight w:val="0"/>
              <w:marTop w:val="30"/>
              <w:marBottom w:val="30"/>
              <w:divBdr>
                <w:top w:val="none" w:sz="0" w:space="0" w:color="auto"/>
                <w:left w:val="none" w:sz="0" w:space="0" w:color="auto"/>
                <w:bottom w:val="none" w:sz="0" w:space="0" w:color="auto"/>
                <w:right w:val="none" w:sz="0" w:space="0" w:color="auto"/>
              </w:divBdr>
              <w:divsChild>
                <w:div w:id="130364850">
                  <w:marLeft w:val="0"/>
                  <w:marRight w:val="0"/>
                  <w:marTop w:val="0"/>
                  <w:marBottom w:val="0"/>
                  <w:divBdr>
                    <w:top w:val="none" w:sz="0" w:space="0" w:color="auto"/>
                    <w:left w:val="none" w:sz="0" w:space="0" w:color="auto"/>
                    <w:bottom w:val="none" w:sz="0" w:space="0" w:color="auto"/>
                    <w:right w:val="none" w:sz="0" w:space="0" w:color="auto"/>
                  </w:divBdr>
                  <w:divsChild>
                    <w:div w:id="506746439">
                      <w:marLeft w:val="0"/>
                      <w:marRight w:val="0"/>
                      <w:marTop w:val="0"/>
                      <w:marBottom w:val="0"/>
                      <w:divBdr>
                        <w:top w:val="none" w:sz="0" w:space="0" w:color="auto"/>
                        <w:left w:val="none" w:sz="0" w:space="0" w:color="auto"/>
                        <w:bottom w:val="none" w:sz="0" w:space="0" w:color="auto"/>
                        <w:right w:val="none" w:sz="0" w:space="0" w:color="auto"/>
                      </w:divBdr>
                    </w:div>
                  </w:divsChild>
                </w:div>
                <w:div w:id="440954379">
                  <w:marLeft w:val="0"/>
                  <w:marRight w:val="0"/>
                  <w:marTop w:val="0"/>
                  <w:marBottom w:val="0"/>
                  <w:divBdr>
                    <w:top w:val="none" w:sz="0" w:space="0" w:color="auto"/>
                    <w:left w:val="none" w:sz="0" w:space="0" w:color="auto"/>
                    <w:bottom w:val="none" w:sz="0" w:space="0" w:color="auto"/>
                    <w:right w:val="none" w:sz="0" w:space="0" w:color="auto"/>
                  </w:divBdr>
                  <w:divsChild>
                    <w:div w:id="828180935">
                      <w:marLeft w:val="0"/>
                      <w:marRight w:val="0"/>
                      <w:marTop w:val="0"/>
                      <w:marBottom w:val="0"/>
                      <w:divBdr>
                        <w:top w:val="none" w:sz="0" w:space="0" w:color="auto"/>
                        <w:left w:val="none" w:sz="0" w:space="0" w:color="auto"/>
                        <w:bottom w:val="none" w:sz="0" w:space="0" w:color="auto"/>
                        <w:right w:val="none" w:sz="0" w:space="0" w:color="auto"/>
                      </w:divBdr>
                    </w:div>
                  </w:divsChild>
                </w:div>
                <w:div w:id="474833712">
                  <w:marLeft w:val="0"/>
                  <w:marRight w:val="0"/>
                  <w:marTop w:val="0"/>
                  <w:marBottom w:val="0"/>
                  <w:divBdr>
                    <w:top w:val="none" w:sz="0" w:space="0" w:color="auto"/>
                    <w:left w:val="none" w:sz="0" w:space="0" w:color="auto"/>
                    <w:bottom w:val="none" w:sz="0" w:space="0" w:color="auto"/>
                    <w:right w:val="none" w:sz="0" w:space="0" w:color="auto"/>
                  </w:divBdr>
                  <w:divsChild>
                    <w:div w:id="17857325">
                      <w:marLeft w:val="0"/>
                      <w:marRight w:val="0"/>
                      <w:marTop w:val="0"/>
                      <w:marBottom w:val="0"/>
                      <w:divBdr>
                        <w:top w:val="none" w:sz="0" w:space="0" w:color="auto"/>
                        <w:left w:val="none" w:sz="0" w:space="0" w:color="auto"/>
                        <w:bottom w:val="none" w:sz="0" w:space="0" w:color="auto"/>
                        <w:right w:val="none" w:sz="0" w:space="0" w:color="auto"/>
                      </w:divBdr>
                    </w:div>
                  </w:divsChild>
                </w:div>
                <w:div w:id="675421814">
                  <w:marLeft w:val="0"/>
                  <w:marRight w:val="0"/>
                  <w:marTop w:val="0"/>
                  <w:marBottom w:val="0"/>
                  <w:divBdr>
                    <w:top w:val="none" w:sz="0" w:space="0" w:color="auto"/>
                    <w:left w:val="none" w:sz="0" w:space="0" w:color="auto"/>
                    <w:bottom w:val="none" w:sz="0" w:space="0" w:color="auto"/>
                    <w:right w:val="none" w:sz="0" w:space="0" w:color="auto"/>
                  </w:divBdr>
                  <w:divsChild>
                    <w:div w:id="783309758">
                      <w:marLeft w:val="0"/>
                      <w:marRight w:val="0"/>
                      <w:marTop w:val="0"/>
                      <w:marBottom w:val="0"/>
                      <w:divBdr>
                        <w:top w:val="none" w:sz="0" w:space="0" w:color="auto"/>
                        <w:left w:val="none" w:sz="0" w:space="0" w:color="auto"/>
                        <w:bottom w:val="none" w:sz="0" w:space="0" w:color="auto"/>
                        <w:right w:val="none" w:sz="0" w:space="0" w:color="auto"/>
                      </w:divBdr>
                    </w:div>
                  </w:divsChild>
                </w:div>
                <w:div w:id="790322191">
                  <w:marLeft w:val="0"/>
                  <w:marRight w:val="0"/>
                  <w:marTop w:val="0"/>
                  <w:marBottom w:val="0"/>
                  <w:divBdr>
                    <w:top w:val="none" w:sz="0" w:space="0" w:color="auto"/>
                    <w:left w:val="none" w:sz="0" w:space="0" w:color="auto"/>
                    <w:bottom w:val="none" w:sz="0" w:space="0" w:color="auto"/>
                    <w:right w:val="none" w:sz="0" w:space="0" w:color="auto"/>
                  </w:divBdr>
                  <w:divsChild>
                    <w:div w:id="5911056">
                      <w:marLeft w:val="0"/>
                      <w:marRight w:val="0"/>
                      <w:marTop w:val="0"/>
                      <w:marBottom w:val="0"/>
                      <w:divBdr>
                        <w:top w:val="none" w:sz="0" w:space="0" w:color="auto"/>
                        <w:left w:val="none" w:sz="0" w:space="0" w:color="auto"/>
                        <w:bottom w:val="none" w:sz="0" w:space="0" w:color="auto"/>
                        <w:right w:val="none" w:sz="0" w:space="0" w:color="auto"/>
                      </w:divBdr>
                    </w:div>
                  </w:divsChild>
                </w:div>
                <w:div w:id="893278759">
                  <w:marLeft w:val="0"/>
                  <w:marRight w:val="0"/>
                  <w:marTop w:val="0"/>
                  <w:marBottom w:val="0"/>
                  <w:divBdr>
                    <w:top w:val="none" w:sz="0" w:space="0" w:color="auto"/>
                    <w:left w:val="none" w:sz="0" w:space="0" w:color="auto"/>
                    <w:bottom w:val="none" w:sz="0" w:space="0" w:color="auto"/>
                    <w:right w:val="none" w:sz="0" w:space="0" w:color="auto"/>
                  </w:divBdr>
                  <w:divsChild>
                    <w:div w:id="1995907623">
                      <w:marLeft w:val="0"/>
                      <w:marRight w:val="0"/>
                      <w:marTop w:val="0"/>
                      <w:marBottom w:val="0"/>
                      <w:divBdr>
                        <w:top w:val="none" w:sz="0" w:space="0" w:color="auto"/>
                        <w:left w:val="none" w:sz="0" w:space="0" w:color="auto"/>
                        <w:bottom w:val="none" w:sz="0" w:space="0" w:color="auto"/>
                        <w:right w:val="none" w:sz="0" w:space="0" w:color="auto"/>
                      </w:divBdr>
                    </w:div>
                  </w:divsChild>
                </w:div>
                <w:div w:id="1080709455">
                  <w:marLeft w:val="0"/>
                  <w:marRight w:val="0"/>
                  <w:marTop w:val="0"/>
                  <w:marBottom w:val="0"/>
                  <w:divBdr>
                    <w:top w:val="none" w:sz="0" w:space="0" w:color="auto"/>
                    <w:left w:val="none" w:sz="0" w:space="0" w:color="auto"/>
                    <w:bottom w:val="none" w:sz="0" w:space="0" w:color="auto"/>
                    <w:right w:val="none" w:sz="0" w:space="0" w:color="auto"/>
                  </w:divBdr>
                  <w:divsChild>
                    <w:div w:id="1069811344">
                      <w:marLeft w:val="0"/>
                      <w:marRight w:val="0"/>
                      <w:marTop w:val="0"/>
                      <w:marBottom w:val="0"/>
                      <w:divBdr>
                        <w:top w:val="none" w:sz="0" w:space="0" w:color="auto"/>
                        <w:left w:val="none" w:sz="0" w:space="0" w:color="auto"/>
                        <w:bottom w:val="none" w:sz="0" w:space="0" w:color="auto"/>
                        <w:right w:val="none" w:sz="0" w:space="0" w:color="auto"/>
                      </w:divBdr>
                    </w:div>
                  </w:divsChild>
                </w:div>
                <w:div w:id="1126847727">
                  <w:marLeft w:val="0"/>
                  <w:marRight w:val="0"/>
                  <w:marTop w:val="0"/>
                  <w:marBottom w:val="0"/>
                  <w:divBdr>
                    <w:top w:val="none" w:sz="0" w:space="0" w:color="auto"/>
                    <w:left w:val="none" w:sz="0" w:space="0" w:color="auto"/>
                    <w:bottom w:val="none" w:sz="0" w:space="0" w:color="auto"/>
                    <w:right w:val="none" w:sz="0" w:space="0" w:color="auto"/>
                  </w:divBdr>
                  <w:divsChild>
                    <w:div w:id="1621916345">
                      <w:marLeft w:val="0"/>
                      <w:marRight w:val="0"/>
                      <w:marTop w:val="0"/>
                      <w:marBottom w:val="0"/>
                      <w:divBdr>
                        <w:top w:val="none" w:sz="0" w:space="0" w:color="auto"/>
                        <w:left w:val="none" w:sz="0" w:space="0" w:color="auto"/>
                        <w:bottom w:val="none" w:sz="0" w:space="0" w:color="auto"/>
                        <w:right w:val="none" w:sz="0" w:space="0" w:color="auto"/>
                      </w:divBdr>
                    </w:div>
                  </w:divsChild>
                </w:div>
                <w:div w:id="1253665960">
                  <w:marLeft w:val="0"/>
                  <w:marRight w:val="0"/>
                  <w:marTop w:val="0"/>
                  <w:marBottom w:val="0"/>
                  <w:divBdr>
                    <w:top w:val="none" w:sz="0" w:space="0" w:color="auto"/>
                    <w:left w:val="none" w:sz="0" w:space="0" w:color="auto"/>
                    <w:bottom w:val="none" w:sz="0" w:space="0" w:color="auto"/>
                    <w:right w:val="none" w:sz="0" w:space="0" w:color="auto"/>
                  </w:divBdr>
                  <w:divsChild>
                    <w:div w:id="1396931645">
                      <w:marLeft w:val="0"/>
                      <w:marRight w:val="0"/>
                      <w:marTop w:val="0"/>
                      <w:marBottom w:val="0"/>
                      <w:divBdr>
                        <w:top w:val="none" w:sz="0" w:space="0" w:color="auto"/>
                        <w:left w:val="none" w:sz="0" w:space="0" w:color="auto"/>
                        <w:bottom w:val="none" w:sz="0" w:space="0" w:color="auto"/>
                        <w:right w:val="none" w:sz="0" w:space="0" w:color="auto"/>
                      </w:divBdr>
                    </w:div>
                  </w:divsChild>
                </w:div>
                <w:div w:id="1727217573">
                  <w:marLeft w:val="0"/>
                  <w:marRight w:val="0"/>
                  <w:marTop w:val="0"/>
                  <w:marBottom w:val="0"/>
                  <w:divBdr>
                    <w:top w:val="none" w:sz="0" w:space="0" w:color="auto"/>
                    <w:left w:val="none" w:sz="0" w:space="0" w:color="auto"/>
                    <w:bottom w:val="none" w:sz="0" w:space="0" w:color="auto"/>
                    <w:right w:val="none" w:sz="0" w:space="0" w:color="auto"/>
                  </w:divBdr>
                  <w:divsChild>
                    <w:div w:id="1547184540">
                      <w:marLeft w:val="0"/>
                      <w:marRight w:val="0"/>
                      <w:marTop w:val="0"/>
                      <w:marBottom w:val="0"/>
                      <w:divBdr>
                        <w:top w:val="none" w:sz="0" w:space="0" w:color="auto"/>
                        <w:left w:val="none" w:sz="0" w:space="0" w:color="auto"/>
                        <w:bottom w:val="none" w:sz="0" w:space="0" w:color="auto"/>
                        <w:right w:val="none" w:sz="0" w:space="0" w:color="auto"/>
                      </w:divBdr>
                    </w:div>
                  </w:divsChild>
                </w:div>
                <w:div w:id="1776443235">
                  <w:marLeft w:val="0"/>
                  <w:marRight w:val="0"/>
                  <w:marTop w:val="0"/>
                  <w:marBottom w:val="0"/>
                  <w:divBdr>
                    <w:top w:val="none" w:sz="0" w:space="0" w:color="auto"/>
                    <w:left w:val="none" w:sz="0" w:space="0" w:color="auto"/>
                    <w:bottom w:val="none" w:sz="0" w:space="0" w:color="auto"/>
                    <w:right w:val="none" w:sz="0" w:space="0" w:color="auto"/>
                  </w:divBdr>
                  <w:divsChild>
                    <w:div w:id="982464809">
                      <w:marLeft w:val="0"/>
                      <w:marRight w:val="0"/>
                      <w:marTop w:val="0"/>
                      <w:marBottom w:val="0"/>
                      <w:divBdr>
                        <w:top w:val="none" w:sz="0" w:space="0" w:color="auto"/>
                        <w:left w:val="none" w:sz="0" w:space="0" w:color="auto"/>
                        <w:bottom w:val="none" w:sz="0" w:space="0" w:color="auto"/>
                        <w:right w:val="none" w:sz="0" w:space="0" w:color="auto"/>
                      </w:divBdr>
                    </w:div>
                  </w:divsChild>
                </w:div>
                <w:div w:id="1780754966">
                  <w:marLeft w:val="0"/>
                  <w:marRight w:val="0"/>
                  <w:marTop w:val="0"/>
                  <w:marBottom w:val="0"/>
                  <w:divBdr>
                    <w:top w:val="none" w:sz="0" w:space="0" w:color="auto"/>
                    <w:left w:val="none" w:sz="0" w:space="0" w:color="auto"/>
                    <w:bottom w:val="none" w:sz="0" w:space="0" w:color="auto"/>
                    <w:right w:val="none" w:sz="0" w:space="0" w:color="auto"/>
                  </w:divBdr>
                  <w:divsChild>
                    <w:div w:id="617222008">
                      <w:marLeft w:val="0"/>
                      <w:marRight w:val="0"/>
                      <w:marTop w:val="0"/>
                      <w:marBottom w:val="0"/>
                      <w:divBdr>
                        <w:top w:val="none" w:sz="0" w:space="0" w:color="auto"/>
                        <w:left w:val="none" w:sz="0" w:space="0" w:color="auto"/>
                        <w:bottom w:val="none" w:sz="0" w:space="0" w:color="auto"/>
                        <w:right w:val="none" w:sz="0" w:space="0" w:color="auto"/>
                      </w:divBdr>
                    </w:div>
                  </w:divsChild>
                </w:div>
                <w:div w:id="1783256094">
                  <w:marLeft w:val="0"/>
                  <w:marRight w:val="0"/>
                  <w:marTop w:val="0"/>
                  <w:marBottom w:val="0"/>
                  <w:divBdr>
                    <w:top w:val="none" w:sz="0" w:space="0" w:color="auto"/>
                    <w:left w:val="none" w:sz="0" w:space="0" w:color="auto"/>
                    <w:bottom w:val="none" w:sz="0" w:space="0" w:color="auto"/>
                    <w:right w:val="none" w:sz="0" w:space="0" w:color="auto"/>
                  </w:divBdr>
                  <w:divsChild>
                    <w:div w:id="754128964">
                      <w:marLeft w:val="0"/>
                      <w:marRight w:val="0"/>
                      <w:marTop w:val="0"/>
                      <w:marBottom w:val="0"/>
                      <w:divBdr>
                        <w:top w:val="none" w:sz="0" w:space="0" w:color="auto"/>
                        <w:left w:val="none" w:sz="0" w:space="0" w:color="auto"/>
                        <w:bottom w:val="none" w:sz="0" w:space="0" w:color="auto"/>
                        <w:right w:val="none" w:sz="0" w:space="0" w:color="auto"/>
                      </w:divBdr>
                    </w:div>
                  </w:divsChild>
                </w:div>
                <w:div w:id="1869219617">
                  <w:marLeft w:val="0"/>
                  <w:marRight w:val="0"/>
                  <w:marTop w:val="0"/>
                  <w:marBottom w:val="0"/>
                  <w:divBdr>
                    <w:top w:val="none" w:sz="0" w:space="0" w:color="auto"/>
                    <w:left w:val="none" w:sz="0" w:space="0" w:color="auto"/>
                    <w:bottom w:val="none" w:sz="0" w:space="0" w:color="auto"/>
                    <w:right w:val="none" w:sz="0" w:space="0" w:color="auto"/>
                  </w:divBdr>
                  <w:divsChild>
                    <w:div w:id="945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7221">
          <w:marLeft w:val="0"/>
          <w:marRight w:val="0"/>
          <w:marTop w:val="0"/>
          <w:marBottom w:val="0"/>
          <w:divBdr>
            <w:top w:val="none" w:sz="0" w:space="0" w:color="auto"/>
            <w:left w:val="none" w:sz="0" w:space="0" w:color="auto"/>
            <w:bottom w:val="none" w:sz="0" w:space="0" w:color="auto"/>
            <w:right w:val="none" w:sz="0" w:space="0" w:color="auto"/>
          </w:divBdr>
          <w:divsChild>
            <w:div w:id="104160680">
              <w:marLeft w:val="0"/>
              <w:marRight w:val="0"/>
              <w:marTop w:val="0"/>
              <w:marBottom w:val="0"/>
              <w:divBdr>
                <w:top w:val="none" w:sz="0" w:space="0" w:color="auto"/>
                <w:left w:val="none" w:sz="0" w:space="0" w:color="auto"/>
                <w:bottom w:val="none" w:sz="0" w:space="0" w:color="auto"/>
                <w:right w:val="none" w:sz="0" w:space="0" w:color="auto"/>
              </w:divBdr>
            </w:div>
            <w:div w:id="196626807">
              <w:marLeft w:val="0"/>
              <w:marRight w:val="0"/>
              <w:marTop w:val="0"/>
              <w:marBottom w:val="0"/>
              <w:divBdr>
                <w:top w:val="none" w:sz="0" w:space="0" w:color="auto"/>
                <w:left w:val="none" w:sz="0" w:space="0" w:color="auto"/>
                <w:bottom w:val="none" w:sz="0" w:space="0" w:color="auto"/>
                <w:right w:val="none" w:sz="0" w:space="0" w:color="auto"/>
              </w:divBdr>
            </w:div>
            <w:div w:id="228461432">
              <w:marLeft w:val="0"/>
              <w:marRight w:val="0"/>
              <w:marTop w:val="0"/>
              <w:marBottom w:val="0"/>
              <w:divBdr>
                <w:top w:val="none" w:sz="0" w:space="0" w:color="auto"/>
                <w:left w:val="none" w:sz="0" w:space="0" w:color="auto"/>
                <w:bottom w:val="none" w:sz="0" w:space="0" w:color="auto"/>
                <w:right w:val="none" w:sz="0" w:space="0" w:color="auto"/>
              </w:divBdr>
            </w:div>
            <w:div w:id="1162039433">
              <w:marLeft w:val="0"/>
              <w:marRight w:val="0"/>
              <w:marTop w:val="0"/>
              <w:marBottom w:val="0"/>
              <w:divBdr>
                <w:top w:val="none" w:sz="0" w:space="0" w:color="auto"/>
                <w:left w:val="none" w:sz="0" w:space="0" w:color="auto"/>
                <w:bottom w:val="none" w:sz="0" w:space="0" w:color="auto"/>
                <w:right w:val="none" w:sz="0" w:space="0" w:color="auto"/>
              </w:divBdr>
            </w:div>
          </w:divsChild>
        </w:div>
        <w:div w:id="1228299620">
          <w:marLeft w:val="0"/>
          <w:marRight w:val="0"/>
          <w:marTop w:val="0"/>
          <w:marBottom w:val="0"/>
          <w:divBdr>
            <w:top w:val="none" w:sz="0" w:space="0" w:color="auto"/>
            <w:left w:val="none" w:sz="0" w:space="0" w:color="auto"/>
            <w:bottom w:val="none" w:sz="0" w:space="0" w:color="auto"/>
            <w:right w:val="none" w:sz="0" w:space="0" w:color="auto"/>
          </w:divBdr>
        </w:div>
        <w:div w:id="1288778209">
          <w:marLeft w:val="0"/>
          <w:marRight w:val="0"/>
          <w:marTop w:val="0"/>
          <w:marBottom w:val="0"/>
          <w:divBdr>
            <w:top w:val="none" w:sz="0" w:space="0" w:color="auto"/>
            <w:left w:val="none" w:sz="0" w:space="0" w:color="auto"/>
            <w:bottom w:val="none" w:sz="0" w:space="0" w:color="auto"/>
            <w:right w:val="none" w:sz="0" w:space="0" w:color="auto"/>
          </w:divBdr>
          <w:divsChild>
            <w:div w:id="623004807">
              <w:marLeft w:val="0"/>
              <w:marRight w:val="0"/>
              <w:marTop w:val="0"/>
              <w:marBottom w:val="0"/>
              <w:divBdr>
                <w:top w:val="none" w:sz="0" w:space="0" w:color="auto"/>
                <w:left w:val="none" w:sz="0" w:space="0" w:color="auto"/>
                <w:bottom w:val="none" w:sz="0" w:space="0" w:color="auto"/>
                <w:right w:val="none" w:sz="0" w:space="0" w:color="auto"/>
              </w:divBdr>
            </w:div>
            <w:div w:id="1710644338">
              <w:marLeft w:val="0"/>
              <w:marRight w:val="0"/>
              <w:marTop w:val="0"/>
              <w:marBottom w:val="0"/>
              <w:divBdr>
                <w:top w:val="none" w:sz="0" w:space="0" w:color="auto"/>
                <w:left w:val="none" w:sz="0" w:space="0" w:color="auto"/>
                <w:bottom w:val="none" w:sz="0" w:space="0" w:color="auto"/>
                <w:right w:val="none" w:sz="0" w:space="0" w:color="auto"/>
              </w:divBdr>
            </w:div>
            <w:div w:id="1881284092">
              <w:marLeft w:val="0"/>
              <w:marRight w:val="0"/>
              <w:marTop w:val="0"/>
              <w:marBottom w:val="0"/>
              <w:divBdr>
                <w:top w:val="none" w:sz="0" w:space="0" w:color="auto"/>
                <w:left w:val="none" w:sz="0" w:space="0" w:color="auto"/>
                <w:bottom w:val="none" w:sz="0" w:space="0" w:color="auto"/>
                <w:right w:val="none" w:sz="0" w:space="0" w:color="auto"/>
              </w:divBdr>
            </w:div>
          </w:divsChild>
        </w:div>
        <w:div w:id="1304384306">
          <w:marLeft w:val="0"/>
          <w:marRight w:val="0"/>
          <w:marTop w:val="0"/>
          <w:marBottom w:val="0"/>
          <w:divBdr>
            <w:top w:val="none" w:sz="0" w:space="0" w:color="auto"/>
            <w:left w:val="none" w:sz="0" w:space="0" w:color="auto"/>
            <w:bottom w:val="none" w:sz="0" w:space="0" w:color="auto"/>
            <w:right w:val="none" w:sz="0" w:space="0" w:color="auto"/>
          </w:divBdr>
          <w:divsChild>
            <w:div w:id="932322068">
              <w:marLeft w:val="0"/>
              <w:marRight w:val="0"/>
              <w:marTop w:val="0"/>
              <w:marBottom w:val="0"/>
              <w:divBdr>
                <w:top w:val="none" w:sz="0" w:space="0" w:color="auto"/>
                <w:left w:val="none" w:sz="0" w:space="0" w:color="auto"/>
                <w:bottom w:val="none" w:sz="0" w:space="0" w:color="auto"/>
                <w:right w:val="none" w:sz="0" w:space="0" w:color="auto"/>
              </w:divBdr>
            </w:div>
            <w:div w:id="1823499930">
              <w:marLeft w:val="0"/>
              <w:marRight w:val="0"/>
              <w:marTop w:val="0"/>
              <w:marBottom w:val="0"/>
              <w:divBdr>
                <w:top w:val="none" w:sz="0" w:space="0" w:color="auto"/>
                <w:left w:val="none" w:sz="0" w:space="0" w:color="auto"/>
                <w:bottom w:val="none" w:sz="0" w:space="0" w:color="auto"/>
                <w:right w:val="none" w:sz="0" w:space="0" w:color="auto"/>
              </w:divBdr>
            </w:div>
          </w:divsChild>
        </w:div>
        <w:div w:id="1315061874">
          <w:marLeft w:val="0"/>
          <w:marRight w:val="0"/>
          <w:marTop w:val="0"/>
          <w:marBottom w:val="0"/>
          <w:divBdr>
            <w:top w:val="none" w:sz="0" w:space="0" w:color="auto"/>
            <w:left w:val="none" w:sz="0" w:space="0" w:color="auto"/>
            <w:bottom w:val="none" w:sz="0" w:space="0" w:color="auto"/>
            <w:right w:val="none" w:sz="0" w:space="0" w:color="auto"/>
          </w:divBdr>
          <w:divsChild>
            <w:div w:id="1108085839">
              <w:marLeft w:val="0"/>
              <w:marRight w:val="0"/>
              <w:marTop w:val="0"/>
              <w:marBottom w:val="0"/>
              <w:divBdr>
                <w:top w:val="none" w:sz="0" w:space="0" w:color="auto"/>
                <w:left w:val="none" w:sz="0" w:space="0" w:color="auto"/>
                <w:bottom w:val="none" w:sz="0" w:space="0" w:color="auto"/>
                <w:right w:val="none" w:sz="0" w:space="0" w:color="auto"/>
              </w:divBdr>
            </w:div>
          </w:divsChild>
        </w:div>
        <w:div w:id="1316684737">
          <w:marLeft w:val="0"/>
          <w:marRight w:val="0"/>
          <w:marTop w:val="0"/>
          <w:marBottom w:val="0"/>
          <w:divBdr>
            <w:top w:val="none" w:sz="0" w:space="0" w:color="auto"/>
            <w:left w:val="none" w:sz="0" w:space="0" w:color="auto"/>
            <w:bottom w:val="none" w:sz="0" w:space="0" w:color="auto"/>
            <w:right w:val="none" w:sz="0" w:space="0" w:color="auto"/>
          </w:divBdr>
          <w:divsChild>
            <w:div w:id="459497841">
              <w:marLeft w:val="-75"/>
              <w:marRight w:val="0"/>
              <w:marTop w:val="30"/>
              <w:marBottom w:val="30"/>
              <w:divBdr>
                <w:top w:val="none" w:sz="0" w:space="0" w:color="auto"/>
                <w:left w:val="none" w:sz="0" w:space="0" w:color="auto"/>
                <w:bottom w:val="none" w:sz="0" w:space="0" w:color="auto"/>
                <w:right w:val="none" w:sz="0" w:space="0" w:color="auto"/>
              </w:divBdr>
              <w:divsChild>
                <w:div w:id="245192592">
                  <w:marLeft w:val="0"/>
                  <w:marRight w:val="0"/>
                  <w:marTop w:val="0"/>
                  <w:marBottom w:val="0"/>
                  <w:divBdr>
                    <w:top w:val="none" w:sz="0" w:space="0" w:color="auto"/>
                    <w:left w:val="none" w:sz="0" w:space="0" w:color="auto"/>
                    <w:bottom w:val="none" w:sz="0" w:space="0" w:color="auto"/>
                    <w:right w:val="none" w:sz="0" w:space="0" w:color="auto"/>
                  </w:divBdr>
                  <w:divsChild>
                    <w:div w:id="386146507">
                      <w:marLeft w:val="0"/>
                      <w:marRight w:val="0"/>
                      <w:marTop w:val="0"/>
                      <w:marBottom w:val="0"/>
                      <w:divBdr>
                        <w:top w:val="none" w:sz="0" w:space="0" w:color="auto"/>
                        <w:left w:val="none" w:sz="0" w:space="0" w:color="auto"/>
                        <w:bottom w:val="none" w:sz="0" w:space="0" w:color="auto"/>
                        <w:right w:val="none" w:sz="0" w:space="0" w:color="auto"/>
                      </w:divBdr>
                    </w:div>
                  </w:divsChild>
                </w:div>
                <w:div w:id="254676191">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
                  </w:divsChild>
                </w:div>
                <w:div w:id="278419575">
                  <w:marLeft w:val="0"/>
                  <w:marRight w:val="0"/>
                  <w:marTop w:val="0"/>
                  <w:marBottom w:val="0"/>
                  <w:divBdr>
                    <w:top w:val="none" w:sz="0" w:space="0" w:color="auto"/>
                    <w:left w:val="none" w:sz="0" w:space="0" w:color="auto"/>
                    <w:bottom w:val="none" w:sz="0" w:space="0" w:color="auto"/>
                    <w:right w:val="none" w:sz="0" w:space="0" w:color="auto"/>
                  </w:divBdr>
                  <w:divsChild>
                    <w:div w:id="1032534517">
                      <w:marLeft w:val="0"/>
                      <w:marRight w:val="0"/>
                      <w:marTop w:val="0"/>
                      <w:marBottom w:val="0"/>
                      <w:divBdr>
                        <w:top w:val="none" w:sz="0" w:space="0" w:color="auto"/>
                        <w:left w:val="none" w:sz="0" w:space="0" w:color="auto"/>
                        <w:bottom w:val="none" w:sz="0" w:space="0" w:color="auto"/>
                        <w:right w:val="none" w:sz="0" w:space="0" w:color="auto"/>
                      </w:divBdr>
                    </w:div>
                  </w:divsChild>
                </w:div>
                <w:div w:id="320083413">
                  <w:marLeft w:val="0"/>
                  <w:marRight w:val="0"/>
                  <w:marTop w:val="0"/>
                  <w:marBottom w:val="0"/>
                  <w:divBdr>
                    <w:top w:val="none" w:sz="0" w:space="0" w:color="auto"/>
                    <w:left w:val="none" w:sz="0" w:space="0" w:color="auto"/>
                    <w:bottom w:val="none" w:sz="0" w:space="0" w:color="auto"/>
                    <w:right w:val="none" w:sz="0" w:space="0" w:color="auto"/>
                  </w:divBdr>
                  <w:divsChild>
                    <w:div w:id="1368799570">
                      <w:marLeft w:val="0"/>
                      <w:marRight w:val="0"/>
                      <w:marTop w:val="0"/>
                      <w:marBottom w:val="0"/>
                      <w:divBdr>
                        <w:top w:val="none" w:sz="0" w:space="0" w:color="auto"/>
                        <w:left w:val="none" w:sz="0" w:space="0" w:color="auto"/>
                        <w:bottom w:val="none" w:sz="0" w:space="0" w:color="auto"/>
                        <w:right w:val="none" w:sz="0" w:space="0" w:color="auto"/>
                      </w:divBdr>
                    </w:div>
                  </w:divsChild>
                </w:div>
                <w:div w:id="395930397">
                  <w:marLeft w:val="0"/>
                  <w:marRight w:val="0"/>
                  <w:marTop w:val="0"/>
                  <w:marBottom w:val="0"/>
                  <w:divBdr>
                    <w:top w:val="none" w:sz="0" w:space="0" w:color="auto"/>
                    <w:left w:val="none" w:sz="0" w:space="0" w:color="auto"/>
                    <w:bottom w:val="none" w:sz="0" w:space="0" w:color="auto"/>
                    <w:right w:val="none" w:sz="0" w:space="0" w:color="auto"/>
                  </w:divBdr>
                  <w:divsChild>
                    <w:div w:id="1677995962">
                      <w:marLeft w:val="0"/>
                      <w:marRight w:val="0"/>
                      <w:marTop w:val="0"/>
                      <w:marBottom w:val="0"/>
                      <w:divBdr>
                        <w:top w:val="none" w:sz="0" w:space="0" w:color="auto"/>
                        <w:left w:val="none" w:sz="0" w:space="0" w:color="auto"/>
                        <w:bottom w:val="none" w:sz="0" w:space="0" w:color="auto"/>
                        <w:right w:val="none" w:sz="0" w:space="0" w:color="auto"/>
                      </w:divBdr>
                    </w:div>
                  </w:divsChild>
                </w:div>
                <w:div w:id="447892745">
                  <w:marLeft w:val="0"/>
                  <w:marRight w:val="0"/>
                  <w:marTop w:val="0"/>
                  <w:marBottom w:val="0"/>
                  <w:divBdr>
                    <w:top w:val="none" w:sz="0" w:space="0" w:color="auto"/>
                    <w:left w:val="none" w:sz="0" w:space="0" w:color="auto"/>
                    <w:bottom w:val="none" w:sz="0" w:space="0" w:color="auto"/>
                    <w:right w:val="none" w:sz="0" w:space="0" w:color="auto"/>
                  </w:divBdr>
                  <w:divsChild>
                    <w:div w:id="1964116429">
                      <w:marLeft w:val="0"/>
                      <w:marRight w:val="0"/>
                      <w:marTop w:val="0"/>
                      <w:marBottom w:val="0"/>
                      <w:divBdr>
                        <w:top w:val="none" w:sz="0" w:space="0" w:color="auto"/>
                        <w:left w:val="none" w:sz="0" w:space="0" w:color="auto"/>
                        <w:bottom w:val="none" w:sz="0" w:space="0" w:color="auto"/>
                        <w:right w:val="none" w:sz="0" w:space="0" w:color="auto"/>
                      </w:divBdr>
                    </w:div>
                  </w:divsChild>
                </w:div>
                <w:div w:id="591167082">
                  <w:marLeft w:val="0"/>
                  <w:marRight w:val="0"/>
                  <w:marTop w:val="0"/>
                  <w:marBottom w:val="0"/>
                  <w:divBdr>
                    <w:top w:val="none" w:sz="0" w:space="0" w:color="auto"/>
                    <w:left w:val="none" w:sz="0" w:space="0" w:color="auto"/>
                    <w:bottom w:val="none" w:sz="0" w:space="0" w:color="auto"/>
                    <w:right w:val="none" w:sz="0" w:space="0" w:color="auto"/>
                  </w:divBdr>
                  <w:divsChild>
                    <w:div w:id="1055590194">
                      <w:marLeft w:val="0"/>
                      <w:marRight w:val="0"/>
                      <w:marTop w:val="0"/>
                      <w:marBottom w:val="0"/>
                      <w:divBdr>
                        <w:top w:val="none" w:sz="0" w:space="0" w:color="auto"/>
                        <w:left w:val="none" w:sz="0" w:space="0" w:color="auto"/>
                        <w:bottom w:val="none" w:sz="0" w:space="0" w:color="auto"/>
                        <w:right w:val="none" w:sz="0" w:space="0" w:color="auto"/>
                      </w:divBdr>
                    </w:div>
                  </w:divsChild>
                </w:div>
                <w:div w:id="609702280">
                  <w:marLeft w:val="0"/>
                  <w:marRight w:val="0"/>
                  <w:marTop w:val="0"/>
                  <w:marBottom w:val="0"/>
                  <w:divBdr>
                    <w:top w:val="none" w:sz="0" w:space="0" w:color="auto"/>
                    <w:left w:val="none" w:sz="0" w:space="0" w:color="auto"/>
                    <w:bottom w:val="none" w:sz="0" w:space="0" w:color="auto"/>
                    <w:right w:val="none" w:sz="0" w:space="0" w:color="auto"/>
                  </w:divBdr>
                  <w:divsChild>
                    <w:div w:id="1586254">
                      <w:marLeft w:val="0"/>
                      <w:marRight w:val="0"/>
                      <w:marTop w:val="0"/>
                      <w:marBottom w:val="0"/>
                      <w:divBdr>
                        <w:top w:val="none" w:sz="0" w:space="0" w:color="auto"/>
                        <w:left w:val="none" w:sz="0" w:space="0" w:color="auto"/>
                        <w:bottom w:val="none" w:sz="0" w:space="0" w:color="auto"/>
                        <w:right w:val="none" w:sz="0" w:space="0" w:color="auto"/>
                      </w:divBdr>
                    </w:div>
                  </w:divsChild>
                </w:div>
                <w:div w:id="626861221">
                  <w:marLeft w:val="0"/>
                  <w:marRight w:val="0"/>
                  <w:marTop w:val="0"/>
                  <w:marBottom w:val="0"/>
                  <w:divBdr>
                    <w:top w:val="none" w:sz="0" w:space="0" w:color="auto"/>
                    <w:left w:val="none" w:sz="0" w:space="0" w:color="auto"/>
                    <w:bottom w:val="none" w:sz="0" w:space="0" w:color="auto"/>
                    <w:right w:val="none" w:sz="0" w:space="0" w:color="auto"/>
                  </w:divBdr>
                  <w:divsChild>
                    <w:div w:id="1182354748">
                      <w:marLeft w:val="0"/>
                      <w:marRight w:val="0"/>
                      <w:marTop w:val="0"/>
                      <w:marBottom w:val="0"/>
                      <w:divBdr>
                        <w:top w:val="none" w:sz="0" w:space="0" w:color="auto"/>
                        <w:left w:val="none" w:sz="0" w:space="0" w:color="auto"/>
                        <w:bottom w:val="none" w:sz="0" w:space="0" w:color="auto"/>
                        <w:right w:val="none" w:sz="0" w:space="0" w:color="auto"/>
                      </w:divBdr>
                    </w:div>
                  </w:divsChild>
                </w:div>
                <w:div w:id="805784510">
                  <w:marLeft w:val="0"/>
                  <w:marRight w:val="0"/>
                  <w:marTop w:val="0"/>
                  <w:marBottom w:val="0"/>
                  <w:divBdr>
                    <w:top w:val="none" w:sz="0" w:space="0" w:color="auto"/>
                    <w:left w:val="none" w:sz="0" w:space="0" w:color="auto"/>
                    <w:bottom w:val="none" w:sz="0" w:space="0" w:color="auto"/>
                    <w:right w:val="none" w:sz="0" w:space="0" w:color="auto"/>
                  </w:divBdr>
                  <w:divsChild>
                    <w:div w:id="1681079154">
                      <w:marLeft w:val="0"/>
                      <w:marRight w:val="0"/>
                      <w:marTop w:val="0"/>
                      <w:marBottom w:val="0"/>
                      <w:divBdr>
                        <w:top w:val="none" w:sz="0" w:space="0" w:color="auto"/>
                        <w:left w:val="none" w:sz="0" w:space="0" w:color="auto"/>
                        <w:bottom w:val="none" w:sz="0" w:space="0" w:color="auto"/>
                        <w:right w:val="none" w:sz="0" w:space="0" w:color="auto"/>
                      </w:divBdr>
                    </w:div>
                  </w:divsChild>
                </w:div>
                <w:div w:id="815534730">
                  <w:marLeft w:val="0"/>
                  <w:marRight w:val="0"/>
                  <w:marTop w:val="0"/>
                  <w:marBottom w:val="0"/>
                  <w:divBdr>
                    <w:top w:val="none" w:sz="0" w:space="0" w:color="auto"/>
                    <w:left w:val="none" w:sz="0" w:space="0" w:color="auto"/>
                    <w:bottom w:val="none" w:sz="0" w:space="0" w:color="auto"/>
                    <w:right w:val="none" w:sz="0" w:space="0" w:color="auto"/>
                  </w:divBdr>
                  <w:divsChild>
                    <w:div w:id="187068568">
                      <w:marLeft w:val="0"/>
                      <w:marRight w:val="0"/>
                      <w:marTop w:val="0"/>
                      <w:marBottom w:val="0"/>
                      <w:divBdr>
                        <w:top w:val="none" w:sz="0" w:space="0" w:color="auto"/>
                        <w:left w:val="none" w:sz="0" w:space="0" w:color="auto"/>
                        <w:bottom w:val="none" w:sz="0" w:space="0" w:color="auto"/>
                        <w:right w:val="none" w:sz="0" w:space="0" w:color="auto"/>
                      </w:divBdr>
                    </w:div>
                  </w:divsChild>
                </w:div>
                <w:div w:id="944189656">
                  <w:marLeft w:val="0"/>
                  <w:marRight w:val="0"/>
                  <w:marTop w:val="0"/>
                  <w:marBottom w:val="0"/>
                  <w:divBdr>
                    <w:top w:val="none" w:sz="0" w:space="0" w:color="auto"/>
                    <w:left w:val="none" w:sz="0" w:space="0" w:color="auto"/>
                    <w:bottom w:val="none" w:sz="0" w:space="0" w:color="auto"/>
                    <w:right w:val="none" w:sz="0" w:space="0" w:color="auto"/>
                  </w:divBdr>
                  <w:divsChild>
                    <w:div w:id="567158044">
                      <w:marLeft w:val="0"/>
                      <w:marRight w:val="0"/>
                      <w:marTop w:val="0"/>
                      <w:marBottom w:val="0"/>
                      <w:divBdr>
                        <w:top w:val="none" w:sz="0" w:space="0" w:color="auto"/>
                        <w:left w:val="none" w:sz="0" w:space="0" w:color="auto"/>
                        <w:bottom w:val="none" w:sz="0" w:space="0" w:color="auto"/>
                        <w:right w:val="none" w:sz="0" w:space="0" w:color="auto"/>
                      </w:divBdr>
                    </w:div>
                  </w:divsChild>
                </w:div>
                <w:div w:id="1031762803">
                  <w:marLeft w:val="0"/>
                  <w:marRight w:val="0"/>
                  <w:marTop w:val="0"/>
                  <w:marBottom w:val="0"/>
                  <w:divBdr>
                    <w:top w:val="none" w:sz="0" w:space="0" w:color="auto"/>
                    <w:left w:val="none" w:sz="0" w:space="0" w:color="auto"/>
                    <w:bottom w:val="none" w:sz="0" w:space="0" w:color="auto"/>
                    <w:right w:val="none" w:sz="0" w:space="0" w:color="auto"/>
                  </w:divBdr>
                  <w:divsChild>
                    <w:div w:id="1450397746">
                      <w:marLeft w:val="0"/>
                      <w:marRight w:val="0"/>
                      <w:marTop w:val="0"/>
                      <w:marBottom w:val="0"/>
                      <w:divBdr>
                        <w:top w:val="none" w:sz="0" w:space="0" w:color="auto"/>
                        <w:left w:val="none" w:sz="0" w:space="0" w:color="auto"/>
                        <w:bottom w:val="none" w:sz="0" w:space="0" w:color="auto"/>
                        <w:right w:val="none" w:sz="0" w:space="0" w:color="auto"/>
                      </w:divBdr>
                    </w:div>
                  </w:divsChild>
                </w:div>
                <w:div w:id="1104690684">
                  <w:marLeft w:val="0"/>
                  <w:marRight w:val="0"/>
                  <w:marTop w:val="0"/>
                  <w:marBottom w:val="0"/>
                  <w:divBdr>
                    <w:top w:val="none" w:sz="0" w:space="0" w:color="auto"/>
                    <w:left w:val="none" w:sz="0" w:space="0" w:color="auto"/>
                    <w:bottom w:val="none" w:sz="0" w:space="0" w:color="auto"/>
                    <w:right w:val="none" w:sz="0" w:space="0" w:color="auto"/>
                  </w:divBdr>
                  <w:divsChild>
                    <w:div w:id="1986616048">
                      <w:marLeft w:val="0"/>
                      <w:marRight w:val="0"/>
                      <w:marTop w:val="0"/>
                      <w:marBottom w:val="0"/>
                      <w:divBdr>
                        <w:top w:val="none" w:sz="0" w:space="0" w:color="auto"/>
                        <w:left w:val="none" w:sz="0" w:space="0" w:color="auto"/>
                        <w:bottom w:val="none" w:sz="0" w:space="0" w:color="auto"/>
                        <w:right w:val="none" w:sz="0" w:space="0" w:color="auto"/>
                      </w:divBdr>
                    </w:div>
                  </w:divsChild>
                </w:div>
                <w:div w:id="1150361629">
                  <w:marLeft w:val="0"/>
                  <w:marRight w:val="0"/>
                  <w:marTop w:val="0"/>
                  <w:marBottom w:val="0"/>
                  <w:divBdr>
                    <w:top w:val="none" w:sz="0" w:space="0" w:color="auto"/>
                    <w:left w:val="none" w:sz="0" w:space="0" w:color="auto"/>
                    <w:bottom w:val="none" w:sz="0" w:space="0" w:color="auto"/>
                    <w:right w:val="none" w:sz="0" w:space="0" w:color="auto"/>
                  </w:divBdr>
                  <w:divsChild>
                    <w:div w:id="45378135">
                      <w:marLeft w:val="0"/>
                      <w:marRight w:val="0"/>
                      <w:marTop w:val="0"/>
                      <w:marBottom w:val="0"/>
                      <w:divBdr>
                        <w:top w:val="none" w:sz="0" w:space="0" w:color="auto"/>
                        <w:left w:val="none" w:sz="0" w:space="0" w:color="auto"/>
                        <w:bottom w:val="none" w:sz="0" w:space="0" w:color="auto"/>
                        <w:right w:val="none" w:sz="0" w:space="0" w:color="auto"/>
                      </w:divBdr>
                    </w:div>
                  </w:divsChild>
                </w:div>
                <w:div w:id="1152720602">
                  <w:marLeft w:val="0"/>
                  <w:marRight w:val="0"/>
                  <w:marTop w:val="0"/>
                  <w:marBottom w:val="0"/>
                  <w:divBdr>
                    <w:top w:val="none" w:sz="0" w:space="0" w:color="auto"/>
                    <w:left w:val="none" w:sz="0" w:space="0" w:color="auto"/>
                    <w:bottom w:val="none" w:sz="0" w:space="0" w:color="auto"/>
                    <w:right w:val="none" w:sz="0" w:space="0" w:color="auto"/>
                  </w:divBdr>
                  <w:divsChild>
                    <w:div w:id="33039281">
                      <w:marLeft w:val="0"/>
                      <w:marRight w:val="0"/>
                      <w:marTop w:val="0"/>
                      <w:marBottom w:val="0"/>
                      <w:divBdr>
                        <w:top w:val="none" w:sz="0" w:space="0" w:color="auto"/>
                        <w:left w:val="none" w:sz="0" w:space="0" w:color="auto"/>
                        <w:bottom w:val="none" w:sz="0" w:space="0" w:color="auto"/>
                        <w:right w:val="none" w:sz="0" w:space="0" w:color="auto"/>
                      </w:divBdr>
                    </w:div>
                  </w:divsChild>
                </w:div>
                <w:div w:id="1164470572">
                  <w:marLeft w:val="0"/>
                  <w:marRight w:val="0"/>
                  <w:marTop w:val="0"/>
                  <w:marBottom w:val="0"/>
                  <w:divBdr>
                    <w:top w:val="none" w:sz="0" w:space="0" w:color="auto"/>
                    <w:left w:val="none" w:sz="0" w:space="0" w:color="auto"/>
                    <w:bottom w:val="none" w:sz="0" w:space="0" w:color="auto"/>
                    <w:right w:val="none" w:sz="0" w:space="0" w:color="auto"/>
                  </w:divBdr>
                  <w:divsChild>
                    <w:div w:id="1462306004">
                      <w:marLeft w:val="0"/>
                      <w:marRight w:val="0"/>
                      <w:marTop w:val="0"/>
                      <w:marBottom w:val="0"/>
                      <w:divBdr>
                        <w:top w:val="none" w:sz="0" w:space="0" w:color="auto"/>
                        <w:left w:val="none" w:sz="0" w:space="0" w:color="auto"/>
                        <w:bottom w:val="none" w:sz="0" w:space="0" w:color="auto"/>
                        <w:right w:val="none" w:sz="0" w:space="0" w:color="auto"/>
                      </w:divBdr>
                    </w:div>
                  </w:divsChild>
                </w:div>
                <w:div w:id="1193690716">
                  <w:marLeft w:val="0"/>
                  <w:marRight w:val="0"/>
                  <w:marTop w:val="0"/>
                  <w:marBottom w:val="0"/>
                  <w:divBdr>
                    <w:top w:val="none" w:sz="0" w:space="0" w:color="auto"/>
                    <w:left w:val="none" w:sz="0" w:space="0" w:color="auto"/>
                    <w:bottom w:val="none" w:sz="0" w:space="0" w:color="auto"/>
                    <w:right w:val="none" w:sz="0" w:space="0" w:color="auto"/>
                  </w:divBdr>
                  <w:divsChild>
                    <w:div w:id="66391389">
                      <w:marLeft w:val="0"/>
                      <w:marRight w:val="0"/>
                      <w:marTop w:val="0"/>
                      <w:marBottom w:val="0"/>
                      <w:divBdr>
                        <w:top w:val="none" w:sz="0" w:space="0" w:color="auto"/>
                        <w:left w:val="none" w:sz="0" w:space="0" w:color="auto"/>
                        <w:bottom w:val="none" w:sz="0" w:space="0" w:color="auto"/>
                        <w:right w:val="none" w:sz="0" w:space="0" w:color="auto"/>
                      </w:divBdr>
                    </w:div>
                  </w:divsChild>
                </w:div>
                <w:div w:id="1257595904">
                  <w:marLeft w:val="0"/>
                  <w:marRight w:val="0"/>
                  <w:marTop w:val="0"/>
                  <w:marBottom w:val="0"/>
                  <w:divBdr>
                    <w:top w:val="none" w:sz="0" w:space="0" w:color="auto"/>
                    <w:left w:val="none" w:sz="0" w:space="0" w:color="auto"/>
                    <w:bottom w:val="none" w:sz="0" w:space="0" w:color="auto"/>
                    <w:right w:val="none" w:sz="0" w:space="0" w:color="auto"/>
                  </w:divBdr>
                  <w:divsChild>
                    <w:div w:id="570896589">
                      <w:marLeft w:val="0"/>
                      <w:marRight w:val="0"/>
                      <w:marTop w:val="0"/>
                      <w:marBottom w:val="0"/>
                      <w:divBdr>
                        <w:top w:val="none" w:sz="0" w:space="0" w:color="auto"/>
                        <w:left w:val="none" w:sz="0" w:space="0" w:color="auto"/>
                        <w:bottom w:val="none" w:sz="0" w:space="0" w:color="auto"/>
                        <w:right w:val="none" w:sz="0" w:space="0" w:color="auto"/>
                      </w:divBdr>
                    </w:div>
                  </w:divsChild>
                </w:div>
                <w:div w:id="1259290875">
                  <w:marLeft w:val="0"/>
                  <w:marRight w:val="0"/>
                  <w:marTop w:val="0"/>
                  <w:marBottom w:val="0"/>
                  <w:divBdr>
                    <w:top w:val="none" w:sz="0" w:space="0" w:color="auto"/>
                    <w:left w:val="none" w:sz="0" w:space="0" w:color="auto"/>
                    <w:bottom w:val="none" w:sz="0" w:space="0" w:color="auto"/>
                    <w:right w:val="none" w:sz="0" w:space="0" w:color="auto"/>
                  </w:divBdr>
                  <w:divsChild>
                    <w:div w:id="444811004">
                      <w:marLeft w:val="0"/>
                      <w:marRight w:val="0"/>
                      <w:marTop w:val="0"/>
                      <w:marBottom w:val="0"/>
                      <w:divBdr>
                        <w:top w:val="none" w:sz="0" w:space="0" w:color="auto"/>
                        <w:left w:val="none" w:sz="0" w:space="0" w:color="auto"/>
                        <w:bottom w:val="none" w:sz="0" w:space="0" w:color="auto"/>
                        <w:right w:val="none" w:sz="0" w:space="0" w:color="auto"/>
                      </w:divBdr>
                    </w:div>
                  </w:divsChild>
                </w:div>
                <w:div w:id="1284313506">
                  <w:marLeft w:val="0"/>
                  <w:marRight w:val="0"/>
                  <w:marTop w:val="0"/>
                  <w:marBottom w:val="0"/>
                  <w:divBdr>
                    <w:top w:val="none" w:sz="0" w:space="0" w:color="auto"/>
                    <w:left w:val="none" w:sz="0" w:space="0" w:color="auto"/>
                    <w:bottom w:val="none" w:sz="0" w:space="0" w:color="auto"/>
                    <w:right w:val="none" w:sz="0" w:space="0" w:color="auto"/>
                  </w:divBdr>
                  <w:divsChild>
                    <w:div w:id="779103397">
                      <w:marLeft w:val="0"/>
                      <w:marRight w:val="0"/>
                      <w:marTop w:val="0"/>
                      <w:marBottom w:val="0"/>
                      <w:divBdr>
                        <w:top w:val="none" w:sz="0" w:space="0" w:color="auto"/>
                        <w:left w:val="none" w:sz="0" w:space="0" w:color="auto"/>
                        <w:bottom w:val="none" w:sz="0" w:space="0" w:color="auto"/>
                        <w:right w:val="none" w:sz="0" w:space="0" w:color="auto"/>
                      </w:divBdr>
                    </w:div>
                  </w:divsChild>
                </w:div>
                <w:div w:id="1416903935">
                  <w:marLeft w:val="0"/>
                  <w:marRight w:val="0"/>
                  <w:marTop w:val="0"/>
                  <w:marBottom w:val="0"/>
                  <w:divBdr>
                    <w:top w:val="none" w:sz="0" w:space="0" w:color="auto"/>
                    <w:left w:val="none" w:sz="0" w:space="0" w:color="auto"/>
                    <w:bottom w:val="none" w:sz="0" w:space="0" w:color="auto"/>
                    <w:right w:val="none" w:sz="0" w:space="0" w:color="auto"/>
                  </w:divBdr>
                  <w:divsChild>
                    <w:div w:id="1304197374">
                      <w:marLeft w:val="0"/>
                      <w:marRight w:val="0"/>
                      <w:marTop w:val="0"/>
                      <w:marBottom w:val="0"/>
                      <w:divBdr>
                        <w:top w:val="none" w:sz="0" w:space="0" w:color="auto"/>
                        <w:left w:val="none" w:sz="0" w:space="0" w:color="auto"/>
                        <w:bottom w:val="none" w:sz="0" w:space="0" w:color="auto"/>
                        <w:right w:val="none" w:sz="0" w:space="0" w:color="auto"/>
                      </w:divBdr>
                    </w:div>
                  </w:divsChild>
                </w:div>
                <w:div w:id="1477915448">
                  <w:marLeft w:val="0"/>
                  <w:marRight w:val="0"/>
                  <w:marTop w:val="0"/>
                  <w:marBottom w:val="0"/>
                  <w:divBdr>
                    <w:top w:val="none" w:sz="0" w:space="0" w:color="auto"/>
                    <w:left w:val="none" w:sz="0" w:space="0" w:color="auto"/>
                    <w:bottom w:val="none" w:sz="0" w:space="0" w:color="auto"/>
                    <w:right w:val="none" w:sz="0" w:space="0" w:color="auto"/>
                  </w:divBdr>
                  <w:divsChild>
                    <w:div w:id="1800873228">
                      <w:marLeft w:val="0"/>
                      <w:marRight w:val="0"/>
                      <w:marTop w:val="0"/>
                      <w:marBottom w:val="0"/>
                      <w:divBdr>
                        <w:top w:val="none" w:sz="0" w:space="0" w:color="auto"/>
                        <w:left w:val="none" w:sz="0" w:space="0" w:color="auto"/>
                        <w:bottom w:val="none" w:sz="0" w:space="0" w:color="auto"/>
                        <w:right w:val="none" w:sz="0" w:space="0" w:color="auto"/>
                      </w:divBdr>
                    </w:div>
                  </w:divsChild>
                </w:div>
                <w:div w:id="1513644928">
                  <w:marLeft w:val="0"/>
                  <w:marRight w:val="0"/>
                  <w:marTop w:val="0"/>
                  <w:marBottom w:val="0"/>
                  <w:divBdr>
                    <w:top w:val="none" w:sz="0" w:space="0" w:color="auto"/>
                    <w:left w:val="none" w:sz="0" w:space="0" w:color="auto"/>
                    <w:bottom w:val="none" w:sz="0" w:space="0" w:color="auto"/>
                    <w:right w:val="none" w:sz="0" w:space="0" w:color="auto"/>
                  </w:divBdr>
                  <w:divsChild>
                    <w:div w:id="125323488">
                      <w:marLeft w:val="0"/>
                      <w:marRight w:val="0"/>
                      <w:marTop w:val="0"/>
                      <w:marBottom w:val="0"/>
                      <w:divBdr>
                        <w:top w:val="none" w:sz="0" w:space="0" w:color="auto"/>
                        <w:left w:val="none" w:sz="0" w:space="0" w:color="auto"/>
                        <w:bottom w:val="none" w:sz="0" w:space="0" w:color="auto"/>
                        <w:right w:val="none" w:sz="0" w:space="0" w:color="auto"/>
                      </w:divBdr>
                    </w:div>
                  </w:divsChild>
                </w:div>
                <w:div w:id="1658024709">
                  <w:marLeft w:val="0"/>
                  <w:marRight w:val="0"/>
                  <w:marTop w:val="0"/>
                  <w:marBottom w:val="0"/>
                  <w:divBdr>
                    <w:top w:val="none" w:sz="0" w:space="0" w:color="auto"/>
                    <w:left w:val="none" w:sz="0" w:space="0" w:color="auto"/>
                    <w:bottom w:val="none" w:sz="0" w:space="0" w:color="auto"/>
                    <w:right w:val="none" w:sz="0" w:space="0" w:color="auto"/>
                  </w:divBdr>
                  <w:divsChild>
                    <w:div w:id="1651523164">
                      <w:marLeft w:val="0"/>
                      <w:marRight w:val="0"/>
                      <w:marTop w:val="0"/>
                      <w:marBottom w:val="0"/>
                      <w:divBdr>
                        <w:top w:val="none" w:sz="0" w:space="0" w:color="auto"/>
                        <w:left w:val="none" w:sz="0" w:space="0" w:color="auto"/>
                        <w:bottom w:val="none" w:sz="0" w:space="0" w:color="auto"/>
                        <w:right w:val="none" w:sz="0" w:space="0" w:color="auto"/>
                      </w:divBdr>
                    </w:div>
                  </w:divsChild>
                </w:div>
                <w:div w:id="1757096260">
                  <w:marLeft w:val="0"/>
                  <w:marRight w:val="0"/>
                  <w:marTop w:val="0"/>
                  <w:marBottom w:val="0"/>
                  <w:divBdr>
                    <w:top w:val="none" w:sz="0" w:space="0" w:color="auto"/>
                    <w:left w:val="none" w:sz="0" w:space="0" w:color="auto"/>
                    <w:bottom w:val="none" w:sz="0" w:space="0" w:color="auto"/>
                    <w:right w:val="none" w:sz="0" w:space="0" w:color="auto"/>
                  </w:divBdr>
                  <w:divsChild>
                    <w:div w:id="1104497198">
                      <w:marLeft w:val="0"/>
                      <w:marRight w:val="0"/>
                      <w:marTop w:val="0"/>
                      <w:marBottom w:val="0"/>
                      <w:divBdr>
                        <w:top w:val="none" w:sz="0" w:space="0" w:color="auto"/>
                        <w:left w:val="none" w:sz="0" w:space="0" w:color="auto"/>
                        <w:bottom w:val="none" w:sz="0" w:space="0" w:color="auto"/>
                        <w:right w:val="none" w:sz="0" w:space="0" w:color="auto"/>
                      </w:divBdr>
                    </w:div>
                  </w:divsChild>
                </w:div>
                <w:div w:id="2040079736">
                  <w:marLeft w:val="0"/>
                  <w:marRight w:val="0"/>
                  <w:marTop w:val="0"/>
                  <w:marBottom w:val="0"/>
                  <w:divBdr>
                    <w:top w:val="none" w:sz="0" w:space="0" w:color="auto"/>
                    <w:left w:val="none" w:sz="0" w:space="0" w:color="auto"/>
                    <w:bottom w:val="none" w:sz="0" w:space="0" w:color="auto"/>
                    <w:right w:val="none" w:sz="0" w:space="0" w:color="auto"/>
                  </w:divBdr>
                  <w:divsChild>
                    <w:div w:id="1469710693">
                      <w:marLeft w:val="0"/>
                      <w:marRight w:val="0"/>
                      <w:marTop w:val="0"/>
                      <w:marBottom w:val="0"/>
                      <w:divBdr>
                        <w:top w:val="none" w:sz="0" w:space="0" w:color="auto"/>
                        <w:left w:val="none" w:sz="0" w:space="0" w:color="auto"/>
                        <w:bottom w:val="none" w:sz="0" w:space="0" w:color="auto"/>
                        <w:right w:val="none" w:sz="0" w:space="0" w:color="auto"/>
                      </w:divBdr>
                    </w:div>
                  </w:divsChild>
                </w:div>
                <w:div w:id="2092310624">
                  <w:marLeft w:val="0"/>
                  <w:marRight w:val="0"/>
                  <w:marTop w:val="0"/>
                  <w:marBottom w:val="0"/>
                  <w:divBdr>
                    <w:top w:val="none" w:sz="0" w:space="0" w:color="auto"/>
                    <w:left w:val="none" w:sz="0" w:space="0" w:color="auto"/>
                    <w:bottom w:val="none" w:sz="0" w:space="0" w:color="auto"/>
                    <w:right w:val="none" w:sz="0" w:space="0" w:color="auto"/>
                  </w:divBdr>
                  <w:divsChild>
                    <w:div w:id="1953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8517">
          <w:marLeft w:val="0"/>
          <w:marRight w:val="0"/>
          <w:marTop w:val="0"/>
          <w:marBottom w:val="0"/>
          <w:divBdr>
            <w:top w:val="none" w:sz="0" w:space="0" w:color="auto"/>
            <w:left w:val="none" w:sz="0" w:space="0" w:color="auto"/>
            <w:bottom w:val="none" w:sz="0" w:space="0" w:color="auto"/>
            <w:right w:val="none" w:sz="0" w:space="0" w:color="auto"/>
          </w:divBdr>
          <w:divsChild>
            <w:div w:id="232157764">
              <w:marLeft w:val="0"/>
              <w:marRight w:val="0"/>
              <w:marTop w:val="0"/>
              <w:marBottom w:val="0"/>
              <w:divBdr>
                <w:top w:val="none" w:sz="0" w:space="0" w:color="auto"/>
                <w:left w:val="none" w:sz="0" w:space="0" w:color="auto"/>
                <w:bottom w:val="none" w:sz="0" w:space="0" w:color="auto"/>
                <w:right w:val="none" w:sz="0" w:space="0" w:color="auto"/>
              </w:divBdr>
            </w:div>
            <w:div w:id="250705530">
              <w:marLeft w:val="0"/>
              <w:marRight w:val="0"/>
              <w:marTop w:val="0"/>
              <w:marBottom w:val="0"/>
              <w:divBdr>
                <w:top w:val="none" w:sz="0" w:space="0" w:color="auto"/>
                <w:left w:val="none" w:sz="0" w:space="0" w:color="auto"/>
                <w:bottom w:val="none" w:sz="0" w:space="0" w:color="auto"/>
                <w:right w:val="none" w:sz="0" w:space="0" w:color="auto"/>
              </w:divBdr>
            </w:div>
            <w:div w:id="303856758">
              <w:marLeft w:val="0"/>
              <w:marRight w:val="0"/>
              <w:marTop w:val="0"/>
              <w:marBottom w:val="0"/>
              <w:divBdr>
                <w:top w:val="none" w:sz="0" w:space="0" w:color="auto"/>
                <w:left w:val="none" w:sz="0" w:space="0" w:color="auto"/>
                <w:bottom w:val="none" w:sz="0" w:space="0" w:color="auto"/>
                <w:right w:val="none" w:sz="0" w:space="0" w:color="auto"/>
              </w:divBdr>
            </w:div>
            <w:div w:id="901913101">
              <w:marLeft w:val="0"/>
              <w:marRight w:val="0"/>
              <w:marTop w:val="0"/>
              <w:marBottom w:val="0"/>
              <w:divBdr>
                <w:top w:val="none" w:sz="0" w:space="0" w:color="auto"/>
                <w:left w:val="none" w:sz="0" w:space="0" w:color="auto"/>
                <w:bottom w:val="none" w:sz="0" w:space="0" w:color="auto"/>
                <w:right w:val="none" w:sz="0" w:space="0" w:color="auto"/>
              </w:divBdr>
            </w:div>
            <w:div w:id="1479803604">
              <w:marLeft w:val="0"/>
              <w:marRight w:val="0"/>
              <w:marTop w:val="0"/>
              <w:marBottom w:val="0"/>
              <w:divBdr>
                <w:top w:val="none" w:sz="0" w:space="0" w:color="auto"/>
                <w:left w:val="none" w:sz="0" w:space="0" w:color="auto"/>
                <w:bottom w:val="none" w:sz="0" w:space="0" w:color="auto"/>
                <w:right w:val="none" w:sz="0" w:space="0" w:color="auto"/>
              </w:divBdr>
            </w:div>
            <w:div w:id="1488277083">
              <w:marLeft w:val="0"/>
              <w:marRight w:val="0"/>
              <w:marTop w:val="0"/>
              <w:marBottom w:val="0"/>
              <w:divBdr>
                <w:top w:val="none" w:sz="0" w:space="0" w:color="auto"/>
                <w:left w:val="none" w:sz="0" w:space="0" w:color="auto"/>
                <w:bottom w:val="none" w:sz="0" w:space="0" w:color="auto"/>
                <w:right w:val="none" w:sz="0" w:space="0" w:color="auto"/>
              </w:divBdr>
            </w:div>
            <w:div w:id="1498112354">
              <w:marLeft w:val="0"/>
              <w:marRight w:val="0"/>
              <w:marTop w:val="0"/>
              <w:marBottom w:val="0"/>
              <w:divBdr>
                <w:top w:val="none" w:sz="0" w:space="0" w:color="auto"/>
                <w:left w:val="none" w:sz="0" w:space="0" w:color="auto"/>
                <w:bottom w:val="none" w:sz="0" w:space="0" w:color="auto"/>
                <w:right w:val="none" w:sz="0" w:space="0" w:color="auto"/>
              </w:divBdr>
            </w:div>
            <w:div w:id="1510289613">
              <w:marLeft w:val="0"/>
              <w:marRight w:val="0"/>
              <w:marTop w:val="0"/>
              <w:marBottom w:val="0"/>
              <w:divBdr>
                <w:top w:val="none" w:sz="0" w:space="0" w:color="auto"/>
                <w:left w:val="none" w:sz="0" w:space="0" w:color="auto"/>
                <w:bottom w:val="none" w:sz="0" w:space="0" w:color="auto"/>
                <w:right w:val="none" w:sz="0" w:space="0" w:color="auto"/>
              </w:divBdr>
            </w:div>
            <w:div w:id="1518497428">
              <w:marLeft w:val="0"/>
              <w:marRight w:val="0"/>
              <w:marTop w:val="0"/>
              <w:marBottom w:val="0"/>
              <w:divBdr>
                <w:top w:val="none" w:sz="0" w:space="0" w:color="auto"/>
                <w:left w:val="none" w:sz="0" w:space="0" w:color="auto"/>
                <w:bottom w:val="none" w:sz="0" w:space="0" w:color="auto"/>
                <w:right w:val="none" w:sz="0" w:space="0" w:color="auto"/>
              </w:divBdr>
            </w:div>
            <w:div w:id="1632783825">
              <w:marLeft w:val="0"/>
              <w:marRight w:val="0"/>
              <w:marTop w:val="0"/>
              <w:marBottom w:val="0"/>
              <w:divBdr>
                <w:top w:val="none" w:sz="0" w:space="0" w:color="auto"/>
                <w:left w:val="none" w:sz="0" w:space="0" w:color="auto"/>
                <w:bottom w:val="none" w:sz="0" w:space="0" w:color="auto"/>
                <w:right w:val="none" w:sz="0" w:space="0" w:color="auto"/>
              </w:divBdr>
            </w:div>
            <w:div w:id="1649283380">
              <w:marLeft w:val="0"/>
              <w:marRight w:val="0"/>
              <w:marTop w:val="0"/>
              <w:marBottom w:val="0"/>
              <w:divBdr>
                <w:top w:val="none" w:sz="0" w:space="0" w:color="auto"/>
                <w:left w:val="none" w:sz="0" w:space="0" w:color="auto"/>
                <w:bottom w:val="none" w:sz="0" w:space="0" w:color="auto"/>
                <w:right w:val="none" w:sz="0" w:space="0" w:color="auto"/>
              </w:divBdr>
            </w:div>
            <w:div w:id="1785608862">
              <w:marLeft w:val="0"/>
              <w:marRight w:val="0"/>
              <w:marTop w:val="0"/>
              <w:marBottom w:val="0"/>
              <w:divBdr>
                <w:top w:val="none" w:sz="0" w:space="0" w:color="auto"/>
                <w:left w:val="none" w:sz="0" w:space="0" w:color="auto"/>
                <w:bottom w:val="none" w:sz="0" w:space="0" w:color="auto"/>
                <w:right w:val="none" w:sz="0" w:space="0" w:color="auto"/>
              </w:divBdr>
              <w:divsChild>
                <w:div w:id="1845127992">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937055585">
              <w:marLeft w:val="0"/>
              <w:marRight w:val="0"/>
              <w:marTop w:val="0"/>
              <w:marBottom w:val="0"/>
              <w:divBdr>
                <w:top w:val="none" w:sz="0" w:space="0" w:color="auto"/>
                <w:left w:val="none" w:sz="0" w:space="0" w:color="auto"/>
                <w:bottom w:val="none" w:sz="0" w:space="0" w:color="auto"/>
                <w:right w:val="none" w:sz="0" w:space="0" w:color="auto"/>
              </w:divBdr>
            </w:div>
          </w:divsChild>
        </w:div>
        <w:div w:id="1347975068">
          <w:marLeft w:val="0"/>
          <w:marRight w:val="0"/>
          <w:marTop w:val="0"/>
          <w:marBottom w:val="0"/>
          <w:divBdr>
            <w:top w:val="none" w:sz="0" w:space="0" w:color="auto"/>
            <w:left w:val="none" w:sz="0" w:space="0" w:color="auto"/>
            <w:bottom w:val="none" w:sz="0" w:space="0" w:color="auto"/>
            <w:right w:val="none" w:sz="0" w:space="0" w:color="auto"/>
          </w:divBdr>
        </w:div>
        <w:div w:id="1379820116">
          <w:marLeft w:val="0"/>
          <w:marRight w:val="0"/>
          <w:marTop w:val="0"/>
          <w:marBottom w:val="0"/>
          <w:divBdr>
            <w:top w:val="none" w:sz="0" w:space="0" w:color="auto"/>
            <w:left w:val="none" w:sz="0" w:space="0" w:color="auto"/>
            <w:bottom w:val="none" w:sz="0" w:space="0" w:color="auto"/>
            <w:right w:val="none" w:sz="0" w:space="0" w:color="auto"/>
          </w:divBdr>
          <w:divsChild>
            <w:div w:id="1004012363">
              <w:marLeft w:val="-75"/>
              <w:marRight w:val="0"/>
              <w:marTop w:val="30"/>
              <w:marBottom w:val="30"/>
              <w:divBdr>
                <w:top w:val="none" w:sz="0" w:space="0" w:color="auto"/>
                <w:left w:val="none" w:sz="0" w:space="0" w:color="auto"/>
                <w:bottom w:val="none" w:sz="0" w:space="0" w:color="auto"/>
                <w:right w:val="none" w:sz="0" w:space="0" w:color="auto"/>
              </w:divBdr>
              <w:divsChild>
                <w:div w:id="1130473">
                  <w:marLeft w:val="0"/>
                  <w:marRight w:val="0"/>
                  <w:marTop w:val="0"/>
                  <w:marBottom w:val="0"/>
                  <w:divBdr>
                    <w:top w:val="none" w:sz="0" w:space="0" w:color="auto"/>
                    <w:left w:val="none" w:sz="0" w:space="0" w:color="auto"/>
                    <w:bottom w:val="none" w:sz="0" w:space="0" w:color="auto"/>
                    <w:right w:val="none" w:sz="0" w:space="0" w:color="auto"/>
                  </w:divBdr>
                  <w:divsChild>
                    <w:div w:id="977688689">
                      <w:marLeft w:val="0"/>
                      <w:marRight w:val="0"/>
                      <w:marTop w:val="0"/>
                      <w:marBottom w:val="0"/>
                      <w:divBdr>
                        <w:top w:val="none" w:sz="0" w:space="0" w:color="auto"/>
                        <w:left w:val="none" w:sz="0" w:space="0" w:color="auto"/>
                        <w:bottom w:val="none" w:sz="0" w:space="0" w:color="auto"/>
                        <w:right w:val="none" w:sz="0" w:space="0" w:color="auto"/>
                      </w:divBdr>
                    </w:div>
                  </w:divsChild>
                </w:div>
                <w:div w:id="125003469">
                  <w:marLeft w:val="0"/>
                  <w:marRight w:val="0"/>
                  <w:marTop w:val="0"/>
                  <w:marBottom w:val="0"/>
                  <w:divBdr>
                    <w:top w:val="none" w:sz="0" w:space="0" w:color="auto"/>
                    <w:left w:val="none" w:sz="0" w:space="0" w:color="auto"/>
                    <w:bottom w:val="none" w:sz="0" w:space="0" w:color="auto"/>
                    <w:right w:val="none" w:sz="0" w:space="0" w:color="auto"/>
                  </w:divBdr>
                  <w:divsChild>
                    <w:div w:id="1724210923">
                      <w:marLeft w:val="0"/>
                      <w:marRight w:val="0"/>
                      <w:marTop w:val="0"/>
                      <w:marBottom w:val="0"/>
                      <w:divBdr>
                        <w:top w:val="none" w:sz="0" w:space="0" w:color="auto"/>
                        <w:left w:val="none" w:sz="0" w:space="0" w:color="auto"/>
                        <w:bottom w:val="none" w:sz="0" w:space="0" w:color="auto"/>
                        <w:right w:val="none" w:sz="0" w:space="0" w:color="auto"/>
                      </w:divBdr>
                    </w:div>
                  </w:divsChild>
                </w:div>
                <w:div w:id="246769433">
                  <w:marLeft w:val="0"/>
                  <w:marRight w:val="0"/>
                  <w:marTop w:val="0"/>
                  <w:marBottom w:val="0"/>
                  <w:divBdr>
                    <w:top w:val="none" w:sz="0" w:space="0" w:color="auto"/>
                    <w:left w:val="none" w:sz="0" w:space="0" w:color="auto"/>
                    <w:bottom w:val="none" w:sz="0" w:space="0" w:color="auto"/>
                    <w:right w:val="none" w:sz="0" w:space="0" w:color="auto"/>
                  </w:divBdr>
                  <w:divsChild>
                    <w:div w:id="1307856024">
                      <w:marLeft w:val="0"/>
                      <w:marRight w:val="0"/>
                      <w:marTop w:val="0"/>
                      <w:marBottom w:val="0"/>
                      <w:divBdr>
                        <w:top w:val="none" w:sz="0" w:space="0" w:color="auto"/>
                        <w:left w:val="none" w:sz="0" w:space="0" w:color="auto"/>
                        <w:bottom w:val="none" w:sz="0" w:space="0" w:color="auto"/>
                        <w:right w:val="none" w:sz="0" w:space="0" w:color="auto"/>
                      </w:divBdr>
                    </w:div>
                  </w:divsChild>
                </w:div>
                <w:div w:id="300426762">
                  <w:marLeft w:val="0"/>
                  <w:marRight w:val="0"/>
                  <w:marTop w:val="0"/>
                  <w:marBottom w:val="0"/>
                  <w:divBdr>
                    <w:top w:val="none" w:sz="0" w:space="0" w:color="auto"/>
                    <w:left w:val="none" w:sz="0" w:space="0" w:color="auto"/>
                    <w:bottom w:val="none" w:sz="0" w:space="0" w:color="auto"/>
                    <w:right w:val="none" w:sz="0" w:space="0" w:color="auto"/>
                  </w:divBdr>
                  <w:divsChild>
                    <w:div w:id="1774590284">
                      <w:marLeft w:val="0"/>
                      <w:marRight w:val="0"/>
                      <w:marTop w:val="0"/>
                      <w:marBottom w:val="0"/>
                      <w:divBdr>
                        <w:top w:val="none" w:sz="0" w:space="0" w:color="auto"/>
                        <w:left w:val="none" w:sz="0" w:space="0" w:color="auto"/>
                        <w:bottom w:val="none" w:sz="0" w:space="0" w:color="auto"/>
                        <w:right w:val="none" w:sz="0" w:space="0" w:color="auto"/>
                      </w:divBdr>
                    </w:div>
                  </w:divsChild>
                </w:div>
                <w:div w:id="428694185">
                  <w:marLeft w:val="0"/>
                  <w:marRight w:val="0"/>
                  <w:marTop w:val="0"/>
                  <w:marBottom w:val="0"/>
                  <w:divBdr>
                    <w:top w:val="none" w:sz="0" w:space="0" w:color="auto"/>
                    <w:left w:val="none" w:sz="0" w:space="0" w:color="auto"/>
                    <w:bottom w:val="none" w:sz="0" w:space="0" w:color="auto"/>
                    <w:right w:val="none" w:sz="0" w:space="0" w:color="auto"/>
                  </w:divBdr>
                  <w:divsChild>
                    <w:div w:id="1995136220">
                      <w:marLeft w:val="0"/>
                      <w:marRight w:val="0"/>
                      <w:marTop w:val="0"/>
                      <w:marBottom w:val="0"/>
                      <w:divBdr>
                        <w:top w:val="none" w:sz="0" w:space="0" w:color="auto"/>
                        <w:left w:val="none" w:sz="0" w:space="0" w:color="auto"/>
                        <w:bottom w:val="none" w:sz="0" w:space="0" w:color="auto"/>
                        <w:right w:val="none" w:sz="0" w:space="0" w:color="auto"/>
                      </w:divBdr>
                    </w:div>
                  </w:divsChild>
                </w:div>
                <w:div w:id="440683214">
                  <w:marLeft w:val="0"/>
                  <w:marRight w:val="0"/>
                  <w:marTop w:val="0"/>
                  <w:marBottom w:val="0"/>
                  <w:divBdr>
                    <w:top w:val="none" w:sz="0" w:space="0" w:color="auto"/>
                    <w:left w:val="none" w:sz="0" w:space="0" w:color="auto"/>
                    <w:bottom w:val="none" w:sz="0" w:space="0" w:color="auto"/>
                    <w:right w:val="none" w:sz="0" w:space="0" w:color="auto"/>
                  </w:divBdr>
                  <w:divsChild>
                    <w:div w:id="1264877361">
                      <w:marLeft w:val="0"/>
                      <w:marRight w:val="0"/>
                      <w:marTop w:val="0"/>
                      <w:marBottom w:val="0"/>
                      <w:divBdr>
                        <w:top w:val="none" w:sz="0" w:space="0" w:color="auto"/>
                        <w:left w:val="none" w:sz="0" w:space="0" w:color="auto"/>
                        <w:bottom w:val="none" w:sz="0" w:space="0" w:color="auto"/>
                        <w:right w:val="none" w:sz="0" w:space="0" w:color="auto"/>
                      </w:divBdr>
                    </w:div>
                  </w:divsChild>
                </w:div>
                <w:div w:id="468060919">
                  <w:marLeft w:val="0"/>
                  <w:marRight w:val="0"/>
                  <w:marTop w:val="0"/>
                  <w:marBottom w:val="0"/>
                  <w:divBdr>
                    <w:top w:val="none" w:sz="0" w:space="0" w:color="auto"/>
                    <w:left w:val="none" w:sz="0" w:space="0" w:color="auto"/>
                    <w:bottom w:val="none" w:sz="0" w:space="0" w:color="auto"/>
                    <w:right w:val="none" w:sz="0" w:space="0" w:color="auto"/>
                  </w:divBdr>
                  <w:divsChild>
                    <w:div w:id="2109226573">
                      <w:marLeft w:val="0"/>
                      <w:marRight w:val="0"/>
                      <w:marTop w:val="0"/>
                      <w:marBottom w:val="0"/>
                      <w:divBdr>
                        <w:top w:val="none" w:sz="0" w:space="0" w:color="auto"/>
                        <w:left w:val="none" w:sz="0" w:space="0" w:color="auto"/>
                        <w:bottom w:val="none" w:sz="0" w:space="0" w:color="auto"/>
                        <w:right w:val="none" w:sz="0" w:space="0" w:color="auto"/>
                      </w:divBdr>
                    </w:div>
                  </w:divsChild>
                </w:div>
                <w:div w:id="471211452">
                  <w:marLeft w:val="0"/>
                  <w:marRight w:val="0"/>
                  <w:marTop w:val="0"/>
                  <w:marBottom w:val="0"/>
                  <w:divBdr>
                    <w:top w:val="none" w:sz="0" w:space="0" w:color="auto"/>
                    <w:left w:val="none" w:sz="0" w:space="0" w:color="auto"/>
                    <w:bottom w:val="none" w:sz="0" w:space="0" w:color="auto"/>
                    <w:right w:val="none" w:sz="0" w:space="0" w:color="auto"/>
                  </w:divBdr>
                  <w:divsChild>
                    <w:div w:id="640160173">
                      <w:marLeft w:val="0"/>
                      <w:marRight w:val="0"/>
                      <w:marTop w:val="0"/>
                      <w:marBottom w:val="0"/>
                      <w:divBdr>
                        <w:top w:val="none" w:sz="0" w:space="0" w:color="auto"/>
                        <w:left w:val="none" w:sz="0" w:space="0" w:color="auto"/>
                        <w:bottom w:val="none" w:sz="0" w:space="0" w:color="auto"/>
                        <w:right w:val="none" w:sz="0" w:space="0" w:color="auto"/>
                      </w:divBdr>
                    </w:div>
                  </w:divsChild>
                </w:div>
                <w:div w:id="603808936">
                  <w:marLeft w:val="0"/>
                  <w:marRight w:val="0"/>
                  <w:marTop w:val="0"/>
                  <w:marBottom w:val="0"/>
                  <w:divBdr>
                    <w:top w:val="none" w:sz="0" w:space="0" w:color="auto"/>
                    <w:left w:val="none" w:sz="0" w:space="0" w:color="auto"/>
                    <w:bottom w:val="none" w:sz="0" w:space="0" w:color="auto"/>
                    <w:right w:val="none" w:sz="0" w:space="0" w:color="auto"/>
                  </w:divBdr>
                  <w:divsChild>
                    <w:div w:id="1848203241">
                      <w:marLeft w:val="0"/>
                      <w:marRight w:val="0"/>
                      <w:marTop w:val="0"/>
                      <w:marBottom w:val="0"/>
                      <w:divBdr>
                        <w:top w:val="none" w:sz="0" w:space="0" w:color="auto"/>
                        <w:left w:val="none" w:sz="0" w:space="0" w:color="auto"/>
                        <w:bottom w:val="none" w:sz="0" w:space="0" w:color="auto"/>
                        <w:right w:val="none" w:sz="0" w:space="0" w:color="auto"/>
                      </w:divBdr>
                    </w:div>
                  </w:divsChild>
                </w:div>
                <w:div w:id="831868647">
                  <w:marLeft w:val="0"/>
                  <w:marRight w:val="0"/>
                  <w:marTop w:val="0"/>
                  <w:marBottom w:val="0"/>
                  <w:divBdr>
                    <w:top w:val="none" w:sz="0" w:space="0" w:color="auto"/>
                    <w:left w:val="none" w:sz="0" w:space="0" w:color="auto"/>
                    <w:bottom w:val="none" w:sz="0" w:space="0" w:color="auto"/>
                    <w:right w:val="none" w:sz="0" w:space="0" w:color="auto"/>
                  </w:divBdr>
                  <w:divsChild>
                    <w:div w:id="1943490640">
                      <w:marLeft w:val="0"/>
                      <w:marRight w:val="0"/>
                      <w:marTop w:val="0"/>
                      <w:marBottom w:val="0"/>
                      <w:divBdr>
                        <w:top w:val="none" w:sz="0" w:space="0" w:color="auto"/>
                        <w:left w:val="none" w:sz="0" w:space="0" w:color="auto"/>
                        <w:bottom w:val="none" w:sz="0" w:space="0" w:color="auto"/>
                        <w:right w:val="none" w:sz="0" w:space="0" w:color="auto"/>
                      </w:divBdr>
                    </w:div>
                  </w:divsChild>
                </w:div>
                <w:div w:id="940839851">
                  <w:marLeft w:val="0"/>
                  <w:marRight w:val="0"/>
                  <w:marTop w:val="0"/>
                  <w:marBottom w:val="0"/>
                  <w:divBdr>
                    <w:top w:val="none" w:sz="0" w:space="0" w:color="auto"/>
                    <w:left w:val="none" w:sz="0" w:space="0" w:color="auto"/>
                    <w:bottom w:val="none" w:sz="0" w:space="0" w:color="auto"/>
                    <w:right w:val="none" w:sz="0" w:space="0" w:color="auto"/>
                  </w:divBdr>
                  <w:divsChild>
                    <w:div w:id="1845050033">
                      <w:marLeft w:val="0"/>
                      <w:marRight w:val="0"/>
                      <w:marTop w:val="0"/>
                      <w:marBottom w:val="0"/>
                      <w:divBdr>
                        <w:top w:val="none" w:sz="0" w:space="0" w:color="auto"/>
                        <w:left w:val="none" w:sz="0" w:space="0" w:color="auto"/>
                        <w:bottom w:val="none" w:sz="0" w:space="0" w:color="auto"/>
                        <w:right w:val="none" w:sz="0" w:space="0" w:color="auto"/>
                      </w:divBdr>
                    </w:div>
                  </w:divsChild>
                </w:div>
                <w:div w:id="941500327">
                  <w:marLeft w:val="0"/>
                  <w:marRight w:val="0"/>
                  <w:marTop w:val="0"/>
                  <w:marBottom w:val="0"/>
                  <w:divBdr>
                    <w:top w:val="none" w:sz="0" w:space="0" w:color="auto"/>
                    <w:left w:val="none" w:sz="0" w:space="0" w:color="auto"/>
                    <w:bottom w:val="none" w:sz="0" w:space="0" w:color="auto"/>
                    <w:right w:val="none" w:sz="0" w:space="0" w:color="auto"/>
                  </w:divBdr>
                  <w:divsChild>
                    <w:div w:id="395318955">
                      <w:marLeft w:val="0"/>
                      <w:marRight w:val="0"/>
                      <w:marTop w:val="0"/>
                      <w:marBottom w:val="0"/>
                      <w:divBdr>
                        <w:top w:val="none" w:sz="0" w:space="0" w:color="auto"/>
                        <w:left w:val="none" w:sz="0" w:space="0" w:color="auto"/>
                        <w:bottom w:val="none" w:sz="0" w:space="0" w:color="auto"/>
                        <w:right w:val="none" w:sz="0" w:space="0" w:color="auto"/>
                      </w:divBdr>
                    </w:div>
                  </w:divsChild>
                </w:div>
                <w:div w:id="992757354">
                  <w:marLeft w:val="0"/>
                  <w:marRight w:val="0"/>
                  <w:marTop w:val="0"/>
                  <w:marBottom w:val="0"/>
                  <w:divBdr>
                    <w:top w:val="none" w:sz="0" w:space="0" w:color="auto"/>
                    <w:left w:val="none" w:sz="0" w:space="0" w:color="auto"/>
                    <w:bottom w:val="none" w:sz="0" w:space="0" w:color="auto"/>
                    <w:right w:val="none" w:sz="0" w:space="0" w:color="auto"/>
                  </w:divBdr>
                  <w:divsChild>
                    <w:div w:id="220795350">
                      <w:marLeft w:val="0"/>
                      <w:marRight w:val="0"/>
                      <w:marTop w:val="0"/>
                      <w:marBottom w:val="0"/>
                      <w:divBdr>
                        <w:top w:val="none" w:sz="0" w:space="0" w:color="auto"/>
                        <w:left w:val="none" w:sz="0" w:space="0" w:color="auto"/>
                        <w:bottom w:val="none" w:sz="0" w:space="0" w:color="auto"/>
                        <w:right w:val="none" w:sz="0" w:space="0" w:color="auto"/>
                      </w:divBdr>
                    </w:div>
                  </w:divsChild>
                </w:div>
                <w:div w:id="1071349181">
                  <w:marLeft w:val="0"/>
                  <w:marRight w:val="0"/>
                  <w:marTop w:val="0"/>
                  <w:marBottom w:val="0"/>
                  <w:divBdr>
                    <w:top w:val="none" w:sz="0" w:space="0" w:color="auto"/>
                    <w:left w:val="none" w:sz="0" w:space="0" w:color="auto"/>
                    <w:bottom w:val="none" w:sz="0" w:space="0" w:color="auto"/>
                    <w:right w:val="none" w:sz="0" w:space="0" w:color="auto"/>
                  </w:divBdr>
                  <w:divsChild>
                    <w:div w:id="1509101587">
                      <w:marLeft w:val="0"/>
                      <w:marRight w:val="0"/>
                      <w:marTop w:val="0"/>
                      <w:marBottom w:val="0"/>
                      <w:divBdr>
                        <w:top w:val="none" w:sz="0" w:space="0" w:color="auto"/>
                        <w:left w:val="none" w:sz="0" w:space="0" w:color="auto"/>
                        <w:bottom w:val="none" w:sz="0" w:space="0" w:color="auto"/>
                        <w:right w:val="none" w:sz="0" w:space="0" w:color="auto"/>
                      </w:divBdr>
                    </w:div>
                  </w:divsChild>
                </w:div>
                <w:div w:id="1208294597">
                  <w:marLeft w:val="0"/>
                  <w:marRight w:val="0"/>
                  <w:marTop w:val="0"/>
                  <w:marBottom w:val="0"/>
                  <w:divBdr>
                    <w:top w:val="none" w:sz="0" w:space="0" w:color="auto"/>
                    <w:left w:val="none" w:sz="0" w:space="0" w:color="auto"/>
                    <w:bottom w:val="none" w:sz="0" w:space="0" w:color="auto"/>
                    <w:right w:val="none" w:sz="0" w:space="0" w:color="auto"/>
                  </w:divBdr>
                  <w:divsChild>
                    <w:div w:id="1854755737">
                      <w:marLeft w:val="0"/>
                      <w:marRight w:val="0"/>
                      <w:marTop w:val="0"/>
                      <w:marBottom w:val="0"/>
                      <w:divBdr>
                        <w:top w:val="none" w:sz="0" w:space="0" w:color="auto"/>
                        <w:left w:val="none" w:sz="0" w:space="0" w:color="auto"/>
                        <w:bottom w:val="none" w:sz="0" w:space="0" w:color="auto"/>
                        <w:right w:val="none" w:sz="0" w:space="0" w:color="auto"/>
                      </w:divBdr>
                    </w:div>
                  </w:divsChild>
                </w:div>
                <w:div w:id="1302080561">
                  <w:marLeft w:val="0"/>
                  <w:marRight w:val="0"/>
                  <w:marTop w:val="0"/>
                  <w:marBottom w:val="0"/>
                  <w:divBdr>
                    <w:top w:val="none" w:sz="0" w:space="0" w:color="auto"/>
                    <w:left w:val="none" w:sz="0" w:space="0" w:color="auto"/>
                    <w:bottom w:val="none" w:sz="0" w:space="0" w:color="auto"/>
                    <w:right w:val="none" w:sz="0" w:space="0" w:color="auto"/>
                  </w:divBdr>
                  <w:divsChild>
                    <w:div w:id="514080454">
                      <w:marLeft w:val="0"/>
                      <w:marRight w:val="0"/>
                      <w:marTop w:val="0"/>
                      <w:marBottom w:val="0"/>
                      <w:divBdr>
                        <w:top w:val="none" w:sz="0" w:space="0" w:color="auto"/>
                        <w:left w:val="none" w:sz="0" w:space="0" w:color="auto"/>
                        <w:bottom w:val="none" w:sz="0" w:space="0" w:color="auto"/>
                        <w:right w:val="none" w:sz="0" w:space="0" w:color="auto"/>
                      </w:divBdr>
                    </w:div>
                  </w:divsChild>
                </w:div>
                <w:div w:id="1322000596">
                  <w:marLeft w:val="0"/>
                  <w:marRight w:val="0"/>
                  <w:marTop w:val="0"/>
                  <w:marBottom w:val="0"/>
                  <w:divBdr>
                    <w:top w:val="none" w:sz="0" w:space="0" w:color="auto"/>
                    <w:left w:val="none" w:sz="0" w:space="0" w:color="auto"/>
                    <w:bottom w:val="none" w:sz="0" w:space="0" w:color="auto"/>
                    <w:right w:val="none" w:sz="0" w:space="0" w:color="auto"/>
                  </w:divBdr>
                  <w:divsChild>
                    <w:div w:id="1114901323">
                      <w:marLeft w:val="0"/>
                      <w:marRight w:val="0"/>
                      <w:marTop w:val="0"/>
                      <w:marBottom w:val="0"/>
                      <w:divBdr>
                        <w:top w:val="none" w:sz="0" w:space="0" w:color="auto"/>
                        <w:left w:val="none" w:sz="0" w:space="0" w:color="auto"/>
                        <w:bottom w:val="none" w:sz="0" w:space="0" w:color="auto"/>
                        <w:right w:val="none" w:sz="0" w:space="0" w:color="auto"/>
                      </w:divBdr>
                    </w:div>
                  </w:divsChild>
                </w:div>
                <w:div w:id="1420566884">
                  <w:marLeft w:val="0"/>
                  <w:marRight w:val="0"/>
                  <w:marTop w:val="0"/>
                  <w:marBottom w:val="0"/>
                  <w:divBdr>
                    <w:top w:val="none" w:sz="0" w:space="0" w:color="auto"/>
                    <w:left w:val="none" w:sz="0" w:space="0" w:color="auto"/>
                    <w:bottom w:val="none" w:sz="0" w:space="0" w:color="auto"/>
                    <w:right w:val="none" w:sz="0" w:space="0" w:color="auto"/>
                  </w:divBdr>
                  <w:divsChild>
                    <w:div w:id="2002662613">
                      <w:marLeft w:val="0"/>
                      <w:marRight w:val="0"/>
                      <w:marTop w:val="0"/>
                      <w:marBottom w:val="0"/>
                      <w:divBdr>
                        <w:top w:val="none" w:sz="0" w:space="0" w:color="auto"/>
                        <w:left w:val="none" w:sz="0" w:space="0" w:color="auto"/>
                        <w:bottom w:val="none" w:sz="0" w:space="0" w:color="auto"/>
                        <w:right w:val="none" w:sz="0" w:space="0" w:color="auto"/>
                      </w:divBdr>
                    </w:div>
                  </w:divsChild>
                </w:div>
                <w:div w:id="1459256854">
                  <w:marLeft w:val="0"/>
                  <w:marRight w:val="0"/>
                  <w:marTop w:val="0"/>
                  <w:marBottom w:val="0"/>
                  <w:divBdr>
                    <w:top w:val="none" w:sz="0" w:space="0" w:color="auto"/>
                    <w:left w:val="none" w:sz="0" w:space="0" w:color="auto"/>
                    <w:bottom w:val="none" w:sz="0" w:space="0" w:color="auto"/>
                    <w:right w:val="none" w:sz="0" w:space="0" w:color="auto"/>
                  </w:divBdr>
                  <w:divsChild>
                    <w:div w:id="157768496">
                      <w:marLeft w:val="0"/>
                      <w:marRight w:val="0"/>
                      <w:marTop w:val="0"/>
                      <w:marBottom w:val="0"/>
                      <w:divBdr>
                        <w:top w:val="none" w:sz="0" w:space="0" w:color="auto"/>
                        <w:left w:val="none" w:sz="0" w:space="0" w:color="auto"/>
                        <w:bottom w:val="none" w:sz="0" w:space="0" w:color="auto"/>
                        <w:right w:val="none" w:sz="0" w:space="0" w:color="auto"/>
                      </w:divBdr>
                    </w:div>
                  </w:divsChild>
                </w:div>
                <w:div w:id="1524511759">
                  <w:marLeft w:val="0"/>
                  <w:marRight w:val="0"/>
                  <w:marTop w:val="0"/>
                  <w:marBottom w:val="0"/>
                  <w:divBdr>
                    <w:top w:val="none" w:sz="0" w:space="0" w:color="auto"/>
                    <w:left w:val="none" w:sz="0" w:space="0" w:color="auto"/>
                    <w:bottom w:val="none" w:sz="0" w:space="0" w:color="auto"/>
                    <w:right w:val="none" w:sz="0" w:space="0" w:color="auto"/>
                  </w:divBdr>
                  <w:divsChild>
                    <w:div w:id="1597523074">
                      <w:marLeft w:val="0"/>
                      <w:marRight w:val="0"/>
                      <w:marTop w:val="0"/>
                      <w:marBottom w:val="0"/>
                      <w:divBdr>
                        <w:top w:val="none" w:sz="0" w:space="0" w:color="auto"/>
                        <w:left w:val="none" w:sz="0" w:space="0" w:color="auto"/>
                        <w:bottom w:val="none" w:sz="0" w:space="0" w:color="auto"/>
                        <w:right w:val="none" w:sz="0" w:space="0" w:color="auto"/>
                      </w:divBdr>
                    </w:div>
                  </w:divsChild>
                </w:div>
                <w:div w:id="1532454623">
                  <w:marLeft w:val="0"/>
                  <w:marRight w:val="0"/>
                  <w:marTop w:val="0"/>
                  <w:marBottom w:val="0"/>
                  <w:divBdr>
                    <w:top w:val="none" w:sz="0" w:space="0" w:color="auto"/>
                    <w:left w:val="none" w:sz="0" w:space="0" w:color="auto"/>
                    <w:bottom w:val="none" w:sz="0" w:space="0" w:color="auto"/>
                    <w:right w:val="none" w:sz="0" w:space="0" w:color="auto"/>
                  </w:divBdr>
                  <w:divsChild>
                    <w:div w:id="34241360">
                      <w:marLeft w:val="0"/>
                      <w:marRight w:val="0"/>
                      <w:marTop w:val="0"/>
                      <w:marBottom w:val="0"/>
                      <w:divBdr>
                        <w:top w:val="none" w:sz="0" w:space="0" w:color="auto"/>
                        <w:left w:val="none" w:sz="0" w:space="0" w:color="auto"/>
                        <w:bottom w:val="none" w:sz="0" w:space="0" w:color="auto"/>
                        <w:right w:val="none" w:sz="0" w:space="0" w:color="auto"/>
                      </w:divBdr>
                    </w:div>
                  </w:divsChild>
                </w:div>
                <w:div w:id="1735005965">
                  <w:marLeft w:val="0"/>
                  <w:marRight w:val="0"/>
                  <w:marTop w:val="0"/>
                  <w:marBottom w:val="0"/>
                  <w:divBdr>
                    <w:top w:val="none" w:sz="0" w:space="0" w:color="auto"/>
                    <w:left w:val="none" w:sz="0" w:space="0" w:color="auto"/>
                    <w:bottom w:val="none" w:sz="0" w:space="0" w:color="auto"/>
                    <w:right w:val="none" w:sz="0" w:space="0" w:color="auto"/>
                  </w:divBdr>
                  <w:divsChild>
                    <w:div w:id="224028759">
                      <w:marLeft w:val="0"/>
                      <w:marRight w:val="0"/>
                      <w:marTop w:val="0"/>
                      <w:marBottom w:val="0"/>
                      <w:divBdr>
                        <w:top w:val="none" w:sz="0" w:space="0" w:color="auto"/>
                        <w:left w:val="none" w:sz="0" w:space="0" w:color="auto"/>
                        <w:bottom w:val="none" w:sz="0" w:space="0" w:color="auto"/>
                        <w:right w:val="none" w:sz="0" w:space="0" w:color="auto"/>
                      </w:divBdr>
                    </w:div>
                  </w:divsChild>
                </w:div>
                <w:div w:id="1750811999">
                  <w:marLeft w:val="0"/>
                  <w:marRight w:val="0"/>
                  <w:marTop w:val="0"/>
                  <w:marBottom w:val="0"/>
                  <w:divBdr>
                    <w:top w:val="none" w:sz="0" w:space="0" w:color="auto"/>
                    <w:left w:val="none" w:sz="0" w:space="0" w:color="auto"/>
                    <w:bottom w:val="none" w:sz="0" w:space="0" w:color="auto"/>
                    <w:right w:val="none" w:sz="0" w:space="0" w:color="auto"/>
                  </w:divBdr>
                  <w:divsChild>
                    <w:div w:id="1311713222">
                      <w:marLeft w:val="0"/>
                      <w:marRight w:val="0"/>
                      <w:marTop w:val="0"/>
                      <w:marBottom w:val="0"/>
                      <w:divBdr>
                        <w:top w:val="none" w:sz="0" w:space="0" w:color="auto"/>
                        <w:left w:val="none" w:sz="0" w:space="0" w:color="auto"/>
                        <w:bottom w:val="none" w:sz="0" w:space="0" w:color="auto"/>
                        <w:right w:val="none" w:sz="0" w:space="0" w:color="auto"/>
                      </w:divBdr>
                    </w:div>
                  </w:divsChild>
                </w:div>
                <w:div w:id="1983532595">
                  <w:marLeft w:val="0"/>
                  <w:marRight w:val="0"/>
                  <w:marTop w:val="0"/>
                  <w:marBottom w:val="0"/>
                  <w:divBdr>
                    <w:top w:val="none" w:sz="0" w:space="0" w:color="auto"/>
                    <w:left w:val="none" w:sz="0" w:space="0" w:color="auto"/>
                    <w:bottom w:val="none" w:sz="0" w:space="0" w:color="auto"/>
                    <w:right w:val="none" w:sz="0" w:space="0" w:color="auto"/>
                  </w:divBdr>
                  <w:divsChild>
                    <w:div w:id="965307072">
                      <w:marLeft w:val="0"/>
                      <w:marRight w:val="0"/>
                      <w:marTop w:val="0"/>
                      <w:marBottom w:val="0"/>
                      <w:divBdr>
                        <w:top w:val="none" w:sz="0" w:space="0" w:color="auto"/>
                        <w:left w:val="none" w:sz="0" w:space="0" w:color="auto"/>
                        <w:bottom w:val="none" w:sz="0" w:space="0" w:color="auto"/>
                        <w:right w:val="none" w:sz="0" w:space="0" w:color="auto"/>
                      </w:divBdr>
                    </w:div>
                  </w:divsChild>
                </w:div>
                <w:div w:id="2019309711">
                  <w:marLeft w:val="0"/>
                  <w:marRight w:val="0"/>
                  <w:marTop w:val="0"/>
                  <w:marBottom w:val="0"/>
                  <w:divBdr>
                    <w:top w:val="none" w:sz="0" w:space="0" w:color="auto"/>
                    <w:left w:val="none" w:sz="0" w:space="0" w:color="auto"/>
                    <w:bottom w:val="none" w:sz="0" w:space="0" w:color="auto"/>
                    <w:right w:val="none" w:sz="0" w:space="0" w:color="auto"/>
                  </w:divBdr>
                  <w:divsChild>
                    <w:div w:id="1125388149">
                      <w:marLeft w:val="0"/>
                      <w:marRight w:val="0"/>
                      <w:marTop w:val="0"/>
                      <w:marBottom w:val="0"/>
                      <w:divBdr>
                        <w:top w:val="none" w:sz="0" w:space="0" w:color="auto"/>
                        <w:left w:val="none" w:sz="0" w:space="0" w:color="auto"/>
                        <w:bottom w:val="none" w:sz="0" w:space="0" w:color="auto"/>
                        <w:right w:val="none" w:sz="0" w:space="0" w:color="auto"/>
                      </w:divBdr>
                    </w:div>
                  </w:divsChild>
                </w:div>
                <w:div w:id="2067534318">
                  <w:marLeft w:val="0"/>
                  <w:marRight w:val="0"/>
                  <w:marTop w:val="0"/>
                  <w:marBottom w:val="0"/>
                  <w:divBdr>
                    <w:top w:val="none" w:sz="0" w:space="0" w:color="auto"/>
                    <w:left w:val="none" w:sz="0" w:space="0" w:color="auto"/>
                    <w:bottom w:val="none" w:sz="0" w:space="0" w:color="auto"/>
                    <w:right w:val="none" w:sz="0" w:space="0" w:color="auto"/>
                  </w:divBdr>
                  <w:divsChild>
                    <w:div w:id="1478064086">
                      <w:marLeft w:val="0"/>
                      <w:marRight w:val="0"/>
                      <w:marTop w:val="0"/>
                      <w:marBottom w:val="0"/>
                      <w:divBdr>
                        <w:top w:val="none" w:sz="0" w:space="0" w:color="auto"/>
                        <w:left w:val="none" w:sz="0" w:space="0" w:color="auto"/>
                        <w:bottom w:val="none" w:sz="0" w:space="0" w:color="auto"/>
                        <w:right w:val="none" w:sz="0" w:space="0" w:color="auto"/>
                      </w:divBdr>
                    </w:div>
                  </w:divsChild>
                </w:div>
                <w:div w:id="2081635608">
                  <w:marLeft w:val="0"/>
                  <w:marRight w:val="0"/>
                  <w:marTop w:val="0"/>
                  <w:marBottom w:val="0"/>
                  <w:divBdr>
                    <w:top w:val="none" w:sz="0" w:space="0" w:color="auto"/>
                    <w:left w:val="none" w:sz="0" w:space="0" w:color="auto"/>
                    <w:bottom w:val="none" w:sz="0" w:space="0" w:color="auto"/>
                    <w:right w:val="none" w:sz="0" w:space="0" w:color="auto"/>
                  </w:divBdr>
                  <w:divsChild>
                    <w:div w:id="436020083">
                      <w:marLeft w:val="0"/>
                      <w:marRight w:val="0"/>
                      <w:marTop w:val="0"/>
                      <w:marBottom w:val="0"/>
                      <w:divBdr>
                        <w:top w:val="none" w:sz="0" w:space="0" w:color="auto"/>
                        <w:left w:val="none" w:sz="0" w:space="0" w:color="auto"/>
                        <w:bottom w:val="none" w:sz="0" w:space="0" w:color="auto"/>
                        <w:right w:val="none" w:sz="0" w:space="0" w:color="auto"/>
                      </w:divBdr>
                    </w:div>
                  </w:divsChild>
                </w:div>
                <w:div w:id="2094431381">
                  <w:marLeft w:val="0"/>
                  <w:marRight w:val="0"/>
                  <w:marTop w:val="0"/>
                  <w:marBottom w:val="0"/>
                  <w:divBdr>
                    <w:top w:val="none" w:sz="0" w:space="0" w:color="auto"/>
                    <w:left w:val="none" w:sz="0" w:space="0" w:color="auto"/>
                    <w:bottom w:val="none" w:sz="0" w:space="0" w:color="auto"/>
                    <w:right w:val="none" w:sz="0" w:space="0" w:color="auto"/>
                  </w:divBdr>
                  <w:divsChild>
                    <w:div w:id="10013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7435">
          <w:marLeft w:val="0"/>
          <w:marRight w:val="0"/>
          <w:marTop w:val="0"/>
          <w:marBottom w:val="0"/>
          <w:divBdr>
            <w:top w:val="none" w:sz="0" w:space="0" w:color="auto"/>
            <w:left w:val="none" w:sz="0" w:space="0" w:color="auto"/>
            <w:bottom w:val="none" w:sz="0" w:space="0" w:color="auto"/>
            <w:right w:val="none" w:sz="0" w:space="0" w:color="auto"/>
          </w:divBdr>
        </w:div>
        <w:div w:id="1434746450">
          <w:marLeft w:val="0"/>
          <w:marRight w:val="0"/>
          <w:marTop w:val="0"/>
          <w:marBottom w:val="0"/>
          <w:divBdr>
            <w:top w:val="none" w:sz="0" w:space="0" w:color="auto"/>
            <w:left w:val="none" w:sz="0" w:space="0" w:color="auto"/>
            <w:bottom w:val="none" w:sz="0" w:space="0" w:color="auto"/>
            <w:right w:val="none" w:sz="0" w:space="0" w:color="auto"/>
          </w:divBdr>
          <w:divsChild>
            <w:div w:id="472187106">
              <w:marLeft w:val="0"/>
              <w:marRight w:val="0"/>
              <w:marTop w:val="0"/>
              <w:marBottom w:val="0"/>
              <w:divBdr>
                <w:top w:val="none" w:sz="0" w:space="0" w:color="auto"/>
                <w:left w:val="none" w:sz="0" w:space="0" w:color="auto"/>
                <w:bottom w:val="none" w:sz="0" w:space="0" w:color="auto"/>
                <w:right w:val="none" w:sz="0" w:space="0" w:color="auto"/>
              </w:divBdr>
            </w:div>
            <w:div w:id="1075083346">
              <w:marLeft w:val="0"/>
              <w:marRight w:val="0"/>
              <w:marTop w:val="0"/>
              <w:marBottom w:val="0"/>
              <w:divBdr>
                <w:top w:val="none" w:sz="0" w:space="0" w:color="auto"/>
                <w:left w:val="none" w:sz="0" w:space="0" w:color="auto"/>
                <w:bottom w:val="none" w:sz="0" w:space="0" w:color="auto"/>
                <w:right w:val="none" w:sz="0" w:space="0" w:color="auto"/>
              </w:divBdr>
            </w:div>
            <w:div w:id="1287157947">
              <w:marLeft w:val="0"/>
              <w:marRight w:val="0"/>
              <w:marTop w:val="0"/>
              <w:marBottom w:val="0"/>
              <w:divBdr>
                <w:top w:val="none" w:sz="0" w:space="0" w:color="auto"/>
                <w:left w:val="none" w:sz="0" w:space="0" w:color="auto"/>
                <w:bottom w:val="none" w:sz="0" w:space="0" w:color="auto"/>
                <w:right w:val="none" w:sz="0" w:space="0" w:color="auto"/>
              </w:divBdr>
            </w:div>
            <w:div w:id="1967857889">
              <w:marLeft w:val="0"/>
              <w:marRight w:val="0"/>
              <w:marTop w:val="0"/>
              <w:marBottom w:val="0"/>
              <w:divBdr>
                <w:top w:val="none" w:sz="0" w:space="0" w:color="auto"/>
                <w:left w:val="none" w:sz="0" w:space="0" w:color="auto"/>
                <w:bottom w:val="none" w:sz="0" w:space="0" w:color="auto"/>
                <w:right w:val="none" w:sz="0" w:space="0" w:color="auto"/>
              </w:divBdr>
            </w:div>
          </w:divsChild>
        </w:div>
        <w:div w:id="1459452813">
          <w:marLeft w:val="0"/>
          <w:marRight w:val="0"/>
          <w:marTop w:val="0"/>
          <w:marBottom w:val="0"/>
          <w:divBdr>
            <w:top w:val="none" w:sz="0" w:space="0" w:color="auto"/>
            <w:left w:val="none" w:sz="0" w:space="0" w:color="auto"/>
            <w:bottom w:val="none" w:sz="0" w:space="0" w:color="auto"/>
            <w:right w:val="none" w:sz="0" w:space="0" w:color="auto"/>
          </w:divBdr>
          <w:divsChild>
            <w:div w:id="7681486">
              <w:marLeft w:val="0"/>
              <w:marRight w:val="0"/>
              <w:marTop w:val="0"/>
              <w:marBottom w:val="0"/>
              <w:divBdr>
                <w:top w:val="none" w:sz="0" w:space="0" w:color="auto"/>
                <w:left w:val="none" w:sz="0" w:space="0" w:color="auto"/>
                <w:bottom w:val="none" w:sz="0" w:space="0" w:color="auto"/>
                <w:right w:val="none" w:sz="0" w:space="0" w:color="auto"/>
              </w:divBdr>
            </w:div>
            <w:div w:id="98838960">
              <w:marLeft w:val="0"/>
              <w:marRight w:val="0"/>
              <w:marTop w:val="0"/>
              <w:marBottom w:val="0"/>
              <w:divBdr>
                <w:top w:val="none" w:sz="0" w:space="0" w:color="auto"/>
                <w:left w:val="none" w:sz="0" w:space="0" w:color="auto"/>
                <w:bottom w:val="none" w:sz="0" w:space="0" w:color="auto"/>
                <w:right w:val="none" w:sz="0" w:space="0" w:color="auto"/>
              </w:divBdr>
            </w:div>
            <w:div w:id="234900574">
              <w:marLeft w:val="0"/>
              <w:marRight w:val="0"/>
              <w:marTop w:val="0"/>
              <w:marBottom w:val="0"/>
              <w:divBdr>
                <w:top w:val="none" w:sz="0" w:space="0" w:color="auto"/>
                <w:left w:val="none" w:sz="0" w:space="0" w:color="auto"/>
                <w:bottom w:val="none" w:sz="0" w:space="0" w:color="auto"/>
                <w:right w:val="none" w:sz="0" w:space="0" w:color="auto"/>
              </w:divBdr>
            </w:div>
            <w:div w:id="1366056726">
              <w:marLeft w:val="0"/>
              <w:marRight w:val="0"/>
              <w:marTop w:val="0"/>
              <w:marBottom w:val="0"/>
              <w:divBdr>
                <w:top w:val="none" w:sz="0" w:space="0" w:color="auto"/>
                <w:left w:val="none" w:sz="0" w:space="0" w:color="auto"/>
                <w:bottom w:val="none" w:sz="0" w:space="0" w:color="auto"/>
                <w:right w:val="none" w:sz="0" w:space="0" w:color="auto"/>
              </w:divBdr>
            </w:div>
            <w:div w:id="1873151427">
              <w:marLeft w:val="0"/>
              <w:marRight w:val="0"/>
              <w:marTop w:val="0"/>
              <w:marBottom w:val="0"/>
              <w:divBdr>
                <w:top w:val="none" w:sz="0" w:space="0" w:color="auto"/>
                <w:left w:val="none" w:sz="0" w:space="0" w:color="auto"/>
                <w:bottom w:val="none" w:sz="0" w:space="0" w:color="auto"/>
                <w:right w:val="none" w:sz="0" w:space="0" w:color="auto"/>
              </w:divBdr>
            </w:div>
          </w:divsChild>
        </w:div>
        <w:div w:id="1476222978">
          <w:marLeft w:val="0"/>
          <w:marRight w:val="0"/>
          <w:marTop w:val="0"/>
          <w:marBottom w:val="0"/>
          <w:divBdr>
            <w:top w:val="none" w:sz="0" w:space="0" w:color="auto"/>
            <w:left w:val="none" w:sz="0" w:space="0" w:color="auto"/>
            <w:bottom w:val="none" w:sz="0" w:space="0" w:color="auto"/>
            <w:right w:val="none" w:sz="0" w:space="0" w:color="auto"/>
          </w:divBdr>
        </w:div>
        <w:div w:id="1497762357">
          <w:marLeft w:val="0"/>
          <w:marRight w:val="0"/>
          <w:marTop w:val="0"/>
          <w:marBottom w:val="0"/>
          <w:divBdr>
            <w:top w:val="none" w:sz="0" w:space="0" w:color="auto"/>
            <w:left w:val="none" w:sz="0" w:space="0" w:color="auto"/>
            <w:bottom w:val="none" w:sz="0" w:space="0" w:color="auto"/>
            <w:right w:val="none" w:sz="0" w:space="0" w:color="auto"/>
          </w:divBdr>
          <w:divsChild>
            <w:div w:id="949971286">
              <w:marLeft w:val="0"/>
              <w:marRight w:val="0"/>
              <w:marTop w:val="0"/>
              <w:marBottom w:val="0"/>
              <w:divBdr>
                <w:top w:val="none" w:sz="0" w:space="0" w:color="auto"/>
                <w:left w:val="none" w:sz="0" w:space="0" w:color="auto"/>
                <w:bottom w:val="none" w:sz="0" w:space="0" w:color="auto"/>
                <w:right w:val="none" w:sz="0" w:space="0" w:color="auto"/>
              </w:divBdr>
            </w:div>
            <w:div w:id="975985794">
              <w:marLeft w:val="0"/>
              <w:marRight w:val="0"/>
              <w:marTop w:val="0"/>
              <w:marBottom w:val="0"/>
              <w:divBdr>
                <w:top w:val="none" w:sz="0" w:space="0" w:color="auto"/>
                <w:left w:val="none" w:sz="0" w:space="0" w:color="auto"/>
                <w:bottom w:val="none" w:sz="0" w:space="0" w:color="auto"/>
                <w:right w:val="none" w:sz="0" w:space="0" w:color="auto"/>
              </w:divBdr>
            </w:div>
            <w:div w:id="1060789841">
              <w:marLeft w:val="0"/>
              <w:marRight w:val="0"/>
              <w:marTop w:val="0"/>
              <w:marBottom w:val="0"/>
              <w:divBdr>
                <w:top w:val="none" w:sz="0" w:space="0" w:color="auto"/>
                <w:left w:val="none" w:sz="0" w:space="0" w:color="auto"/>
                <w:bottom w:val="none" w:sz="0" w:space="0" w:color="auto"/>
                <w:right w:val="none" w:sz="0" w:space="0" w:color="auto"/>
              </w:divBdr>
            </w:div>
            <w:div w:id="1376541004">
              <w:marLeft w:val="0"/>
              <w:marRight w:val="0"/>
              <w:marTop w:val="0"/>
              <w:marBottom w:val="0"/>
              <w:divBdr>
                <w:top w:val="none" w:sz="0" w:space="0" w:color="auto"/>
                <w:left w:val="none" w:sz="0" w:space="0" w:color="auto"/>
                <w:bottom w:val="none" w:sz="0" w:space="0" w:color="auto"/>
                <w:right w:val="none" w:sz="0" w:space="0" w:color="auto"/>
              </w:divBdr>
            </w:div>
            <w:div w:id="1491405360">
              <w:marLeft w:val="0"/>
              <w:marRight w:val="0"/>
              <w:marTop w:val="0"/>
              <w:marBottom w:val="0"/>
              <w:divBdr>
                <w:top w:val="none" w:sz="0" w:space="0" w:color="auto"/>
                <w:left w:val="none" w:sz="0" w:space="0" w:color="auto"/>
                <w:bottom w:val="none" w:sz="0" w:space="0" w:color="auto"/>
                <w:right w:val="none" w:sz="0" w:space="0" w:color="auto"/>
              </w:divBdr>
            </w:div>
            <w:div w:id="1625310660">
              <w:marLeft w:val="0"/>
              <w:marRight w:val="0"/>
              <w:marTop w:val="0"/>
              <w:marBottom w:val="0"/>
              <w:divBdr>
                <w:top w:val="none" w:sz="0" w:space="0" w:color="auto"/>
                <w:left w:val="none" w:sz="0" w:space="0" w:color="auto"/>
                <w:bottom w:val="none" w:sz="0" w:space="0" w:color="auto"/>
                <w:right w:val="none" w:sz="0" w:space="0" w:color="auto"/>
              </w:divBdr>
            </w:div>
            <w:div w:id="1717388613">
              <w:marLeft w:val="0"/>
              <w:marRight w:val="0"/>
              <w:marTop w:val="0"/>
              <w:marBottom w:val="0"/>
              <w:divBdr>
                <w:top w:val="none" w:sz="0" w:space="0" w:color="auto"/>
                <w:left w:val="none" w:sz="0" w:space="0" w:color="auto"/>
                <w:bottom w:val="none" w:sz="0" w:space="0" w:color="auto"/>
                <w:right w:val="none" w:sz="0" w:space="0" w:color="auto"/>
              </w:divBdr>
            </w:div>
            <w:div w:id="2122722167">
              <w:marLeft w:val="0"/>
              <w:marRight w:val="0"/>
              <w:marTop w:val="0"/>
              <w:marBottom w:val="0"/>
              <w:divBdr>
                <w:top w:val="none" w:sz="0" w:space="0" w:color="auto"/>
                <w:left w:val="none" w:sz="0" w:space="0" w:color="auto"/>
                <w:bottom w:val="none" w:sz="0" w:space="0" w:color="auto"/>
                <w:right w:val="none" w:sz="0" w:space="0" w:color="auto"/>
              </w:divBdr>
            </w:div>
          </w:divsChild>
        </w:div>
        <w:div w:id="1527794472">
          <w:marLeft w:val="0"/>
          <w:marRight w:val="0"/>
          <w:marTop w:val="0"/>
          <w:marBottom w:val="0"/>
          <w:divBdr>
            <w:top w:val="none" w:sz="0" w:space="0" w:color="auto"/>
            <w:left w:val="none" w:sz="0" w:space="0" w:color="auto"/>
            <w:bottom w:val="none" w:sz="0" w:space="0" w:color="auto"/>
            <w:right w:val="none" w:sz="0" w:space="0" w:color="auto"/>
          </w:divBdr>
          <w:divsChild>
            <w:div w:id="593824877">
              <w:marLeft w:val="0"/>
              <w:marRight w:val="0"/>
              <w:marTop w:val="0"/>
              <w:marBottom w:val="0"/>
              <w:divBdr>
                <w:top w:val="none" w:sz="0" w:space="0" w:color="auto"/>
                <w:left w:val="none" w:sz="0" w:space="0" w:color="auto"/>
                <w:bottom w:val="none" w:sz="0" w:space="0" w:color="auto"/>
                <w:right w:val="none" w:sz="0" w:space="0" w:color="auto"/>
              </w:divBdr>
            </w:div>
            <w:div w:id="1267352760">
              <w:marLeft w:val="0"/>
              <w:marRight w:val="0"/>
              <w:marTop w:val="0"/>
              <w:marBottom w:val="0"/>
              <w:divBdr>
                <w:top w:val="none" w:sz="0" w:space="0" w:color="auto"/>
                <w:left w:val="none" w:sz="0" w:space="0" w:color="auto"/>
                <w:bottom w:val="none" w:sz="0" w:space="0" w:color="auto"/>
                <w:right w:val="none" w:sz="0" w:space="0" w:color="auto"/>
              </w:divBdr>
            </w:div>
            <w:div w:id="2018533123">
              <w:marLeft w:val="0"/>
              <w:marRight w:val="0"/>
              <w:marTop w:val="0"/>
              <w:marBottom w:val="0"/>
              <w:divBdr>
                <w:top w:val="none" w:sz="0" w:space="0" w:color="auto"/>
                <w:left w:val="none" w:sz="0" w:space="0" w:color="auto"/>
                <w:bottom w:val="none" w:sz="0" w:space="0" w:color="auto"/>
                <w:right w:val="none" w:sz="0" w:space="0" w:color="auto"/>
              </w:divBdr>
            </w:div>
          </w:divsChild>
        </w:div>
        <w:div w:id="1528760874">
          <w:marLeft w:val="0"/>
          <w:marRight w:val="0"/>
          <w:marTop w:val="0"/>
          <w:marBottom w:val="0"/>
          <w:divBdr>
            <w:top w:val="none" w:sz="0" w:space="0" w:color="auto"/>
            <w:left w:val="none" w:sz="0" w:space="0" w:color="auto"/>
            <w:bottom w:val="none" w:sz="0" w:space="0" w:color="auto"/>
            <w:right w:val="none" w:sz="0" w:space="0" w:color="auto"/>
          </w:divBdr>
        </w:div>
        <w:div w:id="1552184191">
          <w:marLeft w:val="0"/>
          <w:marRight w:val="0"/>
          <w:marTop w:val="0"/>
          <w:marBottom w:val="0"/>
          <w:divBdr>
            <w:top w:val="none" w:sz="0" w:space="0" w:color="auto"/>
            <w:left w:val="none" w:sz="0" w:space="0" w:color="auto"/>
            <w:bottom w:val="none" w:sz="0" w:space="0" w:color="auto"/>
            <w:right w:val="none" w:sz="0" w:space="0" w:color="auto"/>
          </w:divBdr>
        </w:div>
        <w:div w:id="1611082781">
          <w:marLeft w:val="0"/>
          <w:marRight w:val="0"/>
          <w:marTop w:val="0"/>
          <w:marBottom w:val="0"/>
          <w:divBdr>
            <w:top w:val="none" w:sz="0" w:space="0" w:color="auto"/>
            <w:left w:val="none" w:sz="0" w:space="0" w:color="auto"/>
            <w:bottom w:val="none" w:sz="0" w:space="0" w:color="auto"/>
            <w:right w:val="none" w:sz="0" w:space="0" w:color="auto"/>
          </w:divBdr>
          <w:divsChild>
            <w:div w:id="1260333795">
              <w:marLeft w:val="-75"/>
              <w:marRight w:val="0"/>
              <w:marTop w:val="30"/>
              <w:marBottom w:val="30"/>
              <w:divBdr>
                <w:top w:val="none" w:sz="0" w:space="0" w:color="auto"/>
                <w:left w:val="none" w:sz="0" w:space="0" w:color="auto"/>
                <w:bottom w:val="none" w:sz="0" w:space="0" w:color="auto"/>
                <w:right w:val="none" w:sz="0" w:space="0" w:color="auto"/>
              </w:divBdr>
              <w:divsChild>
                <w:div w:id="151262007">
                  <w:marLeft w:val="0"/>
                  <w:marRight w:val="0"/>
                  <w:marTop w:val="0"/>
                  <w:marBottom w:val="0"/>
                  <w:divBdr>
                    <w:top w:val="none" w:sz="0" w:space="0" w:color="auto"/>
                    <w:left w:val="none" w:sz="0" w:space="0" w:color="auto"/>
                    <w:bottom w:val="none" w:sz="0" w:space="0" w:color="auto"/>
                    <w:right w:val="none" w:sz="0" w:space="0" w:color="auto"/>
                  </w:divBdr>
                  <w:divsChild>
                    <w:div w:id="81032894">
                      <w:marLeft w:val="0"/>
                      <w:marRight w:val="0"/>
                      <w:marTop w:val="0"/>
                      <w:marBottom w:val="0"/>
                      <w:divBdr>
                        <w:top w:val="none" w:sz="0" w:space="0" w:color="auto"/>
                        <w:left w:val="none" w:sz="0" w:space="0" w:color="auto"/>
                        <w:bottom w:val="none" w:sz="0" w:space="0" w:color="auto"/>
                        <w:right w:val="none" w:sz="0" w:space="0" w:color="auto"/>
                      </w:divBdr>
                    </w:div>
                  </w:divsChild>
                </w:div>
                <w:div w:id="187648336">
                  <w:marLeft w:val="0"/>
                  <w:marRight w:val="0"/>
                  <w:marTop w:val="0"/>
                  <w:marBottom w:val="0"/>
                  <w:divBdr>
                    <w:top w:val="none" w:sz="0" w:space="0" w:color="auto"/>
                    <w:left w:val="none" w:sz="0" w:space="0" w:color="auto"/>
                    <w:bottom w:val="none" w:sz="0" w:space="0" w:color="auto"/>
                    <w:right w:val="none" w:sz="0" w:space="0" w:color="auto"/>
                  </w:divBdr>
                  <w:divsChild>
                    <w:div w:id="562763701">
                      <w:marLeft w:val="0"/>
                      <w:marRight w:val="0"/>
                      <w:marTop w:val="0"/>
                      <w:marBottom w:val="0"/>
                      <w:divBdr>
                        <w:top w:val="none" w:sz="0" w:space="0" w:color="auto"/>
                        <w:left w:val="none" w:sz="0" w:space="0" w:color="auto"/>
                        <w:bottom w:val="none" w:sz="0" w:space="0" w:color="auto"/>
                        <w:right w:val="none" w:sz="0" w:space="0" w:color="auto"/>
                      </w:divBdr>
                    </w:div>
                  </w:divsChild>
                </w:div>
                <w:div w:id="199828135">
                  <w:marLeft w:val="0"/>
                  <w:marRight w:val="0"/>
                  <w:marTop w:val="0"/>
                  <w:marBottom w:val="0"/>
                  <w:divBdr>
                    <w:top w:val="none" w:sz="0" w:space="0" w:color="auto"/>
                    <w:left w:val="none" w:sz="0" w:space="0" w:color="auto"/>
                    <w:bottom w:val="none" w:sz="0" w:space="0" w:color="auto"/>
                    <w:right w:val="none" w:sz="0" w:space="0" w:color="auto"/>
                  </w:divBdr>
                  <w:divsChild>
                    <w:div w:id="1319311041">
                      <w:marLeft w:val="0"/>
                      <w:marRight w:val="0"/>
                      <w:marTop w:val="0"/>
                      <w:marBottom w:val="0"/>
                      <w:divBdr>
                        <w:top w:val="none" w:sz="0" w:space="0" w:color="auto"/>
                        <w:left w:val="none" w:sz="0" w:space="0" w:color="auto"/>
                        <w:bottom w:val="none" w:sz="0" w:space="0" w:color="auto"/>
                        <w:right w:val="none" w:sz="0" w:space="0" w:color="auto"/>
                      </w:divBdr>
                    </w:div>
                  </w:divsChild>
                </w:div>
                <w:div w:id="203058864">
                  <w:marLeft w:val="0"/>
                  <w:marRight w:val="0"/>
                  <w:marTop w:val="0"/>
                  <w:marBottom w:val="0"/>
                  <w:divBdr>
                    <w:top w:val="none" w:sz="0" w:space="0" w:color="auto"/>
                    <w:left w:val="none" w:sz="0" w:space="0" w:color="auto"/>
                    <w:bottom w:val="none" w:sz="0" w:space="0" w:color="auto"/>
                    <w:right w:val="none" w:sz="0" w:space="0" w:color="auto"/>
                  </w:divBdr>
                  <w:divsChild>
                    <w:div w:id="533348487">
                      <w:marLeft w:val="0"/>
                      <w:marRight w:val="0"/>
                      <w:marTop w:val="0"/>
                      <w:marBottom w:val="0"/>
                      <w:divBdr>
                        <w:top w:val="none" w:sz="0" w:space="0" w:color="auto"/>
                        <w:left w:val="none" w:sz="0" w:space="0" w:color="auto"/>
                        <w:bottom w:val="none" w:sz="0" w:space="0" w:color="auto"/>
                        <w:right w:val="none" w:sz="0" w:space="0" w:color="auto"/>
                      </w:divBdr>
                    </w:div>
                  </w:divsChild>
                </w:div>
                <w:div w:id="314066631">
                  <w:marLeft w:val="0"/>
                  <w:marRight w:val="0"/>
                  <w:marTop w:val="0"/>
                  <w:marBottom w:val="0"/>
                  <w:divBdr>
                    <w:top w:val="none" w:sz="0" w:space="0" w:color="auto"/>
                    <w:left w:val="none" w:sz="0" w:space="0" w:color="auto"/>
                    <w:bottom w:val="none" w:sz="0" w:space="0" w:color="auto"/>
                    <w:right w:val="none" w:sz="0" w:space="0" w:color="auto"/>
                  </w:divBdr>
                  <w:divsChild>
                    <w:div w:id="960459211">
                      <w:marLeft w:val="0"/>
                      <w:marRight w:val="0"/>
                      <w:marTop w:val="0"/>
                      <w:marBottom w:val="0"/>
                      <w:divBdr>
                        <w:top w:val="none" w:sz="0" w:space="0" w:color="auto"/>
                        <w:left w:val="none" w:sz="0" w:space="0" w:color="auto"/>
                        <w:bottom w:val="none" w:sz="0" w:space="0" w:color="auto"/>
                        <w:right w:val="none" w:sz="0" w:space="0" w:color="auto"/>
                      </w:divBdr>
                    </w:div>
                  </w:divsChild>
                </w:div>
                <w:div w:id="338628960">
                  <w:marLeft w:val="0"/>
                  <w:marRight w:val="0"/>
                  <w:marTop w:val="0"/>
                  <w:marBottom w:val="0"/>
                  <w:divBdr>
                    <w:top w:val="none" w:sz="0" w:space="0" w:color="auto"/>
                    <w:left w:val="none" w:sz="0" w:space="0" w:color="auto"/>
                    <w:bottom w:val="none" w:sz="0" w:space="0" w:color="auto"/>
                    <w:right w:val="none" w:sz="0" w:space="0" w:color="auto"/>
                  </w:divBdr>
                  <w:divsChild>
                    <w:div w:id="160244906">
                      <w:marLeft w:val="0"/>
                      <w:marRight w:val="0"/>
                      <w:marTop w:val="0"/>
                      <w:marBottom w:val="0"/>
                      <w:divBdr>
                        <w:top w:val="none" w:sz="0" w:space="0" w:color="auto"/>
                        <w:left w:val="none" w:sz="0" w:space="0" w:color="auto"/>
                        <w:bottom w:val="none" w:sz="0" w:space="0" w:color="auto"/>
                        <w:right w:val="none" w:sz="0" w:space="0" w:color="auto"/>
                      </w:divBdr>
                    </w:div>
                  </w:divsChild>
                </w:div>
                <w:div w:id="379138429">
                  <w:marLeft w:val="0"/>
                  <w:marRight w:val="0"/>
                  <w:marTop w:val="0"/>
                  <w:marBottom w:val="0"/>
                  <w:divBdr>
                    <w:top w:val="none" w:sz="0" w:space="0" w:color="auto"/>
                    <w:left w:val="none" w:sz="0" w:space="0" w:color="auto"/>
                    <w:bottom w:val="none" w:sz="0" w:space="0" w:color="auto"/>
                    <w:right w:val="none" w:sz="0" w:space="0" w:color="auto"/>
                  </w:divBdr>
                  <w:divsChild>
                    <w:div w:id="1926647794">
                      <w:marLeft w:val="0"/>
                      <w:marRight w:val="0"/>
                      <w:marTop w:val="0"/>
                      <w:marBottom w:val="0"/>
                      <w:divBdr>
                        <w:top w:val="none" w:sz="0" w:space="0" w:color="auto"/>
                        <w:left w:val="none" w:sz="0" w:space="0" w:color="auto"/>
                        <w:bottom w:val="none" w:sz="0" w:space="0" w:color="auto"/>
                        <w:right w:val="none" w:sz="0" w:space="0" w:color="auto"/>
                      </w:divBdr>
                    </w:div>
                  </w:divsChild>
                </w:div>
                <w:div w:id="742223177">
                  <w:marLeft w:val="0"/>
                  <w:marRight w:val="0"/>
                  <w:marTop w:val="0"/>
                  <w:marBottom w:val="0"/>
                  <w:divBdr>
                    <w:top w:val="none" w:sz="0" w:space="0" w:color="auto"/>
                    <w:left w:val="none" w:sz="0" w:space="0" w:color="auto"/>
                    <w:bottom w:val="none" w:sz="0" w:space="0" w:color="auto"/>
                    <w:right w:val="none" w:sz="0" w:space="0" w:color="auto"/>
                  </w:divBdr>
                  <w:divsChild>
                    <w:div w:id="1896159785">
                      <w:marLeft w:val="0"/>
                      <w:marRight w:val="0"/>
                      <w:marTop w:val="0"/>
                      <w:marBottom w:val="0"/>
                      <w:divBdr>
                        <w:top w:val="none" w:sz="0" w:space="0" w:color="auto"/>
                        <w:left w:val="none" w:sz="0" w:space="0" w:color="auto"/>
                        <w:bottom w:val="none" w:sz="0" w:space="0" w:color="auto"/>
                        <w:right w:val="none" w:sz="0" w:space="0" w:color="auto"/>
                      </w:divBdr>
                    </w:div>
                  </w:divsChild>
                </w:div>
                <w:div w:id="755590938">
                  <w:marLeft w:val="0"/>
                  <w:marRight w:val="0"/>
                  <w:marTop w:val="0"/>
                  <w:marBottom w:val="0"/>
                  <w:divBdr>
                    <w:top w:val="none" w:sz="0" w:space="0" w:color="auto"/>
                    <w:left w:val="none" w:sz="0" w:space="0" w:color="auto"/>
                    <w:bottom w:val="none" w:sz="0" w:space="0" w:color="auto"/>
                    <w:right w:val="none" w:sz="0" w:space="0" w:color="auto"/>
                  </w:divBdr>
                  <w:divsChild>
                    <w:div w:id="1334845380">
                      <w:marLeft w:val="0"/>
                      <w:marRight w:val="0"/>
                      <w:marTop w:val="0"/>
                      <w:marBottom w:val="0"/>
                      <w:divBdr>
                        <w:top w:val="none" w:sz="0" w:space="0" w:color="auto"/>
                        <w:left w:val="none" w:sz="0" w:space="0" w:color="auto"/>
                        <w:bottom w:val="none" w:sz="0" w:space="0" w:color="auto"/>
                        <w:right w:val="none" w:sz="0" w:space="0" w:color="auto"/>
                      </w:divBdr>
                    </w:div>
                  </w:divsChild>
                </w:div>
                <w:div w:id="790168031">
                  <w:marLeft w:val="0"/>
                  <w:marRight w:val="0"/>
                  <w:marTop w:val="0"/>
                  <w:marBottom w:val="0"/>
                  <w:divBdr>
                    <w:top w:val="none" w:sz="0" w:space="0" w:color="auto"/>
                    <w:left w:val="none" w:sz="0" w:space="0" w:color="auto"/>
                    <w:bottom w:val="none" w:sz="0" w:space="0" w:color="auto"/>
                    <w:right w:val="none" w:sz="0" w:space="0" w:color="auto"/>
                  </w:divBdr>
                  <w:divsChild>
                    <w:div w:id="544608649">
                      <w:marLeft w:val="0"/>
                      <w:marRight w:val="0"/>
                      <w:marTop w:val="0"/>
                      <w:marBottom w:val="0"/>
                      <w:divBdr>
                        <w:top w:val="none" w:sz="0" w:space="0" w:color="auto"/>
                        <w:left w:val="none" w:sz="0" w:space="0" w:color="auto"/>
                        <w:bottom w:val="none" w:sz="0" w:space="0" w:color="auto"/>
                        <w:right w:val="none" w:sz="0" w:space="0" w:color="auto"/>
                      </w:divBdr>
                    </w:div>
                  </w:divsChild>
                </w:div>
                <w:div w:id="966198179">
                  <w:marLeft w:val="0"/>
                  <w:marRight w:val="0"/>
                  <w:marTop w:val="0"/>
                  <w:marBottom w:val="0"/>
                  <w:divBdr>
                    <w:top w:val="none" w:sz="0" w:space="0" w:color="auto"/>
                    <w:left w:val="none" w:sz="0" w:space="0" w:color="auto"/>
                    <w:bottom w:val="none" w:sz="0" w:space="0" w:color="auto"/>
                    <w:right w:val="none" w:sz="0" w:space="0" w:color="auto"/>
                  </w:divBdr>
                  <w:divsChild>
                    <w:div w:id="788285176">
                      <w:marLeft w:val="0"/>
                      <w:marRight w:val="0"/>
                      <w:marTop w:val="0"/>
                      <w:marBottom w:val="0"/>
                      <w:divBdr>
                        <w:top w:val="none" w:sz="0" w:space="0" w:color="auto"/>
                        <w:left w:val="none" w:sz="0" w:space="0" w:color="auto"/>
                        <w:bottom w:val="none" w:sz="0" w:space="0" w:color="auto"/>
                        <w:right w:val="none" w:sz="0" w:space="0" w:color="auto"/>
                      </w:divBdr>
                    </w:div>
                  </w:divsChild>
                </w:div>
                <w:div w:id="1116951157">
                  <w:marLeft w:val="0"/>
                  <w:marRight w:val="0"/>
                  <w:marTop w:val="0"/>
                  <w:marBottom w:val="0"/>
                  <w:divBdr>
                    <w:top w:val="none" w:sz="0" w:space="0" w:color="auto"/>
                    <w:left w:val="none" w:sz="0" w:space="0" w:color="auto"/>
                    <w:bottom w:val="none" w:sz="0" w:space="0" w:color="auto"/>
                    <w:right w:val="none" w:sz="0" w:space="0" w:color="auto"/>
                  </w:divBdr>
                  <w:divsChild>
                    <w:div w:id="446000314">
                      <w:marLeft w:val="0"/>
                      <w:marRight w:val="0"/>
                      <w:marTop w:val="0"/>
                      <w:marBottom w:val="0"/>
                      <w:divBdr>
                        <w:top w:val="none" w:sz="0" w:space="0" w:color="auto"/>
                        <w:left w:val="none" w:sz="0" w:space="0" w:color="auto"/>
                        <w:bottom w:val="none" w:sz="0" w:space="0" w:color="auto"/>
                        <w:right w:val="none" w:sz="0" w:space="0" w:color="auto"/>
                      </w:divBdr>
                    </w:div>
                  </w:divsChild>
                </w:div>
                <w:div w:id="1141075307">
                  <w:marLeft w:val="0"/>
                  <w:marRight w:val="0"/>
                  <w:marTop w:val="0"/>
                  <w:marBottom w:val="0"/>
                  <w:divBdr>
                    <w:top w:val="none" w:sz="0" w:space="0" w:color="auto"/>
                    <w:left w:val="none" w:sz="0" w:space="0" w:color="auto"/>
                    <w:bottom w:val="none" w:sz="0" w:space="0" w:color="auto"/>
                    <w:right w:val="none" w:sz="0" w:space="0" w:color="auto"/>
                  </w:divBdr>
                  <w:divsChild>
                    <w:div w:id="622156067">
                      <w:marLeft w:val="0"/>
                      <w:marRight w:val="0"/>
                      <w:marTop w:val="0"/>
                      <w:marBottom w:val="0"/>
                      <w:divBdr>
                        <w:top w:val="none" w:sz="0" w:space="0" w:color="auto"/>
                        <w:left w:val="none" w:sz="0" w:space="0" w:color="auto"/>
                        <w:bottom w:val="none" w:sz="0" w:space="0" w:color="auto"/>
                        <w:right w:val="none" w:sz="0" w:space="0" w:color="auto"/>
                      </w:divBdr>
                    </w:div>
                  </w:divsChild>
                </w:div>
                <w:div w:id="1784229952">
                  <w:marLeft w:val="0"/>
                  <w:marRight w:val="0"/>
                  <w:marTop w:val="0"/>
                  <w:marBottom w:val="0"/>
                  <w:divBdr>
                    <w:top w:val="none" w:sz="0" w:space="0" w:color="auto"/>
                    <w:left w:val="none" w:sz="0" w:space="0" w:color="auto"/>
                    <w:bottom w:val="none" w:sz="0" w:space="0" w:color="auto"/>
                    <w:right w:val="none" w:sz="0" w:space="0" w:color="auto"/>
                  </w:divBdr>
                  <w:divsChild>
                    <w:div w:id="11132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9000">
          <w:marLeft w:val="0"/>
          <w:marRight w:val="0"/>
          <w:marTop w:val="0"/>
          <w:marBottom w:val="0"/>
          <w:divBdr>
            <w:top w:val="none" w:sz="0" w:space="0" w:color="auto"/>
            <w:left w:val="none" w:sz="0" w:space="0" w:color="auto"/>
            <w:bottom w:val="none" w:sz="0" w:space="0" w:color="auto"/>
            <w:right w:val="none" w:sz="0" w:space="0" w:color="auto"/>
          </w:divBdr>
        </w:div>
        <w:div w:id="1691637828">
          <w:marLeft w:val="0"/>
          <w:marRight w:val="0"/>
          <w:marTop w:val="0"/>
          <w:marBottom w:val="0"/>
          <w:divBdr>
            <w:top w:val="none" w:sz="0" w:space="0" w:color="auto"/>
            <w:left w:val="none" w:sz="0" w:space="0" w:color="auto"/>
            <w:bottom w:val="none" w:sz="0" w:space="0" w:color="auto"/>
            <w:right w:val="none" w:sz="0" w:space="0" w:color="auto"/>
          </w:divBdr>
        </w:div>
        <w:div w:id="1704866178">
          <w:marLeft w:val="0"/>
          <w:marRight w:val="0"/>
          <w:marTop w:val="0"/>
          <w:marBottom w:val="0"/>
          <w:divBdr>
            <w:top w:val="none" w:sz="0" w:space="0" w:color="auto"/>
            <w:left w:val="none" w:sz="0" w:space="0" w:color="auto"/>
            <w:bottom w:val="none" w:sz="0" w:space="0" w:color="auto"/>
            <w:right w:val="none" w:sz="0" w:space="0" w:color="auto"/>
          </w:divBdr>
        </w:div>
        <w:div w:id="1710765270">
          <w:marLeft w:val="0"/>
          <w:marRight w:val="0"/>
          <w:marTop w:val="0"/>
          <w:marBottom w:val="0"/>
          <w:divBdr>
            <w:top w:val="none" w:sz="0" w:space="0" w:color="auto"/>
            <w:left w:val="none" w:sz="0" w:space="0" w:color="auto"/>
            <w:bottom w:val="none" w:sz="0" w:space="0" w:color="auto"/>
            <w:right w:val="none" w:sz="0" w:space="0" w:color="auto"/>
          </w:divBdr>
        </w:div>
        <w:div w:id="1714379864">
          <w:marLeft w:val="0"/>
          <w:marRight w:val="0"/>
          <w:marTop w:val="0"/>
          <w:marBottom w:val="0"/>
          <w:divBdr>
            <w:top w:val="none" w:sz="0" w:space="0" w:color="auto"/>
            <w:left w:val="none" w:sz="0" w:space="0" w:color="auto"/>
            <w:bottom w:val="none" w:sz="0" w:space="0" w:color="auto"/>
            <w:right w:val="none" w:sz="0" w:space="0" w:color="auto"/>
          </w:divBdr>
          <w:divsChild>
            <w:div w:id="1359354948">
              <w:marLeft w:val="-75"/>
              <w:marRight w:val="0"/>
              <w:marTop w:val="30"/>
              <w:marBottom w:val="30"/>
              <w:divBdr>
                <w:top w:val="none" w:sz="0" w:space="0" w:color="auto"/>
                <w:left w:val="none" w:sz="0" w:space="0" w:color="auto"/>
                <w:bottom w:val="none" w:sz="0" w:space="0" w:color="auto"/>
                <w:right w:val="none" w:sz="0" w:space="0" w:color="auto"/>
              </w:divBdr>
              <w:divsChild>
                <w:div w:id="4138606">
                  <w:marLeft w:val="0"/>
                  <w:marRight w:val="0"/>
                  <w:marTop w:val="0"/>
                  <w:marBottom w:val="0"/>
                  <w:divBdr>
                    <w:top w:val="none" w:sz="0" w:space="0" w:color="auto"/>
                    <w:left w:val="none" w:sz="0" w:space="0" w:color="auto"/>
                    <w:bottom w:val="none" w:sz="0" w:space="0" w:color="auto"/>
                    <w:right w:val="none" w:sz="0" w:space="0" w:color="auto"/>
                  </w:divBdr>
                  <w:divsChild>
                    <w:div w:id="86848038">
                      <w:marLeft w:val="0"/>
                      <w:marRight w:val="0"/>
                      <w:marTop w:val="0"/>
                      <w:marBottom w:val="0"/>
                      <w:divBdr>
                        <w:top w:val="none" w:sz="0" w:space="0" w:color="auto"/>
                        <w:left w:val="none" w:sz="0" w:space="0" w:color="auto"/>
                        <w:bottom w:val="none" w:sz="0" w:space="0" w:color="auto"/>
                        <w:right w:val="none" w:sz="0" w:space="0" w:color="auto"/>
                      </w:divBdr>
                    </w:div>
                  </w:divsChild>
                </w:div>
                <w:div w:id="193544700">
                  <w:marLeft w:val="0"/>
                  <w:marRight w:val="0"/>
                  <w:marTop w:val="0"/>
                  <w:marBottom w:val="0"/>
                  <w:divBdr>
                    <w:top w:val="none" w:sz="0" w:space="0" w:color="auto"/>
                    <w:left w:val="none" w:sz="0" w:space="0" w:color="auto"/>
                    <w:bottom w:val="none" w:sz="0" w:space="0" w:color="auto"/>
                    <w:right w:val="none" w:sz="0" w:space="0" w:color="auto"/>
                  </w:divBdr>
                  <w:divsChild>
                    <w:div w:id="869538007">
                      <w:marLeft w:val="0"/>
                      <w:marRight w:val="0"/>
                      <w:marTop w:val="0"/>
                      <w:marBottom w:val="0"/>
                      <w:divBdr>
                        <w:top w:val="none" w:sz="0" w:space="0" w:color="auto"/>
                        <w:left w:val="none" w:sz="0" w:space="0" w:color="auto"/>
                        <w:bottom w:val="none" w:sz="0" w:space="0" w:color="auto"/>
                        <w:right w:val="none" w:sz="0" w:space="0" w:color="auto"/>
                      </w:divBdr>
                    </w:div>
                  </w:divsChild>
                </w:div>
                <w:div w:id="226693736">
                  <w:marLeft w:val="0"/>
                  <w:marRight w:val="0"/>
                  <w:marTop w:val="0"/>
                  <w:marBottom w:val="0"/>
                  <w:divBdr>
                    <w:top w:val="none" w:sz="0" w:space="0" w:color="auto"/>
                    <w:left w:val="none" w:sz="0" w:space="0" w:color="auto"/>
                    <w:bottom w:val="none" w:sz="0" w:space="0" w:color="auto"/>
                    <w:right w:val="none" w:sz="0" w:space="0" w:color="auto"/>
                  </w:divBdr>
                  <w:divsChild>
                    <w:div w:id="878319551">
                      <w:marLeft w:val="0"/>
                      <w:marRight w:val="0"/>
                      <w:marTop w:val="0"/>
                      <w:marBottom w:val="0"/>
                      <w:divBdr>
                        <w:top w:val="none" w:sz="0" w:space="0" w:color="auto"/>
                        <w:left w:val="none" w:sz="0" w:space="0" w:color="auto"/>
                        <w:bottom w:val="none" w:sz="0" w:space="0" w:color="auto"/>
                        <w:right w:val="none" w:sz="0" w:space="0" w:color="auto"/>
                      </w:divBdr>
                    </w:div>
                  </w:divsChild>
                </w:div>
                <w:div w:id="294801845">
                  <w:marLeft w:val="0"/>
                  <w:marRight w:val="0"/>
                  <w:marTop w:val="0"/>
                  <w:marBottom w:val="0"/>
                  <w:divBdr>
                    <w:top w:val="none" w:sz="0" w:space="0" w:color="auto"/>
                    <w:left w:val="none" w:sz="0" w:space="0" w:color="auto"/>
                    <w:bottom w:val="none" w:sz="0" w:space="0" w:color="auto"/>
                    <w:right w:val="none" w:sz="0" w:space="0" w:color="auto"/>
                  </w:divBdr>
                  <w:divsChild>
                    <w:div w:id="329067323">
                      <w:marLeft w:val="0"/>
                      <w:marRight w:val="0"/>
                      <w:marTop w:val="0"/>
                      <w:marBottom w:val="0"/>
                      <w:divBdr>
                        <w:top w:val="none" w:sz="0" w:space="0" w:color="auto"/>
                        <w:left w:val="none" w:sz="0" w:space="0" w:color="auto"/>
                        <w:bottom w:val="none" w:sz="0" w:space="0" w:color="auto"/>
                        <w:right w:val="none" w:sz="0" w:space="0" w:color="auto"/>
                      </w:divBdr>
                    </w:div>
                  </w:divsChild>
                </w:div>
                <w:div w:id="302319763">
                  <w:marLeft w:val="0"/>
                  <w:marRight w:val="0"/>
                  <w:marTop w:val="0"/>
                  <w:marBottom w:val="0"/>
                  <w:divBdr>
                    <w:top w:val="none" w:sz="0" w:space="0" w:color="auto"/>
                    <w:left w:val="none" w:sz="0" w:space="0" w:color="auto"/>
                    <w:bottom w:val="none" w:sz="0" w:space="0" w:color="auto"/>
                    <w:right w:val="none" w:sz="0" w:space="0" w:color="auto"/>
                  </w:divBdr>
                  <w:divsChild>
                    <w:div w:id="1363551198">
                      <w:marLeft w:val="0"/>
                      <w:marRight w:val="0"/>
                      <w:marTop w:val="0"/>
                      <w:marBottom w:val="0"/>
                      <w:divBdr>
                        <w:top w:val="none" w:sz="0" w:space="0" w:color="auto"/>
                        <w:left w:val="none" w:sz="0" w:space="0" w:color="auto"/>
                        <w:bottom w:val="none" w:sz="0" w:space="0" w:color="auto"/>
                        <w:right w:val="none" w:sz="0" w:space="0" w:color="auto"/>
                      </w:divBdr>
                    </w:div>
                  </w:divsChild>
                </w:div>
                <w:div w:id="361246055">
                  <w:marLeft w:val="0"/>
                  <w:marRight w:val="0"/>
                  <w:marTop w:val="0"/>
                  <w:marBottom w:val="0"/>
                  <w:divBdr>
                    <w:top w:val="none" w:sz="0" w:space="0" w:color="auto"/>
                    <w:left w:val="none" w:sz="0" w:space="0" w:color="auto"/>
                    <w:bottom w:val="none" w:sz="0" w:space="0" w:color="auto"/>
                    <w:right w:val="none" w:sz="0" w:space="0" w:color="auto"/>
                  </w:divBdr>
                  <w:divsChild>
                    <w:div w:id="818502986">
                      <w:marLeft w:val="0"/>
                      <w:marRight w:val="0"/>
                      <w:marTop w:val="0"/>
                      <w:marBottom w:val="0"/>
                      <w:divBdr>
                        <w:top w:val="none" w:sz="0" w:space="0" w:color="auto"/>
                        <w:left w:val="none" w:sz="0" w:space="0" w:color="auto"/>
                        <w:bottom w:val="none" w:sz="0" w:space="0" w:color="auto"/>
                        <w:right w:val="none" w:sz="0" w:space="0" w:color="auto"/>
                      </w:divBdr>
                    </w:div>
                  </w:divsChild>
                </w:div>
                <w:div w:id="531921092">
                  <w:marLeft w:val="0"/>
                  <w:marRight w:val="0"/>
                  <w:marTop w:val="0"/>
                  <w:marBottom w:val="0"/>
                  <w:divBdr>
                    <w:top w:val="none" w:sz="0" w:space="0" w:color="auto"/>
                    <w:left w:val="none" w:sz="0" w:space="0" w:color="auto"/>
                    <w:bottom w:val="none" w:sz="0" w:space="0" w:color="auto"/>
                    <w:right w:val="none" w:sz="0" w:space="0" w:color="auto"/>
                  </w:divBdr>
                  <w:divsChild>
                    <w:div w:id="1292129150">
                      <w:marLeft w:val="0"/>
                      <w:marRight w:val="0"/>
                      <w:marTop w:val="0"/>
                      <w:marBottom w:val="0"/>
                      <w:divBdr>
                        <w:top w:val="none" w:sz="0" w:space="0" w:color="auto"/>
                        <w:left w:val="none" w:sz="0" w:space="0" w:color="auto"/>
                        <w:bottom w:val="none" w:sz="0" w:space="0" w:color="auto"/>
                        <w:right w:val="none" w:sz="0" w:space="0" w:color="auto"/>
                      </w:divBdr>
                    </w:div>
                  </w:divsChild>
                </w:div>
                <w:div w:id="586696544">
                  <w:marLeft w:val="0"/>
                  <w:marRight w:val="0"/>
                  <w:marTop w:val="0"/>
                  <w:marBottom w:val="0"/>
                  <w:divBdr>
                    <w:top w:val="none" w:sz="0" w:space="0" w:color="auto"/>
                    <w:left w:val="none" w:sz="0" w:space="0" w:color="auto"/>
                    <w:bottom w:val="none" w:sz="0" w:space="0" w:color="auto"/>
                    <w:right w:val="none" w:sz="0" w:space="0" w:color="auto"/>
                  </w:divBdr>
                  <w:divsChild>
                    <w:div w:id="1581602503">
                      <w:marLeft w:val="0"/>
                      <w:marRight w:val="0"/>
                      <w:marTop w:val="0"/>
                      <w:marBottom w:val="0"/>
                      <w:divBdr>
                        <w:top w:val="none" w:sz="0" w:space="0" w:color="auto"/>
                        <w:left w:val="none" w:sz="0" w:space="0" w:color="auto"/>
                        <w:bottom w:val="none" w:sz="0" w:space="0" w:color="auto"/>
                        <w:right w:val="none" w:sz="0" w:space="0" w:color="auto"/>
                      </w:divBdr>
                    </w:div>
                  </w:divsChild>
                </w:div>
                <w:div w:id="596181841">
                  <w:marLeft w:val="0"/>
                  <w:marRight w:val="0"/>
                  <w:marTop w:val="0"/>
                  <w:marBottom w:val="0"/>
                  <w:divBdr>
                    <w:top w:val="none" w:sz="0" w:space="0" w:color="auto"/>
                    <w:left w:val="none" w:sz="0" w:space="0" w:color="auto"/>
                    <w:bottom w:val="none" w:sz="0" w:space="0" w:color="auto"/>
                    <w:right w:val="none" w:sz="0" w:space="0" w:color="auto"/>
                  </w:divBdr>
                  <w:divsChild>
                    <w:div w:id="1497578164">
                      <w:marLeft w:val="0"/>
                      <w:marRight w:val="0"/>
                      <w:marTop w:val="0"/>
                      <w:marBottom w:val="0"/>
                      <w:divBdr>
                        <w:top w:val="none" w:sz="0" w:space="0" w:color="auto"/>
                        <w:left w:val="none" w:sz="0" w:space="0" w:color="auto"/>
                        <w:bottom w:val="none" w:sz="0" w:space="0" w:color="auto"/>
                        <w:right w:val="none" w:sz="0" w:space="0" w:color="auto"/>
                      </w:divBdr>
                    </w:div>
                  </w:divsChild>
                </w:div>
                <w:div w:id="629627936">
                  <w:marLeft w:val="0"/>
                  <w:marRight w:val="0"/>
                  <w:marTop w:val="0"/>
                  <w:marBottom w:val="0"/>
                  <w:divBdr>
                    <w:top w:val="none" w:sz="0" w:space="0" w:color="auto"/>
                    <w:left w:val="none" w:sz="0" w:space="0" w:color="auto"/>
                    <w:bottom w:val="none" w:sz="0" w:space="0" w:color="auto"/>
                    <w:right w:val="none" w:sz="0" w:space="0" w:color="auto"/>
                  </w:divBdr>
                  <w:divsChild>
                    <w:div w:id="2045250208">
                      <w:marLeft w:val="0"/>
                      <w:marRight w:val="0"/>
                      <w:marTop w:val="0"/>
                      <w:marBottom w:val="0"/>
                      <w:divBdr>
                        <w:top w:val="none" w:sz="0" w:space="0" w:color="auto"/>
                        <w:left w:val="none" w:sz="0" w:space="0" w:color="auto"/>
                        <w:bottom w:val="none" w:sz="0" w:space="0" w:color="auto"/>
                        <w:right w:val="none" w:sz="0" w:space="0" w:color="auto"/>
                      </w:divBdr>
                    </w:div>
                  </w:divsChild>
                </w:div>
                <w:div w:id="638998073">
                  <w:marLeft w:val="0"/>
                  <w:marRight w:val="0"/>
                  <w:marTop w:val="0"/>
                  <w:marBottom w:val="0"/>
                  <w:divBdr>
                    <w:top w:val="none" w:sz="0" w:space="0" w:color="auto"/>
                    <w:left w:val="none" w:sz="0" w:space="0" w:color="auto"/>
                    <w:bottom w:val="none" w:sz="0" w:space="0" w:color="auto"/>
                    <w:right w:val="none" w:sz="0" w:space="0" w:color="auto"/>
                  </w:divBdr>
                  <w:divsChild>
                    <w:div w:id="1038042491">
                      <w:marLeft w:val="0"/>
                      <w:marRight w:val="0"/>
                      <w:marTop w:val="0"/>
                      <w:marBottom w:val="0"/>
                      <w:divBdr>
                        <w:top w:val="none" w:sz="0" w:space="0" w:color="auto"/>
                        <w:left w:val="none" w:sz="0" w:space="0" w:color="auto"/>
                        <w:bottom w:val="none" w:sz="0" w:space="0" w:color="auto"/>
                        <w:right w:val="none" w:sz="0" w:space="0" w:color="auto"/>
                      </w:divBdr>
                    </w:div>
                  </w:divsChild>
                </w:div>
                <w:div w:id="701706518">
                  <w:marLeft w:val="0"/>
                  <w:marRight w:val="0"/>
                  <w:marTop w:val="0"/>
                  <w:marBottom w:val="0"/>
                  <w:divBdr>
                    <w:top w:val="none" w:sz="0" w:space="0" w:color="auto"/>
                    <w:left w:val="none" w:sz="0" w:space="0" w:color="auto"/>
                    <w:bottom w:val="none" w:sz="0" w:space="0" w:color="auto"/>
                    <w:right w:val="none" w:sz="0" w:space="0" w:color="auto"/>
                  </w:divBdr>
                  <w:divsChild>
                    <w:div w:id="1171677559">
                      <w:marLeft w:val="0"/>
                      <w:marRight w:val="0"/>
                      <w:marTop w:val="0"/>
                      <w:marBottom w:val="0"/>
                      <w:divBdr>
                        <w:top w:val="none" w:sz="0" w:space="0" w:color="auto"/>
                        <w:left w:val="none" w:sz="0" w:space="0" w:color="auto"/>
                        <w:bottom w:val="none" w:sz="0" w:space="0" w:color="auto"/>
                        <w:right w:val="none" w:sz="0" w:space="0" w:color="auto"/>
                      </w:divBdr>
                    </w:div>
                  </w:divsChild>
                </w:div>
                <w:div w:id="812216002">
                  <w:marLeft w:val="0"/>
                  <w:marRight w:val="0"/>
                  <w:marTop w:val="0"/>
                  <w:marBottom w:val="0"/>
                  <w:divBdr>
                    <w:top w:val="none" w:sz="0" w:space="0" w:color="auto"/>
                    <w:left w:val="none" w:sz="0" w:space="0" w:color="auto"/>
                    <w:bottom w:val="none" w:sz="0" w:space="0" w:color="auto"/>
                    <w:right w:val="none" w:sz="0" w:space="0" w:color="auto"/>
                  </w:divBdr>
                  <w:divsChild>
                    <w:div w:id="1114441980">
                      <w:marLeft w:val="0"/>
                      <w:marRight w:val="0"/>
                      <w:marTop w:val="0"/>
                      <w:marBottom w:val="0"/>
                      <w:divBdr>
                        <w:top w:val="none" w:sz="0" w:space="0" w:color="auto"/>
                        <w:left w:val="none" w:sz="0" w:space="0" w:color="auto"/>
                        <w:bottom w:val="none" w:sz="0" w:space="0" w:color="auto"/>
                        <w:right w:val="none" w:sz="0" w:space="0" w:color="auto"/>
                      </w:divBdr>
                    </w:div>
                  </w:divsChild>
                </w:div>
                <w:div w:id="836964137">
                  <w:marLeft w:val="0"/>
                  <w:marRight w:val="0"/>
                  <w:marTop w:val="0"/>
                  <w:marBottom w:val="0"/>
                  <w:divBdr>
                    <w:top w:val="none" w:sz="0" w:space="0" w:color="auto"/>
                    <w:left w:val="none" w:sz="0" w:space="0" w:color="auto"/>
                    <w:bottom w:val="none" w:sz="0" w:space="0" w:color="auto"/>
                    <w:right w:val="none" w:sz="0" w:space="0" w:color="auto"/>
                  </w:divBdr>
                  <w:divsChild>
                    <w:div w:id="909535864">
                      <w:marLeft w:val="0"/>
                      <w:marRight w:val="0"/>
                      <w:marTop w:val="0"/>
                      <w:marBottom w:val="0"/>
                      <w:divBdr>
                        <w:top w:val="none" w:sz="0" w:space="0" w:color="auto"/>
                        <w:left w:val="none" w:sz="0" w:space="0" w:color="auto"/>
                        <w:bottom w:val="none" w:sz="0" w:space="0" w:color="auto"/>
                        <w:right w:val="none" w:sz="0" w:space="0" w:color="auto"/>
                      </w:divBdr>
                    </w:div>
                  </w:divsChild>
                </w:div>
                <w:div w:id="880826445">
                  <w:marLeft w:val="0"/>
                  <w:marRight w:val="0"/>
                  <w:marTop w:val="0"/>
                  <w:marBottom w:val="0"/>
                  <w:divBdr>
                    <w:top w:val="none" w:sz="0" w:space="0" w:color="auto"/>
                    <w:left w:val="none" w:sz="0" w:space="0" w:color="auto"/>
                    <w:bottom w:val="none" w:sz="0" w:space="0" w:color="auto"/>
                    <w:right w:val="none" w:sz="0" w:space="0" w:color="auto"/>
                  </w:divBdr>
                  <w:divsChild>
                    <w:div w:id="483014621">
                      <w:marLeft w:val="0"/>
                      <w:marRight w:val="0"/>
                      <w:marTop w:val="0"/>
                      <w:marBottom w:val="0"/>
                      <w:divBdr>
                        <w:top w:val="none" w:sz="0" w:space="0" w:color="auto"/>
                        <w:left w:val="none" w:sz="0" w:space="0" w:color="auto"/>
                        <w:bottom w:val="none" w:sz="0" w:space="0" w:color="auto"/>
                        <w:right w:val="none" w:sz="0" w:space="0" w:color="auto"/>
                      </w:divBdr>
                    </w:div>
                  </w:divsChild>
                </w:div>
                <w:div w:id="923992230">
                  <w:marLeft w:val="0"/>
                  <w:marRight w:val="0"/>
                  <w:marTop w:val="0"/>
                  <w:marBottom w:val="0"/>
                  <w:divBdr>
                    <w:top w:val="none" w:sz="0" w:space="0" w:color="auto"/>
                    <w:left w:val="none" w:sz="0" w:space="0" w:color="auto"/>
                    <w:bottom w:val="none" w:sz="0" w:space="0" w:color="auto"/>
                    <w:right w:val="none" w:sz="0" w:space="0" w:color="auto"/>
                  </w:divBdr>
                  <w:divsChild>
                    <w:div w:id="1908958990">
                      <w:marLeft w:val="0"/>
                      <w:marRight w:val="0"/>
                      <w:marTop w:val="0"/>
                      <w:marBottom w:val="0"/>
                      <w:divBdr>
                        <w:top w:val="none" w:sz="0" w:space="0" w:color="auto"/>
                        <w:left w:val="none" w:sz="0" w:space="0" w:color="auto"/>
                        <w:bottom w:val="none" w:sz="0" w:space="0" w:color="auto"/>
                        <w:right w:val="none" w:sz="0" w:space="0" w:color="auto"/>
                      </w:divBdr>
                    </w:div>
                  </w:divsChild>
                </w:div>
                <w:div w:id="1065296163">
                  <w:marLeft w:val="0"/>
                  <w:marRight w:val="0"/>
                  <w:marTop w:val="0"/>
                  <w:marBottom w:val="0"/>
                  <w:divBdr>
                    <w:top w:val="none" w:sz="0" w:space="0" w:color="auto"/>
                    <w:left w:val="none" w:sz="0" w:space="0" w:color="auto"/>
                    <w:bottom w:val="none" w:sz="0" w:space="0" w:color="auto"/>
                    <w:right w:val="none" w:sz="0" w:space="0" w:color="auto"/>
                  </w:divBdr>
                  <w:divsChild>
                    <w:div w:id="1175419824">
                      <w:marLeft w:val="0"/>
                      <w:marRight w:val="0"/>
                      <w:marTop w:val="0"/>
                      <w:marBottom w:val="0"/>
                      <w:divBdr>
                        <w:top w:val="none" w:sz="0" w:space="0" w:color="auto"/>
                        <w:left w:val="none" w:sz="0" w:space="0" w:color="auto"/>
                        <w:bottom w:val="none" w:sz="0" w:space="0" w:color="auto"/>
                        <w:right w:val="none" w:sz="0" w:space="0" w:color="auto"/>
                      </w:divBdr>
                    </w:div>
                  </w:divsChild>
                </w:div>
                <w:div w:id="1203709860">
                  <w:marLeft w:val="0"/>
                  <w:marRight w:val="0"/>
                  <w:marTop w:val="0"/>
                  <w:marBottom w:val="0"/>
                  <w:divBdr>
                    <w:top w:val="none" w:sz="0" w:space="0" w:color="auto"/>
                    <w:left w:val="none" w:sz="0" w:space="0" w:color="auto"/>
                    <w:bottom w:val="none" w:sz="0" w:space="0" w:color="auto"/>
                    <w:right w:val="none" w:sz="0" w:space="0" w:color="auto"/>
                  </w:divBdr>
                  <w:divsChild>
                    <w:div w:id="2000231281">
                      <w:marLeft w:val="0"/>
                      <w:marRight w:val="0"/>
                      <w:marTop w:val="0"/>
                      <w:marBottom w:val="0"/>
                      <w:divBdr>
                        <w:top w:val="none" w:sz="0" w:space="0" w:color="auto"/>
                        <w:left w:val="none" w:sz="0" w:space="0" w:color="auto"/>
                        <w:bottom w:val="none" w:sz="0" w:space="0" w:color="auto"/>
                        <w:right w:val="none" w:sz="0" w:space="0" w:color="auto"/>
                      </w:divBdr>
                    </w:div>
                  </w:divsChild>
                </w:div>
                <w:div w:id="1299804113">
                  <w:marLeft w:val="0"/>
                  <w:marRight w:val="0"/>
                  <w:marTop w:val="0"/>
                  <w:marBottom w:val="0"/>
                  <w:divBdr>
                    <w:top w:val="none" w:sz="0" w:space="0" w:color="auto"/>
                    <w:left w:val="none" w:sz="0" w:space="0" w:color="auto"/>
                    <w:bottom w:val="none" w:sz="0" w:space="0" w:color="auto"/>
                    <w:right w:val="none" w:sz="0" w:space="0" w:color="auto"/>
                  </w:divBdr>
                  <w:divsChild>
                    <w:div w:id="185754803">
                      <w:marLeft w:val="0"/>
                      <w:marRight w:val="0"/>
                      <w:marTop w:val="0"/>
                      <w:marBottom w:val="0"/>
                      <w:divBdr>
                        <w:top w:val="none" w:sz="0" w:space="0" w:color="auto"/>
                        <w:left w:val="none" w:sz="0" w:space="0" w:color="auto"/>
                        <w:bottom w:val="none" w:sz="0" w:space="0" w:color="auto"/>
                        <w:right w:val="none" w:sz="0" w:space="0" w:color="auto"/>
                      </w:divBdr>
                    </w:div>
                  </w:divsChild>
                </w:div>
                <w:div w:id="1333026104">
                  <w:marLeft w:val="0"/>
                  <w:marRight w:val="0"/>
                  <w:marTop w:val="0"/>
                  <w:marBottom w:val="0"/>
                  <w:divBdr>
                    <w:top w:val="none" w:sz="0" w:space="0" w:color="auto"/>
                    <w:left w:val="none" w:sz="0" w:space="0" w:color="auto"/>
                    <w:bottom w:val="none" w:sz="0" w:space="0" w:color="auto"/>
                    <w:right w:val="none" w:sz="0" w:space="0" w:color="auto"/>
                  </w:divBdr>
                  <w:divsChild>
                    <w:div w:id="989405462">
                      <w:marLeft w:val="0"/>
                      <w:marRight w:val="0"/>
                      <w:marTop w:val="0"/>
                      <w:marBottom w:val="0"/>
                      <w:divBdr>
                        <w:top w:val="none" w:sz="0" w:space="0" w:color="auto"/>
                        <w:left w:val="none" w:sz="0" w:space="0" w:color="auto"/>
                        <w:bottom w:val="none" w:sz="0" w:space="0" w:color="auto"/>
                        <w:right w:val="none" w:sz="0" w:space="0" w:color="auto"/>
                      </w:divBdr>
                    </w:div>
                  </w:divsChild>
                </w:div>
                <w:div w:id="1399287395">
                  <w:marLeft w:val="0"/>
                  <w:marRight w:val="0"/>
                  <w:marTop w:val="0"/>
                  <w:marBottom w:val="0"/>
                  <w:divBdr>
                    <w:top w:val="none" w:sz="0" w:space="0" w:color="auto"/>
                    <w:left w:val="none" w:sz="0" w:space="0" w:color="auto"/>
                    <w:bottom w:val="none" w:sz="0" w:space="0" w:color="auto"/>
                    <w:right w:val="none" w:sz="0" w:space="0" w:color="auto"/>
                  </w:divBdr>
                  <w:divsChild>
                    <w:div w:id="1777170085">
                      <w:marLeft w:val="0"/>
                      <w:marRight w:val="0"/>
                      <w:marTop w:val="0"/>
                      <w:marBottom w:val="0"/>
                      <w:divBdr>
                        <w:top w:val="none" w:sz="0" w:space="0" w:color="auto"/>
                        <w:left w:val="none" w:sz="0" w:space="0" w:color="auto"/>
                        <w:bottom w:val="none" w:sz="0" w:space="0" w:color="auto"/>
                        <w:right w:val="none" w:sz="0" w:space="0" w:color="auto"/>
                      </w:divBdr>
                    </w:div>
                  </w:divsChild>
                </w:div>
                <w:div w:id="1407417248">
                  <w:marLeft w:val="0"/>
                  <w:marRight w:val="0"/>
                  <w:marTop w:val="0"/>
                  <w:marBottom w:val="0"/>
                  <w:divBdr>
                    <w:top w:val="none" w:sz="0" w:space="0" w:color="auto"/>
                    <w:left w:val="none" w:sz="0" w:space="0" w:color="auto"/>
                    <w:bottom w:val="none" w:sz="0" w:space="0" w:color="auto"/>
                    <w:right w:val="none" w:sz="0" w:space="0" w:color="auto"/>
                  </w:divBdr>
                  <w:divsChild>
                    <w:div w:id="1326665212">
                      <w:marLeft w:val="0"/>
                      <w:marRight w:val="0"/>
                      <w:marTop w:val="0"/>
                      <w:marBottom w:val="0"/>
                      <w:divBdr>
                        <w:top w:val="none" w:sz="0" w:space="0" w:color="auto"/>
                        <w:left w:val="none" w:sz="0" w:space="0" w:color="auto"/>
                        <w:bottom w:val="none" w:sz="0" w:space="0" w:color="auto"/>
                        <w:right w:val="none" w:sz="0" w:space="0" w:color="auto"/>
                      </w:divBdr>
                    </w:div>
                  </w:divsChild>
                </w:div>
                <w:div w:id="1508517702">
                  <w:marLeft w:val="0"/>
                  <w:marRight w:val="0"/>
                  <w:marTop w:val="0"/>
                  <w:marBottom w:val="0"/>
                  <w:divBdr>
                    <w:top w:val="none" w:sz="0" w:space="0" w:color="auto"/>
                    <w:left w:val="none" w:sz="0" w:space="0" w:color="auto"/>
                    <w:bottom w:val="none" w:sz="0" w:space="0" w:color="auto"/>
                    <w:right w:val="none" w:sz="0" w:space="0" w:color="auto"/>
                  </w:divBdr>
                  <w:divsChild>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1559320958">
                  <w:marLeft w:val="0"/>
                  <w:marRight w:val="0"/>
                  <w:marTop w:val="0"/>
                  <w:marBottom w:val="0"/>
                  <w:divBdr>
                    <w:top w:val="none" w:sz="0" w:space="0" w:color="auto"/>
                    <w:left w:val="none" w:sz="0" w:space="0" w:color="auto"/>
                    <w:bottom w:val="none" w:sz="0" w:space="0" w:color="auto"/>
                    <w:right w:val="none" w:sz="0" w:space="0" w:color="auto"/>
                  </w:divBdr>
                  <w:divsChild>
                    <w:div w:id="775053164">
                      <w:marLeft w:val="0"/>
                      <w:marRight w:val="0"/>
                      <w:marTop w:val="0"/>
                      <w:marBottom w:val="0"/>
                      <w:divBdr>
                        <w:top w:val="none" w:sz="0" w:space="0" w:color="auto"/>
                        <w:left w:val="none" w:sz="0" w:space="0" w:color="auto"/>
                        <w:bottom w:val="none" w:sz="0" w:space="0" w:color="auto"/>
                        <w:right w:val="none" w:sz="0" w:space="0" w:color="auto"/>
                      </w:divBdr>
                    </w:div>
                  </w:divsChild>
                </w:div>
                <w:div w:id="1703705066">
                  <w:marLeft w:val="0"/>
                  <w:marRight w:val="0"/>
                  <w:marTop w:val="0"/>
                  <w:marBottom w:val="0"/>
                  <w:divBdr>
                    <w:top w:val="none" w:sz="0" w:space="0" w:color="auto"/>
                    <w:left w:val="none" w:sz="0" w:space="0" w:color="auto"/>
                    <w:bottom w:val="none" w:sz="0" w:space="0" w:color="auto"/>
                    <w:right w:val="none" w:sz="0" w:space="0" w:color="auto"/>
                  </w:divBdr>
                  <w:divsChild>
                    <w:div w:id="1694645899">
                      <w:marLeft w:val="0"/>
                      <w:marRight w:val="0"/>
                      <w:marTop w:val="0"/>
                      <w:marBottom w:val="0"/>
                      <w:divBdr>
                        <w:top w:val="none" w:sz="0" w:space="0" w:color="auto"/>
                        <w:left w:val="none" w:sz="0" w:space="0" w:color="auto"/>
                        <w:bottom w:val="none" w:sz="0" w:space="0" w:color="auto"/>
                        <w:right w:val="none" w:sz="0" w:space="0" w:color="auto"/>
                      </w:divBdr>
                    </w:div>
                  </w:divsChild>
                </w:div>
                <w:div w:id="1778717908">
                  <w:marLeft w:val="0"/>
                  <w:marRight w:val="0"/>
                  <w:marTop w:val="0"/>
                  <w:marBottom w:val="0"/>
                  <w:divBdr>
                    <w:top w:val="none" w:sz="0" w:space="0" w:color="auto"/>
                    <w:left w:val="none" w:sz="0" w:space="0" w:color="auto"/>
                    <w:bottom w:val="none" w:sz="0" w:space="0" w:color="auto"/>
                    <w:right w:val="none" w:sz="0" w:space="0" w:color="auto"/>
                  </w:divBdr>
                  <w:divsChild>
                    <w:div w:id="652871473">
                      <w:marLeft w:val="0"/>
                      <w:marRight w:val="0"/>
                      <w:marTop w:val="0"/>
                      <w:marBottom w:val="0"/>
                      <w:divBdr>
                        <w:top w:val="none" w:sz="0" w:space="0" w:color="auto"/>
                        <w:left w:val="none" w:sz="0" w:space="0" w:color="auto"/>
                        <w:bottom w:val="none" w:sz="0" w:space="0" w:color="auto"/>
                        <w:right w:val="none" w:sz="0" w:space="0" w:color="auto"/>
                      </w:divBdr>
                    </w:div>
                  </w:divsChild>
                </w:div>
                <w:div w:id="1821456368">
                  <w:marLeft w:val="0"/>
                  <w:marRight w:val="0"/>
                  <w:marTop w:val="0"/>
                  <w:marBottom w:val="0"/>
                  <w:divBdr>
                    <w:top w:val="none" w:sz="0" w:space="0" w:color="auto"/>
                    <w:left w:val="none" w:sz="0" w:space="0" w:color="auto"/>
                    <w:bottom w:val="none" w:sz="0" w:space="0" w:color="auto"/>
                    <w:right w:val="none" w:sz="0" w:space="0" w:color="auto"/>
                  </w:divBdr>
                  <w:divsChild>
                    <w:div w:id="88739971">
                      <w:marLeft w:val="0"/>
                      <w:marRight w:val="0"/>
                      <w:marTop w:val="0"/>
                      <w:marBottom w:val="0"/>
                      <w:divBdr>
                        <w:top w:val="none" w:sz="0" w:space="0" w:color="auto"/>
                        <w:left w:val="none" w:sz="0" w:space="0" w:color="auto"/>
                        <w:bottom w:val="none" w:sz="0" w:space="0" w:color="auto"/>
                        <w:right w:val="none" w:sz="0" w:space="0" w:color="auto"/>
                      </w:divBdr>
                    </w:div>
                  </w:divsChild>
                </w:div>
                <w:div w:id="1929734185">
                  <w:marLeft w:val="0"/>
                  <w:marRight w:val="0"/>
                  <w:marTop w:val="0"/>
                  <w:marBottom w:val="0"/>
                  <w:divBdr>
                    <w:top w:val="none" w:sz="0" w:space="0" w:color="auto"/>
                    <w:left w:val="none" w:sz="0" w:space="0" w:color="auto"/>
                    <w:bottom w:val="none" w:sz="0" w:space="0" w:color="auto"/>
                    <w:right w:val="none" w:sz="0" w:space="0" w:color="auto"/>
                  </w:divBdr>
                  <w:divsChild>
                    <w:div w:id="13329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7056">
          <w:marLeft w:val="0"/>
          <w:marRight w:val="0"/>
          <w:marTop w:val="0"/>
          <w:marBottom w:val="0"/>
          <w:divBdr>
            <w:top w:val="none" w:sz="0" w:space="0" w:color="auto"/>
            <w:left w:val="none" w:sz="0" w:space="0" w:color="auto"/>
            <w:bottom w:val="none" w:sz="0" w:space="0" w:color="auto"/>
            <w:right w:val="none" w:sz="0" w:space="0" w:color="auto"/>
          </w:divBdr>
          <w:divsChild>
            <w:div w:id="79299167">
              <w:marLeft w:val="0"/>
              <w:marRight w:val="0"/>
              <w:marTop w:val="0"/>
              <w:marBottom w:val="0"/>
              <w:divBdr>
                <w:top w:val="none" w:sz="0" w:space="0" w:color="auto"/>
                <w:left w:val="none" w:sz="0" w:space="0" w:color="auto"/>
                <w:bottom w:val="none" w:sz="0" w:space="0" w:color="auto"/>
                <w:right w:val="none" w:sz="0" w:space="0" w:color="auto"/>
              </w:divBdr>
            </w:div>
            <w:div w:id="1127821411">
              <w:marLeft w:val="0"/>
              <w:marRight w:val="0"/>
              <w:marTop w:val="0"/>
              <w:marBottom w:val="0"/>
              <w:divBdr>
                <w:top w:val="none" w:sz="0" w:space="0" w:color="auto"/>
                <w:left w:val="none" w:sz="0" w:space="0" w:color="auto"/>
                <w:bottom w:val="none" w:sz="0" w:space="0" w:color="auto"/>
                <w:right w:val="none" w:sz="0" w:space="0" w:color="auto"/>
              </w:divBdr>
            </w:div>
            <w:div w:id="1363172788">
              <w:marLeft w:val="0"/>
              <w:marRight w:val="0"/>
              <w:marTop w:val="0"/>
              <w:marBottom w:val="0"/>
              <w:divBdr>
                <w:top w:val="none" w:sz="0" w:space="0" w:color="auto"/>
                <w:left w:val="none" w:sz="0" w:space="0" w:color="auto"/>
                <w:bottom w:val="none" w:sz="0" w:space="0" w:color="auto"/>
                <w:right w:val="none" w:sz="0" w:space="0" w:color="auto"/>
              </w:divBdr>
            </w:div>
            <w:div w:id="1950622097">
              <w:marLeft w:val="0"/>
              <w:marRight w:val="0"/>
              <w:marTop w:val="0"/>
              <w:marBottom w:val="0"/>
              <w:divBdr>
                <w:top w:val="none" w:sz="0" w:space="0" w:color="auto"/>
                <w:left w:val="none" w:sz="0" w:space="0" w:color="auto"/>
                <w:bottom w:val="none" w:sz="0" w:space="0" w:color="auto"/>
                <w:right w:val="none" w:sz="0" w:space="0" w:color="auto"/>
              </w:divBdr>
            </w:div>
          </w:divsChild>
        </w:div>
        <w:div w:id="1727294060">
          <w:marLeft w:val="0"/>
          <w:marRight w:val="0"/>
          <w:marTop w:val="0"/>
          <w:marBottom w:val="0"/>
          <w:divBdr>
            <w:top w:val="none" w:sz="0" w:space="0" w:color="auto"/>
            <w:left w:val="none" w:sz="0" w:space="0" w:color="auto"/>
            <w:bottom w:val="none" w:sz="0" w:space="0" w:color="auto"/>
            <w:right w:val="none" w:sz="0" w:space="0" w:color="auto"/>
          </w:divBdr>
          <w:divsChild>
            <w:div w:id="2115438518">
              <w:marLeft w:val="-75"/>
              <w:marRight w:val="0"/>
              <w:marTop w:val="30"/>
              <w:marBottom w:val="30"/>
              <w:divBdr>
                <w:top w:val="none" w:sz="0" w:space="0" w:color="auto"/>
                <w:left w:val="none" w:sz="0" w:space="0" w:color="auto"/>
                <w:bottom w:val="none" w:sz="0" w:space="0" w:color="auto"/>
                <w:right w:val="none" w:sz="0" w:space="0" w:color="auto"/>
              </w:divBdr>
              <w:divsChild>
                <w:div w:id="122625171">
                  <w:marLeft w:val="0"/>
                  <w:marRight w:val="0"/>
                  <w:marTop w:val="0"/>
                  <w:marBottom w:val="0"/>
                  <w:divBdr>
                    <w:top w:val="none" w:sz="0" w:space="0" w:color="auto"/>
                    <w:left w:val="none" w:sz="0" w:space="0" w:color="auto"/>
                    <w:bottom w:val="none" w:sz="0" w:space="0" w:color="auto"/>
                    <w:right w:val="none" w:sz="0" w:space="0" w:color="auto"/>
                  </w:divBdr>
                  <w:divsChild>
                    <w:div w:id="1433817377">
                      <w:marLeft w:val="0"/>
                      <w:marRight w:val="0"/>
                      <w:marTop w:val="0"/>
                      <w:marBottom w:val="0"/>
                      <w:divBdr>
                        <w:top w:val="none" w:sz="0" w:space="0" w:color="auto"/>
                        <w:left w:val="none" w:sz="0" w:space="0" w:color="auto"/>
                        <w:bottom w:val="none" w:sz="0" w:space="0" w:color="auto"/>
                        <w:right w:val="none" w:sz="0" w:space="0" w:color="auto"/>
                      </w:divBdr>
                    </w:div>
                  </w:divsChild>
                </w:div>
                <w:div w:id="550849023">
                  <w:marLeft w:val="0"/>
                  <w:marRight w:val="0"/>
                  <w:marTop w:val="0"/>
                  <w:marBottom w:val="0"/>
                  <w:divBdr>
                    <w:top w:val="none" w:sz="0" w:space="0" w:color="auto"/>
                    <w:left w:val="none" w:sz="0" w:space="0" w:color="auto"/>
                    <w:bottom w:val="none" w:sz="0" w:space="0" w:color="auto"/>
                    <w:right w:val="none" w:sz="0" w:space="0" w:color="auto"/>
                  </w:divBdr>
                  <w:divsChild>
                    <w:div w:id="1380547630">
                      <w:marLeft w:val="0"/>
                      <w:marRight w:val="0"/>
                      <w:marTop w:val="0"/>
                      <w:marBottom w:val="0"/>
                      <w:divBdr>
                        <w:top w:val="none" w:sz="0" w:space="0" w:color="auto"/>
                        <w:left w:val="none" w:sz="0" w:space="0" w:color="auto"/>
                        <w:bottom w:val="none" w:sz="0" w:space="0" w:color="auto"/>
                        <w:right w:val="none" w:sz="0" w:space="0" w:color="auto"/>
                      </w:divBdr>
                    </w:div>
                  </w:divsChild>
                </w:div>
                <w:div w:id="555510016">
                  <w:marLeft w:val="0"/>
                  <w:marRight w:val="0"/>
                  <w:marTop w:val="0"/>
                  <w:marBottom w:val="0"/>
                  <w:divBdr>
                    <w:top w:val="none" w:sz="0" w:space="0" w:color="auto"/>
                    <w:left w:val="none" w:sz="0" w:space="0" w:color="auto"/>
                    <w:bottom w:val="none" w:sz="0" w:space="0" w:color="auto"/>
                    <w:right w:val="none" w:sz="0" w:space="0" w:color="auto"/>
                  </w:divBdr>
                  <w:divsChild>
                    <w:div w:id="1700277469">
                      <w:marLeft w:val="0"/>
                      <w:marRight w:val="0"/>
                      <w:marTop w:val="0"/>
                      <w:marBottom w:val="0"/>
                      <w:divBdr>
                        <w:top w:val="none" w:sz="0" w:space="0" w:color="auto"/>
                        <w:left w:val="none" w:sz="0" w:space="0" w:color="auto"/>
                        <w:bottom w:val="none" w:sz="0" w:space="0" w:color="auto"/>
                        <w:right w:val="none" w:sz="0" w:space="0" w:color="auto"/>
                      </w:divBdr>
                    </w:div>
                  </w:divsChild>
                </w:div>
                <w:div w:id="877427523">
                  <w:marLeft w:val="0"/>
                  <w:marRight w:val="0"/>
                  <w:marTop w:val="0"/>
                  <w:marBottom w:val="0"/>
                  <w:divBdr>
                    <w:top w:val="none" w:sz="0" w:space="0" w:color="auto"/>
                    <w:left w:val="none" w:sz="0" w:space="0" w:color="auto"/>
                    <w:bottom w:val="none" w:sz="0" w:space="0" w:color="auto"/>
                    <w:right w:val="none" w:sz="0" w:space="0" w:color="auto"/>
                  </w:divBdr>
                  <w:divsChild>
                    <w:div w:id="1228607804">
                      <w:marLeft w:val="0"/>
                      <w:marRight w:val="0"/>
                      <w:marTop w:val="0"/>
                      <w:marBottom w:val="0"/>
                      <w:divBdr>
                        <w:top w:val="none" w:sz="0" w:space="0" w:color="auto"/>
                        <w:left w:val="none" w:sz="0" w:space="0" w:color="auto"/>
                        <w:bottom w:val="none" w:sz="0" w:space="0" w:color="auto"/>
                        <w:right w:val="none" w:sz="0" w:space="0" w:color="auto"/>
                      </w:divBdr>
                    </w:div>
                  </w:divsChild>
                </w:div>
                <w:div w:id="1176382901">
                  <w:marLeft w:val="0"/>
                  <w:marRight w:val="0"/>
                  <w:marTop w:val="0"/>
                  <w:marBottom w:val="0"/>
                  <w:divBdr>
                    <w:top w:val="none" w:sz="0" w:space="0" w:color="auto"/>
                    <w:left w:val="none" w:sz="0" w:space="0" w:color="auto"/>
                    <w:bottom w:val="none" w:sz="0" w:space="0" w:color="auto"/>
                    <w:right w:val="none" w:sz="0" w:space="0" w:color="auto"/>
                  </w:divBdr>
                  <w:divsChild>
                    <w:div w:id="1209561625">
                      <w:marLeft w:val="0"/>
                      <w:marRight w:val="0"/>
                      <w:marTop w:val="0"/>
                      <w:marBottom w:val="0"/>
                      <w:divBdr>
                        <w:top w:val="none" w:sz="0" w:space="0" w:color="auto"/>
                        <w:left w:val="none" w:sz="0" w:space="0" w:color="auto"/>
                        <w:bottom w:val="none" w:sz="0" w:space="0" w:color="auto"/>
                        <w:right w:val="none" w:sz="0" w:space="0" w:color="auto"/>
                      </w:divBdr>
                    </w:div>
                  </w:divsChild>
                </w:div>
                <w:div w:id="1222248757">
                  <w:marLeft w:val="0"/>
                  <w:marRight w:val="0"/>
                  <w:marTop w:val="0"/>
                  <w:marBottom w:val="0"/>
                  <w:divBdr>
                    <w:top w:val="none" w:sz="0" w:space="0" w:color="auto"/>
                    <w:left w:val="none" w:sz="0" w:space="0" w:color="auto"/>
                    <w:bottom w:val="none" w:sz="0" w:space="0" w:color="auto"/>
                    <w:right w:val="none" w:sz="0" w:space="0" w:color="auto"/>
                  </w:divBdr>
                  <w:divsChild>
                    <w:div w:id="193273012">
                      <w:marLeft w:val="0"/>
                      <w:marRight w:val="0"/>
                      <w:marTop w:val="0"/>
                      <w:marBottom w:val="0"/>
                      <w:divBdr>
                        <w:top w:val="none" w:sz="0" w:space="0" w:color="auto"/>
                        <w:left w:val="none" w:sz="0" w:space="0" w:color="auto"/>
                        <w:bottom w:val="none" w:sz="0" w:space="0" w:color="auto"/>
                        <w:right w:val="none" w:sz="0" w:space="0" w:color="auto"/>
                      </w:divBdr>
                    </w:div>
                  </w:divsChild>
                </w:div>
                <w:div w:id="1274245662">
                  <w:marLeft w:val="0"/>
                  <w:marRight w:val="0"/>
                  <w:marTop w:val="0"/>
                  <w:marBottom w:val="0"/>
                  <w:divBdr>
                    <w:top w:val="none" w:sz="0" w:space="0" w:color="auto"/>
                    <w:left w:val="none" w:sz="0" w:space="0" w:color="auto"/>
                    <w:bottom w:val="none" w:sz="0" w:space="0" w:color="auto"/>
                    <w:right w:val="none" w:sz="0" w:space="0" w:color="auto"/>
                  </w:divBdr>
                  <w:divsChild>
                    <w:div w:id="1513375167">
                      <w:marLeft w:val="0"/>
                      <w:marRight w:val="0"/>
                      <w:marTop w:val="0"/>
                      <w:marBottom w:val="0"/>
                      <w:divBdr>
                        <w:top w:val="none" w:sz="0" w:space="0" w:color="auto"/>
                        <w:left w:val="none" w:sz="0" w:space="0" w:color="auto"/>
                        <w:bottom w:val="none" w:sz="0" w:space="0" w:color="auto"/>
                        <w:right w:val="none" w:sz="0" w:space="0" w:color="auto"/>
                      </w:divBdr>
                    </w:div>
                  </w:divsChild>
                </w:div>
                <w:div w:id="1430156214">
                  <w:marLeft w:val="0"/>
                  <w:marRight w:val="0"/>
                  <w:marTop w:val="0"/>
                  <w:marBottom w:val="0"/>
                  <w:divBdr>
                    <w:top w:val="none" w:sz="0" w:space="0" w:color="auto"/>
                    <w:left w:val="none" w:sz="0" w:space="0" w:color="auto"/>
                    <w:bottom w:val="none" w:sz="0" w:space="0" w:color="auto"/>
                    <w:right w:val="none" w:sz="0" w:space="0" w:color="auto"/>
                  </w:divBdr>
                  <w:divsChild>
                    <w:div w:id="1930187917">
                      <w:marLeft w:val="0"/>
                      <w:marRight w:val="0"/>
                      <w:marTop w:val="0"/>
                      <w:marBottom w:val="0"/>
                      <w:divBdr>
                        <w:top w:val="none" w:sz="0" w:space="0" w:color="auto"/>
                        <w:left w:val="none" w:sz="0" w:space="0" w:color="auto"/>
                        <w:bottom w:val="none" w:sz="0" w:space="0" w:color="auto"/>
                        <w:right w:val="none" w:sz="0" w:space="0" w:color="auto"/>
                      </w:divBdr>
                    </w:div>
                  </w:divsChild>
                </w:div>
                <w:div w:id="1600526250">
                  <w:marLeft w:val="0"/>
                  <w:marRight w:val="0"/>
                  <w:marTop w:val="0"/>
                  <w:marBottom w:val="0"/>
                  <w:divBdr>
                    <w:top w:val="none" w:sz="0" w:space="0" w:color="auto"/>
                    <w:left w:val="none" w:sz="0" w:space="0" w:color="auto"/>
                    <w:bottom w:val="none" w:sz="0" w:space="0" w:color="auto"/>
                    <w:right w:val="none" w:sz="0" w:space="0" w:color="auto"/>
                  </w:divBdr>
                  <w:divsChild>
                    <w:div w:id="773867968">
                      <w:marLeft w:val="0"/>
                      <w:marRight w:val="0"/>
                      <w:marTop w:val="0"/>
                      <w:marBottom w:val="0"/>
                      <w:divBdr>
                        <w:top w:val="none" w:sz="0" w:space="0" w:color="auto"/>
                        <w:left w:val="none" w:sz="0" w:space="0" w:color="auto"/>
                        <w:bottom w:val="none" w:sz="0" w:space="0" w:color="auto"/>
                        <w:right w:val="none" w:sz="0" w:space="0" w:color="auto"/>
                      </w:divBdr>
                    </w:div>
                  </w:divsChild>
                </w:div>
                <w:div w:id="1692028835">
                  <w:marLeft w:val="0"/>
                  <w:marRight w:val="0"/>
                  <w:marTop w:val="0"/>
                  <w:marBottom w:val="0"/>
                  <w:divBdr>
                    <w:top w:val="none" w:sz="0" w:space="0" w:color="auto"/>
                    <w:left w:val="none" w:sz="0" w:space="0" w:color="auto"/>
                    <w:bottom w:val="none" w:sz="0" w:space="0" w:color="auto"/>
                    <w:right w:val="none" w:sz="0" w:space="0" w:color="auto"/>
                  </w:divBdr>
                  <w:divsChild>
                    <w:div w:id="541406771">
                      <w:marLeft w:val="0"/>
                      <w:marRight w:val="0"/>
                      <w:marTop w:val="0"/>
                      <w:marBottom w:val="0"/>
                      <w:divBdr>
                        <w:top w:val="none" w:sz="0" w:space="0" w:color="auto"/>
                        <w:left w:val="none" w:sz="0" w:space="0" w:color="auto"/>
                        <w:bottom w:val="none" w:sz="0" w:space="0" w:color="auto"/>
                        <w:right w:val="none" w:sz="0" w:space="0" w:color="auto"/>
                      </w:divBdr>
                    </w:div>
                  </w:divsChild>
                </w:div>
                <w:div w:id="1702625294">
                  <w:marLeft w:val="0"/>
                  <w:marRight w:val="0"/>
                  <w:marTop w:val="0"/>
                  <w:marBottom w:val="0"/>
                  <w:divBdr>
                    <w:top w:val="none" w:sz="0" w:space="0" w:color="auto"/>
                    <w:left w:val="none" w:sz="0" w:space="0" w:color="auto"/>
                    <w:bottom w:val="none" w:sz="0" w:space="0" w:color="auto"/>
                    <w:right w:val="none" w:sz="0" w:space="0" w:color="auto"/>
                  </w:divBdr>
                  <w:divsChild>
                    <w:div w:id="956563629">
                      <w:marLeft w:val="0"/>
                      <w:marRight w:val="0"/>
                      <w:marTop w:val="0"/>
                      <w:marBottom w:val="0"/>
                      <w:divBdr>
                        <w:top w:val="none" w:sz="0" w:space="0" w:color="auto"/>
                        <w:left w:val="none" w:sz="0" w:space="0" w:color="auto"/>
                        <w:bottom w:val="none" w:sz="0" w:space="0" w:color="auto"/>
                        <w:right w:val="none" w:sz="0" w:space="0" w:color="auto"/>
                      </w:divBdr>
                    </w:div>
                  </w:divsChild>
                </w:div>
                <w:div w:id="1759790567">
                  <w:marLeft w:val="0"/>
                  <w:marRight w:val="0"/>
                  <w:marTop w:val="0"/>
                  <w:marBottom w:val="0"/>
                  <w:divBdr>
                    <w:top w:val="none" w:sz="0" w:space="0" w:color="auto"/>
                    <w:left w:val="none" w:sz="0" w:space="0" w:color="auto"/>
                    <w:bottom w:val="none" w:sz="0" w:space="0" w:color="auto"/>
                    <w:right w:val="none" w:sz="0" w:space="0" w:color="auto"/>
                  </w:divBdr>
                  <w:divsChild>
                    <w:div w:id="304433753">
                      <w:marLeft w:val="0"/>
                      <w:marRight w:val="0"/>
                      <w:marTop w:val="0"/>
                      <w:marBottom w:val="0"/>
                      <w:divBdr>
                        <w:top w:val="none" w:sz="0" w:space="0" w:color="auto"/>
                        <w:left w:val="none" w:sz="0" w:space="0" w:color="auto"/>
                        <w:bottom w:val="none" w:sz="0" w:space="0" w:color="auto"/>
                        <w:right w:val="none" w:sz="0" w:space="0" w:color="auto"/>
                      </w:divBdr>
                    </w:div>
                  </w:divsChild>
                </w:div>
                <w:div w:id="1837500384">
                  <w:marLeft w:val="0"/>
                  <w:marRight w:val="0"/>
                  <w:marTop w:val="0"/>
                  <w:marBottom w:val="0"/>
                  <w:divBdr>
                    <w:top w:val="none" w:sz="0" w:space="0" w:color="auto"/>
                    <w:left w:val="none" w:sz="0" w:space="0" w:color="auto"/>
                    <w:bottom w:val="none" w:sz="0" w:space="0" w:color="auto"/>
                    <w:right w:val="none" w:sz="0" w:space="0" w:color="auto"/>
                  </w:divBdr>
                  <w:divsChild>
                    <w:div w:id="1336306792">
                      <w:marLeft w:val="0"/>
                      <w:marRight w:val="0"/>
                      <w:marTop w:val="0"/>
                      <w:marBottom w:val="0"/>
                      <w:divBdr>
                        <w:top w:val="none" w:sz="0" w:space="0" w:color="auto"/>
                        <w:left w:val="none" w:sz="0" w:space="0" w:color="auto"/>
                        <w:bottom w:val="none" w:sz="0" w:space="0" w:color="auto"/>
                        <w:right w:val="none" w:sz="0" w:space="0" w:color="auto"/>
                      </w:divBdr>
                    </w:div>
                  </w:divsChild>
                </w:div>
                <w:div w:id="1897281986">
                  <w:marLeft w:val="0"/>
                  <w:marRight w:val="0"/>
                  <w:marTop w:val="0"/>
                  <w:marBottom w:val="0"/>
                  <w:divBdr>
                    <w:top w:val="none" w:sz="0" w:space="0" w:color="auto"/>
                    <w:left w:val="none" w:sz="0" w:space="0" w:color="auto"/>
                    <w:bottom w:val="none" w:sz="0" w:space="0" w:color="auto"/>
                    <w:right w:val="none" w:sz="0" w:space="0" w:color="auto"/>
                  </w:divBdr>
                  <w:divsChild>
                    <w:div w:id="2118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90295">
          <w:marLeft w:val="0"/>
          <w:marRight w:val="0"/>
          <w:marTop w:val="0"/>
          <w:marBottom w:val="0"/>
          <w:divBdr>
            <w:top w:val="none" w:sz="0" w:space="0" w:color="auto"/>
            <w:left w:val="none" w:sz="0" w:space="0" w:color="auto"/>
            <w:bottom w:val="none" w:sz="0" w:space="0" w:color="auto"/>
            <w:right w:val="none" w:sz="0" w:space="0" w:color="auto"/>
          </w:divBdr>
          <w:divsChild>
            <w:div w:id="371273163">
              <w:marLeft w:val="0"/>
              <w:marRight w:val="0"/>
              <w:marTop w:val="0"/>
              <w:marBottom w:val="0"/>
              <w:divBdr>
                <w:top w:val="none" w:sz="0" w:space="0" w:color="auto"/>
                <w:left w:val="none" w:sz="0" w:space="0" w:color="auto"/>
                <w:bottom w:val="none" w:sz="0" w:space="0" w:color="auto"/>
                <w:right w:val="none" w:sz="0" w:space="0" w:color="auto"/>
              </w:divBdr>
            </w:div>
            <w:div w:id="756562692">
              <w:marLeft w:val="0"/>
              <w:marRight w:val="0"/>
              <w:marTop w:val="0"/>
              <w:marBottom w:val="0"/>
              <w:divBdr>
                <w:top w:val="none" w:sz="0" w:space="0" w:color="auto"/>
                <w:left w:val="none" w:sz="0" w:space="0" w:color="auto"/>
                <w:bottom w:val="none" w:sz="0" w:space="0" w:color="auto"/>
                <w:right w:val="none" w:sz="0" w:space="0" w:color="auto"/>
              </w:divBdr>
            </w:div>
            <w:div w:id="1935630455">
              <w:marLeft w:val="0"/>
              <w:marRight w:val="0"/>
              <w:marTop w:val="0"/>
              <w:marBottom w:val="0"/>
              <w:divBdr>
                <w:top w:val="none" w:sz="0" w:space="0" w:color="auto"/>
                <w:left w:val="none" w:sz="0" w:space="0" w:color="auto"/>
                <w:bottom w:val="none" w:sz="0" w:space="0" w:color="auto"/>
                <w:right w:val="none" w:sz="0" w:space="0" w:color="auto"/>
              </w:divBdr>
            </w:div>
            <w:div w:id="1937398456">
              <w:marLeft w:val="0"/>
              <w:marRight w:val="0"/>
              <w:marTop w:val="0"/>
              <w:marBottom w:val="0"/>
              <w:divBdr>
                <w:top w:val="none" w:sz="0" w:space="0" w:color="auto"/>
                <w:left w:val="none" w:sz="0" w:space="0" w:color="auto"/>
                <w:bottom w:val="none" w:sz="0" w:space="0" w:color="auto"/>
                <w:right w:val="none" w:sz="0" w:space="0" w:color="auto"/>
              </w:divBdr>
            </w:div>
          </w:divsChild>
        </w:div>
        <w:div w:id="1759449977">
          <w:marLeft w:val="0"/>
          <w:marRight w:val="0"/>
          <w:marTop w:val="0"/>
          <w:marBottom w:val="0"/>
          <w:divBdr>
            <w:top w:val="none" w:sz="0" w:space="0" w:color="auto"/>
            <w:left w:val="none" w:sz="0" w:space="0" w:color="auto"/>
            <w:bottom w:val="none" w:sz="0" w:space="0" w:color="auto"/>
            <w:right w:val="none" w:sz="0" w:space="0" w:color="auto"/>
          </w:divBdr>
          <w:divsChild>
            <w:div w:id="1107701049">
              <w:marLeft w:val="-75"/>
              <w:marRight w:val="0"/>
              <w:marTop w:val="30"/>
              <w:marBottom w:val="30"/>
              <w:divBdr>
                <w:top w:val="none" w:sz="0" w:space="0" w:color="auto"/>
                <w:left w:val="none" w:sz="0" w:space="0" w:color="auto"/>
                <w:bottom w:val="none" w:sz="0" w:space="0" w:color="auto"/>
                <w:right w:val="none" w:sz="0" w:space="0" w:color="auto"/>
              </w:divBdr>
              <w:divsChild>
                <w:div w:id="161941977">
                  <w:marLeft w:val="0"/>
                  <w:marRight w:val="0"/>
                  <w:marTop w:val="0"/>
                  <w:marBottom w:val="0"/>
                  <w:divBdr>
                    <w:top w:val="none" w:sz="0" w:space="0" w:color="auto"/>
                    <w:left w:val="none" w:sz="0" w:space="0" w:color="auto"/>
                    <w:bottom w:val="none" w:sz="0" w:space="0" w:color="auto"/>
                    <w:right w:val="none" w:sz="0" w:space="0" w:color="auto"/>
                  </w:divBdr>
                  <w:divsChild>
                    <w:div w:id="1288505888">
                      <w:marLeft w:val="0"/>
                      <w:marRight w:val="0"/>
                      <w:marTop w:val="0"/>
                      <w:marBottom w:val="0"/>
                      <w:divBdr>
                        <w:top w:val="none" w:sz="0" w:space="0" w:color="auto"/>
                        <w:left w:val="none" w:sz="0" w:space="0" w:color="auto"/>
                        <w:bottom w:val="none" w:sz="0" w:space="0" w:color="auto"/>
                        <w:right w:val="none" w:sz="0" w:space="0" w:color="auto"/>
                      </w:divBdr>
                    </w:div>
                  </w:divsChild>
                </w:div>
                <w:div w:id="178471812">
                  <w:marLeft w:val="0"/>
                  <w:marRight w:val="0"/>
                  <w:marTop w:val="0"/>
                  <w:marBottom w:val="0"/>
                  <w:divBdr>
                    <w:top w:val="none" w:sz="0" w:space="0" w:color="auto"/>
                    <w:left w:val="none" w:sz="0" w:space="0" w:color="auto"/>
                    <w:bottom w:val="none" w:sz="0" w:space="0" w:color="auto"/>
                    <w:right w:val="none" w:sz="0" w:space="0" w:color="auto"/>
                  </w:divBdr>
                  <w:divsChild>
                    <w:div w:id="1680278071">
                      <w:marLeft w:val="0"/>
                      <w:marRight w:val="0"/>
                      <w:marTop w:val="0"/>
                      <w:marBottom w:val="0"/>
                      <w:divBdr>
                        <w:top w:val="none" w:sz="0" w:space="0" w:color="auto"/>
                        <w:left w:val="none" w:sz="0" w:space="0" w:color="auto"/>
                        <w:bottom w:val="none" w:sz="0" w:space="0" w:color="auto"/>
                        <w:right w:val="none" w:sz="0" w:space="0" w:color="auto"/>
                      </w:divBdr>
                    </w:div>
                  </w:divsChild>
                </w:div>
                <w:div w:id="436875297">
                  <w:marLeft w:val="0"/>
                  <w:marRight w:val="0"/>
                  <w:marTop w:val="0"/>
                  <w:marBottom w:val="0"/>
                  <w:divBdr>
                    <w:top w:val="none" w:sz="0" w:space="0" w:color="auto"/>
                    <w:left w:val="none" w:sz="0" w:space="0" w:color="auto"/>
                    <w:bottom w:val="none" w:sz="0" w:space="0" w:color="auto"/>
                    <w:right w:val="none" w:sz="0" w:space="0" w:color="auto"/>
                  </w:divBdr>
                  <w:divsChild>
                    <w:div w:id="245455776">
                      <w:marLeft w:val="0"/>
                      <w:marRight w:val="0"/>
                      <w:marTop w:val="0"/>
                      <w:marBottom w:val="0"/>
                      <w:divBdr>
                        <w:top w:val="none" w:sz="0" w:space="0" w:color="auto"/>
                        <w:left w:val="none" w:sz="0" w:space="0" w:color="auto"/>
                        <w:bottom w:val="none" w:sz="0" w:space="0" w:color="auto"/>
                        <w:right w:val="none" w:sz="0" w:space="0" w:color="auto"/>
                      </w:divBdr>
                    </w:div>
                  </w:divsChild>
                </w:div>
                <w:div w:id="516500448">
                  <w:marLeft w:val="0"/>
                  <w:marRight w:val="0"/>
                  <w:marTop w:val="0"/>
                  <w:marBottom w:val="0"/>
                  <w:divBdr>
                    <w:top w:val="none" w:sz="0" w:space="0" w:color="auto"/>
                    <w:left w:val="none" w:sz="0" w:space="0" w:color="auto"/>
                    <w:bottom w:val="none" w:sz="0" w:space="0" w:color="auto"/>
                    <w:right w:val="none" w:sz="0" w:space="0" w:color="auto"/>
                  </w:divBdr>
                  <w:divsChild>
                    <w:div w:id="1488399257">
                      <w:marLeft w:val="0"/>
                      <w:marRight w:val="0"/>
                      <w:marTop w:val="0"/>
                      <w:marBottom w:val="0"/>
                      <w:divBdr>
                        <w:top w:val="none" w:sz="0" w:space="0" w:color="auto"/>
                        <w:left w:val="none" w:sz="0" w:space="0" w:color="auto"/>
                        <w:bottom w:val="none" w:sz="0" w:space="0" w:color="auto"/>
                        <w:right w:val="none" w:sz="0" w:space="0" w:color="auto"/>
                      </w:divBdr>
                    </w:div>
                  </w:divsChild>
                </w:div>
                <w:div w:id="692807889">
                  <w:marLeft w:val="0"/>
                  <w:marRight w:val="0"/>
                  <w:marTop w:val="0"/>
                  <w:marBottom w:val="0"/>
                  <w:divBdr>
                    <w:top w:val="none" w:sz="0" w:space="0" w:color="auto"/>
                    <w:left w:val="none" w:sz="0" w:space="0" w:color="auto"/>
                    <w:bottom w:val="none" w:sz="0" w:space="0" w:color="auto"/>
                    <w:right w:val="none" w:sz="0" w:space="0" w:color="auto"/>
                  </w:divBdr>
                  <w:divsChild>
                    <w:div w:id="150758228">
                      <w:marLeft w:val="0"/>
                      <w:marRight w:val="0"/>
                      <w:marTop w:val="0"/>
                      <w:marBottom w:val="0"/>
                      <w:divBdr>
                        <w:top w:val="none" w:sz="0" w:space="0" w:color="auto"/>
                        <w:left w:val="none" w:sz="0" w:space="0" w:color="auto"/>
                        <w:bottom w:val="none" w:sz="0" w:space="0" w:color="auto"/>
                        <w:right w:val="none" w:sz="0" w:space="0" w:color="auto"/>
                      </w:divBdr>
                    </w:div>
                  </w:divsChild>
                </w:div>
                <w:div w:id="761952279">
                  <w:marLeft w:val="0"/>
                  <w:marRight w:val="0"/>
                  <w:marTop w:val="0"/>
                  <w:marBottom w:val="0"/>
                  <w:divBdr>
                    <w:top w:val="none" w:sz="0" w:space="0" w:color="auto"/>
                    <w:left w:val="none" w:sz="0" w:space="0" w:color="auto"/>
                    <w:bottom w:val="none" w:sz="0" w:space="0" w:color="auto"/>
                    <w:right w:val="none" w:sz="0" w:space="0" w:color="auto"/>
                  </w:divBdr>
                  <w:divsChild>
                    <w:div w:id="544491720">
                      <w:marLeft w:val="0"/>
                      <w:marRight w:val="0"/>
                      <w:marTop w:val="0"/>
                      <w:marBottom w:val="0"/>
                      <w:divBdr>
                        <w:top w:val="none" w:sz="0" w:space="0" w:color="auto"/>
                        <w:left w:val="none" w:sz="0" w:space="0" w:color="auto"/>
                        <w:bottom w:val="none" w:sz="0" w:space="0" w:color="auto"/>
                        <w:right w:val="none" w:sz="0" w:space="0" w:color="auto"/>
                      </w:divBdr>
                    </w:div>
                  </w:divsChild>
                </w:div>
                <w:div w:id="803428127">
                  <w:marLeft w:val="0"/>
                  <w:marRight w:val="0"/>
                  <w:marTop w:val="0"/>
                  <w:marBottom w:val="0"/>
                  <w:divBdr>
                    <w:top w:val="none" w:sz="0" w:space="0" w:color="auto"/>
                    <w:left w:val="none" w:sz="0" w:space="0" w:color="auto"/>
                    <w:bottom w:val="none" w:sz="0" w:space="0" w:color="auto"/>
                    <w:right w:val="none" w:sz="0" w:space="0" w:color="auto"/>
                  </w:divBdr>
                  <w:divsChild>
                    <w:div w:id="1714108805">
                      <w:marLeft w:val="0"/>
                      <w:marRight w:val="0"/>
                      <w:marTop w:val="0"/>
                      <w:marBottom w:val="0"/>
                      <w:divBdr>
                        <w:top w:val="none" w:sz="0" w:space="0" w:color="auto"/>
                        <w:left w:val="none" w:sz="0" w:space="0" w:color="auto"/>
                        <w:bottom w:val="none" w:sz="0" w:space="0" w:color="auto"/>
                        <w:right w:val="none" w:sz="0" w:space="0" w:color="auto"/>
                      </w:divBdr>
                    </w:div>
                  </w:divsChild>
                </w:div>
                <w:div w:id="925846777">
                  <w:marLeft w:val="0"/>
                  <w:marRight w:val="0"/>
                  <w:marTop w:val="0"/>
                  <w:marBottom w:val="0"/>
                  <w:divBdr>
                    <w:top w:val="none" w:sz="0" w:space="0" w:color="auto"/>
                    <w:left w:val="none" w:sz="0" w:space="0" w:color="auto"/>
                    <w:bottom w:val="none" w:sz="0" w:space="0" w:color="auto"/>
                    <w:right w:val="none" w:sz="0" w:space="0" w:color="auto"/>
                  </w:divBdr>
                  <w:divsChild>
                    <w:div w:id="1760591639">
                      <w:marLeft w:val="0"/>
                      <w:marRight w:val="0"/>
                      <w:marTop w:val="0"/>
                      <w:marBottom w:val="0"/>
                      <w:divBdr>
                        <w:top w:val="none" w:sz="0" w:space="0" w:color="auto"/>
                        <w:left w:val="none" w:sz="0" w:space="0" w:color="auto"/>
                        <w:bottom w:val="none" w:sz="0" w:space="0" w:color="auto"/>
                        <w:right w:val="none" w:sz="0" w:space="0" w:color="auto"/>
                      </w:divBdr>
                    </w:div>
                  </w:divsChild>
                </w:div>
                <w:div w:id="1123574388">
                  <w:marLeft w:val="0"/>
                  <w:marRight w:val="0"/>
                  <w:marTop w:val="0"/>
                  <w:marBottom w:val="0"/>
                  <w:divBdr>
                    <w:top w:val="none" w:sz="0" w:space="0" w:color="auto"/>
                    <w:left w:val="none" w:sz="0" w:space="0" w:color="auto"/>
                    <w:bottom w:val="none" w:sz="0" w:space="0" w:color="auto"/>
                    <w:right w:val="none" w:sz="0" w:space="0" w:color="auto"/>
                  </w:divBdr>
                  <w:divsChild>
                    <w:div w:id="1190680774">
                      <w:marLeft w:val="0"/>
                      <w:marRight w:val="0"/>
                      <w:marTop w:val="0"/>
                      <w:marBottom w:val="0"/>
                      <w:divBdr>
                        <w:top w:val="none" w:sz="0" w:space="0" w:color="auto"/>
                        <w:left w:val="none" w:sz="0" w:space="0" w:color="auto"/>
                        <w:bottom w:val="none" w:sz="0" w:space="0" w:color="auto"/>
                        <w:right w:val="none" w:sz="0" w:space="0" w:color="auto"/>
                      </w:divBdr>
                    </w:div>
                  </w:divsChild>
                </w:div>
                <w:div w:id="1387217068">
                  <w:marLeft w:val="0"/>
                  <w:marRight w:val="0"/>
                  <w:marTop w:val="0"/>
                  <w:marBottom w:val="0"/>
                  <w:divBdr>
                    <w:top w:val="none" w:sz="0" w:space="0" w:color="auto"/>
                    <w:left w:val="none" w:sz="0" w:space="0" w:color="auto"/>
                    <w:bottom w:val="none" w:sz="0" w:space="0" w:color="auto"/>
                    <w:right w:val="none" w:sz="0" w:space="0" w:color="auto"/>
                  </w:divBdr>
                  <w:divsChild>
                    <w:div w:id="651712093">
                      <w:marLeft w:val="0"/>
                      <w:marRight w:val="0"/>
                      <w:marTop w:val="0"/>
                      <w:marBottom w:val="0"/>
                      <w:divBdr>
                        <w:top w:val="none" w:sz="0" w:space="0" w:color="auto"/>
                        <w:left w:val="none" w:sz="0" w:space="0" w:color="auto"/>
                        <w:bottom w:val="none" w:sz="0" w:space="0" w:color="auto"/>
                        <w:right w:val="none" w:sz="0" w:space="0" w:color="auto"/>
                      </w:divBdr>
                    </w:div>
                  </w:divsChild>
                </w:div>
                <w:div w:id="1775402308">
                  <w:marLeft w:val="0"/>
                  <w:marRight w:val="0"/>
                  <w:marTop w:val="0"/>
                  <w:marBottom w:val="0"/>
                  <w:divBdr>
                    <w:top w:val="none" w:sz="0" w:space="0" w:color="auto"/>
                    <w:left w:val="none" w:sz="0" w:space="0" w:color="auto"/>
                    <w:bottom w:val="none" w:sz="0" w:space="0" w:color="auto"/>
                    <w:right w:val="none" w:sz="0" w:space="0" w:color="auto"/>
                  </w:divBdr>
                  <w:divsChild>
                    <w:div w:id="1372464357">
                      <w:marLeft w:val="0"/>
                      <w:marRight w:val="0"/>
                      <w:marTop w:val="0"/>
                      <w:marBottom w:val="0"/>
                      <w:divBdr>
                        <w:top w:val="none" w:sz="0" w:space="0" w:color="auto"/>
                        <w:left w:val="none" w:sz="0" w:space="0" w:color="auto"/>
                        <w:bottom w:val="none" w:sz="0" w:space="0" w:color="auto"/>
                        <w:right w:val="none" w:sz="0" w:space="0" w:color="auto"/>
                      </w:divBdr>
                    </w:div>
                  </w:divsChild>
                </w:div>
                <w:div w:id="1922253207">
                  <w:marLeft w:val="0"/>
                  <w:marRight w:val="0"/>
                  <w:marTop w:val="0"/>
                  <w:marBottom w:val="0"/>
                  <w:divBdr>
                    <w:top w:val="none" w:sz="0" w:space="0" w:color="auto"/>
                    <w:left w:val="none" w:sz="0" w:space="0" w:color="auto"/>
                    <w:bottom w:val="none" w:sz="0" w:space="0" w:color="auto"/>
                    <w:right w:val="none" w:sz="0" w:space="0" w:color="auto"/>
                  </w:divBdr>
                  <w:divsChild>
                    <w:div w:id="721564555">
                      <w:marLeft w:val="0"/>
                      <w:marRight w:val="0"/>
                      <w:marTop w:val="0"/>
                      <w:marBottom w:val="0"/>
                      <w:divBdr>
                        <w:top w:val="none" w:sz="0" w:space="0" w:color="auto"/>
                        <w:left w:val="none" w:sz="0" w:space="0" w:color="auto"/>
                        <w:bottom w:val="none" w:sz="0" w:space="0" w:color="auto"/>
                        <w:right w:val="none" w:sz="0" w:space="0" w:color="auto"/>
                      </w:divBdr>
                    </w:div>
                  </w:divsChild>
                </w:div>
                <w:div w:id="1950812695">
                  <w:marLeft w:val="0"/>
                  <w:marRight w:val="0"/>
                  <w:marTop w:val="0"/>
                  <w:marBottom w:val="0"/>
                  <w:divBdr>
                    <w:top w:val="none" w:sz="0" w:space="0" w:color="auto"/>
                    <w:left w:val="none" w:sz="0" w:space="0" w:color="auto"/>
                    <w:bottom w:val="none" w:sz="0" w:space="0" w:color="auto"/>
                    <w:right w:val="none" w:sz="0" w:space="0" w:color="auto"/>
                  </w:divBdr>
                  <w:divsChild>
                    <w:div w:id="1063717448">
                      <w:marLeft w:val="0"/>
                      <w:marRight w:val="0"/>
                      <w:marTop w:val="0"/>
                      <w:marBottom w:val="0"/>
                      <w:divBdr>
                        <w:top w:val="none" w:sz="0" w:space="0" w:color="auto"/>
                        <w:left w:val="none" w:sz="0" w:space="0" w:color="auto"/>
                        <w:bottom w:val="none" w:sz="0" w:space="0" w:color="auto"/>
                        <w:right w:val="none" w:sz="0" w:space="0" w:color="auto"/>
                      </w:divBdr>
                    </w:div>
                  </w:divsChild>
                </w:div>
                <w:div w:id="2065373184">
                  <w:marLeft w:val="0"/>
                  <w:marRight w:val="0"/>
                  <w:marTop w:val="0"/>
                  <w:marBottom w:val="0"/>
                  <w:divBdr>
                    <w:top w:val="none" w:sz="0" w:space="0" w:color="auto"/>
                    <w:left w:val="none" w:sz="0" w:space="0" w:color="auto"/>
                    <w:bottom w:val="none" w:sz="0" w:space="0" w:color="auto"/>
                    <w:right w:val="none" w:sz="0" w:space="0" w:color="auto"/>
                  </w:divBdr>
                  <w:divsChild>
                    <w:div w:id="14817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26188">
          <w:marLeft w:val="0"/>
          <w:marRight w:val="0"/>
          <w:marTop w:val="0"/>
          <w:marBottom w:val="0"/>
          <w:divBdr>
            <w:top w:val="none" w:sz="0" w:space="0" w:color="auto"/>
            <w:left w:val="none" w:sz="0" w:space="0" w:color="auto"/>
            <w:bottom w:val="none" w:sz="0" w:space="0" w:color="auto"/>
            <w:right w:val="none" w:sz="0" w:space="0" w:color="auto"/>
          </w:divBdr>
        </w:div>
        <w:div w:id="1771773356">
          <w:marLeft w:val="0"/>
          <w:marRight w:val="0"/>
          <w:marTop w:val="0"/>
          <w:marBottom w:val="0"/>
          <w:divBdr>
            <w:top w:val="none" w:sz="0" w:space="0" w:color="auto"/>
            <w:left w:val="none" w:sz="0" w:space="0" w:color="auto"/>
            <w:bottom w:val="none" w:sz="0" w:space="0" w:color="auto"/>
            <w:right w:val="none" w:sz="0" w:space="0" w:color="auto"/>
          </w:divBdr>
        </w:div>
        <w:div w:id="1772814576">
          <w:marLeft w:val="0"/>
          <w:marRight w:val="0"/>
          <w:marTop w:val="0"/>
          <w:marBottom w:val="0"/>
          <w:divBdr>
            <w:top w:val="none" w:sz="0" w:space="0" w:color="auto"/>
            <w:left w:val="none" w:sz="0" w:space="0" w:color="auto"/>
            <w:bottom w:val="none" w:sz="0" w:space="0" w:color="auto"/>
            <w:right w:val="none" w:sz="0" w:space="0" w:color="auto"/>
          </w:divBdr>
          <w:divsChild>
            <w:div w:id="27142555">
              <w:marLeft w:val="0"/>
              <w:marRight w:val="0"/>
              <w:marTop w:val="0"/>
              <w:marBottom w:val="0"/>
              <w:divBdr>
                <w:top w:val="none" w:sz="0" w:space="0" w:color="auto"/>
                <w:left w:val="none" w:sz="0" w:space="0" w:color="auto"/>
                <w:bottom w:val="none" w:sz="0" w:space="0" w:color="auto"/>
                <w:right w:val="none" w:sz="0" w:space="0" w:color="auto"/>
              </w:divBdr>
            </w:div>
            <w:div w:id="290403270">
              <w:marLeft w:val="0"/>
              <w:marRight w:val="0"/>
              <w:marTop w:val="0"/>
              <w:marBottom w:val="0"/>
              <w:divBdr>
                <w:top w:val="none" w:sz="0" w:space="0" w:color="auto"/>
                <w:left w:val="none" w:sz="0" w:space="0" w:color="auto"/>
                <w:bottom w:val="none" w:sz="0" w:space="0" w:color="auto"/>
                <w:right w:val="none" w:sz="0" w:space="0" w:color="auto"/>
              </w:divBdr>
            </w:div>
            <w:div w:id="340815727">
              <w:marLeft w:val="0"/>
              <w:marRight w:val="0"/>
              <w:marTop w:val="0"/>
              <w:marBottom w:val="0"/>
              <w:divBdr>
                <w:top w:val="none" w:sz="0" w:space="0" w:color="auto"/>
                <w:left w:val="none" w:sz="0" w:space="0" w:color="auto"/>
                <w:bottom w:val="none" w:sz="0" w:space="0" w:color="auto"/>
                <w:right w:val="none" w:sz="0" w:space="0" w:color="auto"/>
              </w:divBdr>
            </w:div>
            <w:div w:id="417482154">
              <w:marLeft w:val="0"/>
              <w:marRight w:val="0"/>
              <w:marTop w:val="0"/>
              <w:marBottom w:val="0"/>
              <w:divBdr>
                <w:top w:val="none" w:sz="0" w:space="0" w:color="auto"/>
                <w:left w:val="none" w:sz="0" w:space="0" w:color="auto"/>
                <w:bottom w:val="none" w:sz="0" w:space="0" w:color="auto"/>
                <w:right w:val="none" w:sz="0" w:space="0" w:color="auto"/>
              </w:divBdr>
            </w:div>
            <w:div w:id="477767317">
              <w:marLeft w:val="0"/>
              <w:marRight w:val="0"/>
              <w:marTop w:val="0"/>
              <w:marBottom w:val="0"/>
              <w:divBdr>
                <w:top w:val="none" w:sz="0" w:space="0" w:color="auto"/>
                <w:left w:val="none" w:sz="0" w:space="0" w:color="auto"/>
                <w:bottom w:val="none" w:sz="0" w:space="0" w:color="auto"/>
                <w:right w:val="none" w:sz="0" w:space="0" w:color="auto"/>
              </w:divBdr>
            </w:div>
            <w:div w:id="612830131">
              <w:marLeft w:val="0"/>
              <w:marRight w:val="0"/>
              <w:marTop w:val="0"/>
              <w:marBottom w:val="0"/>
              <w:divBdr>
                <w:top w:val="none" w:sz="0" w:space="0" w:color="auto"/>
                <w:left w:val="none" w:sz="0" w:space="0" w:color="auto"/>
                <w:bottom w:val="none" w:sz="0" w:space="0" w:color="auto"/>
                <w:right w:val="none" w:sz="0" w:space="0" w:color="auto"/>
              </w:divBdr>
            </w:div>
            <w:div w:id="876742193">
              <w:marLeft w:val="0"/>
              <w:marRight w:val="0"/>
              <w:marTop w:val="0"/>
              <w:marBottom w:val="0"/>
              <w:divBdr>
                <w:top w:val="none" w:sz="0" w:space="0" w:color="auto"/>
                <w:left w:val="none" w:sz="0" w:space="0" w:color="auto"/>
                <w:bottom w:val="none" w:sz="0" w:space="0" w:color="auto"/>
                <w:right w:val="none" w:sz="0" w:space="0" w:color="auto"/>
              </w:divBdr>
            </w:div>
            <w:div w:id="914629607">
              <w:marLeft w:val="0"/>
              <w:marRight w:val="0"/>
              <w:marTop w:val="0"/>
              <w:marBottom w:val="0"/>
              <w:divBdr>
                <w:top w:val="none" w:sz="0" w:space="0" w:color="auto"/>
                <w:left w:val="none" w:sz="0" w:space="0" w:color="auto"/>
                <w:bottom w:val="none" w:sz="0" w:space="0" w:color="auto"/>
                <w:right w:val="none" w:sz="0" w:space="0" w:color="auto"/>
              </w:divBdr>
            </w:div>
            <w:div w:id="929124435">
              <w:marLeft w:val="0"/>
              <w:marRight w:val="0"/>
              <w:marTop w:val="0"/>
              <w:marBottom w:val="0"/>
              <w:divBdr>
                <w:top w:val="none" w:sz="0" w:space="0" w:color="auto"/>
                <w:left w:val="none" w:sz="0" w:space="0" w:color="auto"/>
                <w:bottom w:val="none" w:sz="0" w:space="0" w:color="auto"/>
                <w:right w:val="none" w:sz="0" w:space="0" w:color="auto"/>
              </w:divBdr>
            </w:div>
            <w:div w:id="1053119158">
              <w:marLeft w:val="0"/>
              <w:marRight w:val="0"/>
              <w:marTop w:val="0"/>
              <w:marBottom w:val="0"/>
              <w:divBdr>
                <w:top w:val="none" w:sz="0" w:space="0" w:color="auto"/>
                <w:left w:val="none" w:sz="0" w:space="0" w:color="auto"/>
                <w:bottom w:val="none" w:sz="0" w:space="0" w:color="auto"/>
                <w:right w:val="none" w:sz="0" w:space="0" w:color="auto"/>
              </w:divBdr>
            </w:div>
            <w:div w:id="1132358257">
              <w:marLeft w:val="0"/>
              <w:marRight w:val="0"/>
              <w:marTop w:val="0"/>
              <w:marBottom w:val="0"/>
              <w:divBdr>
                <w:top w:val="none" w:sz="0" w:space="0" w:color="auto"/>
                <w:left w:val="none" w:sz="0" w:space="0" w:color="auto"/>
                <w:bottom w:val="none" w:sz="0" w:space="0" w:color="auto"/>
                <w:right w:val="none" w:sz="0" w:space="0" w:color="auto"/>
              </w:divBdr>
            </w:div>
            <w:div w:id="1477455953">
              <w:marLeft w:val="0"/>
              <w:marRight w:val="0"/>
              <w:marTop w:val="0"/>
              <w:marBottom w:val="0"/>
              <w:divBdr>
                <w:top w:val="none" w:sz="0" w:space="0" w:color="auto"/>
                <w:left w:val="none" w:sz="0" w:space="0" w:color="auto"/>
                <w:bottom w:val="none" w:sz="0" w:space="0" w:color="auto"/>
                <w:right w:val="none" w:sz="0" w:space="0" w:color="auto"/>
              </w:divBdr>
            </w:div>
            <w:div w:id="1927960456">
              <w:marLeft w:val="0"/>
              <w:marRight w:val="0"/>
              <w:marTop w:val="0"/>
              <w:marBottom w:val="0"/>
              <w:divBdr>
                <w:top w:val="none" w:sz="0" w:space="0" w:color="auto"/>
                <w:left w:val="none" w:sz="0" w:space="0" w:color="auto"/>
                <w:bottom w:val="none" w:sz="0" w:space="0" w:color="auto"/>
                <w:right w:val="none" w:sz="0" w:space="0" w:color="auto"/>
              </w:divBdr>
            </w:div>
          </w:divsChild>
        </w:div>
        <w:div w:id="1830368982">
          <w:marLeft w:val="0"/>
          <w:marRight w:val="0"/>
          <w:marTop w:val="0"/>
          <w:marBottom w:val="0"/>
          <w:divBdr>
            <w:top w:val="none" w:sz="0" w:space="0" w:color="auto"/>
            <w:left w:val="none" w:sz="0" w:space="0" w:color="auto"/>
            <w:bottom w:val="none" w:sz="0" w:space="0" w:color="auto"/>
            <w:right w:val="none" w:sz="0" w:space="0" w:color="auto"/>
          </w:divBdr>
        </w:div>
        <w:div w:id="1871409871">
          <w:marLeft w:val="0"/>
          <w:marRight w:val="0"/>
          <w:marTop w:val="0"/>
          <w:marBottom w:val="0"/>
          <w:divBdr>
            <w:top w:val="none" w:sz="0" w:space="0" w:color="auto"/>
            <w:left w:val="none" w:sz="0" w:space="0" w:color="auto"/>
            <w:bottom w:val="none" w:sz="0" w:space="0" w:color="auto"/>
            <w:right w:val="none" w:sz="0" w:space="0" w:color="auto"/>
          </w:divBdr>
          <w:divsChild>
            <w:div w:id="230191851">
              <w:marLeft w:val="0"/>
              <w:marRight w:val="0"/>
              <w:marTop w:val="0"/>
              <w:marBottom w:val="0"/>
              <w:divBdr>
                <w:top w:val="none" w:sz="0" w:space="0" w:color="auto"/>
                <w:left w:val="none" w:sz="0" w:space="0" w:color="auto"/>
                <w:bottom w:val="none" w:sz="0" w:space="0" w:color="auto"/>
                <w:right w:val="none" w:sz="0" w:space="0" w:color="auto"/>
              </w:divBdr>
            </w:div>
            <w:div w:id="965891869">
              <w:marLeft w:val="0"/>
              <w:marRight w:val="0"/>
              <w:marTop w:val="0"/>
              <w:marBottom w:val="0"/>
              <w:divBdr>
                <w:top w:val="none" w:sz="0" w:space="0" w:color="auto"/>
                <w:left w:val="none" w:sz="0" w:space="0" w:color="auto"/>
                <w:bottom w:val="none" w:sz="0" w:space="0" w:color="auto"/>
                <w:right w:val="none" w:sz="0" w:space="0" w:color="auto"/>
              </w:divBdr>
            </w:div>
            <w:div w:id="1250457095">
              <w:marLeft w:val="0"/>
              <w:marRight w:val="0"/>
              <w:marTop w:val="0"/>
              <w:marBottom w:val="0"/>
              <w:divBdr>
                <w:top w:val="none" w:sz="0" w:space="0" w:color="auto"/>
                <w:left w:val="none" w:sz="0" w:space="0" w:color="auto"/>
                <w:bottom w:val="none" w:sz="0" w:space="0" w:color="auto"/>
                <w:right w:val="none" w:sz="0" w:space="0" w:color="auto"/>
              </w:divBdr>
            </w:div>
            <w:div w:id="1536310002">
              <w:marLeft w:val="0"/>
              <w:marRight w:val="0"/>
              <w:marTop w:val="0"/>
              <w:marBottom w:val="0"/>
              <w:divBdr>
                <w:top w:val="none" w:sz="0" w:space="0" w:color="auto"/>
                <w:left w:val="none" w:sz="0" w:space="0" w:color="auto"/>
                <w:bottom w:val="none" w:sz="0" w:space="0" w:color="auto"/>
                <w:right w:val="none" w:sz="0" w:space="0" w:color="auto"/>
              </w:divBdr>
            </w:div>
          </w:divsChild>
        </w:div>
        <w:div w:id="1911692617">
          <w:marLeft w:val="0"/>
          <w:marRight w:val="0"/>
          <w:marTop w:val="0"/>
          <w:marBottom w:val="0"/>
          <w:divBdr>
            <w:top w:val="none" w:sz="0" w:space="0" w:color="auto"/>
            <w:left w:val="none" w:sz="0" w:space="0" w:color="auto"/>
            <w:bottom w:val="none" w:sz="0" w:space="0" w:color="auto"/>
            <w:right w:val="none" w:sz="0" w:space="0" w:color="auto"/>
          </w:divBdr>
          <w:divsChild>
            <w:div w:id="352730990">
              <w:marLeft w:val="-75"/>
              <w:marRight w:val="0"/>
              <w:marTop w:val="30"/>
              <w:marBottom w:val="30"/>
              <w:divBdr>
                <w:top w:val="none" w:sz="0" w:space="0" w:color="auto"/>
                <w:left w:val="none" w:sz="0" w:space="0" w:color="auto"/>
                <w:bottom w:val="none" w:sz="0" w:space="0" w:color="auto"/>
                <w:right w:val="none" w:sz="0" w:space="0" w:color="auto"/>
              </w:divBdr>
              <w:divsChild>
                <w:div w:id="15428908">
                  <w:marLeft w:val="0"/>
                  <w:marRight w:val="0"/>
                  <w:marTop w:val="0"/>
                  <w:marBottom w:val="0"/>
                  <w:divBdr>
                    <w:top w:val="none" w:sz="0" w:space="0" w:color="auto"/>
                    <w:left w:val="none" w:sz="0" w:space="0" w:color="auto"/>
                    <w:bottom w:val="none" w:sz="0" w:space="0" w:color="auto"/>
                    <w:right w:val="none" w:sz="0" w:space="0" w:color="auto"/>
                  </w:divBdr>
                  <w:divsChild>
                    <w:div w:id="1254893037">
                      <w:marLeft w:val="0"/>
                      <w:marRight w:val="0"/>
                      <w:marTop w:val="0"/>
                      <w:marBottom w:val="0"/>
                      <w:divBdr>
                        <w:top w:val="none" w:sz="0" w:space="0" w:color="auto"/>
                        <w:left w:val="none" w:sz="0" w:space="0" w:color="auto"/>
                        <w:bottom w:val="none" w:sz="0" w:space="0" w:color="auto"/>
                        <w:right w:val="none" w:sz="0" w:space="0" w:color="auto"/>
                      </w:divBdr>
                    </w:div>
                  </w:divsChild>
                </w:div>
                <w:div w:id="26177861">
                  <w:marLeft w:val="0"/>
                  <w:marRight w:val="0"/>
                  <w:marTop w:val="0"/>
                  <w:marBottom w:val="0"/>
                  <w:divBdr>
                    <w:top w:val="none" w:sz="0" w:space="0" w:color="auto"/>
                    <w:left w:val="none" w:sz="0" w:space="0" w:color="auto"/>
                    <w:bottom w:val="none" w:sz="0" w:space="0" w:color="auto"/>
                    <w:right w:val="none" w:sz="0" w:space="0" w:color="auto"/>
                  </w:divBdr>
                  <w:divsChild>
                    <w:div w:id="1393386573">
                      <w:marLeft w:val="0"/>
                      <w:marRight w:val="0"/>
                      <w:marTop w:val="0"/>
                      <w:marBottom w:val="0"/>
                      <w:divBdr>
                        <w:top w:val="none" w:sz="0" w:space="0" w:color="auto"/>
                        <w:left w:val="none" w:sz="0" w:space="0" w:color="auto"/>
                        <w:bottom w:val="none" w:sz="0" w:space="0" w:color="auto"/>
                        <w:right w:val="none" w:sz="0" w:space="0" w:color="auto"/>
                      </w:divBdr>
                    </w:div>
                  </w:divsChild>
                </w:div>
                <w:div w:id="36971521">
                  <w:marLeft w:val="0"/>
                  <w:marRight w:val="0"/>
                  <w:marTop w:val="0"/>
                  <w:marBottom w:val="0"/>
                  <w:divBdr>
                    <w:top w:val="none" w:sz="0" w:space="0" w:color="auto"/>
                    <w:left w:val="none" w:sz="0" w:space="0" w:color="auto"/>
                    <w:bottom w:val="none" w:sz="0" w:space="0" w:color="auto"/>
                    <w:right w:val="none" w:sz="0" w:space="0" w:color="auto"/>
                  </w:divBdr>
                  <w:divsChild>
                    <w:div w:id="644511952">
                      <w:marLeft w:val="0"/>
                      <w:marRight w:val="0"/>
                      <w:marTop w:val="0"/>
                      <w:marBottom w:val="0"/>
                      <w:divBdr>
                        <w:top w:val="none" w:sz="0" w:space="0" w:color="auto"/>
                        <w:left w:val="none" w:sz="0" w:space="0" w:color="auto"/>
                        <w:bottom w:val="none" w:sz="0" w:space="0" w:color="auto"/>
                        <w:right w:val="none" w:sz="0" w:space="0" w:color="auto"/>
                      </w:divBdr>
                    </w:div>
                  </w:divsChild>
                </w:div>
                <w:div w:id="38091741">
                  <w:marLeft w:val="0"/>
                  <w:marRight w:val="0"/>
                  <w:marTop w:val="0"/>
                  <w:marBottom w:val="0"/>
                  <w:divBdr>
                    <w:top w:val="none" w:sz="0" w:space="0" w:color="auto"/>
                    <w:left w:val="none" w:sz="0" w:space="0" w:color="auto"/>
                    <w:bottom w:val="none" w:sz="0" w:space="0" w:color="auto"/>
                    <w:right w:val="none" w:sz="0" w:space="0" w:color="auto"/>
                  </w:divBdr>
                  <w:divsChild>
                    <w:div w:id="1548179579">
                      <w:marLeft w:val="0"/>
                      <w:marRight w:val="0"/>
                      <w:marTop w:val="0"/>
                      <w:marBottom w:val="0"/>
                      <w:divBdr>
                        <w:top w:val="none" w:sz="0" w:space="0" w:color="auto"/>
                        <w:left w:val="none" w:sz="0" w:space="0" w:color="auto"/>
                        <w:bottom w:val="none" w:sz="0" w:space="0" w:color="auto"/>
                        <w:right w:val="none" w:sz="0" w:space="0" w:color="auto"/>
                      </w:divBdr>
                    </w:div>
                  </w:divsChild>
                </w:div>
                <w:div w:id="52701022">
                  <w:marLeft w:val="0"/>
                  <w:marRight w:val="0"/>
                  <w:marTop w:val="0"/>
                  <w:marBottom w:val="0"/>
                  <w:divBdr>
                    <w:top w:val="none" w:sz="0" w:space="0" w:color="auto"/>
                    <w:left w:val="none" w:sz="0" w:space="0" w:color="auto"/>
                    <w:bottom w:val="none" w:sz="0" w:space="0" w:color="auto"/>
                    <w:right w:val="none" w:sz="0" w:space="0" w:color="auto"/>
                  </w:divBdr>
                  <w:divsChild>
                    <w:div w:id="784345775">
                      <w:marLeft w:val="0"/>
                      <w:marRight w:val="0"/>
                      <w:marTop w:val="0"/>
                      <w:marBottom w:val="0"/>
                      <w:divBdr>
                        <w:top w:val="none" w:sz="0" w:space="0" w:color="auto"/>
                        <w:left w:val="none" w:sz="0" w:space="0" w:color="auto"/>
                        <w:bottom w:val="none" w:sz="0" w:space="0" w:color="auto"/>
                        <w:right w:val="none" w:sz="0" w:space="0" w:color="auto"/>
                      </w:divBdr>
                    </w:div>
                  </w:divsChild>
                </w:div>
                <w:div w:id="190463645">
                  <w:marLeft w:val="0"/>
                  <w:marRight w:val="0"/>
                  <w:marTop w:val="0"/>
                  <w:marBottom w:val="0"/>
                  <w:divBdr>
                    <w:top w:val="none" w:sz="0" w:space="0" w:color="auto"/>
                    <w:left w:val="none" w:sz="0" w:space="0" w:color="auto"/>
                    <w:bottom w:val="none" w:sz="0" w:space="0" w:color="auto"/>
                    <w:right w:val="none" w:sz="0" w:space="0" w:color="auto"/>
                  </w:divBdr>
                  <w:divsChild>
                    <w:div w:id="1434352736">
                      <w:marLeft w:val="0"/>
                      <w:marRight w:val="0"/>
                      <w:marTop w:val="0"/>
                      <w:marBottom w:val="0"/>
                      <w:divBdr>
                        <w:top w:val="none" w:sz="0" w:space="0" w:color="auto"/>
                        <w:left w:val="none" w:sz="0" w:space="0" w:color="auto"/>
                        <w:bottom w:val="none" w:sz="0" w:space="0" w:color="auto"/>
                        <w:right w:val="none" w:sz="0" w:space="0" w:color="auto"/>
                      </w:divBdr>
                    </w:div>
                  </w:divsChild>
                </w:div>
                <w:div w:id="330185782">
                  <w:marLeft w:val="0"/>
                  <w:marRight w:val="0"/>
                  <w:marTop w:val="0"/>
                  <w:marBottom w:val="0"/>
                  <w:divBdr>
                    <w:top w:val="none" w:sz="0" w:space="0" w:color="auto"/>
                    <w:left w:val="none" w:sz="0" w:space="0" w:color="auto"/>
                    <w:bottom w:val="none" w:sz="0" w:space="0" w:color="auto"/>
                    <w:right w:val="none" w:sz="0" w:space="0" w:color="auto"/>
                  </w:divBdr>
                  <w:divsChild>
                    <w:div w:id="913468320">
                      <w:marLeft w:val="0"/>
                      <w:marRight w:val="0"/>
                      <w:marTop w:val="0"/>
                      <w:marBottom w:val="0"/>
                      <w:divBdr>
                        <w:top w:val="none" w:sz="0" w:space="0" w:color="auto"/>
                        <w:left w:val="none" w:sz="0" w:space="0" w:color="auto"/>
                        <w:bottom w:val="none" w:sz="0" w:space="0" w:color="auto"/>
                        <w:right w:val="none" w:sz="0" w:space="0" w:color="auto"/>
                      </w:divBdr>
                    </w:div>
                  </w:divsChild>
                </w:div>
                <w:div w:id="331874919">
                  <w:marLeft w:val="0"/>
                  <w:marRight w:val="0"/>
                  <w:marTop w:val="0"/>
                  <w:marBottom w:val="0"/>
                  <w:divBdr>
                    <w:top w:val="none" w:sz="0" w:space="0" w:color="auto"/>
                    <w:left w:val="none" w:sz="0" w:space="0" w:color="auto"/>
                    <w:bottom w:val="none" w:sz="0" w:space="0" w:color="auto"/>
                    <w:right w:val="none" w:sz="0" w:space="0" w:color="auto"/>
                  </w:divBdr>
                  <w:divsChild>
                    <w:div w:id="370886271">
                      <w:marLeft w:val="0"/>
                      <w:marRight w:val="0"/>
                      <w:marTop w:val="0"/>
                      <w:marBottom w:val="0"/>
                      <w:divBdr>
                        <w:top w:val="none" w:sz="0" w:space="0" w:color="auto"/>
                        <w:left w:val="none" w:sz="0" w:space="0" w:color="auto"/>
                        <w:bottom w:val="none" w:sz="0" w:space="0" w:color="auto"/>
                        <w:right w:val="none" w:sz="0" w:space="0" w:color="auto"/>
                      </w:divBdr>
                    </w:div>
                  </w:divsChild>
                </w:div>
                <w:div w:id="394546336">
                  <w:marLeft w:val="0"/>
                  <w:marRight w:val="0"/>
                  <w:marTop w:val="0"/>
                  <w:marBottom w:val="0"/>
                  <w:divBdr>
                    <w:top w:val="none" w:sz="0" w:space="0" w:color="auto"/>
                    <w:left w:val="none" w:sz="0" w:space="0" w:color="auto"/>
                    <w:bottom w:val="none" w:sz="0" w:space="0" w:color="auto"/>
                    <w:right w:val="none" w:sz="0" w:space="0" w:color="auto"/>
                  </w:divBdr>
                  <w:divsChild>
                    <w:div w:id="1581138792">
                      <w:marLeft w:val="0"/>
                      <w:marRight w:val="0"/>
                      <w:marTop w:val="0"/>
                      <w:marBottom w:val="0"/>
                      <w:divBdr>
                        <w:top w:val="none" w:sz="0" w:space="0" w:color="auto"/>
                        <w:left w:val="none" w:sz="0" w:space="0" w:color="auto"/>
                        <w:bottom w:val="none" w:sz="0" w:space="0" w:color="auto"/>
                        <w:right w:val="none" w:sz="0" w:space="0" w:color="auto"/>
                      </w:divBdr>
                    </w:div>
                  </w:divsChild>
                </w:div>
                <w:div w:id="420494157">
                  <w:marLeft w:val="0"/>
                  <w:marRight w:val="0"/>
                  <w:marTop w:val="0"/>
                  <w:marBottom w:val="0"/>
                  <w:divBdr>
                    <w:top w:val="none" w:sz="0" w:space="0" w:color="auto"/>
                    <w:left w:val="none" w:sz="0" w:space="0" w:color="auto"/>
                    <w:bottom w:val="none" w:sz="0" w:space="0" w:color="auto"/>
                    <w:right w:val="none" w:sz="0" w:space="0" w:color="auto"/>
                  </w:divBdr>
                  <w:divsChild>
                    <w:div w:id="2123373761">
                      <w:marLeft w:val="0"/>
                      <w:marRight w:val="0"/>
                      <w:marTop w:val="0"/>
                      <w:marBottom w:val="0"/>
                      <w:divBdr>
                        <w:top w:val="none" w:sz="0" w:space="0" w:color="auto"/>
                        <w:left w:val="none" w:sz="0" w:space="0" w:color="auto"/>
                        <w:bottom w:val="none" w:sz="0" w:space="0" w:color="auto"/>
                        <w:right w:val="none" w:sz="0" w:space="0" w:color="auto"/>
                      </w:divBdr>
                    </w:div>
                  </w:divsChild>
                </w:div>
                <w:div w:id="489634360">
                  <w:marLeft w:val="0"/>
                  <w:marRight w:val="0"/>
                  <w:marTop w:val="0"/>
                  <w:marBottom w:val="0"/>
                  <w:divBdr>
                    <w:top w:val="none" w:sz="0" w:space="0" w:color="auto"/>
                    <w:left w:val="none" w:sz="0" w:space="0" w:color="auto"/>
                    <w:bottom w:val="none" w:sz="0" w:space="0" w:color="auto"/>
                    <w:right w:val="none" w:sz="0" w:space="0" w:color="auto"/>
                  </w:divBdr>
                  <w:divsChild>
                    <w:div w:id="643202354">
                      <w:marLeft w:val="0"/>
                      <w:marRight w:val="0"/>
                      <w:marTop w:val="0"/>
                      <w:marBottom w:val="0"/>
                      <w:divBdr>
                        <w:top w:val="none" w:sz="0" w:space="0" w:color="auto"/>
                        <w:left w:val="none" w:sz="0" w:space="0" w:color="auto"/>
                        <w:bottom w:val="none" w:sz="0" w:space="0" w:color="auto"/>
                        <w:right w:val="none" w:sz="0" w:space="0" w:color="auto"/>
                      </w:divBdr>
                    </w:div>
                  </w:divsChild>
                </w:div>
                <w:div w:id="533232263">
                  <w:marLeft w:val="0"/>
                  <w:marRight w:val="0"/>
                  <w:marTop w:val="0"/>
                  <w:marBottom w:val="0"/>
                  <w:divBdr>
                    <w:top w:val="none" w:sz="0" w:space="0" w:color="auto"/>
                    <w:left w:val="none" w:sz="0" w:space="0" w:color="auto"/>
                    <w:bottom w:val="none" w:sz="0" w:space="0" w:color="auto"/>
                    <w:right w:val="none" w:sz="0" w:space="0" w:color="auto"/>
                  </w:divBdr>
                  <w:divsChild>
                    <w:div w:id="1312560867">
                      <w:marLeft w:val="0"/>
                      <w:marRight w:val="0"/>
                      <w:marTop w:val="0"/>
                      <w:marBottom w:val="0"/>
                      <w:divBdr>
                        <w:top w:val="none" w:sz="0" w:space="0" w:color="auto"/>
                        <w:left w:val="none" w:sz="0" w:space="0" w:color="auto"/>
                        <w:bottom w:val="none" w:sz="0" w:space="0" w:color="auto"/>
                        <w:right w:val="none" w:sz="0" w:space="0" w:color="auto"/>
                      </w:divBdr>
                    </w:div>
                  </w:divsChild>
                </w:div>
                <w:div w:id="554436736">
                  <w:marLeft w:val="0"/>
                  <w:marRight w:val="0"/>
                  <w:marTop w:val="0"/>
                  <w:marBottom w:val="0"/>
                  <w:divBdr>
                    <w:top w:val="none" w:sz="0" w:space="0" w:color="auto"/>
                    <w:left w:val="none" w:sz="0" w:space="0" w:color="auto"/>
                    <w:bottom w:val="none" w:sz="0" w:space="0" w:color="auto"/>
                    <w:right w:val="none" w:sz="0" w:space="0" w:color="auto"/>
                  </w:divBdr>
                  <w:divsChild>
                    <w:div w:id="1233808696">
                      <w:marLeft w:val="0"/>
                      <w:marRight w:val="0"/>
                      <w:marTop w:val="0"/>
                      <w:marBottom w:val="0"/>
                      <w:divBdr>
                        <w:top w:val="none" w:sz="0" w:space="0" w:color="auto"/>
                        <w:left w:val="none" w:sz="0" w:space="0" w:color="auto"/>
                        <w:bottom w:val="none" w:sz="0" w:space="0" w:color="auto"/>
                        <w:right w:val="none" w:sz="0" w:space="0" w:color="auto"/>
                      </w:divBdr>
                    </w:div>
                  </w:divsChild>
                </w:div>
                <w:div w:id="654646629">
                  <w:marLeft w:val="0"/>
                  <w:marRight w:val="0"/>
                  <w:marTop w:val="0"/>
                  <w:marBottom w:val="0"/>
                  <w:divBdr>
                    <w:top w:val="none" w:sz="0" w:space="0" w:color="auto"/>
                    <w:left w:val="none" w:sz="0" w:space="0" w:color="auto"/>
                    <w:bottom w:val="none" w:sz="0" w:space="0" w:color="auto"/>
                    <w:right w:val="none" w:sz="0" w:space="0" w:color="auto"/>
                  </w:divBdr>
                  <w:divsChild>
                    <w:div w:id="1296642900">
                      <w:marLeft w:val="0"/>
                      <w:marRight w:val="0"/>
                      <w:marTop w:val="0"/>
                      <w:marBottom w:val="0"/>
                      <w:divBdr>
                        <w:top w:val="none" w:sz="0" w:space="0" w:color="auto"/>
                        <w:left w:val="none" w:sz="0" w:space="0" w:color="auto"/>
                        <w:bottom w:val="none" w:sz="0" w:space="0" w:color="auto"/>
                        <w:right w:val="none" w:sz="0" w:space="0" w:color="auto"/>
                      </w:divBdr>
                    </w:div>
                  </w:divsChild>
                </w:div>
                <w:div w:id="665211766">
                  <w:marLeft w:val="0"/>
                  <w:marRight w:val="0"/>
                  <w:marTop w:val="0"/>
                  <w:marBottom w:val="0"/>
                  <w:divBdr>
                    <w:top w:val="none" w:sz="0" w:space="0" w:color="auto"/>
                    <w:left w:val="none" w:sz="0" w:space="0" w:color="auto"/>
                    <w:bottom w:val="none" w:sz="0" w:space="0" w:color="auto"/>
                    <w:right w:val="none" w:sz="0" w:space="0" w:color="auto"/>
                  </w:divBdr>
                  <w:divsChild>
                    <w:div w:id="1281254498">
                      <w:marLeft w:val="0"/>
                      <w:marRight w:val="0"/>
                      <w:marTop w:val="0"/>
                      <w:marBottom w:val="0"/>
                      <w:divBdr>
                        <w:top w:val="none" w:sz="0" w:space="0" w:color="auto"/>
                        <w:left w:val="none" w:sz="0" w:space="0" w:color="auto"/>
                        <w:bottom w:val="none" w:sz="0" w:space="0" w:color="auto"/>
                        <w:right w:val="none" w:sz="0" w:space="0" w:color="auto"/>
                      </w:divBdr>
                    </w:div>
                  </w:divsChild>
                </w:div>
                <w:div w:id="727411671">
                  <w:marLeft w:val="0"/>
                  <w:marRight w:val="0"/>
                  <w:marTop w:val="0"/>
                  <w:marBottom w:val="0"/>
                  <w:divBdr>
                    <w:top w:val="none" w:sz="0" w:space="0" w:color="auto"/>
                    <w:left w:val="none" w:sz="0" w:space="0" w:color="auto"/>
                    <w:bottom w:val="none" w:sz="0" w:space="0" w:color="auto"/>
                    <w:right w:val="none" w:sz="0" w:space="0" w:color="auto"/>
                  </w:divBdr>
                  <w:divsChild>
                    <w:div w:id="1888831447">
                      <w:marLeft w:val="0"/>
                      <w:marRight w:val="0"/>
                      <w:marTop w:val="0"/>
                      <w:marBottom w:val="0"/>
                      <w:divBdr>
                        <w:top w:val="none" w:sz="0" w:space="0" w:color="auto"/>
                        <w:left w:val="none" w:sz="0" w:space="0" w:color="auto"/>
                        <w:bottom w:val="none" w:sz="0" w:space="0" w:color="auto"/>
                        <w:right w:val="none" w:sz="0" w:space="0" w:color="auto"/>
                      </w:divBdr>
                    </w:div>
                  </w:divsChild>
                </w:div>
                <w:div w:id="760874833">
                  <w:marLeft w:val="0"/>
                  <w:marRight w:val="0"/>
                  <w:marTop w:val="0"/>
                  <w:marBottom w:val="0"/>
                  <w:divBdr>
                    <w:top w:val="none" w:sz="0" w:space="0" w:color="auto"/>
                    <w:left w:val="none" w:sz="0" w:space="0" w:color="auto"/>
                    <w:bottom w:val="none" w:sz="0" w:space="0" w:color="auto"/>
                    <w:right w:val="none" w:sz="0" w:space="0" w:color="auto"/>
                  </w:divBdr>
                  <w:divsChild>
                    <w:div w:id="423458895">
                      <w:marLeft w:val="0"/>
                      <w:marRight w:val="0"/>
                      <w:marTop w:val="0"/>
                      <w:marBottom w:val="0"/>
                      <w:divBdr>
                        <w:top w:val="none" w:sz="0" w:space="0" w:color="auto"/>
                        <w:left w:val="none" w:sz="0" w:space="0" w:color="auto"/>
                        <w:bottom w:val="none" w:sz="0" w:space="0" w:color="auto"/>
                        <w:right w:val="none" w:sz="0" w:space="0" w:color="auto"/>
                      </w:divBdr>
                    </w:div>
                  </w:divsChild>
                </w:div>
                <w:div w:id="777288134">
                  <w:marLeft w:val="0"/>
                  <w:marRight w:val="0"/>
                  <w:marTop w:val="0"/>
                  <w:marBottom w:val="0"/>
                  <w:divBdr>
                    <w:top w:val="none" w:sz="0" w:space="0" w:color="auto"/>
                    <w:left w:val="none" w:sz="0" w:space="0" w:color="auto"/>
                    <w:bottom w:val="none" w:sz="0" w:space="0" w:color="auto"/>
                    <w:right w:val="none" w:sz="0" w:space="0" w:color="auto"/>
                  </w:divBdr>
                  <w:divsChild>
                    <w:div w:id="1267231753">
                      <w:marLeft w:val="0"/>
                      <w:marRight w:val="0"/>
                      <w:marTop w:val="0"/>
                      <w:marBottom w:val="0"/>
                      <w:divBdr>
                        <w:top w:val="none" w:sz="0" w:space="0" w:color="auto"/>
                        <w:left w:val="none" w:sz="0" w:space="0" w:color="auto"/>
                        <w:bottom w:val="none" w:sz="0" w:space="0" w:color="auto"/>
                        <w:right w:val="none" w:sz="0" w:space="0" w:color="auto"/>
                      </w:divBdr>
                    </w:div>
                  </w:divsChild>
                </w:div>
                <w:div w:id="789787563">
                  <w:marLeft w:val="0"/>
                  <w:marRight w:val="0"/>
                  <w:marTop w:val="0"/>
                  <w:marBottom w:val="0"/>
                  <w:divBdr>
                    <w:top w:val="none" w:sz="0" w:space="0" w:color="auto"/>
                    <w:left w:val="none" w:sz="0" w:space="0" w:color="auto"/>
                    <w:bottom w:val="none" w:sz="0" w:space="0" w:color="auto"/>
                    <w:right w:val="none" w:sz="0" w:space="0" w:color="auto"/>
                  </w:divBdr>
                  <w:divsChild>
                    <w:div w:id="2053994489">
                      <w:marLeft w:val="0"/>
                      <w:marRight w:val="0"/>
                      <w:marTop w:val="0"/>
                      <w:marBottom w:val="0"/>
                      <w:divBdr>
                        <w:top w:val="none" w:sz="0" w:space="0" w:color="auto"/>
                        <w:left w:val="none" w:sz="0" w:space="0" w:color="auto"/>
                        <w:bottom w:val="none" w:sz="0" w:space="0" w:color="auto"/>
                        <w:right w:val="none" w:sz="0" w:space="0" w:color="auto"/>
                      </w:divBdr>
                    </w:div>
                  </w:divsChild>
                </w:div>
                <w:div w:id="820973135">
                  <w:marLeft w:val="0"/>
                  <w:marRight w:val="0"/>
                  <w:marTop w:val="0"/>
                  <w:marBottom w:val="0"/>
                  <w:divBdr>
                    <w:top w:val="none" w:sz="0" w:space="0" w:color="auto"/>
                    <w:left w:val="none" w:sz="0" w:space="0" w:color="auto"/>
                    <w:bottom w:val="none" w:sz="0" w:space="0" w:color="auto"/>
                    <w:right w:val="none" w:sz="0" w:space="0" w:color="auto"/>
                  </w:divBdr>
                  <w:divsChild>
                    <w:div w:id="48379048">
                      <w:marLeft w:val="0"/>
                      <w:marRight w:val="0"/>
                      <w:marTop w:val="0"/>
                      <w:marBottom w:val="0"/>
                      <w:divBdr>
                        <w:top w:val="none" w:sz="0" w:space="0" w:color="auto"/>
                        <w:left w:val="none" w:sz="0" w:space="0" w:color="auto"/>
                        <w:bottom w:val="none" w:sz="0" w:space="0" w:color="auto"/>
                        <w:right w:val="none" w:sz="0" w:space="0" w:color="auto"/>
                      </w:divBdr>
                    </w:div>
                  </w:divsChild>
                </w:div>
                <w:div w:id="841622320">
                  <w:marLeft w:val="0"/>
                  <w:marRight w:val="0"/>
                  <w:marTop w:val="0"/>
                  <w:marBottom w:val="0"/>
                  <w:divBdr>
                    <w:top w:val="none" w:sz="0" w:space="0" w:color="auto"/>
                    <w:left w:val="none" w:sz="0" w:space="0" w:color="auto"/>
                    <w:bottom w:val="none" w:sz="0" w:space="0" w:color="auto"/>
                    <w:right w:val="none" w:sz="0" w:space="0" w:color="auto"/>
                  </w:divBdr>
                  <w:divsChild>
                    <w:div w:id="175661431">
                      <w:marLeft w:val="0"/>
                      <w:marRight w:val="0"/>
                      <w:marTop w:val="0"/>
                      <w:marBottom w:val="0"/>
                      <w:divBdr>
                        <w:top w:val="none" w:sz="0" w:space="0" w:color="auto"/>
                        <w:left w:val="none" w:sz="0" w:space="0" w:color="auto"/>
                        <w:bottom w:val="none" w:sz="0" w:space="0" w:color="auto"/>
                        <w:right w:val="none" w:sz="0" w:space="0" w:color="auto"/>
                      </w:divBdr>
                    </w:div>
                  </w:divsChild>
                </w:div>
                <w:div w:id="849374505">
                  <w:marLeft w:val="0"/>
                  <w:marRight w:val="0"/>
                  <w:marTop w:val="0"/>
                  <w:marBottom w:val="0"/>
                  <w:divBdr>
                    <w:top w:val="none" w:sz="0" w:space="0" w:color="auto"/>
                    <w:left w:val="none" w:sz="0" w:space="0" w:color="auto"/>
                    <w:bottom w:val="none" w:sz="0" w:space="0" w:color="auto"/>
                    <w:right w:val="none" w:sz="0" w:space="0" w:color="auto"/>
                  </w:divBdr>
                  <w:divsChild>
                    <w:div w:id="267391952">
                      <w:marLeft w:val="0"/>
                      <w:marRight w:val="0"/>
                      <w:marTop w:val="0"/>
                      <w:marBottom w:val="0"/>
                      <w:divBdr>
                        <w:top w:val="none" w:sz="0" w:space="0" w:color="auto"/>
                        <w:left w:val="none" w:sz="0" w:space="0" w:color="auto"/>
                        <w:bottom w:val="none" w:sz="0" w:space="0" w:color="auto"/>
                        <w:right w:val="none" w:sz="0" w:space="0" w:color="auto"/>
                      </w:divBdr>
                    </w:div>
                  </w:divsChild>
                </w:div>
                <w:div w:id="854080942">
                  <w:marLeft w:val="0"/>
                  <w:marRight w:val="0"/>
                  <w:marTop w:val="0"/>
                  <w:marBottom w:val="0"/>
                  <w:divBdr>
                    <w:top w:val="none" w:sz="0" w:space="0" w:color="auto"/>
                    <w:left w:val="none" w:sz="0" w:space="0" w:color="auto"/>
                    <w:bottom w:val="none" w:sz="0" w:space="0" w:color="auto"/>
                    <w:right w:val="none" w:sz="0" w:space="0" w:color="auto"/>
                  </w:divBdr>
                  <w:divsChild>
                    <w:div w:id="800927105">
                      <w:marLeft w:val="0"/>
                      <w:marRight w:val="0"/>
                      <w:marTop w:val="0"/>
                      <w:marBottom w:val="0"/>
                      <w:divBdr>
                        <w:top w:val="none" w:sz="0" w:space="0" w:color="auto"/>
                        <w:left w:val="none" w:sz="0" w:space="0" w:color="auto"/>
                        <w:bottom w:val="none" w:sz="0" w:space="0" w:color="auto"/>
                        <w:right w:val="none" w:sz="0" w:space="0" w:color="auto"/>
                      </w:divBdr>
                    </w:div>
                  </w:divsChild>
                </w:div>
                <w:div w:id="858540600">
                  <w:marLeft w:val="0"/>
                  <w:marRight w:val="0"/>
                  <w:marTop w:val="0"/>
                  <w:marBottom w:val="0"/>
                  <w:divBdr>
                    <w:top w:val="none" w:sz="0" w:space="0" w:color="auto"/>
                    <w:left w:val="none" w:sz="0" w:space="0" w:color="auto"/>
                    <w:bottom w:val="none" w:sz="0" w:space="0" w:color="auto"/>
                    <w:right w:val="none" w:sz="0" w:space="0" w:color="auto"/>
                  </w:divBdr>
                  <w:divsChild>
                    <w:div w:id="1977098380">
                      <w:marLeft w:val="0"/>
                      <w:marRight w:val="0"/>
                      <w:marTop w:val="0"/>
                      <w:marBottom w:val="0"/>
                      <w:divBdr>
                        <w:top w:val="none" w:sz="0" w:space="0" w:color="auto"/>
                        <w:left w:val="none" w:sz="0" w:space="0" w:color="auto"/>
                        <w:bottom w:val="none" w:sz="0" w:space="0" w:color="auto"/>
                        <w:right w:val="none" w:sz="0" w:space="0" w:color="auto"/>
                      </w:divBdr>
                    </w:div>
                  </w:divsChild>
                </w:div>
                <w:div w:id="873539461">
                  <w:marLeft w:val="0"/>
                  <w:marRight w:val="0"/>
                  <w:marTop w:val="0"/>
                  <w:marBottom w:val="0"/>
                  <w:divBdr>
                    <w:top w:val="none" w:sz="0" w:space="0" w:color="auto"/>
                    <w:left w:val="none" w:sz="0" w:space="0" w:color="auto"/>
                    <w:bottom w:val="none" w:sz="0" w:space="0" w:color="auto"/>
                    <w:right w:val="none" w:sz="0" w:space="0" w:color="auto"/>
                  </w:divBdr>
                  <w:divsChild>
                    <w:div w:id="1331828662">
                      <w:marLeft w:val="0"/>
                      <w:marRight w:val="0"/>
                      <w:marTop w:val="0"/>
                      <w:marBottom w:val="0"/>
                      <w:divBdr>
                        <w:top w:val="none" w:sz="0" w:space="0" w:color="auto"/>
                        <w:left w:val="none" w:sz="0" w:space="0" w:color="auto"/>
                        <w:bottom w:val="none" w:sz="0" w:space="0" w:color="auto"/>
                        <w:right w:val="none" w:sz="0" w:space="0" w:color="auto"/>
                      </w:divBdr>
                    </w:div>
                  </w:divsChild>
                </w:div>
                <w:div w:id="886335458">
                  <w:marLeft w:val="0"/>
                  <w:marRight w:val="0"/>
                  <w:marTop w:val="0"/>
                  <w:marBottom w:val="0"/>
                  <w:divBdr>
                    <w:top w:val="none" w:sz="0" w:space="0" w:color="auto"/>
                    <w:left w:val="none" w:sz="0" w:space="0" w:color="auto"/>
                    <w:bottom w:val="none" w:sz="0" w:space="0" w:color="auto"/>
                    <w:right w:val="none" w:sz="0" w:space="0" w:color="auto"/>
                  </w:divBdr>
                  <w:divsChild>
                    <w:div w:id="509223746">
                      <w:marLeft w:val="0"/>
                      <w:marRight w:val="0"/>
                      <w:marTop w:val="0"/>
                      <w:marBottom w:val="0"/>
                      <w:divBdr>
                        <w:top w:val="none" w:sz="0" w:space="0" w:color="auto"/>
                        <w:left w:val="none" w:sz="0" w:space="0" w:color="auto"/>
                        <w:bottom w:val="none" w:sz="0" w:space="0" w:color="auto"/>
                        <w:right w:val="none" w:sz="0" w:space="0" w:color="auto"/>
                      </w:divBdr>
                    </w:div>
                  </w:divsChild>
                </w:div>
                <w:div w:id="901405387">
                  <w:marLeft w:val="0"/>
                  <w:marRight w:val="0"/>
                  <w:marTop w:val="0"/>
                  <w:marBottom w:val="0"/>
                  <w:divBdr>
                    <w:top w:val="none" w:sz="0" w:space="0" w:color="auto"/>
                    <w:left w:val="none" w:sz="0" w:space="0" w:color="auto"/>
                    <w:bottom w:val="none" w:sz="0" w:space="0" w:color="auto"/>
                    <w:right w:val="none" w:sz="0" w:space="0" w:color="auto"/>
                  </w:divBdr>
                  <w:divsChild>
                    <w:div w:id="1560902446">
                      <w:marLeft w:val="0"/>
                      <w:marRight w:val="0"/>
                      <w:marTop w:val="0"/>
                      <w:marBottom w:val="0"/>
                      <w:divBdr>
                        <w:top w:val="none" w:sz="0" w:space="0" w:color="auto"/>
                        <w:left w:val="none" w:sz="0" w:space="0" w:color="auto"/>
                        <w:bottom w:val="none" w:sz="0" w:space="0" w:color="auto"/>
                        <w:right w:val="none" w:sz="0" w:space="0" w:color="auto"/>
                      </w:divBdr>
                    </w:div>
                  </w:divsChild>
                </w:div>
                <w:div w:id="931281012">
                  <w:marLeft w:val="0"/>
                  <w:marRight w:val="0"/>
                  <w:marTop w:val="0"/>
                  <w:marBottom w:val="0"/>
                  <w:divBdr>
                    <w:top w:val="none" w:sz="0" w:space="0" w:color="auto"/>
                    <w:left w:val="none" w:sz="0" w:space="0" w:color="auto"/>
                    <w:bottom w:val="none" w:sz="0" w:space="0" w:color="auto"/>
                    <w:right w:val="none" w:sz="0" w:space="0" w:color="auto"/>
                  </w:divBdr>
                  <w:divsChild>
                    <w:div w:id="354767108">
                      <w:marLeft w:val="0"/>
                      <w:marRight w:val="0"/>
                      <w:marTop w:val="0"/>
                      <w:marBottom w:val="0"/>
                      <w:divBdr>
                        <w:top w:val="none" w:sz="0" w:space="0" w:color="auto"/>
                        <w:left w:val="none" w:sz="0" w:space="0" w:color="auto"/>
                        <w:bottom w:val="none" w:sz="0" w:space="0" w:color="auto"/>
                        <w:right w:val="none" w:sz="0" w:space="0" w:color="auto"/>
                      </w:divBdr>
                    </w:div>
                  </w:divsChild>
                </w:div>
                <w:div w:id="1011181237">
                  <w:marLeft w:val="0"/>
                  <w:marRight w:val="0"/>
                  <w:marTop w:val="0"/>
                  <w:marBottom w:val="0"/>
                  <w:divBdr>
                    <w:top w:val="none" w:sz="0" w:space="0" w:color="auto"/>
                    <w:left w:val="none" w:sz="0" w:space="0" w:color="auto"/>
                    <w:bottom w:val="none" w:sz="0" w:space="0" w:color="auto"/>
                    <w:right w:val="none" w:sz="0" w:space="0" w:color="auto"/>
                  </w:divBdr>
                  <w:divsChild>
                    <w:div w:id="557133625">
                      <w:marLeft w:val="0"/>
                      <w:marRight w:val="0"/>
                      <w:marTop w:val="0"/>
                      <w:marBottom w:val="0"/>
                      <w:divBdr>
                        <w:top w:val="none" w:sz="0" w:space="0" w:color="auto"/>
                        <w:left w:val="none" w:sz="0" w:space="0" w:color="auto"/>
                        <w:bottom w:val="none" w:sz="0" w:space="0" w:color="auto"/>
                        <w:right w:val="none" w:sz="0" w:space="0" w:color="auto"/>
                      </w:divBdr>
                    </w:div>
                  </w:divsChild>
                </w:div>
                <w:div w:id="1057823960">
                  <w:marLeft w:val="0"/>
                  <w:marRight w:val="0"/>
                  <w:marTop w:val="0"/>
                  <w:marBottom w:val="0"/>
                  <w:divBdr>
                    <w:top w:val="none" w:sz="0" w:space="0" w:color="auto"/>
                    <w:left w:val="none" w:sz="0" w:space="0" w:color="auto"/>
                    <w:bottom w:val="none" w:sz="0" w:space="0" w:color="auto"/>
                    <w:right w:val="none" w:sz="0" w:space="0" w:color="auto"/>
                  </w:divBdr>
                  <w:divsChild>
                    <w:div w:id="477113095">
                      <w:marLeft w:val="0"/>
                      <w:marRight w:val="0"/>
                      <w:marTop w:val="0"/>
                      <w:marBottom w:val="0"/>
                      <w:divBdr>
                        <w:top w:val="none" w:sz="0" w:space="0" w:color="auto"/>
                        <w:left w:val="none" w:sz="0" w:space="0" w:color="auto"/>
                        <w:bottom w:val="none" w:sz="0" w:space="0" w:color="auto"/>
                        <w:right w:val="none" w:sz="0" w:space="0" w:color="auto"/>
                      </w:divBdr>
                    </w:div>
                  </w:divsChild>
                </w:div>
                <w:div w:id="1085957892">
                  <w:marLeft w:val="0"/>
                  <w:marRight w:val="0"/>
                  <w:marTop w:val="0"/>
                  <w:marBottom w:val="0"/>
                  <w:divBdr>
                    <w:top w:val="none" w:sz="0" w:space="0" w:color="auto"/>
                    <w:left w:val="none" w:sz="0" w:space="0" w:color="auto"/>
                    <w:bottom w:val="none" w:sz="0" w:space="0" w:color="auto"/>
                    <w:right w:val="none" w:sz="0" w:space="0" w:color="auto"/>
                  </w:divBdr>
                  <w:divsChild>
                    <w:div w:id="1039889625">
                      <w:marLeft w:val="0"/>
                      <w:marRight w:val="0"/>
                      <w:marTop w:val="0"/>
                      <w:marBottom w:val="0"/>
                      <w:divBdr>
                        <w:top w:val="none" w:sz="0" w:space="0" w:color="auto"/>
                        <w:left w:val="none" w:sz="0" w:space="0" w:color="auto"/>
                        <w:bottom w:val="none" w:sz="0" w:space="0" w:color="auto"/>
                        <w:right w:val="none" w:sz="0" w:space="0" w:color="auto"/>
                      </w:divBdr>
                    </w:div>
                  </w:divsChild>
                </w:div>
                <w:div w:id="1106851206">
                  <w:marLeft w:val="0"/>
                  <w:marRight w:val="0"/>
                  <w:marTop w:val="0"/>
                  <w:marBottom w:val="0"/>
                  <w:divBdr>
                    <w:top w:val="none" w:sz="0" w:space="0" w:color="auto"/>
                    <w:left w:val="none" w:sz="0" w:space="0" w:color="auto"/>
                    <w:bottom w:val="none" w:sz="0" w:space="0" w:color="auto"/>
                    <w:right w:val="none" w:sz="0" w:space="0" w:color="auto"/>
                  </w:divBdr>
                  <w:divsChild>
                    <w:div w:id="1601378357">
                      <w:marLeft w:val="0"/>
                      <w:marRight w:val="0"/>
                      <w:marTop w:val="0"/>
                      <w:marBottom w:val="0"/>
                      <w:divBdr>
                        <w:top w:val="none" w:sz="0" w:space="0" w:color="auto"/>
                        <w:left w:val="none" w:sz="0" w:space="0" w:color="auto"/>
                        <w:bottom w:val="none" w:sz="0" w:space="0" w:color="auto"/>
                        <w:right w:val="none" w:sz="0" w:space="0" w:color="auto"/>
                      </w:divBdr>
                    </w:div>
                  </w:divsChild>
                </w:div>
                <w:div w:id="1134449421">
                  <w:marLeft w:val="0"/>
                  <w:marRight w:val="0"/>
                  <w:marTop w:val="0"/>
                  <w:marBottom w:val="0"/>
                  <w:divBdr>
                    <w:top w:val="none" w:sz="0" w:space="0" w:color="auto"/>
                    <w:left w:val="none" w:sz="0" w:space="0" w:color="auto"/>
                    <w:bottom w:val="none" w:sz="0" w:space="0" w:color="auto"/>
                    <w:right w:val="none" w:sz="0" w:space="0" w:color="auto"/>
                  </w:divBdr>
                  <w:divsChild>
                    <w:div w:id="111900348">
                      <w:marLeft w:val="0"/>
                      <w:marRight w:val="0"/>
                      <w:marTop w:val="0"/>
                      <w:marBottom w:val="0"/>
                      <w:divBdr>
                        <w:top w:val="none" w:sz="0" w:space="0" w:color="auto"/>
                        <w:left w:val="none" w:sz="0" w:space="0" w:color="auto"/>
                        <w:bottom w:val="none" w:sz="0" w:space="0" w:color="auto"/>
                        <w:right w:val="none" w:sz="0" w:space="0" w:color="auto"/>
                      </w:divBdr>
                    </w:div>
                  </w:divsChild>
                </w:div>
                <w:div w:id="1272207640">
                  <w:marLeft w:val="0"/>
                  <w:marRight w:val="0"/>
                  <w:marTop w:val="0"/>
                  <w:marBottom w:val="0"/>
                  <w:divBdr>
                    <w:top w:val="none" w:sz="0" w:space="0" w:color="auto"/>
                    <w:left w:val="none" w:sz="0" w:space="0" w:color="auto"/>
                    <w:bottom w:val="none" w:sz="0" w:space="0" w:color="auto"/>
                    <w:right w:val="none" w:sz="0" w:space="0" w:color="auto"/>
                  </w:divBdr>
                  <w:divsChild>
                    <w:div w:id="558786716">
                      <w:marLeft w:val="0"/>
                      <w:marRight w:val="0"/>
                      <w:marTop w:val="0"/>
                      <w:marBottom w:val="0"/>
                      <w:divBdr>
                        <w:top w:val="none" w:sz="0" w:space="0" w:color="auto"/>
                        <w:left w:val="none" w:sz="0" w:space="0" w:color="auto"/>
                        <w:bottom w:val="none" w:sz="0" w:space="0" w:color="auto"/>
                        <w:right w:val="none" w:sz="0" w:space="0" w:color="auto"/>
                      </w:divBdr>
                    </w:div>
                  </w:divsChild>
                </w:div>
                <w:div w:id="1392771095">
                  <w:marLeft w:val="0"/>
                  <w:marRight w:val="0"/>
                  <w:marTop w:val="0"/>
                  <w:marBottom w:val="0"/>
                  <w:divBdr>
                    <w:top w:val="none" w:sz="0" w:space="0" w:color="auto"/>
                    <w:left w:val="none" w:sz="0" w:space="0" w:color="auto"/>
                    <w:bottom w:val="none" w:sz="0" w:space="0" w:color="auto"/>
                    <w:right w:val="none" w:sz="0" w:space="0" w:color="auto"/>
                  </w:divBdr>
                  <w:divsChild>
                    <w:div w:id="2006475708">
                      <w:marLeft w:val="0"/>
                      <w:marRight w:val="0"/>
                      <w:marTop w:val="0"/>
                      <w:marBottom w:val="0"/>
                      <w:divBdr>
                        <w:top w:val="none" w:sz="0" w:space="0" w:color="auto"/>
                        <w:left w:val="none" w:sz="0" w:space="0" w:color="auto"/>
                        <w:bottom w:val="none" w:sz="0" w:space="0" w:color="auto"/>
                        <w:right w:val="none" w:sz="0" w:space="0" w:color="auto"/>
                      </w:divBdr>
                    </w:div>
                  </w:divsChild>
                </w:div>
                <w:div w:id="1505197562">
                  <w:marLeft w:val="0"/>
                  <w:marRight w:val="0"/>
                  <w:marTop w:val="0"/>
                  <w:marBottom w:val="0"/>
                  <w:divBdr>
                    <w:top w:val="none" w:sz="0" w:space="0" w:color="auto"/>
                    <w:left w:val="none" w:sz="0" w:space="0" w:color="auto"/>
                    <w:bottom w:val="none" w:sz="0" w:space="0" w:color="auto"/>
                    <w:right w:val="none" w:sz="0" w:space="0" w:color="auto"/>
                  </w:divBdr>
                  <w:divsChild>
                    <w:div w:id="1895585230">
                      <w:marLeft w:val="0"/>
                      <w:marRight w:val="0"/>
                      <w:marTop w:val="0"/>
                      <w:marBottom w:val="0"/>
                      <w:divBdr>
                        <w:top w:val="none" w:sz="0" w:space="0" w:color="auto"/>
                        <w:left w:val="none" w:sz="0" w:space="0" w:color="auto"/>
                        <w:bottom w:val="none" w:sz="0" w:space="0" w:color="auto"/>
                        <w:right w:val="none" w:sz="0" w:space="0" w:color="auto"/>
                      </w:divBdr>
                    </w:div>
                  </w:divsChild>
                </w:div>
                <w:div w:id="1522472283">
                  <w:marLeft w:val="0"/>
                  <w:marRight w:val="0"/>
                  <w:marTop w:val="0"/>
                  <w:marBottom w:val="0"/>
                  <w:divBdr>
                    <w:top w:val="none" w:sz="0" w:space="0" w:color="auto"/>
                    <w:left w:val="none" w:sz="0" w:space="0" w:color="auto"/>
                    <w:bottom w:val="none" w:sz="0" w:space="0" w:color="auto"/>
                    <w:right w:val="none" w:sz="0" w:space="0" w:color="auto"/>
                  </w:divBdr>
                  <w:divsChild>
                    <w:div w:id="727336680">
                      <w:marLeft w:val="0"/>
                      <w:marRight w:val="0"/>
                      <w:marTop w:val="0"/>
                      <w:marBottom w:val="0"/>
                      <w:divBdr>
                        <w:top w:val="none" w:sz="0" w:space="0" w:color="auto"/>
                        <w:left w:val="none" w:sz="0" w:space="0" w:color="auto"/>
                        <w:bottom w:val="none" w:sz="0" w:space="0" w:color="auto"/>
                        <w:right w:val="none" w:sz="0" w:space="0" w:color="auto"/>
                      </w:divBdr>
                    </w:div>
                  </w:divsChild>
                </w:div>
                <w:div w:id="1529298720">
                  <w:marLeft w:val="0"/>
                  <w:marRight w:val="0"/>
                  <w:marTop w:val="0"/>
                  <w:marBottom w:val="0"/>
                  <w:divBdr>
                    <w:top w:val="none" w:sz="0" w:space="0" w:color="auto"/>
                    <w:left w:val="none" w:sz="0" w:space="0" w:color="auto"/>
                    <w:bottom w:val="none" w:sz="0" w:space="0" w:color="auto"/>
                    <w:right w:val="none" w:sz="0" w:space="0" w:color="auto"/>
                  </w:divBdr>
                  <w:divsChild>
                    <w:div w:id="1485586936">
                      <w:marLeft w:val="0"/>
                      <w:marRight w:val="0"/>
                      <w:marTop w:val="0"/>
                      <w:marBottom w:val="0"/>
                      <w:divBdr>
                        <w:top w:val="none" w:sz="0" w:space="0" w:color="auto"/>
                        <w:left w:val="none" w:sz="0" w:space="0" w:color="auto"/>
                        <w:bottom w:val="none" w:sz="0" w:space="0" w:color="auto"/>
                        <w:right w:val="none" w:sz="0" w:space="0" w:color="auto"/>
                      </w:divBdr>
                    </w:div>
                  </w:divsChild>
                </w:div>
                <w:div w:id="1552958124">
                  <w:marLeft w:val="0"/>
                  <w:marRight w:val="0"/>
                  <w:marTop w:val="0"/>
                  <w:marBottom w:val="0"/>
                  <w:divBdr>
                    <w:top w:val="none" w:sz="0" w:space="0" w:color="auto"/>
                    <w:left w:val="none" w:sz="0" w:space="0" w:color="auto"/>
                    <w:bottom w:val="none" w:sz="0" w:space="0" w:color="auto"/>
                    <w:right w:val="none" w:sz="0" w:space="0" w:color="auto"/>
                  </w:divBdr>
                  <w:divsChild>
                    <w:div w:id="839391259">
                      <w:marLeft w:val="0"/>
                      <w:marRight w:val="0"/>
                      <w:marTop w:val="0"/>
                      <w:marBottom w:val="0"/>
                      <w:divBdr>
                        <w:top w:val="none" w:sz="0" w:space="0" w:color="auto"/>
                        <w:left w:val="none" w:sz="0" w:space="0" w:color="auto"/>
                        <w:bottom w:val="none" w:sz="0" w:space="0" w:color="auto"/>
                        <w:right w:val="none" w:sz="0" w:space="0" w:color="auto"/>
                      </w:divBdr>
                    </w:div>
                  </w:divsChild>
                </w:div>
                <w:div w:id="1582332430">
                  <w:marLeft w:val="0"/>
                  <w:marRight w:val="0"/>
                  <w:marTop w:val="0"/>
                  <w:marBottom w:val="0"/>
                  <w:divBdr>
                    <w:top w:val="none" w:sz="0" w:space="0" w:color="auto"/>
                    <w:left w:val="none" w:sz="0" w:space="0" w:color="auto"/>
                    <w:bottom w:val="none" w:sz="0" w:space="0" w:color="auto"/>
                    <w:right w:val="none" w:sz="0" w:space="0" w:color="auto"/>
                  </w:divBdr>
                  <w:divsChild>
                    <w:div w:id="1120875996">
                      <w:marLeft w:val="0"/>
                      <w:marRight w:val="0"/>
                      <w:marTop w:val="0"/>
                      <w:marBottom w:val="0"/>
                      <w:divBdr>
                        <w:top w:val="none" w:sz="0" w:space="0" w:color="auto"/>
                        <w:left w:val="none" w:sz="0" w:space="0" w:color="auto"/>
                        <w:bottom w:val="none" w:sz="0" w:space="0" w:color="auto"/>
                        <w:right w:val="none" w:sz="0" w:space="0" w:color="auto"/>
                      </w:divBdr>
                    </w:div>
                  </w:divsChild>
                </w:div>
                <w:div w:id="1659268741">
                  <w:marLeft w:val="0"/>
                  <w:marRight w:val="0"/>
                  <w:marTop w:val="0"/>
                  <w:marBottom w:val="0"/>
                  <w:divBdr>
                    <w:top w:val="none" w:sz="0" w:space="0" w:color="auto"/>
                    <w:left w:val="none" w:sz="0" w:space="0" w:color="auto"/>
                    <w:bottom w:val="none" w:sz="0" w:space="0" w:color="auto"/>
                    <w:right w:val="none" w:sz="0" w:space="0" w:color="auto"/>
                  </w:divBdr>
                  <w:divsChild>
                    <w:div w:id="1715230855">
                      <w:marLeft w:val="0"/>
                      <w:marRight w:val="0"/>
                      <w:marTop w:val="0"/>
                      <w:marBottom w:val="0"/>
                      <w:divBdr>
                        <w:top w:val="none" w:sz="0" w:space="0" w:color="auto"/>
                        <w:left w:val="none" w:sz="0" w:space="0" w:color="auto"/>
                        <w:bottom w:val="none" w:sz="0" w:space="0" w:color="auto"/>
                        <w:right w:val="none" w:sz="0" w:space="0" w:color="auto"/>
                      </w:divBdr>
                    </w:div>
                  </w:divsChild>
                </w:div>
                <w:div w:id="1734504904">
                  <w:marLeft w:val="0"/>
                  <w:marRight w:val="0"/>
                  <w:marTop w:val="0"/>
                  <w:marBottom w:val="0"/>
                  <w:divBdr>
                    <w:top w:val="none" w:sz="0" w:space="0" w:color="auto"/>
                    <w:left w:val="none" w:sz="0" w:space="0" w:color="auto"/>
                    <w:bottom w:val="none" w:sz="0" w:space="0" w:color="auto"/>
                    <w:right w:val="none" w:sz="0" w:space="0" w:color="auto"/>
                  </w:divBdr>
                  <w:divsChild>
                    <w:div w:id="1397970292">
                      <w:marLeft w:val="0"/>
                      <w:marRight w:val="0"/>
                      <w:marTop w:val="0"/>
                      <w:marBottom w:val="0"/>
                      <w:divBdr>
                        <w:top w:val="none" w:sz="0" w:space="0" w:color="auto"/>
                        <w:left w:val="none" w:sz="0" w:space="0" w:color="auto"/>
                        <w:bottom w:val="none" w:sz="0" w:space="0" w:color="auto"/>
                        <w:right w:val="none" w:sz="0" w:space="0" w:color="auto"/>
                      </w:divBdr>
                    </w:div>
                  </w:divsChild>
                </w:div>
                <w:div w:id="1782843221">
                  <w:marLeft w:val="0"/>
                  <w:marRight w:val="0"/>
                  <w:marTop w:val="0"/>
                  <w:marBottom w:val="0"/>
                  <w:divBdr>
                    <w:top w:val="none" w:sz="0" w:space="0" w:color="auto"/>
                    <w:left w:val="none" w:sz="0" w:space="0" w:color="auto"/>
                    <w:bottom w:val="none" w:sz="0" w:space="0" w:color="auto"/>
                    <w:right w:val="none" w:sz="0" w:space="0" w:color="auto"/>
                  </w:divBdr>
                  <w:divsChild>
                    <w:div w:id="1631859164">
                      <w:marLeft w:val="0"/>
                      <w:marRight w:val="0"/>
                      <w:marTop w:val="0"/>
                      <w:marBottom w:val="0"/>
                      <w:divBdr>
                        <w:top w:val="none" w:sz="0" w:space="0" w:color="auto"/>
                        <w:left w:val="none" w:sz="0" w:space="0" w:color="auto"/>
                        <w:bottom w:val="none" w:sz="0" w:space="0" w:color="auto"/>
                        <w:right w:val="none" w:sz="0" w:space="0" w:color="auto"/>
                      </w:divBdr>
                    </w:div>
                  </w:divsChild>
                </w:div>
                <w:div w:id="1859269212">
                  <w:marLeft w:val="0"/>
                  <w:marRight w:val="0"/>
                  <w:marTop w:val="0"/>
                  <w:marBottom w:val="0"/>
                  <w:divBdr>
                    <w:top w:val="none" w:sz="0" w:space="0" w:color="auto"/>
                    <w:left w:val="none" w:sz="0" w:space="0" w:color="auto"/>
                    <w:bottom w:val="none" w:sz="0" w:space="0" w:color="auto"/>
                    <w:right w:val="none" w:sz="0" w:space="0" w:color="auto"/>
                  </w:divBdr>
                  <w:divsChild>
                    <w:div w:id="29501159">
                      <w:marLeft w:val="0"/>
                      <w:marRight w:val="0"/>
                      <w:marTop w:val="0"/>
                      <w:marBottom w:val="0"/>
                      <w:divBdr>
                        <w:top w:val="none" w:sz="0" w:space="0" w:color="auto"/>
                        <w:left w:val="none" w:sz="0" w:space="0" w:color="auto"/>
                        <w:bottom w:val="none" w:sz="0" w:space="0" w:color="auto"/>
                        <w:right w:val="none" w:sz="0" w:space="0" w:color="auto"/>
                      </w:divBdr>
                    </w:div>
                  </w:divsChild>
                </w:div>
                <w:div w:id="1877544283">
                  <w:marLeft w:val="0"/>
                  <w:marRight w:val="0"/>
                  <w:marTop w:val="0"/>
                  <w:marBottom w:val="0"/>
                  <w:divBdr>
                    <w:top w:val="none" w:sz="0" w:space="0" w:color="auto"/>
                    <w:left w:val="none" w:sz="0" w:space="0" w:color="auto"/>
                    <w:bottom w:val="none" w:sz="0" w:space="0" w:color="auto"/>
                    <w:right w:val="none" w:sz="0" w:space="0" w:color="auto"/>
                  </w:divBdr>
                  <w:divsChild>
                    <w:div w:id="520164026">
                      <w:marLeft w:val="0"/>
                      <w:marRight w:val="0"/>
                      <w:marTop w:val="0"/>
                      <w:marBottom w:val="0"/>
                      <w:divBdr>
                        <w:top w:val="none" w:sz="0" w:space="0" w:color="auto"/>
                        <w:left w:val="none" w:sz="0" w:space="0" w:color="auto"/>
                        <w:bottom w:val="none" w:sz="0" w:space="0" w:color="auto"/>
                        <w:right w:val="none" w:sz="0" w:space="0" w:color="auto"/>
                      </w:divBdr>
                    </w:div>
                  </w:divsChild>
                </w:div>
                <w:div w:id="1937638321">
                  <w:marLeft w:val="0"/>
                  <w:marRight w:val="0"/>
                  <w:marTop w:val="0"/>
                  <w:marBottom w:val="0"/>
                  <w:divBdr>
                    <w:top w:val="none" w:sz="0" w:space="0" w:color="auto"/>
                    <w:left w:val="none" w:sz="0" w:space="0" w:color="auto"/>
                    <w:bottom w:val="none" w:sz="0" w:space="0" w:color="auto"/>
                    <w:right w:val="none" w:sz="0" w:space="0" w:color="auto"/>
                  </w:divBdr>
                  <w:divsChild>
                    <w:div w:id="1657757939">
                      <w:marLeft w:val="0"/>
                      <w:marRight w:val="0"/>
                      <w:marTop w:val="0"/>
                      <w:marBottom w:val="0"/>
                      <w:divBdr>
                        <w:top w:val="none" w:sz="0" w:space="0" w:color="auto"/>
                        <w:left w:val="none" w:sz="0" w:space="0" w:color="auto"/>
                        <w:bottom w:val="none" w:sz="0" w:space="0" w:color="auto"/>
                        <w:right w:val="none" w:sz="0" w:space="0" w:color="auto"/>
                      </w:divBdr>
                    </w:div>
                  </w:divsChild>
                </w:div>
                <w:div w:id="1968777014">
                  <w:marLeft w:val="0"/>
                  <w:marRight w:val="0"/>
                  <w:marTop w:val="0"/>
                  <w:marBottom w:val="0"/>
                  <w:divBdr>
                    <w:top w:val="none" w:sz="0" w:space="0" w:color="auto"/>
                    <w:left w:val="none" w:sz="0" w:space="0" w:color="auto"/>
                    <w:bottom w:val="none" w:sz="0" w:space="0" w:color="auto"/>
                    <w:right w:val="none" w:sz="0" w:space="0" w:color="auto"/>
                  </w:divBdr>
                  <w:divsChild>
                    <w:div w:id="995308060">
                      <w:marLeft w:val="0"/>
                      <w:marRight w:val="0"/>
                      <w:marTop w:val="0"/>
                      <w:marBottom w:val="0"/>
                      <w:divBdr>
                        <w:top w:val="none" w:sz="0" w:space="0" w:color="auto"/>
                        <w:left w:val="none" w:sz="0" w:space="0" w:color="auto"/>
                        <w:bottom w:val="none" w:sz="0" w:space="0" w:color="auto"/>
                        <w:right w:val="none" w:sz="0" w:space="0" w:color="auto"/>
                      </w:divBdr>
                    </w:div>
                  </w:divsChild>
                </w:div>
                <w:div w:id="1981493702">
                  <w:marLeft w:val="0"/>
                  <w:marRight w:val="0"/>
                  <w:marTop w:val="0"/>
                  <w:marBottom w:val="0"/>
                  <w:divBdr>
                    <w:top w:val="none" w:sz="0" w:space="0" w:color="auto"/>
                    <w:left w:val="none" w:sz="0" w:space="0" w:color="auto"/>
                    <w:bottom w:val="none" w:sz="0" w:space="0" w:color="auto"/>
                    <w:right w:val="none" w:sz="0" w:space="0" w:color="auto"/>
                  </w:divBdr>
                  <w:divsChild>
                    <w:div w:id="1203058505">
                      <w:marLeft w:val="0"/>
                      <w:marRight w:val="0"/>
                      <w:marTop w:val="0"/>
                      <w:marBottom w:val="0"/>
                      <w:divBdr>
                        <w:top w:val="none" w:sz="0" w:space="0" w:color="auto"/>
                        <w:left w:val="none" w:sz="0" w:space="0" w:color="auto"/>
                        <w:bottom w:val="none" w:sz="0" w:space="0" w:color="auto"/>
                        <w:right w:val="none" w:sz="0" w:space="0" w:color="auto"/>
                      </w:divBdr>
                    </w:div>
                  </w:divsChild>
                </w:div>
                <w:div w:id="1985960634">
                  <w:marLeft w:val="0"/>
                  <w:marRight w:val="0"/>
                  <w:marTop w:val="0"/>
                  <w:marBottom w:val="0"/>
                  <w:divBdr>
                    <w:top w:val="none" w:sz="0" w:space="0" w:color="auto"/>
                    <w:left w:val="none" w:sz="0" w:space="0" w:color="auto"/>
                    <w:bottom w:val="none" w:sz="0" w:space="0" w:color="auto"/>
                    <w:right w:val="none" w:sz="0" w:space="0" w:color="auto"/>
                  </w:divBdr>
                  <w:divsChild>
                    <w:div w:id="19927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7207">
          <w:marLeft w:val="0"/>
          <w:marRight w:val="0"/>
          <w:marTop w:val="0"/>
          <w:marBottom w:val="0"/>
          <w:divBdr>
            <w:top w:val="none" w:sz="0" w:space="0" w:color="auto"/>
            <w:left w:val="none" w:sz="0" w:space="0" w:color="auto"/>
            <w:bottom w:val="none" w:sz="0" w:space="0" w:color="auto"/>
            <w:right w:val="none" w:sz="0" w:space="0" w:color="auto"/>
          </w:divBdr>
          <w:divsChild>
            <w:div w:id="137382205">
              <w:marLeft w:val="0"/>
              <w:marRight w:val="0"/>
              <w:marTop w:val="0"/>
              <w:marBottom w:val="0"/>
              <w:divBdr>
                <w:top w:val="none" w:sz="0" w:space="0" w:color="auto"/>
                <w:left w:val="none" w:sz="0" w:space="0" w:color="auto"/>
                <w:bottom w:val="none" w:sz="0" w:space="0" w:color="auto"/>
                <w:right w:val="none" w:sz="0" w:space="0" w:color="auto"/>
              </w:divBdr>
            </w:div>
            <w:div w:id="997150395">
              <w:marLeft w:val="0"/>
              <w:marRight w:val="0"/>
              <w:marTop w:val="0"/>
              <w:marBottom w:val="0"/>
              <w:divBdr>
                <w:top w:val="none" w:sz="0" w:space="0" w:color="auto"/>
                <w:left w:val="none" w:sz="0" w:space="0" w:color="auto"/>
                <w:bottom w:val="none" w:sz="0" w:space="0" w:color="auto"/>
                <w:right w:val="none" w:sz="0" w:space="0" w:color="auto"/>
              </w:divBdr>
            </w:div>
            <w:div w:id="1255552362">
              <w:marLeft w:val="0"/>
              <w:marRight w:val="0"/>
              <w:marTop w:val="0"/>
              <w:marBottom w:val="0"/>
              <w:divBdr>
                <w:top w:val="none" w:sz="0" w:space="0" w:color="auto"/>
                <w:left w:val="none" w:sz="0" w:space="0" w:color="auto"/>
                <w:bottom w:val="none" w:sz="0" w:space="0" w:color="auto"/>
                <w:right w:val="none" w:sz="0" w:space="0" w:color="auto"/>
              </w:divBdr>
            </w:div>
          </w:divsChild>
        </w:div>
        <w:div w:id="1921792475">
          <w:marLeft w:val="0"/>
          <w:marRight w:val="0"/>
          <w:marTop w:val="0"/>
          <w:marBottom w:val="0"/>
          <w:divBdr>
            <w:top w:val="none" w:sz="0" w:space="0" w:color="auto"/>
            <w:left w:val="none" w:sz="0" w:space="0" w:color="auto"/>
            <w:bottom w:val="none" w:sz="0" w:space="0" w:color="auto"/>
            <w:right w:val="none" w:sz="0" w:space="0" w:color="auto"/>
          </w:divBdr>
          <w:divsChild>
            <w:div w:id="131951563">
              <w:marLeft w:val="0"/>
              <w:marRight w:val="0"/>
              <w:marTop w:val="0"/>
              <w:marBottom w:val="0"/>
              <w:divBdr>
                <w:top w:val="none" w:sz="0" w:space="0" w:color="auto"/>
                <w:left w:val="none" w:sz="0" w:space="0" w:color="auto"/>
                <w:bottom w:val="none" w:sz="0" w:space="0" w:color="auto"/>
                <w:right w:val="none" w:sz="0" w:space="0" w:color="auto"/>
              </w:divBdr>
            </w:div>
            <w:div w:id="886375951">
              <w:marLeft w:val="0"/>
              <w:marRight w:val="0"/>
              <w:marTop w:val="0"/>
              <w:marBottom w:val="0"/>
              <w:divBdr>
                <w:top w:val="none" w:sz="0" w:space="0" w:color="auto"/>
                <w:left w:val="none" w:sz="0" w:space="0" w:color="auto"/>
                <w:bottom w:val="none" w:sz="0" w:space="0" w:color="auto"/>
                <w:right w:val="none" w:sz="0" w:space="0" w:color="auto"/>
              </w:divBdr>
            </w:div>
            <w:div w:id="2083331355">
              <w:marLeft w:val="0"/>
              <w:marRight w:val="0"/>
              <w:marTop w:val="0"/>
              <w:marBottom w:val="0"/>
              <w:divBdr>
                <w:top w:val="none" w:sz="0" w:space="0" w:color="auto"/>
                <w:left w:val="none" w:sz="0" w:space="0" w:color="auto"/>
                <w:bottom w:val="none" w:sz="0" w:space="0" w:color="auto"/>
                <w:right w:val="none" w:sz="0" w:space="0" w:color="auto"/>
              </w:divBdr>
            </w:div>
          </w:divsChild>
        </w:div>
        <w:div w:id="1925722102">
          <w:marLeft w:val="0"/>
          <w:marRight w:val="0"/>
          <w:marTop w:val="0"/>
          <w:marBottom w:val="0"/>
          <w:divBdr>
            <w:top w:val="none" w:sz="0" w:space="0" w:color="auto"/>
            <w:left w:val="none" w:sz="0" w:space="0" w:color="auto"/>
            <w:bottom w:val="none" w:sz="0" w:space="0" w:color="auto"/>
            <w:right w:val="none" w:sz="0" w:space="0" w:color="auto"/>
          </w:divBdr>
          <w:divsChild>
            <w:div w:id="1037971042">
              <w:marLeft w:val="-75"/>
              <w:marRight w:val="0"/>
              <w:marTop w:val="30"/>
              <w:marBottom w:val="30"/>
              <w:divBdr>
                <w:top w:val="none" w:sz="0" w:space="0" w:color="auto"/>
                <w:left w:val="none" w:sz="0" w:space="0" w:color="auto"/>
                <w:bottom w:val="none" w:sz="0" w:space="0" w:color="auto"/>
                <w:right w:val="none" w:sz="0" w:space="0" w:color="auto"/>
              </w:divBdr>
              <w:divsChild>
                <w:div w:id="2634076">
                  <w:marLeft w:val="0"/>
                  <w:marRight w:val="0"/>
                  <w:marTop w:val="0"/>
                  <w:marBottom w:val="0"/>
                  <w:divBdr>
                    <w:top w:val="none" w:sz="0" w:space="0" w:color="auto"/>
                    <w:left w:val="none" w:sz="0" w:space="0" w:color="auto"/>
                    <w:bottom w:val="none" w:sz="0" w:space="0" w:color="auto"/>
                    <w:right w:val="none" w:sz="0" w:space="0" w:color="auto"/>
                  </w:divBdr>
                  <w:divsChild>
                    <w:div w:id="95635201">
                      <w:marLeft w:val="0"/>
                      <w:marRight w:val="0"/>
                      <w:marTop w:val="0"/>
                      <w:marBottom w:val="0"/>
                      <w:divBdr>
                        <w:top w:val="none" w:sz="0" w:space="0" w:color="auto"/>
                        <w:left w:val="none" w:sz="0" w:space="0" w:color="auto"/>
                        <w:bottom w:val="none" w:sz="0" w:space="0" w:color="auto"/>
                        <w:right w:val="none" w:sz="0" w:space="0" w:color="auto"/>
                      </w:divBdr>
                    </w:div>
                  </w:divsChild>
                </w:div>
                <w:div w:id="75251790">
                  <w:marLeft w:val="0"/>
                  <w:marRight w:val="0"/>
                  <w:marTop w:val="0"/>
                  <w:marBottom w:val="0"/>
                  <w:divBdr>
                    <w:top w:val="none" w:sz="0" w:space="0" w:color="auto"/>
                    <w:left w:val="none" w:sz="0" w:space="0" w:color="auto"/>
                    <w:bottom w:val="none" w:sz="0" w:space="0" w:color="auto"/>
                    <w:right w:val="none" w:sz="0" w:space="0" w:color="auto"/>
                  </w:divBdr>
                  <w:divsChild>
                    <w:div w:id="585387587">
                      <w:marLeft w:val="0"/>
                      <w:marRight w:val="0"/>
                      <w:marTop w:val="0"/>
                      <w:marBottom w:val="0"/>
                      <w:divBdr>
                        <w:top w:val="none" w:sz="0" w:space="0" w:color="auto"/>
                        <w:left w:val="none" w:sz="0" w:space="0" w:color="auto"/>
                        <w:bottom w:val="none" w:sz="0" w:space="0" w:color="auto"/>
                        <w:right w:val="none" w:sz="0" w:space="0" w:color="auto"/>
                      </w:divBdr>
                    </w:div>
                  </w:divsChild>
                </w:div>
                <w:div w:id="299384444">
                  <w:marLeft w:val="0"/>
                  <w:marRight w:val="0"/>
                  <w:marTop w:val="0"/>
                  <w:marBottom w:val="0"/>
                  <w:divBdr>
                    <w:top w:val="none" w:sz="0" w:space="0" w:color="auto"/>
                    <w:left w:val="none" w:sz="0" w:space="0" w:color="auto"/>
                    <w:bottom w:val="none" w:sz="0" w:space="0" w:color="auto"/>
                    <w:right w:val="none" w:sz="0" w:space="0" w:color="auto"/>
                  </w:divBdr>
                  <w:divsChild>
                    <w:div w:id="1824008679">
                      <w:marLeft w:val="0"/>
                      <w:marRight w:val="0"/>
                      <w:marTop w:val="0"/>
                      <w:marBottom w:val="0"/>
                      <w:divBdr>
                        <w:top w:val="none" w:sz="0" w:space="0" w:color="auto"/>
                        <w:left w:val="none" w:sz="0" w:space="0" w:color="auto"/>
                        <w:bottom w:val="none" w:sz="0" w:space="0" w:color="auto"/>
                        <w:right w:val="none" w:sz="0" w:space="0" w:color="auto"/>
                      </w:divBdr>
                    </w:div>
                  </w:divsChild>
                </w:div>
                <w:div w:id="646401682">
                  <w:marLeft w:val="0"/>
                  <w:marRight w:val="0"/>
                  <w:marTop w:val="0"/>
                  <w:marBottom w:val="0"/>
                  <w:divBdr>
                    <w:top w:val="none" w:sz="0" w:space="0" w:color="auto"/>
                    <w:left w:val="none" w:sz="0" w:space="0" w:color="auto"/>
                    <w:bottom w:val="none" w:sz="0" w:space="0" w:color="auto"/>
                    <w:right w:val="none" w:sz="0" w:space="0" w:color="auto"/>
                  </w:divBdr>
                  <w:divsChild>
                    <w:div w:id="1778407711">
                      <w:marLeft w:val="0"/>
                      <w:marRight w:val="0"/>
                      <w:marTop w:val="0"/>
                      <w:marBottom w:val="0"/>
                      <w:divBdr>
                        <w:top w:val="none" w:sz="0" w:space="0" w:color="auto"/>
                        <w:left w:val="none" w:sz="0" w:space="0" w:color="auto"/>
                        <w:bottom w:val="none" w:sz="0" w:space="0" w:color="auto"/>
                        <w:right w:val="none" w:sz="0" w:space="0" w:color="auto"/>
                      </w:divBdr>
                    </w:div>
                  </w:divsChild>
                </w:div>
                <w:div w:id="837427361">
                  <w:marLeft w:val="0"/>
                  <w:marRight w:val="0"/>
                  <w:marTop w:val="0"/>
                  <w:marBottom w:val="0"/>
                  <w:divBdr>
                    <w:top w:val="none" w:sz="0" w:space="0" w:color="auto"/>
                    <w:left w:val="none" w:sz="0" w:space="0" w:color="auto"/>
                    <w:bottom w:val="none" w:sz="0" w:space="0" w:color="auto"/>
                    <w:right w:val="none" w:sz="0" w:space="0" w:color="auto"/>
                  </w:divBdr>
                  <w:divsChild>
                    <w:div w:id="2133933915">
                      <w:marLeft w:val="0"/>
                      <w:marRight w:val="0"/>
                      <w:marTop w:val="0"/>
                      <w:marBottom w:val="0"/>
                      <w:divBdr>
                        <w:top w:val="none" w:sz="0" w:space="0" w:color="auto"/>
                        <w:left w:val="none" w:sz="0" w:space="0" w:color="auto"/>
                        <w:bottom w:val="none" w:sz="0" w:space="0" w:color="auto"/>
                        <w:right w:val="none" w:sz="0" w:space="0" w:color="auto"/>
                      </w:divBdr>
                    </w:div>
                  </w:divsChild>
                </w:div>
                <w:div w:id="920024060">
                  <w:marLeft w:val="0"/>
                  <w:marRight w:val="0"/>
                  <w:marTop w:val="0"/>
                  <w:marBottom w:val="0"/>
                  <w:divBdr>
                    <w:top w:val="none" w:sz="0" w:space="0" w:color="auto"/>
                    <w:left w:val="none" w:sz="0" w:space="0" w:color="auto"/>
                    <w:bottom w:val="none" w:sz="0" w:space="0" w:color="auto"/>
                    <w:right w:val="none" w:sz="0" w:space="0" w:color="auto"/>
                  </w:divBdr>
                  <w:divsChild>
                    <w:div w:id="817113859">
                      <w:marLeft w:val="0"/>
                      <w:marRight w:val="0"/>
                      <w:marTop w:val="0"/>
                      <w:marBottom w:val="0"/>
                      <w:divBdr>
                        <w:top w:val="none" w:sz="0" w:space="0" w:color="auto"/>
                        <w:left w:val="none" w:sz="0" w:space="0" w:color="auto"/>
                        <w:bottom w:val="none" w:sz="0" w:space="0" w:color="auto"/>
                        <w:right w:val="none" w:sz="0" w:space="0" w:color="auto"/>
                      </w:divBdr>
                    </w:div>
                  </w:divsChild>
                </w:div>
                <w:div w:id="1229730095">
                  <w:marLeft w:val="0"/>
                  <w:marRight w:val="0"/>
                  <w:marTop w:val="0"/>
                  <w:marBottom w:val="0"/>
                  <w:divBdr>
                    <w:top w:val="none" w:sz="0" w:space="0" w:color="auto"/>
                    <w:left w:val="none" w:sz="0" w:space="0" w:color="auto"/>
                    <w:bottom w:val="none" w:sz="0" w:space="0" w:color="auto"/>
                    <w:right w:val="none" w:sz="0" w:space="0" w:color="auto"/>
                  </w:divBdr>
                  <w:divsChild>
                    <w:div w:id="1845239692">
                      <w:marLeft w:val="0"/>
                      <w:marRight w:val="0"/>
                      <w:marTop w:val="0"/>
                      <w:marBottom w:val="0"/>
                      <w:divBdr>
                        <w:top w:val="none" w:sz="0" w:space="0" w:color="auto"/>
                        <w:left w:val="none" w:sz="0" w:space="0" w:color="auto"/>
                        <w:bottom w:val="none" w:sz="0" w:space="0" w:color="auto"/>
                        <w:right w:val="none" w:sz="0" w:space="0" w:color="auto"/>
                      </w:divBdr>
                    </w:div>
                  </w:divsChild>
                </w:div>
                <w:div w:id="1260681826">
                  <w:marLeft w:val="0"/>
                  <w:marRight w:val="0"/>
                  <w:marTop w:val="0"/>
                  <w:marBottom w:val="0"/>
                  <w:divBdr>
                    <w:top w:val="none" w:sz="0" w:space="0" w:color="auto"/>
                    <w:left w:val="none" w:sz="0" w:space="0" w:color="auto"/>
                    <w:bottom w:val="none" w:sz="0" w:space="0" w:color="auto"/>
                    <w:right w:val="none" w:sz="0" w:space="0" w:color="auto"/>
                  </w:divBdr>
                  <w:divsChild>
                    <w:div w:id="1846509352">
                      <w:marLeft w:val="0"/>
                      <w:marRight w:val="0"/>
                      <w:marTop w:val="0"/>
                      <w:marBottom w:val="0"/>
                      <w:divBdr>
                        <w:top w:val="none" w:sz="0" w:space="0" w:color="auto"/>
                        <w:left w:val="none" w:sz="0" w:space="0" w:color="auto"/>
                        <w:bottom w:val="none" w:sz="0" w:space="0" w:color="auto"/>
                        <w:right w:val="none" w:sz="0" w:space="0" w:color="auto"/>
                      </w:divBdr>
                    </w:div>
                  </w:divsChild>
                </w:div>
                <w:div w:id="1279024834">
                  <w:marLeft w:val="0"/>
                  <w:marRight w:val="0"/>
                  <w:marTop w:val="0"/>
                  <w:marBottom w:val="0"/>
                  <w:divBdr>
                    <w:top w:val="none" w:sz="0" w:space="0" w:color="auto"/>
                    <w:left w:val="none" w:sz="0" w:space="0" w:color="auto"/>
                    <w:bottom w:val="none" w:sz="0" w:space="0" w:color="auto"/>
                    <w:right w:val="none" w:sz="0" w:space="0" w:color="auto"/>
                  </w:divBdr>
                  <w:divsChild>
                    <w:div w:id="1809739135">
                      <w:marLeft w:val="0"/>
                      <w:marRight w:val="0"/>
                      <w:marTop w:val="0"/>
                      <w:marBottom w:val="0"/>
                      <w:divBdr>
                        <w:top w:val="none" w:sz="0" w:space="0" w:color="auto"/>
                        <w:left w:val="none" w:sz="0" w:space="0" w:color="auto"/>
                        <w:bottom w:val="none" w:sz="0" w:space="0" w:color="auto"/>
                        <w:right w:val="none" w:sz="0" w:space="0" w:color="auto"/>
                      </w:divBdr>
                    </w:div>
                  </w:divsChild>
                </w:div>
                <w:div w:id="1402024835">
                  <w:marLeft w:val="0"/>
                  <w:marRight w:val="0"/>
                  <w:marTop w:val="0"/>
                  <w:marBottom w:val="0"/>
                  <w:divBdr>
                    <w:top w:val="none" w:sz="0" w:space="0" w:color="auto"/>
                    <w:left w:val="none" w:sz="0" w:space="0" w:color="auto"/>
                    <w:bottom w:val="none" w:sz="0" w:space="0" w:color="auto"/>
                    <w:right w:val="none" w:sz="0" w:space="0" w:color="auto"/>
                  </w:divBdr>
                  <w:divsChild>
                    <w:div w:id="601376431">
                      <w:marLeft w:val="0"/>
                      <w:marRight w:val="0"/>
                      <w:marTop w:val="0"/>
                      <w:marBottom w:val="0"/>
                      <w:divBdr>
                        <w:top w:val="none" w:sz="0" w:space="0" w:color="auto"/>
                        <w:left w:val="none" w:sz="0" w:space="0" w:color="auto"/>
                        <w:bottom w:val="none" w:sz="0" w:space="0" w:color="auto"/>
                        <w:right w:val="none" w:sz="0" w:space="0" w:color="auto"/>
                      </w:divBdr>
                    </w:div>
                  </w:divsChild>
                </w:div>
                <w:div w:id="1802454527">
                  <w:marLeft w:val="0"/>
                  <w:marRight w:val="0"/>
                  <w:marTop w:val="0"/>
                  <w:marBottom w:val="0"/>
                  <w:divBdr>
                    <w:top w:val="none" w:sz="0" w:space="0" w:color="auto"/>
                    <w:left w:val="none" w:sz="0" w:space="0" w:color="auto"/>
                    <w:bottom w:val="none" w:sz="0" w:space="0" w:color="auto"/>
                    <w:right w:val="none" w:sz="0" w:space="0" w:color="auto"/>
                  </w:divBdr>
                  <w:divsChild>
                    <w:div w:id="849099296">
                      <w:marLeft w:val="0"/>
                      <w:marRight w:val="0"/>
                      <w:marTop w:val="0"/>
                      <w:marBottom w:val="0"/>
                      <w:divBdr>
                        <w:top w:val="none" w:sz="0" w:space="0" w:color="auto"/>
                        <w:left w:val="none" w:sz="0" w:space="0" w:color="auto"/>
                        <w:bottom w:val="none" w:sz="0" w:space="0" w:color="auto"/>
                        <w:right w:val="none" w:sz="0" w:space="0" w:color="auto"/>
                      </w:divBdr>
                    </w:div>
                  </w:divsChild>
                </w:div>
                <w:div w:id="2048871012">
                  <w:marLeft w:val="0"/>
                  <w:marRight w:val="0"/>
                  <w:marTop w:val="0"/>
                  <w:marBottom w:val="0"/>
                  <w:divBdr>
                    <w:top w:val="none" w:sz="0" w:space="0" w:color="auto"/>
                    <w:left w:val="none" w:sz="0" w:space="0" w:color="auto"/>
                    <w:bottom w:val="none" w:sz="0" w:space="0" w:color="auto"/>
                    <w:right w:val="none" w:sz="0" w:space="0" w:color="auto"/>
                  </w:divBdr>
                  <w:divsChild>
                    <w:div w:id="1371035043">
                      <w:marLeft w:val="0"/>
                      <w:marRight w:val="0"/>
                      <w:marTop w:val="0"/>
                      <w:marBottom w:val="0"/>
                      <w:divBdr>
                        <w:top w:val="none" w:sz="0" w:space="0" w:color="auto"/>
                        <w:left w:val="none" w:sz="0" w:space="0" w:color="auto"/>
                        <w:bottom w:val="none" w:sz="0" w:space="0" w:color="auto"/>
                        <w:right w:val="none" w:sz="0" w:space="0" w:color="auto"/>
                      </w:divBdr>
                    </w:div>
                  </w:divsChild>
                </w:div>
                <w:div w:id="2084520470">
                  <w:marLeft w:val="0"/>
                  <w:marRight w:val="0"/>
                  <w:marTop w:val="0"/>
                  <w:marBottom w:val="0"/>
                  <w:divBdr>
                    <w:top w:val="none" w:sz="0" w:space="0" w:color="auto"/>
                    <w:left w:val="none" w:sz="0" w:space="0" w:color="auto"/>
                    <w:bottom w:val="none" w:sz="0" w:space="0" w:color="auto"/>
                    <w:right w:val="none" w:sz="0" w:space="0" w:color="auto"/>
                  </w:divBdr>
                  <w:divsChild>
                    <w:div w:id="1297636962">
                      <w:marLeft w:val="0"/>
                      <w:marRight w:val="0"/>
                      <w:marTop w:val="0"/>
                      <w:marBottom w:val="0"/>
                      <w:divBdr>
                        <w:top w:val="none" w:sz="0" w:space="0" w:color="auto"/>
                        <w:left w:val="none" w:sz="0" w:space="0" w:color="auto"/>
                        <w:bottom w:val="none" w:sz="0" w:space="0" w:color="auto"/>
                        <w:right w:val="none" w:sz="0" w:space="0" w:color="auto"/>
                      </w:divBdr>
                    </w:div>
                  </w:divsChild>
                </w:div>
                <w:div w:id="2141456354">
                  <w:marLeft w:val="0"/>
                  <w:marRight w:val="0"/>
                  <w:marTop w:val="0"/>
                  <w:marBottom w:val="0"/>
                  <w:divBdr>
                    <w:top w:val="none" w:sz="0" w:space="0" w:color="auto"/>
                    <w:left w:val="none" w:sz="0" w:space="0" w:color="auto"/>
                    <w:bottom w:val="none" w:sz="0" w:space="0" w:color="auto"/>
                    <w:right w:val="none" w:sz="0" w:space="0" w:color="auto"/>
                  </w:divBdr>
                  <w:divsChild>
                    <w:div w:id="12787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2995">
          <w:marLeft w:val="0"/>
          <w:marRight w:val="0"/>
          <w:marTop w:val="0"/>
          <w:marBottom w:val="0"/>
          <w:divBdr>
            <w:top w:val="none" w:sz="0" w:space="0" w:color="auto"/>
            <w:left w:val="none" w:sz="0" w:space="0" w:color="auto"/>
            <w:bottom w:val="none" w:sz="0" w:space="0" w:color="auto"/>
            <w:right w:val="none" w:sz="0" w:space="0" w:color="auto"/>
          </w:divBdr>
          <w:divsChild>
            <w:div w:id="503325025">
              <w:marLeft w:val="0"/>
              <w:marRight w:val="0"/>
              <w:marTop w:val="0"/>
              <w:marBottom w:val="0"/>
              <w:divBdr>
                <w:top w:val="none" w:sz="0" w:space="0" w:color="auto"/>
                <w:left w:val="none" w:sz="0" w:space="0" w:color="auto"/>
                <w:bottom w:val="none" w:sz="0" w:space="0" w:color="auto"/>
                <w:right w:val="none" w:sz="0" w:space="0" w:color="auto"/>
              </w:divBdr>
            </w:div>
            <w:div w:id="519317987">
              <w:marLeft w:val="0"/>
              <w:marRight w:val="0"/>
              <w:marTop w:val="0"/>
              <w:marBottom w:val="0"/>
              <w:divBdr>
                <w:top w:val="none" w:sz="0" w:space="0" w:color="auto"/>
                <w:left w:val="none" w:sz="0" w:space="0" w:color="auto"/>
                <w:bottom w:val="none" w:sz="0" w:space="0" w:color="auto"/>
                <w:right w:val="none" w:sz="0" w:space="0" w:color="auto"/>
              </w:divBdr>
            </w:div>
            <w:div w:id="1043168400">
              <w:marLeft w:val="0"/>
              <w:marRight w:val="0"/>
              <w:marTop w:val="0"/>
              <w:marBottom w:val="0"/>
              <w:divBdr>
                <w:top w:val="none" w:sz="0" w:space="0" w:color="auto"/>
                <w:left w:val="none" w:sz="0" w:space="0" w:color="auto"/>
                <w:bottom w:val="none" w:sz="0" w:space="0" w:color="auto"/>
                <w:right w:val="none" w:sz="0" w:space="0" w:color="auto"/>
              </w:divBdr>
            </w:div>
            <w:div w:id="1259556792">
              <w:marLeft w:val="0"/>
              <w:marRight w:val="0"/>
              <w:marTop w:val="0"/>
              <w:marBottom w:val="0"/>
              <w:divBdr>
                <w:top w:val="none" w:sz="0" w:space="0" w:color="auto"/>
                <w:left w:val="none" w:sz="0" w:space="0" w:color="auto"/>
                <w:bottom w:val="none" w:sz="0" w:space="0" w:color="auto"/>
                <w:right w:val="none" w:sz="0" w:space="0" w:color="auto"/>
              </w:divBdr>
            </w:div>
            <w:div w:id="1741294420">
              <w:marLeft w:val="0"/>
              <w:marRight w:val="0"/>
              <w:marTop w:val="0"/>
              <w:marBottom w:val="0"/>
              <w:divBdr>
                <w:top w:val="none" w:sz="0" w:space="0" w:color="auto"/>
                <w:left w:val="none" w:sz="0" w:space="0" w:color="auto"/>
                <w:bottom w:val="none" w:sz="0" w:space="0" w:color="auto"/>
                <w:right w:val="none" w:sz="0" w:space="0" w:color="auto"/>
              </w:divBdr>
            </w:div>
            <w:div w:id="2021883318">
              <w:marLeft w:val="0"/>
              <w:marRight w:val="0"/>
              <w:marTop w:val="0"/>
              <w:marBottom w:val="0"/>
              <w:divBdr>
                <w:top w:val="none" w:sz="0" w:space="0" w:color="auto"/>
                <w:left w:val="none" w:sz="0" w:space="0" w:color="auto"/>
                <w:bottom w:val="none" w:sz="0" w:space="0" w:color="auto"/>
                <w:right w:val="none" w:sz="0" w:space="0" w:color="auto"/>
              </w:divBdr>
            </w:div>
          </w:divsChild>
        </w:div>
        <w:div w:id="1965848851">
          <w:marLeft w:val="0"/>
          <w:marRight w:val="0"/>
          <w:marTop w:val="0"/>
          <w:marBottom w:val="0"/>
          <w:divBdr>
            <w:top w:val="none" w:sz="0" w:space="0" w:color="auto"/>
            <w:left w:val="none" w:sz="0" w:space="0" w:color="auto"/>
            <w:bottom w:val="none" w:sz="0" w:space="0" w:color="auto"/>
            <w:right w:val="none" w:sz="0" w:space="0" w:color="auto"/>
          </w:divBdr>
        </w:div>
        <w:div w:id="1984772262">
          <w:marLeft w:val="0"/>
          <w:marRight w:val="0"/>
          <w:marTop w:val="0"/>
          <w:marBottom w:val="0"/>
          <w:divBdr>
            <w:top w:val="none" w:sz="0" w:space="0" w:color="auto"/>
            <w:left w:val="none" w:sz="0" w:space="0" w:color="auto"/>
            <w:bottom w:val="none" w:sz="0" w:space="0" w:color="auto"/>
            <w:right w:val="none" w:sz="0" w:space="0" w:color="auto"/>
          </w:divBdr>
          <w:divsChild>
            <w:div w:id="5446910">
              <w:marLeft w:val="0"/>
              <w:marRight w:val="0"/>
              <w:marTop w:val="0"/>
              <w:marBottom w:val="0"/>
              <w:divBdr>
                <w:top w:val="none" w:sz="0" w:space="0" w:color="auto"/>
                <w:left w:val="none" w:sz="0" w:space="0" w:color="auto"/>
                <w:bottom w:val="none" w:sz="0" w:space="0" w:color="auto"/>
                <w:right w:val="none" w:sz="0" w:space="0" w:color="auto"/>
              </w:divBdr>
            </w:div>
            <w:div w:id="615137991">
              <w:marLeft w:val="0"/>
              <w:marRight w:val="0"/>
              <w:marTop w:val="0"/>
              <w:marBottom w:val="0"/>
              <w:divBdr>
                <w:top w:val="none" w:sz="0" w:space="0" w:color="auto"/>
                <w:left w:val="none" w:sz="0" w:space="0" w:color="auto"/>
                <w:bottom w:val="none" w:sz="0" w:space="0" w:color="auto"/>
                <w:right w:val="none" w:sz="0" w:space="0" w:color="auto"/>
              </w:divBdr>
            </w:div>
            <w:div w:id="931473825">
              <w:marLeft w:val="0"/>
              <w:marRight w:val="0"/>
              <w:marTop w:val="0"/>
              <w:marBottom w:val="0"/>
              <w:divBdr>
                <w:top w:val="none" w:sz="0" w:space="0" w:color="auto"/>
                <w:left w:val="none" w:sz="0" w:space="0" w:color="auto"/>
                <w:bottom w:val="none" w:sz="0" w:space="0" w:color="auto"/>
                <w:right w:val="none" w:sz="0" w:space="0" w:color="auto"/>
              </w:divBdr>
            </w:div>
            <w:div w:id="1278639087">
              <w:marLeft w:val="0"/>
              <w:marRight w:val="0"/>
              <w:marTop w:val="0"/>
              <w:marBottom w:val="0"/>
              <w:divBdr>
                <w:top w:val="none" w:sz="0" w:space="0" w:color="auto"/>
                <w:left w:val="none" w:sz="0" w:space="0" w:color="auto"/>
                <w:bottom w:val="none" w:sz="0" w:space="0" w:color="auto"/>
                <w:right w:val="none" w:sz="0" w:space="0" w:color="auto"/>
              </w:divBdr>
            </w:div>
          </w:divsChild>
        </w:div>
        <w:div w:id="1998993869">
          <w:marLeft w:val="0"/>
          <w:marRight w:val="0"/>
          <w:marTop w:val="0"/>
          <w:marBottom w:val="0"/>
          <w:divBdr>
            <w:top w:val="none" w:sz="0" w:space="0" w:color="auto"/>
            <w:left w:val="none" w:sz="0" w:space="0" w:color="auto"/>
            <w:bottom w:val="none" w:sz="0" w:space="0" w:color="auto"/>
            <w:right w:val="none" w:sz="0" w:space="0" w:color="auto"/>
          </w:divBdr>
          <w:divsChild>
            <w:div w:id="600643389">
              <w:marLeft w:val="0"/>
              <w:marRight w:val="0"/>
              <w:marTop w:val="0"/>
              <w:marBottom w:val="0"/>
              <w:divBdr>
                <w:top w:val="none" w:sz="0" w:space="0" w:color="auto"/>
                <w:left w:val="none" w:sz="0" w:space="0" w:color="auto"/>
                <w:bottom w:val="none" w:sz="0" w:space="0" w:color="auto"/>
                <w:right w:val="none" w:sz="0" w:space="0" w:color="auto"/>
              </w:divBdr>
            </w:div>
            <w:div w:id="703099278">
              <w:marLeft w:val="0"/>
              <w:marRight w:val="0"/>
              <w:marTop w:val="0"/>
              <w:marBottom w:val="0"/>
              <w:divBdr>
                <w:top w:val="none" w:sz="0" w:space="0" w:color="auto"/>
                <w:left w:val="none" w:sz="0" w:space="0" w:color="auto"/>
                <w:bottom w:val="none" w:sz="0" w:space="0" w:color="auto"/>
                <w:right w:val="none" w:sz="0" w:space="0" w:color="auto"/>
              </w:divBdr>
            </w:div>
            <w:div w:id="1865366249">
              <w:marLeft w:val="0"/>
              <w:marRight w:val="0"/>
              <w:marTop w:val="0"/>
              <w:marBottom w:val="0"/>
              <w:divBdr>
                <w:top w:val="none" w:sz="0" w:space="0" w:color="auto"/>
                <w:left w:val="none" w:sz="0" w:space="0" w:color="auto"/>
                <w:bottom w:val="none" w:sz="0" w:space="0" w:color="auto"/>
                <w:right w:val="none" w:sz="0" w:space="0" w:color="auto"/>
              </w:divBdr>
            </w:div>
          </w:divsChild>
        </w:div>
        <w:div w:id="1999379352">
          <w:marLeft w:val="0"/>
          <w:marRight w:val="0"/>
          <w:marTop w:val="0"/>
          <w:marBottom w:val="0"/>
          <w:divBdr>
            <w:top w:val="none" w:sz="0" w:space="0" w:color="auto"/>
            <w:left w:val="none" w:sz="0" w:space="0" w:color="auto"/>
            <w:bottom w:val="none" w:sz="0" w:space="0" w:color="auto"/>
            <w:right w:val="none" w:sz="0" w:space="0" w:color="auto"/>
          </w:divBdr>
          <w:divsChild>
            <w:div w:id="70125361">
              <w:marLeft w:val="-75"/>
              <w:marRight w:val="0"/>
              <w:marTop w:val="30"/>
              <w:marBottom w:val="30"/>
              <w:divBdr>
                <w:top w:val="none" w:sz="0" w:space="0" w:color="auto"/>
                <w:left w:val="none" w:sz="0" w:space="0" w:color="auto"/>
                <w:bottom w:val="none" w:sz="0" w:space="0" w:color="auto"/>
                <w:right w:val="none" w:sz="0" w:space="0" w:color="auto"/>
              </w:divBdr>
              <w:divsChild>
                <w:div w:id="43257494">
                  <w:marLeft w:val="0"/>
                  <w:marRight w:val="0"/>
                  <w:marTop w:val="0"/>
                  <w:marBottom w:val="0"/>
                  <w:divBdr>
                    <w:top w:val="none" w:sz="0" w:space="0" w:color="auto"/>
                    <w:left w:val="none" w:sz="0" w:space="0" w:color="auto"/>
                    <w:bottom w:val="none" w:sz="0" w:space="0" w:color="auto"/>
                    <w:right w:val="none" w:sz="0" w:space="0" w:color="auto"/>
                  </w:divBdr>
                  <w:divsChild>
                    <w:div w:id="156501860">
                      <w:marLeft w:val="0"/>
                      <w:marRight w:val="0"/>
                      <w:marTop w:val="0"/>
                      <w:marBottom w:val="0"/>
                      <w:divBdr>
                        <w:top w:val="none" w:sz="0" w:space="0" w:color="auto"/>
                        <w:left w:val="none" w:sz="0" w:space="0" w:color="auto"/>
                        <w:bottom w:val="none" w:sz="0" w:space="0" w:color="auto"/>
                        <w:right w:val="none" w:sz="0" w:space="0" w:color="auto"/>
                      </w:divBdr>
                    </w:div>
                  </w:divsChild>
                </w:div>
                <w:div w:id="153032405">
                  <w:marLeft w:val="0"/>
                  <w:marRight w:val="0"/>
                  <w:marTop w:val="0"/>
                  <w:marBottom w:val="0"/>
                  <w:divBdr>
                    <w:top w:val="none" w:sz="0" w:space="0" w:color="auto"/>
                    <w:left w:val="none" w:sz="0" w:space="0" w:color="auto"/>
                    <w:bottom w:val="none" w:sz="0" w:space="0" w:color="auto"/>
                    <w:right w:val="none" w:sz="0" w:space="0" w:color="auto"/>
                  </w:divBdr>
                  <w:divsChild>
                    <w:div w:id="660163569">
                      <w:marLeft w:val="0"/>
                      <w:marRight w:val="0"/>
                      <w:marTop w:val="0"/>
                      <w:marBottom w:val="0"/>
                      <w:divBdr>
                        <w:top w:val="none" w:sz="0" w:space="0" w:color="auto"/>
                        <w:left w:val="none" w:sz="0" w:space="0" w:color="auto"/>
                        <w:bottom w:val="none" w:sz="0" w:space="0" w:color="auto"/>
                        <w:right w:val="none" w:sz="0" w:space="0" w:color="auto"/>
                      </w:divBdr>
                    </w:div>
                  </w:divsChild>
                </w:div>
                <w:div w:id="279920995">
                  <w:marLeft w:val="0"/>
                  <w:marRight w:val="0"/>
                  <w:marTop w:val="0"/>
                  <w:marBottom w:val="0"/>
                  <w:divBdr>
                    <w:top w:val="none" w:sz="0" w:space="0" w:color="auto"/>
                    <w:left w:val="none" w:sz="0" w:space="0" w:color="auto"/>
                    <w:bottom w:val="none" w:sz="0" w:space="0" w:color="auto"/>
                    <w:right w:val="none" w:sz="0" w:space="0" w:color="auto"/>
                  </w:divBdr>
                  <w:divsChild>
                    <w:div w:id="728576961">
                      <w:marLeft w:val="0"/>
                      <w:marRight w:val="0"/>
                      <w:marTop w:val="0"/>
                      <w:marBottom w:val="0"/>
                      <w:divBdr>
                        <w:top w:val="none" w:sz="0" w:space="0" w:color="auto"/>
                        <w:left w:val="none" w:sz="0" w:space="0" w:color="auto"/>
                        <w:bottom w:val="none" w:sz="0" w:space="0" w:color="auto"/>
                        <w:right w:val="none" w:sz="0" w:space="0" w:color="auto"/>
                      </w:divBdr>
                    </w:div>
                  </w:divsChild>
                </w:div>
                <w:div w:id="399137193">
                  <w:marLeft w:val="0"/>
                  <w:marRight w:val="0"/>
                  <w:marTop w:val="0"/>
                  <w:marBottom w:val="0"/>
                  <w:divBdr>
                    <w:top w:val="none" w:sz="0" w:space="0" w:color="auto"/>
                    <w:left w:val="none" w:sz="0" w:space="0" w:color="auto"/>
                    <w:bottom w:val="none" w:sz="0" w:space="0" w:color="auto"/>
                    <w:right w:val="none" w:sz="0" w:space="0" w:color="auto"/>
                  </w:divBdr>
                  <w:divsChild>
                    <w:div w:id="1070617269">
                      <w:marLeft w:val="0"/>
                      <w:marRight w:val="0"/>
                      <w:marTop w:val="0"/>
                      <w:marBottom w:val="0"/>
                      <w:divBdr>
                        <w:top w:val="none" w:sz="0" w:space="0" w:color="auto"/>
                        <w:left w:val="none" w:sz="0" w:space="0" w:color="auto"/>
                        <w:bottom w:val="none" w:sz="0" w:space="0" w:color="auto"/>
                        <w:right w:val="none" w:sz="0" w:space="0" w:color="auto"/>
                      </w:divBdr>
                    </w:div>
                  </w:divsChild>
                </w:div>
                <w:div w:id="435293277">
                  <w:marLeft w:val="0"/>
                  <w:marRight w:val="0"/>
                  <w:marTop w:val="0"/>
                  <w:marBottom w:val="0"/>
                  <w:divBdr>
                    <w:top w:val="none" w:sz="0" w:space="0" w:color="auto"/>
                    <w:left w:val="none" w:sz="0" w:space="0" w:color="auto"/>
                    <w:bottom w:val="none" w:sz="0" w:space="0" w:color="auto"/>
                    <w:right w:val="none" w:sz="0" w:space="0" w:color="auto"/>
                  </w:divBdr>
                  <w:divsChild>
                    <w:div w:id="837037707">
                      <w:marLeft w:val="0"/>
                      <w:marRight w:val="0"/>
                      <w:marTop w:val="0"/>
                      <w:marBottom w:val="0"/>
                      <w:divBdr>
                        <w:top w:val="none" w:sz="0" w:space="0" w:color="auto"/>
                        <w:left w:val="none" w:sz="0" w:space="0" w:color="auto"/>
                        <w:bottom w:val="none" w:sz="0" w:space="0" w:color="auto"/>
                        <w:right w:val="none" w:sz="0" w:space="0" w:color="auto"/>
                      </w:divBdr>
                    </w:div>
                  </w:divsChild>
                </w:div>
                <w:div w:id="499271680">
                  <w:marLeft w:val="0"/>
                  <w:marRight w:val="0"/>
                  <w:marTop w:val="0"/>
                  <w:marBottom w:val="0"/>
                  <w:divBdr>
                    <w:top w:val="none" w:sz="0" w:space="0" w:color="auto"/>
                    <w:left w:val="none" w:sz="0" w:space="0" w:color="auto"/>
                    <w:bottom w:val="none" w:sz="0" w:space="0" w:color="auto"/>
                    <w:right w:val="none" w:sz="0" w:space="0" w:color="auto"/>
                  </w:divBdr>
                  <w:divsChild>
                    <w:div w:id="1157724760">
                      <w:marLeft w:val="0"/>
                      <w:marRight w:val="0"/>
                      <w:marTop w:val="0"/>
                      <w:marBottom w:val="0"/>
                      <w:divBdr>
                        <w:top w:val="none" w:sz="0" w:space="0" w:color="auto"/>
                        <w:left w:val="none" w:sz="0" w:space="0" w:color="auto"/>
                        <w:bottom w:val="none" w:sz="0" w:space="0" w:color="auto"/>
                        <w:right w:val="none" w:sz="0" w:space="0" w:color="auto"/>
                      </w:divBdr>
                    </w:div>
                  </w:divsChild>
                </w:div>
                <w:div w:id="642777732">
                  <w:marLeft w:val="0"/>
                  <w:marRight w:val="0"/>
                  <w:marTop w:val="0"/>
                  <w:marBottom w:val="0"/>
                  <w:divBdr>
                    <w:top w:val="none" w:sz="0" w:space="0" w:color="auto"/>
                    <w:left w:val="none" w:sz="0" w:space="0" w:color="auto"/>
                    <w:bottom w:val="none" w:sz="0" w:space="0" w:color="auto"/>
                    <w:right w:val="none" w:sz="0" w:space="0" w:color="auto"/>
                  </w:divBdr>
                  <w:divsChild>
                    <w:div w:id="595137638">
                      <w:marLeft w:val="0"/>
                      <w:marRight w:val="0"/>
                      <w:marTop w:val="0"/>
                      <w:marBottom w:val="0"/>
                      <w:divBdr>
                        <w:top w:val="none" w:sz="0" w:space="0" w:color="auto"/>
                        <w:left w:val="none" w:sz="0" w:space="0" w:color="auto"/>
                        <w:bottom w:val="none" w:sz="0" w:space="0" w:color="auto"/>
                        <w:right w:val="none" w:sz="0" w:space="0" w:color="auto"/>
                      </w:divBdr>
                    </w:div>
                  </w:divsChild>
                </w:div>
                <w:div w:id="658314265">
                  <w:marLeft w:val="0"/>
                  <w:marRight w:val="0"/>
                  <w:marTop w:val="0"/>
                  <w:marBottom w:val="0"/>
                  <w:divBdr>
                    <w:top w:val="none" w:sz="0" w:space="0" w:color="auto"/>
                    <w:left w:val="none" w:sz="0" w:space="0" w:color="auto"/>
                    <w:bottom w:val="none" w:sz="0" w:space="0" w:color="auto"/>
                    <w:right w:val="none" w:sz="0" w:space="0" w:color="auto"/>
                  </w:divBdr>
                  <w:divsChild>
                    <w:div w:id="44187053">
                      <w:marLeft w:val="0"/>
                      <w:marRight w:val="0"/>
                      <w:marTop w:val="0"/>
                      <w:marBottom w:val="0"/>
                      <w:divBdr>
                        <w:top w:val="none" w:sz="0" w:space="0" w:color="auto"/>
                        <w:left w:val="none" w:sz="0" w:space="0" w:color="auto"/>
                        <w:bottom w:val="none" w:sz="0" w:space="0" w:color="auto"/>
                        <w:right w:val="none" w:sz="0" w:space="0" w:color="auto"/>
                      </w:divBdr>
                    </w:div>
                  </w:divsChild>
                </w:div>
                <w:div w:id="701831488">
                  <w:marLeft w:val="0"/>
                  <w:marRight w:val="0"/>
                  <w:marTop w:val="0"/>
                  <w:marBottom w:val="0"/>
                  <w:divBdr>
                    <w:top w:val="none" w:sz="0" w:space="0" w:color="auto"/>
                    <w:left w:val="none" w:sz="0" w:space="0" w:color="auto"/>
                    <w:bottom w:val="none" w:sz="0" w:space="0" w:color="auto"/>
                    <w:right w:val="none" w:sz="0" w:space="0" w:color="auto"/>
                  </w:divBdr>
                  <w:divsChild>
                    <w:div w:id="107629377">
                      <w:marLeft w:val="0"/>
                      <w:marRight w:val="0"/>
                      <w:marTop w:val="0"/>
                      <w:marBottom w:val="0"/>
                      <w:divBdr>
                        <w:top w:val="none" w:sz="0" w:space="0" w:color="auto"/>
                        <w:left w:val="none" w:sz="0" w:space="0" w:color="auto"/>
                        <w:bottom w:val="none" w:sz="0" w:space="0" w:color="auto"/>
                        <w:right w:val="none" w:sz="0" w:space="0" w:color="auto"/>
                      </w:divBdr>
                    </w:div>
                  </w:divsChild>
                </w:div>
                <w:div w:id="768354475">
                  <w:marLeft w:val="0"/>
                  <w:marRight w:val="0"/>
                  <w:marTop w:val="0"/>
                  <w:marBottom w:val="0"/>
                  <w:divBdr>
                    <w:top w:val="none" w:sz="0" w:space="0" w:color="auto"/>
                    <w:left w:val="none" w:sz="0" w:space="0" w:color="auto"/>
                    <w:bottom w:val="none" w:sz="0" w:space="0" w:color="auto"/>
                    <w:right w:val="none" w:sz="0" w:space="0" w:color="auto"/>
                  </w:divBdr>
                  <w:divsChild>
                    <w:div w:id="395932745">
                      <w:marLeft w:val="0"/>
                      <w:marRight w:val="0"/>
                      <w:marTop w:val="0"/>
                      <w:marBottom w:val="0"/>
                      <w:divBdr>
                        <w:top w:val="none" w:sz="0" w:space="0" w:color="auto"/>
                        <w:left w:val="none" w:sz="0" w:space="0" w:color="auto"/>
                        <w:bottom w:val="none" w:sz="0" w:space="0" w:color="auto"/>
                        <w:right w:val="none" w:sz="0" w:space="0" w:color="auto"/>
                      </w:divBdr>
                    </w:div>
                  </w:divsChild>
                </w:div>
                <w:div w:id="800734851">
                  <w:marLeft w:val="0"/>
                  <w:marRight w:val="0"/>
                  <w:marTop w:val="0"/>
                  <w:marBottom w:val="0"/>
                  <w:divBdr>
                    <w:top w:val="none" w:sz="0" w:space="0" w:color="auto"/>
                    <w:left w:val="none" w:sz="0" w:space="0" w:color="auto"/>
                    <w:bottom w:val="none" w:sz="0" w:space="0" w:color="auto"/>
                    <w:right w:val="none" w:sz="0" w:space="0" w:color="auto"/>
                  </w:divBdr>
                  <w:divsChild>
                    <w:div w:id="2048066621">
                      <w:marLeft w:val="0"/>
                      <w:marRight w:val="0"/>
                      <w:marTop w:val="0"/>
                      <w:marBottom w:val="0"/>
                      <w:divBdr>
                        <w:top w:val="none" w:sz="0" w:space="0" w:color="auto"/>
                        <w:left w:val="none" w:sz="0" w:space="0" w:color="auto"/>
                        <w:bottom w:val="none" w:sz="0" w:space="0" w:color="auto"/>
                        <w:right w:val="none" w:sz="0" w:space="0" w:color="auto"/>
                      </w:divBdr>
                    </w:div>
                  </w:divsChild>
                </w:div>
                <w:div w:id="914976782">
                  <w:marLeft w:val="0"/>
                  <w:marRight w:val="0"/>
                  <w:marTop w:val="0"/>
                  <w:marBottom w:val="0"/>
                  <w:divBdr>
                    <w:top w:val="none" w:sz="0" w:space="0" w:color="auto"/>
                    <w:left w:val="none" w:sz="0" w:space="0" w:color="auto"/>
                    <w:bottom w:val="none" w:sz="0" w:space="0" w:color="auto"/>
                    <w:right w:val="none" w:sz="0" w:space="0" w:color="auto"/>
                  </w:divBdr>
                  <w:divsChild>
                    <w:div w:id="2114006918">
                      <w:marLeft w:val="0"/>
                      <w:marRight w:val="0"/>
                      <w:marTop w:val="0"/>
                      <w:marBottom w:val="0"/>
                      <w:divBdr>
                        <w:top w:val="none" w:sz="0" w:space="0" w:color="auto"/>
                        <w:left w:val="none" w:sz="0" w:space="0" w:color="auto"/>
                        <w:bottom w:val="none" w:sz="0" w:space="0" w:color="auto"/>
                        <w:right w:val="none" w:sz="0" w:space="0" w:color="auto"/>
                      </w:divBdr>
                    </w:div>
                  </w:divsChild>
                </w:div>
                <w:div w:id="1018239697">
                  <w:marLeft w:val="0"/>
                  <w:marRight w:val="0"/>
                  <w:marTop w:val="0"/>
                  <w:marBottom w:val="0"/>
                  <w:divBdr>
                    <w:top w:val="none" w:sz="0" w:space="0" w:color="auto"/>
                    <w:left w:val="none" w:sz="0" w:space="0" w:color="auto"/>
                    <w:bottom w:val="none" w:sz="0" w:space="0" w:color="auto"/>
                    <w:right w:val="none" w:sz="0" w:space="0" w:color="auto"/>
                  </w:divBdr>
                  <w:divsChild>
                    <w:div w:id="1222594016">
                      <w:marLeft w:val="0"/>
                      <w:marRight w:val="0"/>
                      <w:marTop w:val="0"/>
                      <w:marBottom w:val="0"/>
                      <w:divBdr>
                        <w:top w:val="none" w:sz="0" w:space="0" w:color="auto"/>
                        <w:left w:val="none" w:sz="0" w:space="0" w:color="auto"/>
                        <w:bottom w:val="none" w:sz="0" w:space="0" w:color="auto"/>
                        <w:right w:val="none" w:sz="0" w:space="0" w:color="auto"/>
                      </w:divBdr>
                    </w:div>
                  </w:divsChild>
                </w:div>
                <w:div w:id="1235317599">
                  <w:marLeft w:val="0"/>
                  <w:marRight w:val="0"/>
                  <w:marTop w:val="0"/>
                  <w:marBottom w:val="0"/>
                  <w:divBdr>
                    <w:top w:val="none" w:sz="0" w:space="0" w:color="auto"/>
                    <w:left w:val="none" w:sz="0" w:space="0" w:color="auto"/>
                    <w:bottom w:val="none" w:sz="0" w:space="0" w:color="auto"/>
                    <w:right w:val="none" w:sz="0" w:space="0" w:color="auto"/>
                  </w:divBdr>
                  <w:divsChild>
                    <w:div w:id="512496843">
                      <w:marLeft w:val="0"/>
                      <w:marRight w:val="0"/>
                      <w:marTop w:val="0"/>
                      <w:marBottom w:val="0"/>
                      <w:divBdr>
                        <w:top w:val="none" w:sz="0" w:space="0" w:color="auto"/>
                        <w:left w:val="none" w:sz="0" w:space="0" w:color="auto"/>
                        <w:bottom w:val="none" w:sz="0" w:space="0" w:color="auto"/>
                        <w:right w:val="none" w:sz="0" w:space="0" w:color="auto"/>
                      </w:divBdr>
                    </w:div>
                  </w:divsChild>
                </w:div>
                <w:div w:id="1327322756">
                  <w:marLeft w:val="0"/>
                  <w:marRight w:val="0"/>
                  <w:marTop w:val="0"/>
                  <w:marBottom w:val="0"/>
                  <w:divBdr>
                    <w:top w:val="none" w:sz="0" w:space="0" w:color="auto"/>
                    <w:left w:val="none" w:sz="0" w:space="0" w:color="auto"/>
                    <w:bottom w:val="none" w:sz="0" w:space="0" w:color="auto"/>
                    <w:right w:val="none" w:sz="0" w:space="0" w:color="auto"/>
                  </w:divBdr>
                  <w:divsChild>
                    <w:div w:id="611477600">
                      <w:marLeft w:val="0"/>
                      <w:marRight w:val="0"/>
                      <w:marTop w:val="0"/>
                      <w:marBottom w:val="0"/>
                      <w:divBdr>
                        <w:top w:val="none" w:sz="0" w:space="0" w:color="auto"/>
                        <w:left w:val="none" w:sz="0" w:space="0" w:color="auto"/>
                        <w:bottom w:val="none" w:sz="0" w:space="0" w:color="auto"/>
                        <w:right w:val="none" w:sz="0" w:space="0" w:color="auto"/>
                      </w:divBdr>
                    </w:div>
                  </w:divsChild>
                </w:div>
                <w:div w:id="1401948469">
                  <w:marLeft w:val="0"/>
                  <w:marRight w:val="0"/>
                  <w:marTop w:val="0"/>
                  <w:marBottom w:val="0"/>
                  <w:divBdr>
                    <w:top w:val="none" w:sz="0" w:space="0" w:color="auto"/>
                    <w:left w:val="none" w:sz="0" w:space="0" w:color="auto"/>
                    <w:bottom w:val="none" w:sz="0" w:space="0" w:color="auto"/>
                    <w:right w:val="none" w:sz="0" w:space="0" w:color="auto"/>
                  </w:divBdr>
                  <w:divsChild>
                    <w:div w:id="456603490">
                      <w:marLeft w:val="0"/>
                      <w:marRight w:val="0"/>
                      <w:marTop w:val="0"/>
                      <w:marBottom w:val="0"/>
                      <w:divBdr>
                        <w:top w:val="none" w:sz="0" w:space="0" w:color="auto"/>
                        <w:left w:val="none" w:sz="0" w:space="0" w:color="auto"/>
                        <w:bottom w:val="none" w:sz="0" w:space="0" w:color="auto"/>
                        <w:right w:val="none" w:sz="0" w:space="0" w:color="auto"/>
                      </w:divBdr>
                    </w:div>
                  </w:divsChild>
                </w:div>
                <w:div w:id="1437751874">
                  <w:marLeft w:val="0"/>
                  <w:marRight w:val="0"/>
                  <w:marTop w:val="0"/>
                  <w:marBottom w:val="0"/>
                  <w:divBdr>
                    <w:top w:val="none" w:sz="0" w:space="0" w:color="auto"/>
                    <w:left w:val="none" w:sz="0" w:space="0" w:color="auto"/>
                    <w:bottom w:val="none" w:sz="0" w:space="0" w:color="auto"/>
                    <w:right w:val="none" w:sz="0" w:space="0" w:color="auto"/>
                  </w:divBdr>
                  <w:divsChild>
                    <w:div w:id="918292643">
                      <w:marLeft w:val="0"/>
                      <w:marRight w:val="0"/>
                      <w:marTop w:val="0"/>
                      <w:marBottom w:val="0"/>
                      <w:divBdr>
                        <w:top w:val="none" w:sz="0" w:space="0" w:color="auto"/>
                        <w:left w:val="none" w:sz="0" w:space="0" w:color="auto"/>
                        <w:bottom w:val="none" w:sz="0" w:space="0" w:color="auto"/>
                        <w:right w:val="none" w:sz="0" w:space="0" w:color="auto"/>
                      </w:divBdr>
                    </w:div>
                  </w:divsChild>
                </w:div>
                <w:div w:id="1469740861">
                  <w:marLeft w:val="0"/>
                  <w:marRight w:val="0"/>
                  <w:marTop w:val="0"/>
                  <w:marBottom w:val="0"/>
                  <w:divBdr>
                    <w:top w:val="none" w:sz="0" w:space="0" w:color="auto"/>
                    <w:left w:val="none" w:sz="0" w:space="0" w:color="auto"/>
                    <w:bottom w:val="none" w:sz="0" w:space="0" w:color="auto"/>
                    <w:right w:val="none" w:sz="0" w:space="0" w:color="auto"/>
                  </w:divBdr>
                  <w:divsChild>
                    <w:div w:id="530267286">
                      <w:marLeft w:val="0"/>
                      <w:marRight w:val="0"/>
                      <w:marTop w:val="0"/>
                      <w:marBottom w:val="0"/>
                      <w:divBdr>
                        <w:top w:val="none" w:sz="0" w:space="0" w:color="auto"/>
                        <w:left w:val="none" w:sz="0" w:space="0" w:color="auto"/>
                        <w:bottom w:val="none" w:sz="0" w:space="0" w:color="auto"/>
                        <w:right w:val="none" w:sz="0" w:space="0" w:color="auto"/>
                      </w:divBdr>
                    </w:div>
                  </w:divsChild>
                </w:div>
                <w:div w:id="1487942126">
                  <w:marLeft w:val="0"/>
                  <w:marRight w:val="0"/>
                  <w:marTop w:val="0"/>
                  <w:marBottom w:val="0"/>
                  <w:divBdr>
                    <w:top w:val="none" w:sz="0" w:space="0" w:color="auto"/>
                    <w:left w:val="none" w:sz="0" w:space="0" w:color="auto"/>
                    <w:bottom w:val="none" w:sz="0" w:space="0" w:color="auto"/>
                    <w:right w:val="none" w:sz="0" w:space="0" w:color="auto"/>
                  </w:divBdr>
                  <w:divsChild>
                    <w:div w:id="435180479">
                      <w:marLeft w:val="0"/>
                      <w:marRight w:val="0"/>
                      <w:marTop w:val="0"/>
                      <w:marBottom w:val="0"/>
                      <w:divBdr>
                        <w:top w:val="none" w:sz="0" w:space="0" w:color="auto"/>
                        <w:left w:val="none" w:sz="0" w:space="0" w:color="auto"/>
                        <w:bottom w:val="none" w:sz="0" w:space="0" w:color="auto"/>
                        <w:right w:val="none" w:sz="0" w:space="0" w:color="auto"/>
                      </w:divBdr>
                    </w:div>
                  </w:divsChild>
                </w:div>
                <w:div w:id="1503816082">
                  <w:marLeft w:val="0"/>
                  <w:marRight w:val="0"/>
                  <w:marTop w:val="0"/>
                  <w:marBottom w:val="0"/>
                  <w:divBdr>
                    <w:top w:val="none" w:sz="0" w:space="0" w:color="auto"/>
                    <w:left w:val="none" w:sz="0" w:space="0" w:color="auto"/>
                    <w:bottom w:val="none" w:sz="0" w:space="0" w:color="auto"/>
                    <w:right w:val="none" w:sz="0" w:space="0" w:color="auto"/>
                  </w:divBdr>
                  <w:divsChild>
                    <w:div w:id="1278833794">
                      <w:marLeft w:val="0"/>
                      <w:marRight w:val="0"/>
                      <w:marTop w:val="0"/>
                      <w:marBottom w:val="0"/>
                      <w:divBdr>
                        <w:top w:val="none" w:sz="0" w:space="0" w:color="auto"/>
                        <w:left w:val="none" w:sz="0" w:space="0" w:color="auto"/>
                        <w:bottom w:val="none" w:sz="0" w:space="0" w:color="auto"/>
                        <w:right w:val="none" w:sz="0" w:space="0" w:color="auto"/>
                      </w:divBdr>
                    </w:div>
                  </w:divsChild>
                </w:div>
                <w:div w:id="1540779898">
                  <w:marLeft w:val="0"/>
                  <w:marRight w:val="0"/>
                  <w:marTop w:val="0"/>
                  <w:marBottom w:val="0"/>
                  <w:divBdr>
                    <w:top w:val="none" w:sz="0" w:space="0" w:color="auto"/>
                    <w:left w:val="none" w:sz="0" w:space="0" w:color="auto"/>
                    <w:bottom w:val="none" w:sz="0" w:space="0" w:color="auto"/>
                    <w:right w:val="none" w:sz="0" w:space="0" w:color="auto"/>
                  </w:divBdr>
                  <w:divsChild>
                    <w:div w:id="688721940">
                      <w:marLeft w:val="0"/>
                      <w:marRight w:val="0"/>
                      <w:marTop w:val="0"/>
                      <w:marBottom w:val="0"/>
                      <w:divBdr>
                        <w:top w:val="none" w:sz="0" w:space="0" w:color="auto"/>
                        <w:left w:val="none" w:sz="0" w:space="0" w:color="auto"/>
                        <w:bottom w:val="none" w:sz="0" w:space="0" w:color="auto"/>
                        <w:right w:val="none" w:sz="0" w:space="0" w:color="auto"/>
                      </w:divBdr>
                    </w:div>
                  </w:divsChild>
                </w:div>
                <w:div w:id="1814370006">
                  <w:marLeft w:val="0"/>
                  <w:marRight w:val="0"/>
                  <w:marTop w:val="0"/>
                  <w:marBottom w:val="0"/>
                  <w:divBdr>
                    <w:top w:val="none" w:sz="0" w:space="0" w:color="auto"/>
                    <w:left w:val="none" w:sz="0" w:space="0" w:color="auto"/>
                    <w:bottom w:val="none" w:sz="0" w:space="0" w:color="auto"/>
                    <w:right w:val="none" w:sz="0" w:space="0" w:color="auto"/>
                  </w:divBdr>
                  <w:divsChild>
                    <w:div w:id="1457793520">
                      <w:marLeft w:val="0"/>
                      <w:marRight w:val="0"/>
                      <w:marTop w:val="0"/>
                      <w:marBottom w:val="0"/>
                      <w:divBdr>
                        <w:top w:val="none" w:sz="0" w:space="0" w:color="auto"/>
                        <w:left w:val="none" w:sz="0" w:space="0" w:color="auto"/>
                        <w:bottom w:val="none" w:sz="0" w:space="0" w:color="auto"/>
                        <w:right w:val="none" w:sz="0" w:space="0" w:color="auto"/>
                      </w:divBdr>
                    </w:div>
                  </w:divsChild>
                </w:div>
                <w:div w:id="1819377009">
                  <w:marLeft w:val="0"/>
                  <w:marRight w:val="0"/>
                  <w:marTop w:val="0"/>
                  <w:marBottom w:val="0"/>
                  <w:divBdr>
                    <w:top w:val="none" w:sz="0" w:space="0" w:color="auto"/>
                    <w:left w:val="none" w:sz="0" w:space="0" w:color="auto"/>
                    <w:bottom w:val="none" w:sz="0" w:space="0" w:color="auto"/>
                    <w:right w:val="none" w:sz="0" w:space="0" w:color="auto"/>
                  </w:divBdr>
                  <w:divsChild>
                    <w:div w:id="969475769">
                      <w:marLeft w:val="0"/>
                      <w:marRight w:val="0"/>
                      <w:marTop w:val="0"/>
                      <w:marBottom w:val="0"/>
                      <w:divBdr>
                        <w:top w:val="none" w:sz="0" w:space="0" w:color="auto"/>
                        <w:left w:val="none" w:sz="0" w:space="0" w:color="auto"/>
                        <w:bottom w:val="none" w:sz="0" w:space="0" w:color="auto"/>
                        <w:right w:val="none" w:sz="0" w:space="0" w:color="auto"/>
                      </w:divBdr>
                    </w:div>
                  </w:divsChild>
                </w:div>
                <w:div w:id="1963032215">
                  <w:marLeft w:val="0"/>
                  <w:marRight w:val="0"/>
                  <w:marTop w:val="0"/>
                  <w:marBottom w:val="0"/>
                  <w:divBdr>
                    <w:top w:val="none" w:sz="0" w:space="0" w:color="auto"/>
                    <w:left w:val="none" w:sz="0" w:space="0" w:color="auto"/>
                    <w:bottom w:val="none" w:sz="0" w:space="0" w:color="auto"/>
                    <w:right w:val="none" w:sz="0" w:space="0" w:color="auto"/>
                  </w:divBdr>
                  <w:divsChild>
                    <w:div w:id="1890729024">
                      <w:marLeft w:val="0"/>
                      <w:marRight w:val="0"/>
                      <w:marTop w:val="0"/>
                      <w:marBottom w:val="0"/>
                      <w:divBdr>
                        <w:top w:val="none" w:sz="0" w:space="0" w:color="auto"/>
                        <w:left w:val="none" w:sz="0" w:space="0" w:color="auto"/>
                        <w:bottom w:val="none" w:sz="0" w:space="0" w:color="auto"/>
                        <w:right w:val="none" w:sz="0" w:space="0" w:color="auto"/>
                      </w:divBdr>
                    </w:div>
                  </w:divsChild>
                </w:div>
                <w:div w:id="1980260259">
                  <w:marLeft w:val="0"/>
                  <w:marRight w:val="0"/>
                  <w:marTop w:val="0"/>
                  <w:marBottom w:val="0"/>
                  <w:divBdr>
                    <w:top w:val="none" w:sz="0" w:space="0" w:color="auto"/>
                    <w:left w:val="none" w:sz="0" w:space="0" w:color="auto"/>
                    <w:bottom w:val="none" w:sz="0" w:space="0" w:color="auto"/>
                    <w:right w:val="none" w:sz="0" w:space="0" w:color="auto"/>
                  </w:divBdr>
                  <w:divsChild>
                    <w:div w:id="1118716492">
                      <w:marLeft w:val="0"/>
                      <w:marRight w:val="0"/>
                      <w:marTop w:val="0"/>
                      <w:marBottom w:val="0"/>
                      <w:divBdr>
                        <w:top w:val="none" w:sz="0" w:space="0" w:color="auto"/>
                        <w:left w:val="none" w:sz="0" w:space="0" w:color="auto"/>
                        <w:bottom w:val="none" w:sz="0" w:space="0" w:color="auto"/>
                        <w:right w:val="none" w:sz="0" w:space="0" w:color="auto"/>
                      </w:divBdr>
                    </w:div>
                  </w:divsChild>
                </w:div>
                <w:div w:id="1993291764">
                  <w:marLeft w:val="0"/>
                  <w:marRight w:val="0"/>
                  <w:marTop w:val="0"/>
                  <w:marBottom w:val="0"/>
                  <w:divBdr>
                    <w:top w:val="none" w:sz="0" w:space="0" w:color="auto"/>
                    <w:left w:val="none" w:sz="0" w:space="0" w:color="auto"/>
                    <w:bottom w:val="none" w:sz="0" w:space="0" w:color="auto"/>
                    <w:right w:val="none" w:sz="0" w:space="0" w:color="auto"/>
                  </w:divBdr>
                  <w:divsChild>
                    <w:div w:id="1347945295">
                      <w:marLeft w:val="0"/>
                      <w:marRight w:val="0"/>
                      <w:marTop w:val="0"/>
                      <w:marBottom w:val="0"/>
                      <w:divBdr>
                        <w:top w:val="none" w:sz="0" w:space="0" w:color="auto"/>
                        <w:left w:val="none" w:sz="0" w:space="0" w:color="auto"/>
                        <w:bottom w:val="none" w:sz="0" w:space="0" w:color="auto"/>
                        <w:right w:val="none" w:sz="0" w:space="0" w:color="auto"/>
                      </w:divBdr>
                    </w:div>
                  </w:divsChild>
                </w:div>
                <w:div w:id="2041395009">
                  <w:marLeft w:val="0"/>
                  <w:marRight w:val="0"/>
                  <w:marTop w:val="0"/>
                  <w:marBottom w:val="0"/>
                  <w:divBdr>
                    <w:top w:val="none" w:sz="0" w:space="0" w:color="auto"/>
                    <w:left w:val="none" w:sz="0" w:space="0" w:color="auto"/>
                    <w:bottom w:val="none" w:sz="0" w:space="0" w:color="auto"/>
                    <w:right w:val="none" w:sz="0" w:space="0" w:color="auto"/>
                  </w:divBdr>
                  <w:divsChild>
                    <w:div w:id="679550027">
                      <w:marLeft w:val="0"/>
                      <w:marRight w:val="0"/>
                      <w:marTop w:val="0"/>
                      <w:marBottom w:val="0"/>
                      <w:divBdr>
                        <w:top w:val="none" w:sz="0" w:space="0" w:color="auto"/>
                        <w:left w:val="none" w:sz="0" w:space="0" w:color="auto"/>
                        <w:bottom w:val="none" w:sz="0" w:space="0" w:color="auto"/>
                        <w:right w:val="none" w:sz="0" w:space="0" w:color="auto"/>
                      </w:divBdr>
                    </w:div>
                  </w:divsChild>
                </w:div>
                <w:div w:id="2101174167">
                  <w:marLeft w:val="0"/>
                  <w:marRight w:val="0"/>
                  <w:marTop w:val="0"/>
                  <w:marBottom w:val="0"/>
                  <w:divBdr>
                    <w:top w:val="none" w:sz="0" w:space="0" w:color="auto"/>
                    <w:left w:val="none" w:sz="0" w:space="0" w:color="auto"/>
                    <w:bottom w:val="none" w:sz="0" w:space="0" w:color="auto"/>
                    <w:right w:val="none" w:sz="0" w:space="0" w:color="auto"/>
                  </w:divBdr>
                  <w:divsChild>
                    <w:div w:id="738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1619">
          <w:marLeft w:val="0"/>
          <w:marRight w:val="0"/>
          <w:marTop w:val="0"/>
          <w:marBottom w:val="0"/>
          <w:divBdr>
            <w:top w:val="none" w:sz="0" w:space="0" w:color="auto"/>
            <w:left w:val="none" w:sz="0" w:space="0" w:color="auto"/>
            <w:bottom w:val="none" w:sz="0" w:space="0" w:color="auto"/>
            <w:right w:val="none" w:sz="0" w:space="0" w:color="auto"/>
          </w:divBdr>
          <w:divsChild>
            <w:div w:id="514609850">
              <w:marLeft w:val="0"/>
              <w:marRight w:val="0"/>
              <w:marTop w:val="0"/>
              <w:marBottom w:val="0"/>
              <w:divBdr>
                <w:top w:val="none" w:sz="0" w:space="0" w:color="auto"/>
                <w:left w:val="none" w:sz="0" w:space="0" w:color="auto"/>
                <w:bottom w:val="none" w:sz="0" w:space="0" w:color="auto"/>
                <w:right w:val="none" w:sz="0" w:space="0" w:color="auto"/>
              </w:divBdr>
            </w:div>
            <w:div w:id="534079071">
              <w:marLeft w:val="0"/>
              <w:marRight w:val="0"/>
              <w:marTop w:val="0"/>
              <w:marBottom w:val="0"/>
              <w:divBdr>
                <w:top w:val="none" w:sz="0" w:space="0" w:color="auto"/>
                <w:left w:val="none" w:sz="0" w:space="0" w:color="auto"/>
                <w:bottom w:val="none" w:sz="0" w:space="0" w:color="auto"/>
                <w:right w:val="none" w:sz="0" w:space="0" w:color="auto"/>
              </w:divBdr>
            </w:div>
            <w:div w:id="700402746">
              <w:marLeft w:val="0"/>
              <w:marRight w:val="0"/>
              <w:marTop w:val="0"/>
              <w:marBottom w:val="0"/>
              <w:divBdr>
                <w:top w:val="none" w:sz="0" w:space="0" w:color="auto"/>
                <w:left w:val="none" w:sz="0" w:space="0" w:color="auto"/>
                <w:bottom w:val="none" w:sz="0" w:space="0" w:color="auto"/>
                <w:right w:val="none" w:sz="0" w:space="0" w:color="auto"/>
              </w:divBdr>
            </w:div>
            <w:div w:id="2101489892">
              <w:marLeft w:val="0"/>
              <w:marRight w:val="0"/>
              <w:marTop w:val="0"/>
              <w:marBottom w:val="0"/>
              <w:divBdr>
                <w:top w:val="none" w:sz="0" w:space="0" w:color="auto"/>
                <w:left w:val="none" w:sz="0" w:space="0" w:color="auto"/>
                <w:bottom w:val="none" w:sz="0" w:space="0" w:color="auto"/>
                <w:right w:val="none" w:sz="0" w:space="0" w:color="auto"/>
              </w:divBdr>
            </w:div>
          </w:divsChild>
        </w:div>
        <w:div w:id="2003777649">
          <w:marLeft w:val="0"/>
          <w:marRight w:val="0"/>
          <w:marTop w:val="0"/>
          <w:marBottom w:val="0"/>
          <w:divBdr>
            <w:top w:val="none" w:sz="0" w:space="0" w:color="auto"/>
            <w:left w:val="none" w:sz="0" w:space="0" w:color="auto"/>
            <w:bottom w:val="none" w:sz="0" w:space="0" w:color="auto"/>
            <w:right w:val="none" w:sz="0" w:space="0" w:color="auto"/>
          </w:divBdr>
          <w:divsChild>
            <w:div w:id="439103076">
              <w:marLeft w:val="0"/>
              <w:marRight w:val="0"/>
              <w:marTop w:val="0"/>
              <w:marBottom w:val="0"/>
              <w:divBdr>
                <w:top w:val="none" w:sz="0" w:space="0" w:color="auto"/>
                <w:left w:val="none" w:sz="0" w:space="0" w:color="auto"/>
                <w:bottom w:val="none" w:sz="0" w:space="0" w:color="auto"/>
                <w:right w:val="none" w:sz="0" w:space="0" w:color="auto"/>
              </w:divBdr>
            </w:div>
            <w:div w:id="1007712780">
              <w:marLeft w:val="0"/>
              <w:marRight w:val="0"/>
              <w:marTop w:val="0"/>
              <w:marBottom w:val="0"/>
              <w:divBdr>
                <w:top w:val="none" w:sz="0" w:space="0" w:color="auto"/>
                <w:left w:val="none" w:sz="0" w:space="0" w:color="auto"/>
                <w:bottom w:val="none" w:sz="0" w:space="0" w:color="auto"/>
                <w:right w:val="none" w:sz="0" w:space="0" w:color="auto"/>
              </w:divBdr>
            </w:div>
            <w:div w:id="1323193316">
              <w:marLeft w:val="0"/>
              <w:marRight w:val="0"/>
              <w:marTop w:val="0"/>
              <w:marBottom w:val="0"/>
              <w:divBdr>
                <w:top w:val="none" w:sz="0" w:space="0" w:color="auto"/>
                <w:left w:val="none" w:sz="0" w:space="0" w:color="auto"/>
                <w:bottom w:val="none" w:sz="0" w:space="0" w:color="auto"/>
                <w:right w:val="none" w:sz="0" w:space="0" w:color="auto"/>
              </w:divBdr>
            </w:div>
            <w:div w:id="1385787404">
              <w:marLeft w:val="0"/>
              <w:marRight w:val="0"/>
              <w:marTop w:val="0"/>
              <w:marBottom w:val="0"/>
              <w:divBdr>
                <w:top w:val="none" w:sz="0" w:space="0" w:color="auto"/>
                <w:left w:val="none" w:sz="0" w:space="0" w:color="auto"/>
                <w:bottom w:val="none" w:sz="0" w:space="0" w:color="auto"/>
                <w:right w:val="none" w:sz="0" w:space="0" w:color="auto"/>
              </w:divBdr>
            </w:div>
          </w:divsChild>
        </w:div>
        <w:div w:id="2019195211">
          <w:marLeft w:val="0"/>
          <w:marRight w:val="0"/>
          <w:marTop w:val="0"/>
          <w:marBottom w:val="0"/>
          <w:divBdr>
            <w:top w:val="none" w:sz="0" w:space="0" w:color="auto"/>
            <w:left w:val="none" w:sz="0" w:space="0" w:color="auto"/>
            <w:bottom w:val="none" w:sz="0" w:space="0" w:color="auto"/>
            <w:right w:val="none" w:sz="0" w:space="0" w:color="auto"/>
          </w:divBdr>
          <w:divsChild>
            <w:div w:id="829293050">
              <w:marLeft w:val="0"/>
              <w:marRight w:val="0"/>
              <w:marTop w:val="0"/>
              <w:marBottom w:val="0"/>
              <w:divBdr>
                <w:top w:val="none" w:sz="0" w:space="0" w:color="auto"/>
                <w:left w:val="none" w:sz="0" w:space="0" w:color="auto"/>
                <w:bottom w:val="none" w:sz="0" w:space="0" w:color="auto"/>
                <w:right w:val="none" w:sz="0" w:space="0" w:color="auto"/>
              </w:divBdr>
            </w:div>
            <w:div w:id="923807602">
              <w:marLeft w:val="0"/>
              <w:marRight w:val="0"/>
              <w:marTop w:val="0"/>
              <w:marBottom w:val="0"/>
              <w:divBdr>
                <w:top w:val="none" w:sz="0" w:space="0" w:color="auto"/>
                <w:left w:val="none" w:sz="0" w:space="0" w:color="auto"/>
                <w:bottom w:val="none" w:sz="0" w:space="0" w:color="auto"/>
                <w:right w:val="none" w:sz="0" w:space="0" w:color="auto"/>
              </w:divBdr>
            </w:div>
            <w:div w:id="1115518997">
              <w:marLeft w:val="0"/>
              <w:marRight w:val="0"/>
              <w:marTop w:val="0"/>
              <w:marBottom w:val="0"/>
              <w:divBdr>
                <w:top w:val="none" w:sz="0" w:space="0" w:color="auto"/>
                <w:left w:val="none" w:sz="0" w:space="0" w:color="auto"/>
                <w:bottom w:val="none" w:sz="0" w:space="0" w:color="auto"/>
                <w:right w:val="none" w:sz="0" w:space="0" w:color="auto"/>
              </w:divBdr>
            </w:div>
            <w:div w:id="1389961321">
              <w:marLeft w:val="0"/>
              <w:marRight w:val="0"/>
              <w:marTop w:val="0"/>
              <w:marBottom w:val="0"/>
              <w:divBdr>
                <w:top w:val="none" w:sz="0" w:space="0" w:color="auto"/>
                <w:left w:val="none" w:sz="0" w:space="0" w:color="auto"/>
                <w:bottom w:val="none" w:sz="0" w:space="0" w:color="auto"/>
                <w:right w:val="none" w:sz="0" w:space="0" w:color="auto"/>
              </w:divBdr>
            </w:div>
            <w:div w:id="1496533112">
              <w:marLeft w:val="0"/>
              <w:marRight w:val="0"/>
              <w:marTop w:val="0"/>
              <w:marBottom w:val="0"/>
              <w:divBdr>
                <w:top w:val="none" w:sz="0" w:space="0" w:color="auto"/>
                <w:left w:val="none" w:sz="0" w:space="0" w:color="auto"/>
                <w:bottom w:val="none" w:sz="0" w:space="0" w:color="auto"/>
                <w:right w:val="none" w:sz="0" w:space="0" w:color="auto"/>
              </w:divBdr>
            </w:div>
            <w:div w:id="1924483058">
              <w:marLeft w:val="0"/>
              <w:marRight w:val="0"/>
              <w:marTop w:val="0"/>
              <w:marBottom w:val="0"/>
              <w:divBdr>
                <w:top w:val="none" w:sz="0" w:space="0" w:color="auto"/>
                <w:left w:val="none" w:sz="0" w:space="0" w:color="auto"/>
                <w:bottom w:val="none" w:sz="0" w:space="0" w:color="auto"/>
                <w:right w:val="none" w:sz="0" w:space="0" w:color="auto"/>
              </w:divBdr>
            </w:div>
            <w:div w:id="1951930409">
              <w:marLeft w:val="0"/>
              <w:marRight w:val="0"/>
              <w:marTop w:val="0"/>
              <w:marBottom w:val="0"/>
              <w:divBdr>
                <w:top w:val="none" w:sz="0" w:space="0" w:color="auto"/>
                <w:left w:val="none" w:sz="0" w:space="0" w:color="auto"/>
                <w:bottom w:val="none" w:sz="0" w:space="0" w:color="auto"/>
                <w:right w:val="none" w:sz="0" w:space="0" w:color="auto"/>
              </w:divBdr>
            </w:div>
          </w:divsChild>
        </w:div>
        <w:div w:id="2041860441">
          <w:marLeft w:val="0"/>
          <w:marRight w:val="0"/>
          <w:marTop w:val="0"/>
          <w:marBottom w:val="0"/>
          <w:divBdr>
            <w:top w:val="none" w:sz="0" w:space="0" w:color="auto"/>
            <w:left w:val="none" w:sz="0" w:space="0" w:color="auto"/>
            <w:bottom w:val="none" w:sz="0" w:space="0" w:color="auto"/>
            <w:right w:val="none" w:sz="0" w:space="0" w:color="auto"/>
          </w:divBdr>
          <w:divsChild>
            <w:div w:id="411200212">
              <w:marLeft w:val="0"/>
              <w:marRight w:val="0"/>
              <w:marTop w:val="0"/>
              <w:marBottom w:val="0"/>
              <w:divBdr>
                <w:top w:val="none" w:sz="0" w:space="0" w:color="auto"/>
                <w:left w:val="none" w:sz="0" w:space="0" w:color="auto"/>
                <w:bottom w:val="none" w:sz="0" w:space="0" w:color="auto"/>
                <w:right w:val="none" w:sz="0" w:space="0" w:color="auto"/>
              </w:divBdr>
            </w:div>
            <w:div w:id="494998277">
              <w:marLeft w:val="0"/>
              <w:marRight w:val="0"/>
              <w:marTop w:val="0"/>
              <w:marBottom w:val="0"/>
              <w:divBdr>
                <w:top w:val="none" w:sz="0" w:space="0" w:color="auto"/>
                <w:left w:val="none" w:sz="0" w:space="0" w:color="auto"/>
                <w:bottom w:val="none" w:sz="0" w:space="0" w:color="auto"/>
                <w:right w:val="none" w:sz="0" w:space="0" w:color="auto"/>
              </w:divBdr>
            </w:div>
            <w:div w:id="761528813">
              <w:marLeft w:val="0"/>
              <w:marRight w:val="0"/>
              <w:marTop w:val="0"/>
              <w:marBottom w:val="0"/>
              <w:divBdr>
                <w:top w:val="none" w:sz="0" w:space="0" w:color="auto"/>
                <w:left w:val="none" w:sz="0" w:space="0" w:color="auto"/>
                <w:bottom w:val="none" w:sz="0" w:space="0" w:color="auto"/>
                <w:right w:val="none" w:sz="0" w:space="0" w:color="auto"/>
              </w:divBdr>
            </w:div>
            <w:div w:id="1668942968">
              <w:marLeft w:val="0"/>
              <w:marRight w:val="0"/>
              <w:marTop w:val="0"/>
              <w:marBottom w:val="0"/>
              <w:divBdr>
                <w:top w:val="none" w:sz="0" w:space="0" w:color="auto"/>
                <w:left w:val="none" w:sz="0" w:space="0" w:color="auto"/>
                <w:bottom w:val="none" w:sz="0" w:space="0" w:color="auto"/>
                <w:right w:val="none" w:sz="0" w:space="0" w:color="auto"/>
              </w:divBdr>
            </w:div>
            <w:div w:id="1860658262">
              <w:marLeft w:val="0"/>
              <w:marRight w:val="0"/>
              <w:marTop w:val="0"/>
              <w:marBottom w:val="0"/>
              <w:divBdr>
                <w:top w:val="none" w:sz="0" w:space="0" w:color="auto"/>
                <w:left w:val="none" w:sz="0" w:space="0" w:color="auto"/>
                <w:bottom w:val="none" w:sz="0" w:space="0" w:color="auto"/>
                <w:right w:val="none" w:sz="0" w:space="0" w:color="auto"/>
              </w:divBdr>
            </w:div>
          </w:divsChild>
        </w:div>
        <w:div w:id="2063366071">
          <w:marLeft w:val="0"/>
          <w:marRight w:val="0"/>
          <w:marTop w:val="0"/>
          <w:marBottom w:val="0"/>
          <w:divBdr>
            <w:top w:val="none" w:sz="0" w:space="0" w:color="auto"/>
            <w:left w:val="none" w:sz="0" w:space="0" w:color="auto"/>
            <w:bottom w:val="none" w:sz="0" w:space="0" w:color="auto"/>
            <w:right w:val="none" w:sz="0" w:space="0" w:color="auto"/>
          </w:divBdr>
        </w:div>
        <w:div w:id="2077894812">
          <w:marLeft w:val="0"/>
          <w:marRight w:val="0"/>
          <w:marTop w:val="0"/>
          <w:marBottom w:val="0"/>
          <w:divBdr>
            <w:top w:val="none" w:sz="0" w:space="0" w:color="auto"/>
            <w:left w:val="none" w:sz="0" w:space="0" w:color="auto"/>
            <w:bottom w:val="none" w:sz="0" w:space="0" w:color="auto"/>
            <w:right w:val="none" w:sz="0" w:space="0" w:color="auto"/>
          </w:divBdr>
          <w:divsChild>
            <w:div w:id="1302226731">
              <w:marLeft w:val="-75"/>
              <w:marRight w:val="0"/>
              <w:marTop w:val="30"/>
              <w:marBottom w:val="30"/>
              <w:divBdr>
                <w:top w:val="none" w:sz="0" w:space="0" w:color="auto"/>
                <w:left w:val="none" w:sz="0" w:space="0" w:color="auto"/>
                <w:bottom w:val="none" w:sz="0" w:space="0" w:color="auto"/>
                <w:right w:val="none" w:sz="0" w:space="0" w:color="auto"/>
              </w:divBdr>
              <w:divsChild>
                <w:div w:id="55662625">
                  <w:marLeft w:val="0"/>
                  <w:marRight w:val="0"/>
                  <w:marTop w:val="0"/>
                  <w:marBottom w:val="0"/>
                  <w:divBdr>
                    <w:top w:val="none" w:sz="0" w:space="0" w:color="auto"/>
                    <w:left w:val="none" w:sz="0" w:space="0" w:color="auto"/>
                    <w:bottom w:val="none" w:sz="0" w:space="0" w:color="auto"/>
                    <w:right w:val="none" w:sz="0" w:space="0" w:color="auto"/>
                  </w:divBdr>
                  <w:divsChild>
                    <w:div w:id="1165705354">
                      <w:marLeft w:val="0"/>
                      <w:marRight w:val="0"/>
                      <w:marTop w:val="0"/>
                      <w:marBottom w:val="0"/>
                      <w:divBdr>
                        <w:top w:val="none" w:sz="0" w:space="0" w:color="auto"/>
                        <w:left w:val="none" w:sz="0" w:space="0" w:color="auto"/>
                        <w:bottom w:val="none" w:sz="0" w:space="0" w:color="auto"/>
                        <w:right w:val="none" w:sz="0" w:space="0" w:color="auto"/>
                      </w:divBdr>
                    </w:div>
                  </w:divsChild>
                </w:div>
                <w:div w:id="103693030">
                  <w:marLeft w:val="0"/>
                  <w:marRight w:val="0"/>
                  <w:marTop w:val="0"/>
                  <w:marBottom w:val="0"/>
                  <w:divBdr>
                    <w:top w:val="none" w:sz="0" w:space="0" w:color="auto"/>
                    <w:left w:val="none" w:sz="0" w:space="0" w:color="auto"/>
                    <w:bottom w:val="none" w:sz="0" w:space="0" w:color="auto"/>
                    <w:right w:val="none" w:sz="0" w:space="0" w:color="auto"/>
                  </w:divBdr>
                  <w:divsChild>
                    <w:div w:id="601063219">
                      <w:marLeft w:val="0"/>
                      <w:marRight w:val="0"/>
                      <w:marTop w:val="0"/>
                      <w:marBottom w:val="0"/>
                      <w:divBdr>
                        <w:top w:val="none" w:sz="0" w:space="0" w:color="auto"/>
                        <w:left w:val="none" w:sz="0" w:space="0" w:color="auto"/>
                        <w:bottom w:val="none" w:sz="0" w:space="0" w:color="auto"/>
                        <w:right w:val="none" w:sz="0" w:space="0" w:color="auto"/>
                      </w:divBdr>
                    </w:div>
                  </w:divsChild>
                </w:div>
                <w:div w:id="212468637">
                  <w:marLeft w:val="0"/>
                  <w:marRight w:val="0"/>
                  <w:marTop w:val="0"/>
                  <w:marBottom w:val="0"/>
                  <w:divBdr>
                    <w:top w:val="none" w:sz="0" w:space="0" w:color="auto"/>
                    <w:left w:val="none" w:sz="0" w:space="0" w:color="auto"/>
                    <w:bottom w:val="none" w:sz="0" w:space="0" w:color="auto"/>
                    <w:right w:val="none" w:sz="0" w:space="0" w:color="auto"/>
                  </w:divBdr>
                  <w:divsChild>
                    <w:div w:id="1022629256">
                      <w:marLeft w:val="0"/>
                      <w:marRight w:val="0"/>
                      <w:marTop w:val="0"/>
                      <w:marBottom w:val="0"/>
                      <w:divBdr>
                        <w:top w:val="none" w:sz="0" w:space="0" w:color="auto"/>
                        <w:left w:val="none" w:sz="0" w:space="0" w:color="auto"/>
                        <w:bottom w:val="none" w:sz="0" w:space="0" w:color="auto"/>
                        <w:right w:val="none" w:sz="0" w:space="0" w:color="auto"/>
                      </w:divBdr>
                    </w:div>
                  </w:divsChild>
                </w:div>
                <w:div w:id="296181573">
                  <w:marLeft w:val="0"/>
                  <w:marRight w:val="0"/>
                  <w:marTop w:val="0"/>
                  <w:marBottom w:val="0"/>
                  <w:divBdr>
                    <w:top w:val="none" w:sz="0" w:space="0" w:color="auto"/>
                    <w:left w:val="none" w:sz="0" w:space="0" w:color="auto"/>
                    <w:bottom w:val="none" w:sz="0" w:space="0" w:color="auto"/>
                    <w:right w:val="none" w:sz="0" w:space="0" w:color="auto"/>
                  </w:divBdr>
                  <w:divsChild>
                    <w:div w:id="210773569">
                      <w:marLeft w:val="0"/>
                      <w:marRight w:val="0"/>
                      <w:marTop w:val="0"/>
                      <w:marBottom w:val="0"/>
                      <w:divBdr>
                        <w:top w:val="none" w:sz="0" w:space="0" w:color="auto"/>
                        <w:left w:val="none" w:sz="0" w:space="0" w:color="auto"/>
                        <w:bottom w:val="none" w:sz="0" w:space="0" w:color="auto"/>
                        <w:right w:val="none" w:sz="0" w:space="0" w:color="auto"/>
                      </w:divBdr>
                    </w:div>
                  </w:divsChild>
                </w:div>
                <w:div w:id="297564919">
                  <w:marLeft w:val="0"/>
                  <w:marRight w:val="0"/>
                  <w:marTop w:val="0"/>
                  <w:marBottom w:val="0"/>
                  <w:divBdr>
                    <w:top w:val="none" w:sz="0" w:space="0" w:color="auto"/>
                    <w:left w:val="none" w:sz="0" w:space="0" w:color="auto"/>
                    <w:bottom w:val="none" w:sz="0" w:space="0" w:color="auto"/>
                    <w:right w:val="none" w:sz="0" w:space="0" w:color="auto"/>
                  </w:divBdr>
                  <w:divsChild>
                    <w:div w:id="366687523">
                      <w:marLeft w:val="0"/>
                      <w:marRight w:val="0"/>
                      <w:marTop w:val="0"/>
                      <w:marBottom w:val="0"/>
                      <w:divBdr>
                        <w:top w:val="none" w:sz="0" w:space="0" w:color="auto"/>
                        <w:left w:val="none" w:sz="0" w:space="0" w:color="auto"/>
                        <w:bottom w:val="none" w:sz="0" w:space="0" w:color="auto"/>
                        <w:right w:val="none" w:sz="0" w:space="0" w:color="auto"/>
                      </w:divBdr>
                    </w:div>
                  </w:divsChild>
                </w:div>
                <w:div w:id="697507023">
                  <w:marLeft w:val="0"/>
                  <w:marRight w:val="0"/>
                  <w:marTop w:val="0"/>
                  <w:marBottom w:val="0"/>
                  <w:divBdr>
                    <w:top w:val="none" w:sz="0" w:space="0" w:color="auto"/>
                    <w:left w:val="none" w:sz="0" w:space="0" w:color="auto"/>
                    <w:bottom w:val="none" w:sz="0" w:space="0" w:color="auto"/>
                    <w:right w:val="none" w:sz="0" w:space="0" w:color="auto"/>
                  </w:divBdr>
                  <w:divsChild>
                    <w:div w:id="1093278419">
                      <w:marLeft w:val="0"/>
                      <w:marRight w:val="0"/>
                      <w:marTop w:val="0"/>
                      <w:marBottom w:val="0"/>
                      <w:divBdr>
                        <w:top w:val="none" w:sz="0" w:space="0" w:color="auto"/>
                        <w:left w:val="none" w:sz="0" w:space="0" w:color="auto"/>
                        <w:bottom w:val="none" w:sz="0" w:space="0" w:color="auto"/>
                        <w:right w:val="none" w:sz="0" w:space="0" w:color="auto"/>
                      </w:divBdr>
                    </w:div>
                  </w:divsChild>
                </w:div>
                <w:div w:id="768962766">
                  <w:marLeft w:val="0"/>
                  <w:marRight w:val="0"/>
                  <w:marTop w:val="0"/>
                  <w:marBottom w:val="0"/>
                  <w:divBdr>
                    <w:top w:val="none" w:sz="0" w:space="0" w:color="auto"/>
                    <w:left w:val="none" w:sz="0" w:space="0" w:color="auto"/>
                    <w:bottom w:val="none" w:sz="0" w:space="0" w:color="auto"/>
                    <w:right w:val="none" w:sz="0" w:space="0" w:color="auto"/>
                  </w:divBdr>
                  <w:divsChild>
                    <w:div w:id="426315374">
                      <w:marLeft w:val="0"/>
                      <w:marRight w:val="0"/>
                      <w:marTop w:val="0"/>
                      <w:marBottom w:val="0"/>
                      <w:divBdr>
                        <w:top w:val="none" w:sz="0" w:space="0" w:color="auto"/>
                        <w:left w:val="none" w:sz="0" w:space="0" w:color="auto"/>
                        <w:bottom w:val="none" w:sz="0" w:space="0" w:color="auto"/>
                        <w:right w:val="none" w:sz="0" w:space="0" w:color="auto"/>
                      </w:divBdr>
                    </w:div>
                  </w:divsChild>
                </w:div>
                <w:div w:id="844981559">
                  <w:marLeft w:val="0"/>
                  <w:marRight w:val="0"/>
                  <w:marTop w:val="0"/>
                  <w:marBottom w:val="0"/>
                  <w:divBdr>
                    <w:top w:val="none" w:sz="0" w:space="0" w:color="auto"/>
                    <w:left w:val="none" w:sz="0" w:space="0" w:color="auto"/>
                    <w:bottom w:val="none" w:sz="0" w:space="0" w:color="auto"/>
                    <w:right w:val="none" w:sz="0" w:space="0" w:color="auto"/>
                  </w:divBdr>
                  <w:divsChild>
                    <w:div w:id="888305397">
                      <w:marLeft w:val="0"/>
                      <w:marRight w:val="0"/>
                      <w:marTop w:val="0"/>
                      <w:marBottom w:val="0"/>
                      <w:divBdr>
                        <w:top w:val="none" w:sz="0" w:space="0" w:color="auto"/>
                        <w:left w:val="none" w:sz="0" w:space="0" w:color="auto"/>
                        <w:bottom w:val="none" w:sz="0" w:space="0" w:color="auto"/>
                        <w:right w:val="none" w:sz="0" w:space="0" w:color="auto"/>
                      </w:divBdr>
                    </w:div>
                  </w:divsChild>
                </w:div>
                <w:div w:id="1097477819">
                  <w:marLeft w:val="0"/>
                  <w:marRight w:val="0"/>
                  <w:marTop w:val="0"/>
                  <w:marBottom w:val="0"/>
                  <w:divBdr>
                    <w:top w:val="none" w:sz="0" w:space="0" w:color="auto"/>
                    <w:left w:val="none" w:sz="0" w:space="0" w:color="auto"/>
                    <w:bottom w:val="none" w:sz="0" w:space="0" w:color="auto"/>
                    <w:right w:val="none" w:sz="0" w:space="0" w:color="auto"/>
                  </w:divBdr>
                  <w:divsChild>
                    <w:div w:id="1163084756">
                      <w:marLeft w:val="0"/>
                      <w:marRight w:val="0"/>
                      <w:marTop w:val="0"/>
                      <w:marBottom w:val="0"/>
                      <w:divBdr>
                        <w:top w:val="none" w:sz="0" w:space="0" w:color="auto"/>
                        <w:left w:val="none" w:sz="0" w:space="0" w:color="auto"/>
                        <w:bottom w:val="none" w:sz="0" w:space="0" w:color="auto"/>
                        <w:right w:val="none" w:sz="0" w:space="0" w:color="auto"/>
                      </w:divBdr>
                    </w:div>
                  </w:divsChild>
                </w:div>
                <w:div w:id="1281913801">
                  <w:marLeft w:val="0"/>
                  <w:marRight w:val="0"/>
                  <w:marTop w:val="0"/>
                  <w:marBottom w:val="0"/>
                  <w:divBdr>
                    <w:top w:val="none" w:sz="0" w:space="0" w:color="auto"/>
                    <w:left w:val="none" w:sz="0" w:space="0" w:color="auto"/>
                    <w:bottom w:val="none" w:sz="0" w:space="0" w:color="auto"/>
                    <w:right w:val="none" w:sz="0" w:space="0" w:color="auto"/>
                  </w:divBdr>
                  <w:divsChild>
                    <w:div w:id="1029447934">
                      <w:marLeft w:val="0"/>
                      <w:marRight w:val="0"/>
                      <w:marTop w:val="0"/>
                      <w:marBottom w:val="0"/>
                      <w:divBdr>
                        <w:top w:val="none" w:sz="0" w:space="0" w:color="auto"/>
                        <w:left w:val="none" w:sz="0" w:space="0" w:color="auto"/>
                        <w:bottom w:val="none" w:sz="0" w:space="0" w:color="auto"/>
                        <w:right w:val="none" w:sz="0" w:space="0" w:color="auto"/>
                      </w:divBdr>
                    </w:div>
                  </w:divsChild>
                </w:div>
                <w:div w:id="1615403187">
                  <w:marLeft w:val="0"/>
                  <w:marRight w:val="0"/>
                  <w:marTop w:val="0"/>
                  <w:marBottom w:val="0"/>
                  <w:divBdr>
                    <w:top w:val="none" w:sz="0" w:space="0" w:color="auto"/>
                    <w:left w:val="none" w:sz="0" w:space="0" w:color="auto"/>
                    <w:bottom w:val="none" w:sz="0" w:space="0" w:color="auto"/>
                    <w:right w:val="none" w:sz="0" w:space="0" w:color="auto"/>
                  </w:divBdr>
                  <w:divsChild>
                    <w:div w:id="649670772">
                      <w:marLeft w:val="0"/>
                      <w:marRight w:val="0"/>
                      <w:marTop w:val="0"/>
                      <w:marBottom w:val="0"/>
                      <w:divBdr>
                        <w:top w:val="none" w:sz="0" w:space="0" w:color="auto"/>
                        <w:left w:val="none" w:sz="0" w:space="0" w:color="auto"/>
                        <w:bottom w:val="none" w:sz="0" w:space="0" w:color="auto"/>
                        <w:right w:val="none" w:sz="0" w:space="0" w:color="auto"/>
                      </w:divBdr>
                    </w:div>
                  </w:divsChild>
                </w:div>
                <w:div w:id="1708720727">
                  <w:marLeft w:val="0"/>
                  <w:marRight w:val="0"/>
                  <w:marTop w:val="0"/>
                  <w:marBottom w:val="0"/>
                  <w:divBdr>
                    <w:top w:val="none" w:sz="0" w:space="0" w:color="auto"/>
                    <w:left w:val="none" w:sz="0" w:space="0" w:color="auto"/>
                    <w:bottom w:val="none" w:sz="0" w:space="0" w:color="auto"/>
                    <w:right w:val="none" w:sz="0" w:space="0" w:color="auto"/>
                  </w:divBdr>
                  <w:divsChild>
                    <w:div w:id="732777176">
                      <w:marLeft w:val="0"/>
                      <w:marRight w:val="0"/>
                      <w:marTop w:val="0"/>
                      <w:marBottom w:val="0"/>
                      <w:divBdr>
                        <w:top w:val="none" w:sz="0" w:space="0" w:color="auto"/>
                        <w:left w:val="none" w:sz="0" w:space="0" w:color="auto"/>
                        <w:bottom w:val="none" w:sz="0" w:space="0" w:color="auto"/>
                        <w:right w:val="none" w:sz="0" w:space="0" w:color="auto"/>
                      </w:divBdr>
                    </w:div>
                  </w:divsChild>
                </w:div>
                <w:div w:id="2114936812">
                  <w:marLeft w:val="0"/>
                  <w:marRight w:val="0"/>
                  <w:marTop w:val="0"/>
                  <w:marBottom w:val="0"/>
                  <w:divBdr>
                    <w:top w:val="none" w:sz="0" w:space="0" w:color="auto"/>
                    <w:left w:val="none" w:sz="0" w:space="0" w:color="auto"/>
                    <w:bottom w:val="none" w:sz="0" w:space="0" w:color="auto"/>
                    <w:right w:val="none" w:sz="0" w:space="0" w:color="auto"/>
                  </w:divBdr>
                  <w:divsChild>
                    <w:div w:id="1802070840">
                      <w:marLeft w:val="0"/>
                      <w:marRight w:val="0"/>
                      <w:marTop w:val="0"/>
                      <w:marBottom w:val="0"/>
                      <w:divBdr>
                        <w:top w:val="none" w:sz="0" w:space="0" w:color="auto"/>
                        <w:left w:val="none" w:sz="0" w:space="0" w:color="auto"/>
                        <w:bottom w:val="none" w:sz="0" w:space="0" w:color="auto"/>
                        <w:right w:val="none" w:sz="0" w:space="0" w:color="auto"/>
                      </w:divBdr>
                    </w:div>
                  </w:divsChild>
                </w:div>
                <w:div w:id="2137214181">
                  <w:marLeft w:val="0"/>
                  <w:marRight w:val="0"/>
                  <w:marTop w:val="0"/>
                  <w:marBottom w:val="0"/>
                  <w:divBdr>
                    <w:top w:val="none" w:sz="0" w:space="0" w:color="auto"/>
                    <w:left w:val="none" w:sz="0" w:space="0" w:color="auto"/>
                    <w:bottom w:val="none" w:sz="0" w:space="0" w:color="auto"/>
                    <w:right w:val="none" w:sz="0" w:space="0" w:color="auto"/>
                  </w:divBdr>
                  <w:divsChild>
                    <w:div w:id="3504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0746">
          <w:marLeft w:val="0"/>
          <w:marRight w:val="0"/>
          <w:marTop w:val="0"/>
          <w:marBottom w:val="0"/>
          <w:divBdr>
            <w:top w:val="none" w:sz="0" w:space="0" w:color="auto"/>
            <w:left w:val="none" w:sz="0" w:space="0" w:color="auto"/>
            <w:bottom w:val="none" w:sz="0" w:space="0" w:color="auto"/>
            <w:right w:val="none" w:sz="0" w:space="0" w:color="auto"/>
          </w:divBdr>
          <w:divsChild>
            <w:div w:id="713239916">
              <w:marLeft w:val="0"/>
              <w:marRight w:val="0"/>
              <w:marTop w:val="0"/>
              <w:marBottom w:val="0"/>
              <w:divBdr>
                <w:top w:val="none" w:sz="0" w:space="0" w:color="auto"/>
                <w:left w:val="none" w:sz="0" w:space="0" w:color="auto"/>
                <w:bottom w:val="none" w:sz="0" w:space="0" w:color="auto"/>
                <w:right w:val="none" w:sz="0" w:space="0" w:color="auto"/>
              </w:divBdr>
            </w:div>
            <w:div w:id="1189949900">
              <w:marLeft w:val="0"/>
              <w:marRight w:val="0"/>
              <w:marTop w:val="0"/>
              <w:marBottom w:val="0"/>
              <w:divBdr>
                <w:top w:val="none" w:sz="0" w:space="0" w:color="auto"/>
                <w:left w:val="none" w:sz="0" w:space="0" w:color="auto"/>
                <w:bottom w:val="none" w:sz="0" w:space="0" w:color="auto"/>
                <w:right w:val="none" w:sz="0" w:space="0" w:color="auto"/>
              </w:divBdr>
            </w:div>
            <w:div w:id="1216309501">
              <w:marLeft w:val="0"/>
              <w:marRight w:val="0"/>
              <w:marTop w:val="0"/>
              <w:marBottom w:val="0"/>
              <w:divBdr>
                <w:top w:val="none" w:sz="0" w:space="0" w:color="auto"/>
                <w:left w:val="none" w:sz="0" w:space="0" w:color="auto"/>
                <w:bottom w:val="none" w:sz="0" w:space="0" w:color="auto"/>
                <w:right w:val="none" w:sz="0" w:space="0" w:color="auto"/>
              </w:divBdr>
            </w:div>
            <w:div w:id="1220820087">
              <w:marLeft w:val="0"/>
              <w:marRight w:val="0"/>
              <w:marTop w:val="0"/>
              <w:marBottom w:val="0"/>
              <w:divBdr>
                <w:top w:val="none" w:sz="0" w:space="0" w:color="auto"/>
                <w:left w:val="none" w:sz="0" w:space="0" w:color="auto"/>
                <w:bottom w:val="none" w:sz="0" w:space="0" w:color="auto"/>
                <w:right w:val="none" w:sz="0" w:space="0" w:color="auto"/>
              </w:divBdr>
            </w:div>
            <w:div w:id="1728872410">
              <w:marLeft w:val="0"/>
              <w:marRight w:val="0"/>
              <w:marTop w:val="0"/>
              <w:marBottom w:val="0"/>
              <w:divBdr>
                <w:top w:val="none" w:sz="0" w:space="0" w:color="auto"/>
                <w:left w:val="none" w:sz="0" w:space="0" w:color="auto"/>
                <w:bottom w:val="none" w:sz="0" w:space="0" w:color="auto"/>
                <w:right w:val="none" w:sz="0" w:space="0" w:color="auto"/>
              </w:divBdr>
            </w:div>
          </w:divsChild>
        </w:div>
        <w:div w:id="2130514856">
          <w:marLeft w:val="0"/>
          <w:marRight w:val="0"/>
          <w:marTop w:val="0"/>
          <w:marBottom w:val="0"/>
          <w:divBdr>
            <w:top w:val="none" w:sz="0" w:space="0" w:color="auto"/>
            <w:left w:val="none" w:sz="0" w:space="0" w:color="auto"/>
            <w:bottom w:val="none" w:sz="0" w:space="0" w:color="auto"/>
            <w:right w:val="none" w:sz="0" w:space="0" w:color="auto"/>
          </w:divBdr>
        </w:div>
        <w:div w:id="2146504250">
          <w:marLeft w:val="0"/>
          <w:marRight w:val="0"/>
          <w:marTop w:val="0"/>
          <w:marBottom w:val="0"/>
          <w:divBdr>
            <w:top w:val="none" w:sz="0" w:space="0" w:color="auto"/>
            <w:left w:val="none" w:sz="0" w:space="0" w:color="auto"/>
            <w:bottom w:val="none" w:sz="0" w:space="0" w:color="auto"/>
            <w:right w:val="none" w:sz="0" w:space="0" w:color="auto"/>
          </w:divBdr>
        </w:div>
      </w:divsChild>
    </w:div>
    <w:div w:id="1236743585">
      <w:bodyDiv w:val="1"/>
      <w:marLeft w:val="0"/>
      <w:marRight w:val="0"/>
      <w:marTop w:val="0"/>
      <w:marBottom w:val="0"/>
      <w:divBdr>
        <w:top w:val="none" w:sz="0" w:space="0" w:color="auto"/>
        <w:left w:val="none" w:sz="0" w:space="0" w:color="auto"/>
        <w:bottom w:val="none" w:sz="0" w:space="0" w:color="auto"/>
        <w:right w:val="none" w:sz="0" w:space="0" w:color="auto"/>
      </w:divBdr>
      <w:divsChild>
        <w:div w:id="413748000">
          <w:marLeft w:val="0"/>
          <w:marRight w:val="0"/>
          <w:marTop w:val="0"/>
          <w:marBottom w:val="0"/>
          <w:divBdr>
            <w:top w:val="none" w:sz="0" w:space="0" w:color="auto"/>
            <w:left w:val="none" w:sz="0" w:space="0" w:color="auto"/>
            <w:bottom w:val="none" w:sz="0" w:space="0" w:color="auto"/>
            <w:right w:val="none" w:sz="0" w:space="0" w:color="auto"/>
          </w:divBdr>
        </w:div>
        <w:div w:id="733312614">
          <w:marLeft w:val="0"/>
          <w:marRight w:val="0"/>
          <w:marTop w:val="0"/>
          <w:marBottom w:val="0"/>
          <w:divBdr>
            <w:top w:val="none" w:sz="0" w:space="0" w:color="auto"/>
            <w:left w:val="none" w:sz="0" w:space="0" w:color="auto"/>
            <w:bottom w:val="none" w:sz="0" w:space="0" w:color="auto"/>
            <w:right w:val="none" w:sz="0" w:space="0" w:color="auto"/>
          </w:divBdr>
        </w:div>
        <w:div w:id="1440249075">
          <w:marLeft w:val="0"/>
          <w:marRight w:val="0"/>
          <w:marTop w:val="0"/>
          <w:marBottom w:val="0"/>
          <w:divBdr>
            <w:top w:val="none" w:sz="0" w:space="0" w:color="auto"/>
            <w:left w:val="none" w:sz="0" w:space="0" w:color="auto"/>
            <w:bottom w:val="none" w:sz="0" w:space="0" w:color="auto"/>
            <w:right w:val="none" w:sz="0" w:space="0" w:color="auto"/>
          </w:divBdr>
        </w:div>
      </w:divsChild>
    </w:div>
    <w:div w:id="1238174364">
      <w:bodyDiv w:val="1"/>
      <w:marLeft w:val="0"/>
      <w:marRight w:val="0"/>
      <w:marTop w:val="0"/>
      <w:marBottom w:val="0"/>
      <w:divBdr>
        <w:top w:val="none" w:sz="0" w:space="0" w:color="auto"/>
        <w:left w:val="none" w:sz="0" w:space="0" w:color="auto"/>
        <w:bottom w:val="none" w:sz="0" w:space="0" w:color="auto"/>
        <w:right w:val="none" w:sz="0" w:space="0" w:color="auto"/>
      </w:divBdr>
      <w:divsChild>
        <w:div w:id="827550314">
          <w:marLeft w:val="0"/>
          <w:marRight w:val="0"/>
          <w:marTop w:val="0"/>
          <w:marBottom w:val="0"/>
          <w:divBdr>
            <w:top w:val="none" w:sz="0" w:space="0" w:color="auto"/>
            <w:left w:val="none" w:sz="0" w:space="0" w:color="auto"/>
            <w:bottom w:val="none" w:sz="0" w:space="0" w:color="auto"/>
            <w:right w:val="none" w:sz="0" w:space="0" w:color="auto"/>
          </w:divBdr>
        </w:div>
        <w:div w:id="830758534">
          <w:marLeft w:val="0"/>
          <w:marRight w:val="0"/>
          <w:marTop w:val="0"/>
          <w:marBottom w:val="0"/>
          <w:divBdr>
            <w:top w:val="none" w:sz="0" w:space="0" w:color="auto"/>
            <w:left w:val="none" w:sz="0" w:space="0" w:color="auto"/>
            <w:bottom w:val="none" w:sz="0" w:space="0" w:color="auto"/>
            <w:right w:val="none" w:sz="0" w:space="0" w:color="auto"/>
          </w:divBdr>
        </w:div>
        <w:div w:id="844973100">
          <w:marLeft w:val="0"/>
          <w:marRight w:val="0"/>
          <w:marTop w:val="0"/>
          <w:marBottom w:val="0"/>
          <w:divBdr>
            <w:top w:val="none" w:sz="0" w:space="0" w:color="auto"/>
            <w:left w:val="none" w:sz="0" w:space="0" w:color="auto"/>
            <w:bottom w:val="none" w:sz="0" w:space="0" w:color="auto"/>
            <w:right w:val="none" w:sz="0" w:space="0" w:color="auto"/>
          </w:divBdr>
        </w:div>
        <w:div w:id="1153176584">
          <w:marLeft w:val="0"/>
          <w:marRight w:val="0"/>
          <w:marTop w:val="0"/>
          <w:marBottom w:val="0"/>
          <w:divBdr>
            <w:top w:val="none" w:sz="0" w:space="0" w:color="auto"/>
            <w:left w:val="none" w:sz="0" w:space="0" w:color="auto"/>
            <w:bottom w:val="none" w:sz="0" w:space="0" w:color="auto"/>
            <w:right w:val="none" w:sz="0" w:space="0" w:color="auto"/>
          </w:divBdr>
        </w:div>
        <w:div w:id="1340281025">
          <w:marLeft w:val="0"/>
          <w:marRight w:val="0"/>
          <w:marTop w:val="0"/>
          <w:marBottom w:val="0"/>
          <w:divBdr>
            <w:top w:val="none" w:sz="0" w:space="0" w:color="auto"/>
            <w:left w:val="none" w:sz="0" w:space="0" w:color="auto"/>
            <w:bottom w:val="none" w:sz="0" w:space="0" w:color="auto"/>
            <w:right w:val="none" w:sz="0" w:space="0" w:color="auto"/>
          </w:divBdr>
        </w:div>
        <w:div w:id="1414012168">
          <w:marLeft w:val="0"/>
          <w:marRight w:val="0"/>
          <w:marTop w:val="0"/>
          <w:marBottom w:val="0"/>
          <w:divBdr>
            <w:top w:val="none" w:sz="0" w:space="0" w:color="auto"/>
            <w:left w:val="none" w:sz="0" w:space="0" w:color="auto"/>
            <w:bottom w:val="none" w:sz="0" w:space="0" w:color="auto"/>
            <w:right w:val="none" w:sz="0" w:space="0" w:color="auto"/>
          </w:divBdr>
        </w:div>
      </w:divsChild>
    </w:div>
    <w:div w:id="1247764343">
      <w:bodyDiv w:val="1"/>
      <w:marLeft w:val="0"/>
      <w:marRight w:val="0"/>
      <w:marTop w:val="0"/>
      <w:marBottom w:val="0"/>
      <w:divBdr>
        <w:top w:val="none" w:sz="0" w:space="0" w:color="auto"/>
        <w:left w:val="none" w:sz="0" w:space="0" w:color="auto"/>
        <w:bottom w:val="none" w:sz="0" w:space="0" w:color="auto"/>
        <w:right w:val="none" w:sz="0" w:space="0" w:color="auto"/>
      </w:divBdr>
    </w:div>
    <w:div w:id="1262683623">
      <w:bodyDiv w:val="1"/>
      <w:marLeft w:val="0"/>
      <w:marRight w:val="0"/>
      <w:marTop w:val="0"/>
      <w:marBottom w:val="0"/>
      <w:divBdr>
        <w:top w:val="none" w:sz="0" w:space="0" w:color="auto"/>
        <w:left w:val="none" w:sz="0" w:space="0" w:color="auto"/>
        <w:bottom w:val="none" w:sz="0" w:space="0" w:color="auto"/>
        <w:right w:val="none" w:sz="0" w:space="0" w:color="auto"/>
      </w:divBdr>
      <w:divsChild>
        <w:div w:id="22441107">
          <w:marLeft w:val="0"/>
          <w:marRight w:val="0"/>
          <w:marTop w:val="0"/>
          <w:marBottom w:val="0"/>
          <w:divBdr>
            <w:top w:val="none" w:sz="0" w:space="0" w:color="auto"/>
            <w:left w:val="none" w:sz="0" w:space="0" w:color="auto"/>
            <w:bottom w:val="none" w:sz="0" w:space="0" w:color="auto"/>
            <w:right w:val="none" w:sz="0" w:space="0" w:color="auto"/>
          </w:divBdr>
        </w:div>
        <w:div w:id="124737857">
          <w:marLeft w:val="0"/>
          <w:marRight w:val="0"/>
          <w:marTop w:val="0"/>
          <w:marBottom w:val="0"/>
          <w:divBdr>
            <w:top w:val="none" w:sz="0" w:space="0" w:color="auto"/>
            <w:left w:val="none" w:sz="0" w:space="0" w:color="auto"/>
            <w:bottom w:val="none" w:sz="0" w:space="0" w:color="auto"/>
            <w:right w:val="none" w:sz="0" w:space="0" w:color="auto"/>
          </w:divBdr>
        </w:div>
        <w:div w:id="262301436">
          <w:marLeft w:val="0"/>
          <w:marRight w:val="0"/>
          <w:marTop w:val="0"/>
          <w:marBottom w:val="0"/>
          <w:divBdr>
            <w:top w:val="none" w:sz="0" w:space="0" w:color="auto"/>
            <w:left w:val="none" w:sz="0" w:space="0" w:color="auto"/>
            <w:bottom w:val="none" w:sz="0" w:space="0" w:color="auto"/>
            <w:right w:val="none" w:sz="0" w:space="0" w:color="auto"/>
          </w:divBdr>
        </w:div>
        <w:div w:id="266082037">
          <w:marLeft w:val="0"/>
          <w:marRight w:val="0"/>
          <w:marTop w:val="0"/>
          <w:marBottom w:val="0"/>
          <w:divBdr>
            <w:top w:val="none" w:sz="0" w:space="0" w:color="auto"/>
            <w:left w:val="none" w:sz="0" w:space="0" w:color="auto"/>
            <w:bottom w:val="none" w:sz="0" w:space="0" w:color="auto"/>
            <w:right w:val="none" w:sz="0" w:space="0" w:color="auto"/>
          </w:divBdr>
        </w:div>
        <w:div w:id="322390615">
          <w:marLeft w:val="0"/>
          <w:marRight w:val="0"/>
          <w:marTop w:val="0"/>
          <w:marBottom w:val="0"/>
          <w:divBdr>
            <w:top w:val="none" w:sz="0" w:space="0" w:color="auto"/>
            <w:left w:val="none" w:sz="0" w:space="0" w:color="auto"/>
            <w:bottom w:val="none" w:sz="0" w:space="0" w:color="auto"/>
            <w:right w:val="none" w:sz="0" w:space="0" w:color="auto"/>
          </w:divBdr>
        </w:div>
        <w:div w:id="363559978">
          <w:marLeft w:val="0"/>
          <w:marRight w:val="0"/>
          <w:marTop w:val="0"/>
          <w:marBottom w:val="0"/>
          <w:divBdr>
            <w:top w:val="none" w:sz="0" w:space="0" w:color="auto"/>
            <w:left w:val="none" w:sz="0" w:space="0" w:color="auto"/>
            <w:bottom w:val="none" w:sz="0" w:space="0" w:color="auto"/>
            <w:right w:val="none" w:sz="0" w:space="0" w:color="auto"/>
          </w:divBdr>
        </w:div>
        <w:div w:id="762800299">
          <w:marLeft w:val="0"/>
          <w:marRight w:val="0"/>
          <w:marTop w:val="0"/>
          <w:marBottom w:val="0"/>
          <w:divBdr>
            <w:top w:val="none" w:sz="0" w:space="0" w:color="auto"/>
            <w:left w:val="none" w:sz="0" w:space="0" w:color="auto"/>
            <w:bottom w:val="none" w:sz="0" w:space="0" w:color="auto"/>
            <w:right w:val="none" w:sz="0" w:space="0" w:color="auto"/>
          </w:divBdr>
        </w:div>
        <w:div w:id="1034887034">
          <w:marLeft w:val="0"/>
          <w:marRight w:val="0"/>
          <w:marTop w:val="0"/>
          <w:marBottom w:val="0"/>
          <w:divBdr>
            <w:top w:val="none" w:sz="0" w:space="0" w:color="auto"/>
            <w:left w:val="none" w:sz="0" w:space="0" w:color="auto"/>
            <w:bottom w:val="none" w:sz="0" w:space="0" w:color="auto"/>
            <w:right w:val="none" w:sz="0" w:space="0" w:color="auto"/>
          </w:divBdr>
        </w:div>
        <w:div w:id="1168406215">
          <w:marLeft w:val="0"/>
          <w:marRight w:val="0"/>
          <w:marTop w:val="0"/>
          <w:marBottom w:val="0"/>
          <w:divBdr>
            <w:top w:val="none" w:sz="0" w:space="0" w:color="auto"/>
            <w:left w:val="none" w:sz="0" w:space="0" w:color="auto"/>
            <w:bottom w:val="none" w:sz="0" w:space="0" w:color="auto"/>
            <w:right w:val="none" w:sz="0" w:space="0" w:color="auto"/>
          </w:divBdr>
        </w:div>
        <w:div w:id="1785805708">
          <w:marLeft w:val="0"/>
          <w:marRight w:val="0"/>
          <w:marTop w:val="0"/>
          <w:marBottom w:val="0"/>
          <w:divBdr>
            <w:top w:val="none" w:sz="0" w:space="0" w:color="auto"/>
            <w:left w:val="none" w:sz="0" w:space="0" w:color="auto"/>
            <w:bottom w:val="none" w:sz="0" w:space="0" w:color="auto"/>
            <w:right w:val="none" w:sz="0" w:space="0" w:color="auto"/>
          </w:divBdr>
        </w:div>
        <w:div w:id="1836215320">
          <w:marLeft w:val="0"/>
          <w:marRight w:val="0"/>
          <w:marTop w:val="0"/>
          <w:marBottom w:val="0"/>
          <w:divBdr>
            <w:top w:val="none" w:sz="0" w:space="0" w:color="auto"/>
            <w:left w:val="none" w:sz="0" w:space="0" w:color="auto"/>
            <w:bottom w:val="none" w:sz="0" w:space="0" w:color="auto"/>
            <w:right w:val="none" w:sz="0" w:space="0" w:color="auto"/>
          </w:divBdr>
        </w:div>
        <w:div w:id="1959412656">
          <w:marLeft w:val="0"/>
          <w:marRight w:val="0"/>
          <w:marTop w:val="0"/>
          <w:marBottom w:val="0"/>
          <w:divBdr>
            <w:top w:val="none" w:sz="0" w:space="0" w:color="auto"/>
            <w:left w:val="none" w:sz="0" w:space="0" w:color="auto"/>
            <w:bottom w:val="none" w:sz="0" w:space="0" w:color="auto"/>
            <w:right w:val="none" w:sz="0" w:space="0" w:color="auto"/>
          </w:divBdr>
        </w:div>
        <w:div w:id="2009092019">
          <w:marLeft w:val="0"/>
          <w:marRight w:val="0"/>
          <w:marTop w:val="0"/>
          <w:marBottom w:val="0"/>
          <w:divBdr>
            <w:top w:val="none" w:sz="0" w:space="0" w:color="auto"/>
            <w:left w:val="none" w:sz="0" w:space="0" w:color="auto"/>
            <w:bottom w:val="none" w:sz="0" w:space="0" w:color="auto"/>
            <w:right w:val="none" w:sz="0" w:space="0" w:color="auto"/>
          </w:divBdr>
        </w:div>
        <w:div w:id="2032409752">
          <w:marLeft w:val="0"/>
          <w:marRight w:val="0"/>
          <w:marTop w:val="0"/>
          <w:marBottom w:val="0"/>
          <w:divBdr>
            <w:top w:val="none" w:sz="0" w:space="0" w:color="auto"/>
            <w:left w:val="none" w:sz="0" w:space="0" w:color="auto"/>
            <w:bottom w:val="none" w:sz="0" w:space="0" w:color="auto"/>
            <w:right w:val="none" w:sz="0" w:space="0" w:color="auto"/>
          </w:divBdr>
        </w:div>
        <w:div w:id="2077512123">
          <w:marLeft w:val="0"/>
          <w:marRight w:val="0"/>
          <w:marTop w:val="0"/>
          <w:marBottom w:val="0"/>
          <w:divBdr>
            <w:top w:val="none" w:sz="0" w:space="0" w:color="auto"/>
            <w:left w:val="none" w:sz="0" w:space="0" w:color="auto"/>
            <w:bottom w:val="none" w:sz="0" w:space="0" w:color="auto"/>
            <w:right w:val="none" w:sz="0" w:space="0" w:color="auto"/>
          </w:divBdr>
        </w:div>
        <w:div w:id="2093044924">
          <w:marLeft w:val="0"/>
          <w:marRight w:val="0"/>
          <w:marTop w:val="0"/>
          <w:marBottom w:val="0"/>
          <w:divBdr>
            <w:top w:val="none" w:sz="0" w:space="0" w:color="auto"/>
            <w:left w:val="none" w:sz="0" w:space="0" w:color="auto"/>
            <w:bottom w:val="none" w:sz="0" w:space="0" w:color="auto"/>
            <w:right w:val="none" w:sz="0" w:space="0" w:color="auto"/>
          </w:divBdr>
        </w:div>
      </w:divsChild>
    </w:div>
    <w:div w:id="1262763012">
      <w:bodyDiv w:val="1"/>
      <w:marLeft w:val="0"/>
      <w:marRight w:val="0"/>
      <w:marTop w:val="0"/>
      <w:marBottom w:val="0"/>
      <w:divBdr>
        <w:top w:val="none" w:sz="0" w:space="0" w:color="auto"/>
        <w:left w:val="none" w:sz="0" w:space="0" w:color="auto"/>
        <w:bottom w:val="none" w:sz="0" w:space="0" w:color="auto"/>
        <w:right w:val="none" w:sz="0" w:space="0" w:color="auto"/>
      </w:divBdr>
    </w:div>
    <w:div w:id="1301379063">
      <w:bodyDiv w:val="1"/>
      <w:marLeft w:val="0"/>
      <w:marRight w:val="0"/>
      <w:marTop w:val="0"/>
      <w:marBottom w:val="0"/>
      <w:divBdr>
        <w:top w:val="none" w:sz="0" w:space="0" w:color="auto"/>
        <w:left w:val="none" w:sz="0" w:space="0" w:color="auto"/>
        <w:bottom w:val="none" w:sz="0" w:space="0" w:color="auto"/>
        <w:right w:val="none" w:sz="0" w:space="0" w:color="auto"/>
      </w:divBdr>
      <w:divsChild>
        <w:div w:id="147091538">
          <w:marLeft w:val="0"/>
          <w:marRight w:val="0"/>
          <w:marTop w:val="0"/>
          <w:marBottom w:val="0"/>
          <w:divBdr>
            <w:top w:val="none" w:sz="0" w:space="0" w:color="auto"/>
            <w:left w:val="none" w:sz="0" w:space="0" w:color="auto"/>
            <w:bottom w:val="none" w:sz="0" w:space="0" w:color="auto"/>
            <w:right w:val="none" w:sz="0" w:space="0" w:color="auto"/>
          </w:divBdr>
          <w:divsChild>
            <w:div w:id="62917673">
              <w:marLeft w:val="0"/>
              <w:marRight w:val="0"/>
              <w:marTop w:val="0"/>
              <w:marBottom w:val="0"/>
              <w:divBdr>
                <w:top w:val="none" w:sz="0" w:space="0" w:color="auto"/>
                <w:left w:val="none" w:sz="0" w:space="0" w:color="auto"/>
                <w:bottom w:val="none" w:sz="0" w:space="0" w:color="auto"/>
                <w:right w:val="none" w:sz="0" w:space="0" w:color="auto"/>
              </w:divBdr>
            </w:div>
            <w:div w:id="815609009">
              <w:marLeft w:val="0"/>
              <w:marRight w:val="0"/>
              <w:marTop w:val="0"/>
              <w:marBottom w:val="0"/>
              <w:divBdr>
                <w:top w:val="none" w:sz="0" w:space="0" w:color="auto"/>
                <w:left w:val="none" w:sz="0" w:space="0" w:color="auto"/>
                <w:bottom w:val="none" w:sz="0" w:space="0" w:color="auto"/>
                <w:right w:val="none" w:sz="0" w:space="0" w:color="auto"/>
              </w:divBdr>
            </w:div>
            <w:div w:id="1941835817">
              <w:marLeft w:val="0"/>
              <w:marRight w:val="0"/>
              <w:marTop w:val="0"/>
              <w:marBottom w:val="0"/>
              <w:divBdr>
                <w:top w:val="none" w:sz="0" w:space="0" w:color="auto"/>
                <w:left w:val="none" w:sz="0" w:space="0" w:color="auto"/>
                <w:bottom w:val="none" w:sz="0" w:space="0" w:color="auto"/>
                <w:right w:val="none" w:sz="0" w:space="0" w:color="auto"/>
              </w:divBdr>
            </w:div>
          </w:divsChild>
        </w:div>
        <w:div w:id="154229345">
          <w:marLeft w:val="0"/>
          <w:marRight w:val="0"/>
          <w:marTop w:val="0"/>
          <w:marBottom w:val="0"/>
          <w:divBdr>
            <w:top w:val="none" w:sz="0" w:space="0" w:color="auto"/>
            <w:left w:val="none" w:sz="0" w:space="0" w:color="auto"/>
            <w:bottom w:val="none" w:sz="0" w:space="0" w:color="auto"/>
            <w:right w:val="none" w:sz="0" w:space="0" w:color="auto"/>
          </w:divBdr>
          <w:divsChild>
            <w:div w:id="323825998">
              <w:marLeft w:val="0"/>
              <w:marRight w:val="0"/>
              <w:marTop w:val="0"/>
              <w:marBottom w:val="0"/>
              <w:divBdr>
                <w:top w:val="none" w:sz="0" w:space="0" w:color="auto"/>
                <w:left w:val="none" w:sz="0" w:space="0" w:color="auto"/>
                <w:bottom w:val="none" w:sz="0" w:space="0" w:color="auto"/>
                <w:right w:val="none" w:sz="0" w:space="0" w:color="auto"/>
              </w:divBdr>
            </w:div>
            <w:div w:id="474760093">
              <w:marLeft w:val="0"/>
              <w:marRight w:val="0"/>
              <w:marTop w:val="0"/>
              <w:marBottom w:val="0"/>
              <w:divBdr>
                <w:top w:val="none" w:sz="0" w:space="0" w:color="auto"/>
                <w:left w:val="none" w:sz="0" w:space="0" w:color="auto"/>
                <w:bottom w:val="none" w:sz="0" w:space="0" w:color="auto"/>
                <w:right w:val="none" w:sz="0" w:space="0" w:color="auto"/>
              </w:divBdr>
            </w:div>
            <w:div w:id="475217981">
              <w:marLeft w:val="0"/>
              <w:marRight w:val="0"/>
              <w:marTop w:val="0"/>
              <w:marBottom w:val="0"/>
              <w:divBdr>
                <w:top w:val="none" w:sz="0" w:space="0" w:color="auto"/>
                <w:left w:val="none" w:sz="0" w:space="0" w:color="auto"/>
                <w:bottom w:val="none" w:sz="0" w:space="0" w:color="auto"/>
                <w:right w:val="none" w:sz="0" w:space="0" w:color="auto"/>
              </w:divBdr>
            </w:div>
            <w:div w:id="1252855690">
              <w:marLeft w:val="0"/>
              <w:marRight w:val="0"/>
              <w:marTop w:val="0"/>
              <w:marBottom w:val="0"/>
              <w:divBdr>
                <w:top w:val="none" w:sz="0" w:space="0" w:color="auto"/>
                <w:left w:val="none" w:sz="0" w:space="0" w:color="auto"/>
                <w:bottom w:val="none" w:sz="0" w:space="0" w:color="auto"/>
                <w:right w:val="none" w:sz="0" w:space="0" w:color="auto"/>
              </w:divBdr>
            </w:div>
            <w:div w:id="1966230308">
              <w:marLeft w:val="0"/>
              <w:marRight w:val="0"/>
              <w:marTop w:val="0"/>
              <w:marBottom w:val="0"/>
              <w:divBdr>
                <w:top w:val="none" w:sz="0" w:space="0" w:color="auto"/>
                <w:left w:val="none" w:sz="0" w:space="0" w:color="auto"/>
                <w:bottom w:val="none" w:sz="0" w:space="0" w:color="auto"/>
                <w:right w:val="none" w:sz="0" w:space="0" w:color="auto"/>
              </w:divBdr>
            </w:div>
          </w:divsChild>
        </w:div>
        <w:div w:id="317150448">
          <w:marLeft w:val="0"/>
          <w:marRight w:val="0"/>
          <w:marTop w:val="0"/>
          <w:marBottom w:val="0"/>
          <w:divBdr>
            <w:top w:val="none" w:sz="0" w:space="0" w:color="auto"/>
            <w:left w:val="none" w:sz="0" w:space="0" w:color="auto"/>
            <w:bottom w:val="none" w:sz="0" w:space="0" w:color="auto"/>
            <w:right w:val="none" w:sz="0" w:space="0" w:color="auto"/>
          </w:divBdr>
          <w:divsChild>
            <w:div w:id="282273997">
              <w:marLeft w:val="0"/>
              <w:marRight w:val="0"/>
              <w:marTop w:val="0"/>
              <w:marBottom w:val="0"/>
              <w:divBdr>
                <w:top w:val="none" w:sz="0" w:space="0" w:color="auto"/>
                <w:left w:val="none" w:sz="0" w:space="0" w:color="auto"/>
                <w:bottom w:val="none" w:sz="0" w:space="0" w:color="auto"/>
                <w:right w:val="none" w:sz="0" w:space="0" w:color="auto"/>
              </w:divBdr>
            </w:div>
            <w:div w:id="470825632">
              <w:marLeft w:val="0"/>
              <w:marRight w:val="0"/>
              <w:marTop w:val="0"/>
              <w:marBottom w:val="0"/>
              <w:divBdr>
                <w:top w:val="none" w:sz="0" w:space="0" w:color="auto"/>
                <w:left w:val="none" w:sz="0" w:space="0" w:color="auto"/>
                <w:bottom w:val="none" w:sz="0" w:space="0" w:color="auto"/>
                <w:right w:val="none" w:sz="0" w:space="0" w:color="auto"/>
              </w:divBdr>
            </w:div>
            <w:div w:id="556277899">
              <w:marLeft w:val="0"/>
              <w:marRight w:val="0"/>
              <w:marTop w:val="0"/>
              <w:marBottom w:val="0"/>
              <w:divBdr>
                <w:top w:val="none" w:sz="0" w:space="0" w:color="auto"/>
                <w:left w:val="none" w:sz="0" w:space="0" w:color="auto"/>
                <w:bottom w:val="none" w:sz="0" w:space="0" w:color="auto"/>
                <w:right w:val="none" w:sz="0" w:space="0" w:color="auto"/>
              </w:divBdr>
            </w:div>
            <w:div w:id="1299611534">
              <w:marLeft w:val="0"/>
              <w:marRight w:val="0"/>
              <w:marTop w:val="0"/>
              <w:marBottom w:val="0"/>
              <w:divBdr>
                <w:top w:val="none" w:sz="0" w:space="0" w:color="auto"/>
                <w:left w:val="none" w:sz="0" w:space="0" w:color="auto"/>
                <w:bottom w:val="none" w:sz="0" w:space="0" w:color="auto"/>
                <w:right w:val="none" w:sz="0" w:space="0" w:color="auto"/>
              </w:divBdr>
            </w:div>
            <w:div w:id="2085027842">
              <w:marLeft w:val="0"/>
              <w:marRight w:val="0"/>
              <w:marTop w:val="0"/>
              <w:marBottom w:val="0"/>
              <w:divBdr>
                <w:top w:val="none" w:sz="0" w:space="0" w:color="auto"/>
                <w:left w:val="none" w:sz="0" w:space="0" w:color="auto"/>
                <w:bottom w:val="none" w:sz="0" w:space="0" w:color="auto"/>
                <w:right w:val="none" w:sz="0" w:space="0" w:color="auto"/>
              </w:divBdr>
            </w:div>
          </w:divsChild>
        </w:div>
        <w:div w:id="780539209">
          <w:marLeft w:val="0"/>
          <w:marRight w:val="0"/>
          <w:marTop w:val="0"/>
          <w:marBottom w:val="0"/>
          <w:divBdr>
            <w:top w:val="none" w:sz="0" w:space="0" w:color="auto"/>
            <w:left w:val="none" w:sz="0" w:space="0" w:color="auto"/>
            <w:bottom w:val="none" w:sz="0" w:space="0" w:color="auto"/>
            <w:right w:val="none" w:sz="0" w:space="0" w:color="auto"/>
          </w:divBdr>
          <w:divsChild>
            <w:div w:id="83768624">
              <w:marLeft w:val="0"/>
              <w:marRight w:val="0"/>
              <w:marTop w:val="0"/>
              <w:marBottom w:val="0"/>
              <w:divBdr>
                <w:top w:val="none" w:sz="0" w:space="0" w:color="auto"/>
                <w:left w:val="none" w:sz="0" w:space="0" w:color="auto"/>
                <w:bottom w:val="none" w:sz="0" w:space="0" w:color="auto"/>
                <w:right w:val="none" w:sz="0" w:space="0" w:color="auto"/>
              </w:divBdr>
            </w:div>
            <w:div w:id="86927111">
              <w:marLeft w:val="0"/>
              <w:marRight w:val="0"/>
              <w:marTop w:val="0"/>
              <w:marBottom w:val="0"/>
              <w:divBdr>
                <w:top w:val="none" w:sz="0" w:space="0" w:color="auto"/>
                <w:left w:val="none" w:sz="0" w:space="0" w:color="auto"/>
                <w:bottom w:val="none" w:sz="0" w:space="0" w:color="auto"/>
                <w:right w:val="none" w:sz="0" w:space="0" w:color="auto"/>
              </w:divBdr>
            </w:div>
            <w:div w:id="861743025">
              <w:marLeft w:val="0"/>
              <w:marRight w:val="0"/>
              <w:marTop w:val="0"/>
              <w:marBottom w:val="0"/>
              <w:divBdr>
                <w:top w:val="none" w:sz="0" w:space="0" w:color="auto"/>
                <w:left w:val="none" w:sz="0" w:space="0" w:color="auto"/>
                <w:bottom w:val="none" w:sz="0" w:space="0" w:color="auto"/>
                <w:right w:val="none" w:sz="0" w:space="0" w:color="auto"/>
              </w:divBdr>
            </w:div>
            <w:div w:id="1064833533">
              <w:marLeft w:val="0"/>
              <w:marRight w:val="0"/>
              <w:marTop w:val="0"/>
              <w:marBottom w:val="0"/>
              <w:divBdr>
                <w:top w:val="none" w:sz="0" w:space="0" w:color="auto"/>
                <w:left w:val="none" w:sz="0" w:space="0" w:color="auto"/>
                <w:bottom w:val="none" w:sz="0" w:space="0" w:color="auto"/>
                <w:right w:val="none" w:sz="0" w:space="0" w:color="auto"/>
              </w:divBdr>
            </w:div>
            <w:div w:id="1169759708">
              <w:marLeft w:val="0"/>
              <w:marRight w:val="0"/>
              <w:marTop w:val="0"/>
              <w:marBottom w:val="0"/>
              <w:divBdr>
                <w:top w:val="none" w:sz="0" w:space="0" w:color="auto"/>
                <w:left w:val="none" w:sz="0" w:space="0" w:color="auto"/>
                <w:bottom w:val="none" w:sz="0" w:space="0" w:color="auto"/>
                <w:right w:val="none" w:sz="0" w:space="0" w:color="auto"/>
              </w:divBdr>
            </w:div>
          </w:divsChild>
        </w:div>
        <w:div w:id="812604619">
          <w:marLeft w:val="0"/>
          <w:marRight w:val="0"/>
          <w:marTop w:val="0"/>
          <w:marBottom w:val="0"/>
          <w:divBdr>
            <w:top w:val="none" w:sz="0" w:space="0" w:color="auto"/>
            <w:left w:val="none" w:sz="0" w:space="0" w:color="auto"/>
            <w:bottom w:val="none" w:sz="0" w:space="0" w:color="auto"/>
            <w:right w:val="none" w:sz="0" w:space="0" w:color="auto"/>
          </w:divBdr>
          <w:divsChild>
            <w:div w:id="838345410">
              <w:marLeft w:val="0"/>
              <w:marRight w:val="0"/>
              <w:marTop w:val="0"/>
              <w:marBottom w:val="0"/>
              <w:divBdr>
                <w:top w:val="none" w:sz="0" w:space="0" w:color="auto"/>
                <w:left w:val="none" w:sz="0" w:space="0" w:color="auto"/>
                <w:bottom w:val="none" w:sz="0" w:space="0" w:color="auto"/>
                <w:right w:val="none" w:sz="0" w:space="0" w:color="auto"/>
              </w:divBdr>
            </w:div>
            <w:div w:id="1495217385">
              <w:marLeft w:val="0"/>
              <w:marRight w:val="0"/>
              <w:marTop w:val="0"/>
              <w:marBottom w:val="0"/>
              <w:divBdr>
                <w:top w:val="none" w:sz="0" w:space="0" w:color="auto"/>
                <w:left w:val="none" w:sz="0" w:space="0" w:color="auto"/>
                <w:bottom w:val="none" w:sz="0" w:space="0" w:color="auto"/>
                <w:right w:val="none" w:sz="0" w:space="0" w:color="auto"/>
              </w:divBdr>
            </w:div>
            <w:div w:id="1565947737">
              <w:marLeft w:val="0"/>
              <w:marRight w:val="0"/>
              <w:marTop w:val="0"/>
              <w:marBottom w:val="0"/>
              <w:divBdr>
                <w:top w:val="none" w:sz="0" w:space="0" w:color="auto"/>
                <w:left w:val="none" w:sz="0" w:space="0" w:color="auto"/>
                <w:bottom w:val="none" w:sz="0" w:space="0" w:color="auto"/>
                <w:right w:val="none" w:sz="0" w:space="0" w:color="auto"/>
              </w:divBdr>
            </w:div>
            <w:div w:id="1726490861">
              <w:marLeft w:val="0"/>
              <w:marRight w:val="0"/>
              <w:marTop w:val="0"/>
              <w:marBottom w:val="0"/>
              <w:divBdr>
                <w:top w:val="none" w:sz="0" w:space="0" w:color="auto"/>
                <w:left w:val="none" w:sz="0" w:space="0" w:color="auto"/>
                <w:bottom w:val="none" w:sz="0" w:space="0" w:color="auto"/>
                <w:right w:val="none" w:sz="0" w:space="0" w:color="auto"/>
              </w:divBdr>
            </w:div>
            <w:div w:id="2094737864">
              <w:marLeft w:val="0"/>
              <w:marRight w:val="0"/>
              <w:marTop w:val="0"/>
              <w:marBottom w:val="0"/>
              <w:divBdr>
                <w:top w:val="none" w:sz="0" w:space="0" w:color="auto"/>
                <w:left w:val="none" w:sz="0" w:space="0" w:color="auto"/>
                <w:bottom w:val="none" w:sz="0" w:space="0" w:color="auto"/>
                <w:right w:val="none" w:sz="0" w:space="0" w:color="auto"/>
              </w:divBdr>
            </w:div>
          </w:divsChild>
        </w:div>
        <w:div w:id="1037971058">
          <w:marLeft w:val="0"/>
          <w:marRight w:val="0"/>
          <w:marTop w:val="0"/>
          <w:marBottom w:val="0"/>
          <w:divBdr>
            <w:top w:val="none" w:sz="0" w:space="0" w:color="auto"/>
            <w:left w:val="none" w:sz="0" w:space="0" w:color="auto"/>
            <w:bottom w:val="none" w:sz="0" w:space="0" w:color="auto"/>
            <w:right w:val="none" w:sz="0" w:space="0" w:color="auto"/>
          </w:divBdr>
          <w:divsChild>
            <w:div w:id="453256804">
              <w:marLeft w:val="0"/>
              <w:marRight w:val="0"/>
              <w:marTop w:val="0"/>
              <w:marBottom w:val="0"/>
              <w:divBdr>
                <w:top w:val="none" w:sz="0" w:space="0" w:color="auto"/>
                <w:left w:val="none" w:sz="0" w:space="0" w:color="auto"/>
                <w:bottom w:val="none" w:sz="0" w:space="0" w:color="auto"/>
                <w:right w:val="none" w:sz="0" w:space="0" w:color="auto"/>
              </w:divBdr>
            </w:div>
            <w:div w:id="635792506">
              <w:marLeft w:val="0"/>
              <w:marRight w:val="0"/>
              <w:marTop w:val="0"/>
              <w:marBottom w:val="0"/>
              <w:divBdr>
                <w:top w:val="none" w:sz="0" w:space="0" w:color="auto"/>
                <w:left w:val="none" w:sz="0" w:space="0" w:color="auto"/>
                <w:bottom w:val="none" w:sz="0" w:space="0" w:color="auto"/>
                <w:right w:val="none" w:sz="0" w:space="0" w:color="auto"/>
              </w:divBdr>
            </w:div>
            <w:div w:id="1129587517">
              <w:marLeft w:val="0"/>
              <w:marRight w:val="0"/>
              <w:marTop w:val="0"/>
              <w:marBottom w:val="0"/>
              <w:divBdr>
                <w:top w:val="none" w:sz="0" w:space="0" w:color="auto"/>
                <w:left w:val="none" w:sz="0" w:space="0" w:color="auto"/>
                <w:bottom w:val="none" w:sz="0" w:space="0" w:color="auto"/>
                <w:right w:val="none" w:sz="0" w:space="0" w:color="auto"/>
              </w:divBdr>
            </w:div>
            <w:div w:id="1399668210">
              <w:marLeft w:val="0"/>
              <w:marRight w:val="0"/>
              <w:marTop w:val="0"/>
              <w:marBottom w:val="0"/>
              <w:divBdr>
                <w:top w:val="none" w:sz="0" w:space="0" w:color="auto"/>
                <w:left w:val="none" w:sz="0" w:space="0" w:color="auto"/>
                <w:bottom w:val="none" w:sz="0" w:space="0" w:color="auto"/>
                <w:right w:val="none" w:sz="0" w:space="0" w:color="auto"/>
              </w:divBdr>
            </w:div>
            <w:div w:id="2094086245">
              <w:marLeft w:val="0"/>
              <w:marRight w:val="0"/>
              <w:marTop w:val="0"/>
              <w:marBottom w:val="0"/>
              <w:divBdr>
                <w:top w:val="none" w:sz="0" w:space="0" w:color="auto"/>
                <w:left w:val="none" w:sz="0" w:space="0" w:color="auto"/>
                <w:bottom w:val="none" w:sz="0" w:space="0" w:color="auto"/>
                <w:right w:val="none" w:sz="0" w:space="0" w:color="auto"/>
              </w:divBdr>
            </w:div>
          </w:divsChild>
        </w:div>
        <w:div w:id="1683819554">
          <w:marLeft w:val="0"/>
          <w:marRight w:val="0"/>
          <w:marTop w:val="0"/>
          <w:marBottom w:val="0"/>
          <w:divBdr>
            <w:top w:val="none" w:sz="0" w:space="0" w:color="auto"/>
            <w:left w:val="none" w:sz="0" w:space="0" w:color="auto"/>
            <w:bottom w:val="none" w:sz="0" w:space="0" w:color="auto"/>
            <w:right w:val="none" w:sz="0" w:space="0" w:color="auto"/>
          </w:divBdr>
          <w:divsChild>
            <w:div w:id="30736518">
              <w:marLeft w:val="0"/>
              <w:marRight w:val="0"/>
              <w:marTop w:val="0"/>
              <w:marBottom w:val="0"/>
              <w:divBdr>
                <w:top w:val="none" w:sz="0" w:space="0" w:color="auto"/>
                <w:left w:val="none" w:sz="0" w:space="0" w:color="auto"/>
                <w:bottom w:val="none" w:sz="0" w:space="0" w:color="auto"/>
                <w:right w:val="none" w:sz="0" w:space="0" w:color="auto"/>
              </w:divBdr>
            </w:div>
            <w:div w:id="53896462">
              <w:marLeft w:val="0"/>
              <w:marRight w:val="0"/>
              <w:marTop w:val="0"/>
              <w:marBottom w:val="0"/>
              <w:divBdr>
                <w:top w:val="none" w:sz="0" w:space="0" w:color="auto"/>
                <w:left w:val="none" w:sz="0" w:space="0" w:color="auto"/>
                <w:bottom w:val="none" w:sz="0" w:space="0" w:color="auto"/>
                <w:right w:val="none" w:sz="0" w:space="0" w:color="auto"/>
              </w:divBdr>
            </w:div>
            <w:div w:id="129253456">
              <w:marLeft w:val="0"/>
              <w:marRight w:val="0"/>
              <w:marTop w:val="0"/>
              <w:marBottom w:val="0"/>
              <w:divBdr>
                <w:top w:val="none" w:sz="0" w:space="0" w:color="auto"/>
                <w:left w:val="none" w:sz="0" w:space="0" w:color="auto"/>
                <w:bottom w:val="none" w:sz="0" w:space="0" w:color="auto"/>
                <w:right w:val="none" w:sz="0" w:space="0" w:color="auto"/>
              </w:divBdr>
            </w:div>
            <w:div w:id="1591815921">
              <w:marLeft w:val="0"/>
              <w:marRight w:val="0"/>
              <w:marTop w:val="0"/>
              <w:marBottom w:val="0"/>
              <w:divBdr>
                <w:top w:val="none" w:sz="0" w:space="0" w:color="auto"/>
                <w:left w:val="none" w:sz="0" w:space="0" w:color="auto"/>
                <w:bottom w:val="none" w:sz="0" w:space="0" w:color="auto"/>
                <w:right w:val="none" w:sz="0" w:space="0" w:color="auto"/>
              </w:divBdr>
            </w:div>
            <w:div w:id="1719277866">
              <w:marLeft w:val="0"/>
              <w:marRight w:val="0"/>
              <w:marTop w:val="0"/>
              <w:marBottom w:val="0"/>
              <w:divBdr>
                <w:top w:val="none" w:sz="0" w:space="0" w:color="auto"/>
                <w:left w:val="none" w:sz="0" w:space="0" w:color="auto"/>
                <w:bottom w:val="none" w:sz="0" w:space="0" w:color="auto"/>
                <w:right w:val="none" w:sz="0" w:space="0" w:color="auto"/>
              </w:divBdr>
            </w:div>
          </w:divsChild>
        </w:div>
        <w:div w:id="1749843533">
          <w:marLeft w:val="0"/>
          <w:marRight w:val="0"/>
          <w:marTop w:val="0"/>
          <w:marBottom w:val="0"/>
          <w:divBdr>
            <w:top w:val="none" w:sz="0" w:space="0" w:color="auto"/>
            <w:left w:val="none" w:sz="0" w:space="0" w:color="auto"/>
            <w:bottom w:val="none" w:sz="0" w:space="0" w:color="auto"/>
            <w:right w:val="none" w:sz="0" w:space="0" w:color="auto"/>
          </w:divBdr>
          <w:divsChild>
            <w:div w:id="38356880">
              <w:marLeft w:val="0"/>
              <w:marRight w:val="0"/>
              <w:marTop w:val="0"/>
              <w:marBottom w:val="0"/>
              <w:divBdr>
                <w:top w:val="none" w:sz="0" w:space="0" w:color="auto"/>
                <w:left w:val="none" w:sz="0" w:space="0" w:color="auto"/>
                <w:bottom w:val="none" w:sz="0" w:space="0" w:color="auto"/>
                <w:right w:val="none" w:sz="0" w:space="0" w:color="auto"/>
              </w:divBdr>
            </w:div>
            <w:div w:id="628898796">
              <w:marLeft w:val="0"/>
              <w:marRight w:val="0"/>
              <w:marTop w:val="0"/>
              <w:marBottom w:val="0"/>
              <w:divBdr>
                <w:top w:val="none" w:sz="0" w:space="0" w:color="auto"/>
                <w:left w:val="none" w:sz="0" w:space="0" w:color="auto"/>
                <w:bottom w:val="none" w:sz="0" w:space="0" w:color="auto"/>
                <w:right w:val="none" w:sz="0" w:space="0" w:color="auto"/>
              </w:divBdr>
            </w:div>
            <w:div w:id="928926568">
              <w:marLeft w:val="0"/>
              <w:marRight w:val="0"/>
              <w:marTop w:val="0"/>
              <w:marBottom w:val="0"/>
              <w:divBdr>
                <w:top w:val="none" w:sz="0" w:space="0" w:color="auto"/>
                <w:left w:val="none" w:sz="0" w:space="0" w:color="auto"/>
                <w:bottom w:val="none" w:sz="0" w:space="0" w:color="auto"/>
                <w:right w:val="none" w:sz="0" w:space="0" w:color="auto"/>
              </w:divBdr>
            </w:div>
            <w:div w:id="957644511">
              <w:marLeft w:val="0"/>
              <w:marRight w:val="0"/>
              <w:marTop w:val="0"/>
              <w:marBottom w:val="0"/>
              <w:divBdr>
                <w:top w:val="none" w:sz="0" w:space="0" w:color="auto"/>
                <w:left w:val="none" w:sz="0" w:space="0" w:color="auto"/>
                <w:bottom w:val="none" w:sz="0" w:space="0" w:color="auto"/>
                <w:right w:val="none" w:sz="0" w:space="0" w:color="auto"/>
              </w:divBdr>
            </w:div>
            <w:div w:id="1995451105">
              <w:marLeft w:val="0"/>
              <w:marRight w:val="0"/>
              <w:marTop w:val="0"/>
              <w:marBottom w:val="0"/>
              <w:divBdr>
                <w:top w:val="none" w:sz="0" w:space="0" w:color="auto"/>
                <w:left w:val="none" w:sz="0" w:space="0" w:color="auto"/>
                <w:bottom w:val="none" w:sz="0" w:space="0" w:color="auto"/>
                <w:right w:val="none" w:sz="0" w:space="0" w:color="auto"/>
              </w:divBdr>
            </w:div>
          </w:divsChild>
        </w:div>
        <w:div w:id="1758793250">
          <w:marLeft w:val="0"/>
          <w:marRight w:val="0"/>
          <w:marTop w:val="0"/>
          <w:marBottom w:val="0"/>
          <w:divBdr>
            <w:top w:val="none" w:sz="0" w:space="0" w:color="auto"/>
            <w:left w:val="none" w:sz="0" w:space="0" w:color="auto"/>
            <w:bottom w:val="none" w:sz="0" w:space="0" w:color="auto"/>
            <w:right w:val="none" w:sz="0" w:space="0" w:color="auto"/>
          </w:divBdr>
          <w:divsChild>
            <w:div w:id="907035722">
              <w:marLeft w:val="0"/>
              <w:marRight w:val="0"/>
              <w:marTop w:val="0"/>
              <w:marBottom w:val="0"/>
              <w:divBdr>
                <w:top w:val="none" w:sz="0" w:space="0" w:color="auto"/>
                <w:left w:val="none" w:sz="0" w:space="0" w:color="auto"/>
                <w:bottom w:val="none" w:sz="0" w:space="0" w:color="auto"/>
                <w:right w:val="none" w:sz="0" w:space="0" w:color="auto"/>
              </w:divBdr>
            </w:div>
            <w:div w:id="913971713">
              <w:marLeft w:val="0"/>
              <w:marRight w:val="0"/>
              <w:marTop w:val="0"/>
              <w:marBottom w:val="0"/>
              <w:divBdr>
                <w:top w:val="none" w:sz="0" w:space="0" w:color="auto"/>
                <w:left w:val="none" w:sz="0" w:space="0" w:color="auto"/>
                <w:bottom w:val="none" w:sz="0" w:space="0" w:color="auto"/>
                <w:right w:val="none" w:sz="0" w:space="0" w:color="auto"/>
              </w:divBdr>
            </w:div>
            <w:div w:id="1648164940">
              <w:marLeft w:val="0"/>
              <w:marRight w:val="0"/>
              <w:marTop w:val="0"/>
              <w:marBottom w:val="0"/>
              <w:divBdr>
                <w:top w:val="none" w:sz="0" w:space="0" w:color="auto"/>
                <w:left w:val="none" w:sz="0" w:space="0" w:color="auto"/>
                <w:bottom w:val="none" w:sz="0" w:space="0" w:color="auto"/>
                <w:right w:val="none" w:sz="0" w:space="0" w:color="auto"/>
              </w:divBdr>
            </w:div>
            <w:div w:id="1832595451">
              <w:marLeft w:val="0"/>
              <w:marRight w:val="0"/>
              <w:marTop w:val="0"/>
              <w:marBottom w:val="0"/>
              <w:divBdr>
                <w:top w:val="none" w:sz="0" w:space="0" w:color="auto"/>
                <w:left w:val="none" w:sz="0" w:space="0" w:color="auto"/>
                <w:bottom w:val="none" w:sz="0" w:space="0" w:color="auto"/>
                <w:right w:val="none" w:sz="0" w:space="0" w:color="auto"/>
              </w:divBdr>
            </w:div>
          </w:divsChild>
        </w:div>
        <w:div w:id="1902710904">
          <w:marLeft w:val="0"/>
          <w:marRight w:val="0"/>
          <w:marTop w:val="0"/>
          <w:marBottom w:val="0"/>
          <w:divBdr>
            <w:top w:val="none" w:sz="0" w:space="0" w:color="auto"/>
            <w:left w:val="none" w:sz="0" w:space="0" w:color="auto"/>
            <w:bottom w:val="none" w:sz="0" w:space="0" w:color="auto"/>
            <w:right w:val="none" w:sz="0" w:space="0" w:color="auto"/>
          </w:divBdr>
          <w:divsChild>
            <w:div w:id="163478837">
              <w:marLeft w:val="0"/>
              <w:marRight w:val="0"/>
              <w:marTop w:val="0"/>
              <w:marBottom w:val="0"/>
              <w:divBdr>
                <w:top w:val="none" w:sz="0" w:space="0" w:color="auto"/>
                <w:left w:val="none" w:sz="0" w:space="0" w:color="auto"/>
                <w:bottom w:val="none" w:sz="0" w:space="0" w:color="auto"/>
                <w:right w:val="none" w:sz="0" w:space="0" w:color="auto"/>
              </w:divBdr>
            </w:div>
            <w:div w:id="819997642">
              <w:marLeft w:val="0"/>
              <w:marRight w:val="0"/>
              <w:marTop w:val="0"/>
              <w:marBottom w:val="0"/>
              <w:divBdr>
                <w:top w:val="none" w:sz="0" w:space="0" w:color="auto"/>
                <w:left w:val="none" w:sz="0" w:space="0" w:color="auto"/>
                <w:bottom w:val="none" w:sz="0" w:space="0" w:color="auto"/>
                <w:right w:val="none" w:sz="0" w:space="0" w:color="auto"/>
              </w:divBdr>
            </w:div>
            <w:div w:id="991955380">
              <w:marLeft w:val="0"/>
              <w:marRight w:val="0"/>
              <w:marTop w:val="0"/>
              <w:marBottom w:val="0"/>
              <w:divBdr>
                <w:top w:val="none" w:sz="0" w:space="0" w:color="auto"/>
                <w:left w:val="none" w:sz="0" w:space="0" w:color="auto"/>
                <w:bottom w:val="none" w:sz="0" w:space="0" w:color="auto"/>
                <w:right w:val="none" w:sz="0" w:space="0" w:color="auto"/>
              </w:divBdr>
            </w:div>
            <w:div w:id="1029061716">
              <w:marLeft w:val="0"/>
              <w:marRight w:val="0"/>
              <w:marTop w:val="0"/>
              <w:marBottom w:val="0"/>
              <w:divBdr>
                <w:top w:val="none" w:sz="0" w:space="0" w:color="auto"/>
                <w:left w:val="none" w:sz="0" w:space="0" w:color="auto"/>
                <w:bottom w:val="none" w:sz="0" w:space="0" w:color="auto"/>
                <w:right w:val="none" w:sz="0" w:space="0" w:color="auto"/>
              </w:divBdr>
            </w:div>
            <w:div w:id="2015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7929">
      <w:bodyDiv w:val="1"/>
      <w:marLeft w:val="0"/>
      <w:marRight w:val="0"/>
      <w:marTop w:val="0"/>
      <w:marBottom w:val="0"/>
      <w:divBdr>
        <w:top w:val="none" w:sz="0" w:space="0" w:color="auto"/>
        <w:left w:val="none" w:sz="0" w:space="0" w:color="auto"/>
        <w:bottom w:val="none" w:sz="0" w:space="0" w:color="auto"/>
        <w:right w:val="none" w:sz="0" w:space="0" w:color="auto"/>
      </w:divBdr>
    </w:div>
    <w:div w:id="1372458645">
      <w:bodyDiv w:val="1"/>
      <w:marLeft w:val="0"/>
      <w:marRight w:val="0"/>
      <w:marTop w:val="0"/>
      <w:marBottom w:val="0"/>
      <w:divBdr>
        <w:top w:val="none" w:sz="0" w:space="0" w:color="auto"/>
        <w:left w:val="none" w:sz="0" w:space="0" w:color="auto"/>
        <w:bottom w:val="none" w:sz="0" w:space="0" w:color="auto"/>
        <w:right w:val="none" w:sz="0" w:space="0" w:color="auto"/>
      </w:divBdr>
      <w:divsChild>
        <w:div w:id="214126840">
          <w:marLeft w:val="0"/>
          <w:marRight w:val="0"/>
          <w:marTop w:val="0"/>
          <w:marBottom w:val="0"/>
          <w:divBdr>
            <w:top w:val="none" w:sz="0" w:space="0" w:color="auto"/>
            <w:left w:val="none" w:sz="0" w:space="0" w:color="auto"/>
            <w:bottom w:val="none" w:sz="0" w:space="0" w:color="auto"/>
            <w:right w:val="none" w:sz="0" w:space="0" w:color="auto"/>
          </w:divBdr>
        </w:div>
        <w:div w:id="246808840">
          <w:marLeft w:val="0"/>
          <w:marRight w:val="0"/>
          <w:marTop w:val="0"/>
          <w:marBottom w:val="0"/>
          <w:divBdr>
            <w:top w:val="none" w:sz="0" w:space="0" w:color="auto"/>
            <w:left w:val="none" w:sz="0" w:space="0" w:color="auto"/>
            <w:bottom w:val="none" w:sz="0" w:space="0" w:color="auto"/>
            <w:right w:val="none" w:sz="0" w:space="0" w:color="auto"/>
          </w:divBdr>
        </w:div>
        <w:div w:id="1765102376">
          <w:marLeft w:val="0"/>
          <w:marRight w:val="0"/>
          <w:marTop w:val="0"/>
          <w:marBottom w:val="0"/>
          <w:divBdr>
            <w:top w:val="none" w:sz="0" w:space="0" w:color="auto"/>
            <w:left w:val="none" w:sz="0" w:space="0" w:color="auto"/>
            <w:bottom w:val="none" w:sz="0" w:space="0" w:color="auto"/>
            <w:right w:val="none" w:sz="0" w:space="0" w:color="auto"/>
          </w:divBdr>
        </w:div>
        <w:div w:id="1766420722">
          <w:marLeft w:val="0"/>
          <w:marRight w:val="0"/>
          <w:marTop w:val="0"/>
          <w:marBottom w:val="0"/>
          <w:divBdr>
            <w:top w:val="none" w:sz="0" w:space="0" w:color="auto"/>
            <w:left w:val="none" w:sz="0" w:space="0" w:color="auto"/>
            <w:bottom w:val="none" w:sz="0" w:space="0" w:color="auto"/>
            <w:right w:val="none" w:sz="0" w:space="0" w:color="auto"/>
          </w:divBdr>
        </w:div>
        <w:div w:id="1929845884">
          <w:marLeft w:val="0"/>
          <w:marRight w:val="0"/>
          <w:marTop w:val="0"/>
          <w:marBottom w:val="0"/>
          <w:divBdr>
            <w:top w:val="none" w:sz="0" w:space="0" w:color="auto"/>
            <w:left w:val="none" w:sz="0" w:space="0" w:color="auto"/>
            <w:bottom w:val="none" w:sz="0" w:space="0" w:color="auto"/>
            <w:right w:val="none" w:sz="0" w:space="0" w:color="auto"/>
          </w:divBdr>
        </w:div>
      </w:divsChild>
    </w:div>
    <w:div w:id="1379010764">
      <w:bodyDiv w:val="1"/>
      <w:marLeft w:val="0"/>
      <w:marRight w:val="0"/>
      <w:marTop w:val="0"/>
      <w:marBottom w:val="0"/>
      <w:divBdr>
        <w:top w:val="none" w:sz="0" w:space="0" w:color="auto"/>
        <w:left w:val="none" w:sz="0" w:space="0" w:color="auto"/>
        <w:bottom w:val="none" w:sz="0" w:space="0" w:color="auto"/>
        <w:right w:val="none" w:sz="0" w:space="0" w:color="auto"/>
      </w:divBdr>
    </w:div>
    <w:div w:id="1430541346">
      <w:bodyDiv w:val="1"/>
      <w:marLeft w:val="0"/>
      <w:marRight w:val="0"/>
      <w:marTop w:val="0"/>
      <w:marBottom w:val="0"/>
      <w:divBdr>
        <w:top w:val="none" w:sz="0" w:space="0" w:color="auto"/>
        <w:left w:val="none" w:sz="0" w:space="0" w:color="auto"/>
        <w:bottom w:val="none" w:sz="0" w:space="0" w:color="auto"/>
        <w:right w:val="none" w:sz="0" w:space="0" w:color="auto"/>
      </w:divBdr>
    </w:div>
    <w:div w:id="1452554770">
      <w:bodyDiv w:val="1"/>
      <w:marLeft w:val="0"/>
      <w:marRight w:val="0"/>
      <w:marTop w:val="0"/>
      <w:marBottom w:val="0"/>
      <w:divBdr>
        <w:top w:val="none" w:sz="0" w:space="0" w:color="auto"/>
        <w:left w:val="none" w:sz="0" w:space="0" w:color="auto"/>
        <w:bottom w:val="none" w:sz="0" w:space="0" w:color="auto"/>
        <w:right w:val="none" w:sz="0" w:space="0" w:color="auto"/>
      </w:divBdr>
    </w:div>
    <w:div w:id="1485201744">
      <w:bodyDiv w:val="1"/>
      <w:marLeft w:val="0"/>
      <w:marRight w:val="0"/>
      <w:marTop w:val="0"/>
      <w:marBottom w:val="0"/>
      <w:divBdr>
        <w:top w:val="none" w:sz="0" w:space="0" w:color="auto"/>
        <w:left w:val="none" w:sz="0" w:space="0" w:color="auto"/>
        <w:bottom w:val="none" w:sz="0" w:space="0" w:color="auto"/>
        <w:right w:val="none" w:sz="0" w:space="0" w:color="auto"/>
      </w:divBdr>
    </w:div>
    <w:div w:id="1526164530">
      <w:bodyDiv w:val="1"/>
      <w:marLeft w:val="0"/>
      <w:marRight w:val="0"/>
      <w:marTop w:val="0"/>
      <w:marBottom w:val="0"/>
      <w:divBdr>
        <w:top w:val="none" w:sz="0" w:space="0" w:color="auto"/>
        <w:left w:val="none" w:sz="0" w:space="0" w:color="auto"/>
        <w:bottom w:val="none" w:sz="0" w:space="0" w:color="auto"/>
        <w:right w:val="none" w:sz="0" w:space="0" w:color="auto"/>
      </w:divBdr>
      <w:divsChild>
        <w:div w:id="56901985">
          <w:marLeft w:val="0"/>
          <w:marRight w:val="0"/>
          <w:marTop w:val="0"/>
          <w:marBottom w:val="0"/>
          <w:divBdr>
            <w:top w:val="none" w:sz="0" w:space="0" w:color="auto"/>
            <w:left w:val="none" w:sz="0" w:space="0" w:color="auto"/>
            <w:bottom w:val="none" w:sz="0" w:space="0" w:color="auto"/>
            <w:right w:val="none" w:sz="0" w:space="0" w:color="auto"/>
          </w:divBdr>
          <w:divsChild>
            <w:div w:id="79954103">
              <w:marLeft w:val="0"/>
              <w:marRight w:val="0"/>
              <w:marTop w:val="0"/>
              <w:marBottom w:val="0"/>
              <w:divBdr>
                <w:top w:val="none" w:sz="0" w:space="0" w:color="auto"/>
                <w:left w:val="none" w:sz="0" w:space="0" w:color="auto"/>
                <w:bottom w:val="none" w:sz="0" w:space="0" w:color="auto"/>
                <w:right w:val="none" w:sz="0" w:space="0" w:color="auto"/>
              </w:divBdr>
            </w:div>
          </w:divsChild>
        </w:div>
        <w:div w:id="94137297">
          <w:marLeft w:val="0"/>
          <w:marRight w:val="0"/>
          <w:marTop w:val="0"/>
          <w:marBottom w:val="0"/>
          <w:divBdr>
            <w:top w:val="none" w:sz="0" w:space="0" w:color="auto"/>
            <w:left w:val="none" w:sz="0" w:space="0" w:color="auto"/>
            <w:bottom w:val="none" w:sz="0" w:space="0" w:color="auto"/>
            <w:right w:val="none" w:sz="0" w:space="0" w:color="auto"/>
          </w:divBdr>
          <w:divsChild>
            <w:div w:id="232548676">
              <w:marLeft w:val="0"/>
              <w:marRight w:val="0"/>
              <w:marTop w:val="0"/>
              <w:marBottom w:val="0"/>
              <w:divBdr>
                <w:top w:val="none" w:sz="0" w:space="0" w:color="auto"/>
                <w:left w:val="none" w:sz="0" w:space="0" w:color="auto"/>
                <w:bottom w:val="none" w:sz="0" w:space="0" w:color="auto"/>
                <w:right w:val="none" w:sz="0" w:space="0" w:color="auto"/>
              </w:divBdr>
            </w:div>
          </w:divsChild>
        </w:div>
        <w:div w:id="99767020">
          <w:marLeft w:val="0"/>
          <w:marRight w:val="0"/>
          <w:marTop w:val="0"/>
          <w:marBottom w:val="0"/>
          <w:divBdr>
            <w:top w:val="none" w:sz="0" w:space="0" w:color="auto"/>
            <w:left w:val="none" w:sz="0" w:space="0" w:color="auto"/>
            <w:bottom w:val="none" w:sz="0" w:space="0" w:color="auto"/>
            <w:right w:val="none" w:sz="0" w:space="0" w:color="auto"/>
          </w:divBdr>
          <w:divsChild>
            <w:div w:id="1151142759">
              <w:marLeft w:val="0"/>
              <w:marRight w:val="0"/>
              <w:marTop w:val="0"/>
              <w:marBottom w:val="0"/>
              <w:divBdr>
                <w:top w:val="none" w:sz="0" w:space="0" w:color="auto"/>
                <w:left w:val="none" w:sz="0" w:space="0" w:color="auto"/>
                <w:bottom w:val="none" w:sz="0" w:space="0" w:color="auto"/>
                <w:right w:val="none" w:sz="0" w:space="0" w:color="auto"/>
              </w:divBdr>
            </w:div>
          </w:divsChild>
        </w:div>
        <w:div w:id="152189563">
          <w:marLeft w:val="0"/>
          <w:marRight w:val="0"/>
          <w:marTop w:val="0"/>
          <w:marBottom w:val="0"/>
          <w:divBdr>
            <w:top w:val="none" w:sz="0" w:space="0" w:color="auto"/>
            <w:left w:val="none" w:sz="0" w:space="0" w:color="auto"/>
            <w:bottom w:val="none" w:sz="0" w:space="0" w:color="auto"/>
            <w:right w:val="none" w:sz="0" w:space="0" w:color="auto"/>
          </w:divBdr>
          <w:divsChild>
            <w:div w:id="50269916">
              <w:marLeft w:val="0"/>
              <w:marRight w:val="0"/>
              <w:marTop w:val="0"/>
              <w:marBottom w:val="0"/>
              <w:divBdr>
                <w:top w:val="none" w:sz="0" w:space="0" w:color="auto"/>
                <w:left w:val="none" w:sz="0" w:space="0" w:color="auto"/>
                <w:bottom w:val="none" w:sz="0" w:space="0" w:color="auto"/>
                <w:right w:val="none" w:sz="0" w:space="0" w:color="auto"/>
              </w:divBdr>
            </w:div>
          </w:divsChild>
        </w:div>
        <w:div w:id="152917419">
          <w:marLeft w:val="0"/>
          <w:marRight w:val="0"/>
          <w:marTop w:val="0"/>
          <w:marBottom w:val="0"/>
          <w:divBdr>
            <w:top w:val="none" w:sz="0" w:space="0" w:color="auto"/>
            <w:left w:val="none" w:sz="0" w:space="0" w:color="auto"/>
            <w:bottom w:val="none" w:sz="0" w:space="0" w:color="auto"/>
            <w:right w:val="none" w:sz="0" w:space="0" w:color="auto"/>
          </w:divBdr>
          <w:divsChild>
            <w:div w:id="405566839">
              <w:marLeft w:val="0"/>
              <w:marRight w:val="0"/>
              <w:marTop w:val="0"/>
              <w:marBottom w:val="0"/>
              <w:divBdr>
                <w:top w:val="none" w:sz="0" w:space="0" w:color="auto"/>
                <w:left w:val="none" w:sz="0" w:space="0" w:color="auto"/>
                <w:bottom w:val="none" w:sz="0" w:space="0" w:color="auto"/>
                <w:right w:val="none" w:sz="0" w:space="0" w:color="auto"/>
              </w:divBdr>
            </w:div>
          </w:divsChild>
        </w:div>
        <w:div w:id="203366716">
          <w:marLeft w:val="0"/>
          <w:marRight w:val="0"/>
          <w:marTop w:val="0"/>
          <w:marBottom w:val="0"/>
          <w:divBdr>
            <w:top w:val="none" w:sz="0" w:space="0" w:color="auto"/>
            <w:left w:val="none" w:sz="0" w:space="0" w:color="auto"/>
            <w:bottom w:val="none" w:sz="0" w:space="0" w:color="auto"/>
            <w:right w:val="none" w:sz="0" w:space="0" w:color="auto"/>
          </w:divBdr>
          <w:divsChild>
            <w:div w:id="1300307016">
              <w:marLeft w:val="0"/>
              <w:marRight w:val="0"/>
              <w:marTop w:val="0"/>
              <w:marBottom w:val="0"/>
              <w:divBdr>
                <w:top w:val="none" w:sz="0" w:space="0" w:color="auto"/>
                <w:left w:val="none" w:sz="0" w:space="0" w:color="auto"/>
                <w:bottom w:val="none" w:sz="0" w:space="0" w:color="auto"/>
                <w:right w:val="none" w:sz="0" w:space="0" w:color="auto"/>
              </w:divBdr>
            </w:div>
          </w:divsChild>
        </w:div>
        <w:div w:id="205336661">
          <w:marLeft w:val="0"/>
          <w:marRight w:val="0"/>
          <w:marTop w:val="0"/>
          <w:marBottom w:val="0"/>
          <w:divBdr>
            <w:top w:val="none" w:sz="0" w:space="0" w:color="auto"/>
            <w:left w:val="none" w:sz="0" w:space="0" w:color="auto"/>
            <w:bottom w:val="none" w:sz="0" w:space="0" w:color="auto"/>
            <w:right w:val="none" w:sz="0" w:space="0" w:color="auto"/>
          </w:divBdr>
          <w:divsChild>
            <w:div w:id="1978290712">
              <w:marLeft w:val="0"/>
              <w:marRight w:val="0"/>
              <w:marTop w:val="0"/>
              <w:marBottom w:val="0"/>
              <w:divBdr>
                <w:top w:val="none" w:sz="0" w:space="0" w:color="auto"/>
                <w:left w:val="none" w:sz="0" w:space="0" w:color="auto"/>
                <w:bottom w:val="none" w:sz="0" w:space="0" w:color="auto"/>
                <w:right w:val="none" w:sz="0" w:space="0" w:color="auto"/>
              </w:divBdr>
            </w:div>
          </w:divsChild>
        </w:div>
        <w:div w:id="262492148">
          <w:marLeft w:val="0"/>
          <w:marRight w:val="0"/>
          <w:marTop w:val="0"/>
          <w:marBottom w:val="0"/>
          <w:divBdr>
            <w:top w:val="none" w:sz="0" w:space="0" w:color="auto"/>
            <w:left w:val="none" w:sz="0" w:space="0" w:color="auto"/>
            <w:bottom w:val="none" w:sz="0" w:space="0" w:color="auto"/>
            <w:right w:val="none" w:sz="0" w:space="0" w:color="auto"/>
          </w:divBdr>
          <w:divsChild>
            <w:div w:id="1767992478">
              <w:marLeft w:val="0"/>
              <w:marRight w:val="0"/>
              <w:marTop w:val="0"/>
              <w:marBottom w:val="0"/>
              <w:divBdr>
                <w:top w:val="none" w:sz="0" w:space="0" w:color="auto"/>
                <w:left w:val="none" w:sz="0" w:space="0" w:color="auto"/>
                <w:bottom w:val="none" w:sz="0" w:space="0" w:color="auto"/>
                <w:right w:val="none" w:sz="0" w:space="0" w:color="auto"/>
              </w:divBdr>
            </w:div>
          </w:divsChild>
        </w:div>
        <w:div w:id="263732748">
          <w:marLeft w:val="0"/>
          <w:marRight w:val="0"/>
          <w:marTop w:val="0"/>
          <w:marBottom w:val="0"/>
          <w:divBdr>
            <w:top w:val="none" w:sz="0" w:space="0" w:color="auto"/>
            <w:left w:val="none" w:sz="0" w:space="0" w:color="auto"/>
            <w:bottom w:val="none" w:sz="0" w:space="0" w:color="auto"/>
            <w:right w:val="none" w:sz="0" w:space="0" w:color="auto"/>
          </w:divBdr>
          <w:divsChild>
            <w:div w:id="29960762">
              <w:marLeft w:val="0"/>
              <w:marRight w:val="0"/>
              <w:marTop w:val="0"/>
              <w:marBottom w:val="0"/>
              <w:divBdr>
                <w:top w:val="none" w:sz="0" w:space="0" w:color="auto"/>
                <w:left w:val="none" w:sz="0" w:space="0" w:color="auto"/>
                <w:bottom w:val="none" w:sz="0" w:space="0" w:color="auto"/>
                <w:right w:val="none" w:sz="0" w:space="0" w:color="auto"/>
              </w:divBdr>
            </w:div>
          </w:divsChild>
        </w:div>
        <w:div w:id="366295404">
          <w:marLeft w:val="0"/>
          <w:marRight w:val="0"/>
          <w:marTop w:val="0"/>
          <w:marBottom w:val="0"/>
          <w:divBdr>
            <w:top w:val="none" w:sz="0" w:space="0" w:color="auto"/>
            <w:left w:val="none" w:sz="0" w:space="0" w:color="auto"/>
            <w:bottom w:val="none" w:sz="0" w:space="0" w:color="auto"/>
            <w:right w:val="none" w:sz="0" w:space="0" w:color="auto"/>
          </w:divBdr>
          <w:divsChild>
            <w:div w:id="1567912061">
              <w:marLeft w:val="0"/>
              <w:marRight w:val="0"/>
              <w:marTop w:val="0"/>
              <w:marBottom w:val="0"/>
              <w:divBdr>
                <w:top w:val="none" w:sz="0" w:space="0" w:color="auto"/>
                <w:left w:val="none" w:sz="0" w:space="0" w:color="auto"/>
                <w:bottom w:val="none" w:sz="0" w:space="0" w:color="auto"/>
                <w:right w:val="none" w:sz="0" w:space="0" w:color="auto"/>
              </w:divBdr>
            </w:div>
          </w:divsChild>
        </w:div>
        <w:div w:id="368074230">
          <w:marLeft w:val="0"/>
          <w:marRight w:val="0"/>
          <w:marTop w:val="0"/>
          <w:marBottom w:val="0"/>
          <w:divBdr>
            <w:top w:val="none" w:sz="0" w:space="0" w:color="auto"/>
            <w:left w:val="none" w:sz="0" w:space="0" w:color="auto"/>
            <w:bottom w:val="none" w:sz="0" w:space="0" w:color="auto"/>
            <w:right w:val="none" w:sz="0" w:space="0" w:color="auto"/>
          </w:divBdr>
          <w:divsChild>
            <w:div w:id="1273130045">
              <w:marLeft w:val="0"/>
              <w:marRight w:val="0"/>
              <w:marTop w:val="0"/>
              <w:marBottom w:val="0"/>
              <w:divBdr>
                <w:top w:val="none" w:sz="0" w:space="0" w:color="auto"/>
                <w:left w:val="none" w:sz="0" w:space="0" w:color="auto"/>
                <w:bottom w:val="none" w:sz="0" w:space="0" w:color="auto"/>
                <w:right w:val="none" w:sz="0" w:space="0" w:color="auto"/>
              </w:divBdr>
            </w:div>
          </w:divsChild>
        </w:div>
        <w:div w:id="393815536">
          <w:marLeft w:val="0"/>
          <w:marRight w:val="0"/>
          <w:marTop w:val="0"/>
          <w:marBottom w:val="0"/>
          <w:divBdr>
            <w:top w:val="none" w:sz="0" w:space="0" w:color="auto"/>
            <w:left w:val="none" w:sz="0" w:space="0" w:color="auto"/>
            <w:bottom w:val="none" w:sz="0" w:space="0" w:color="auto"/>
            <w:right w:val="none" w:sz="0" w:space="0" w:color="auto"/>
          </w:divBdr>
          <w:divsChild>
            <w:div w:id="304049387">
              <w:marLeft w:val="0"/>
              <w:marRight w:val="0"/>
              <w:marTop w:val="0"/>
              <w:marBottom w:val="0"/>
              <w:divBdr>
                <w:top w:val="none" w:sz="0" w:space="0" w:color="auto"/>
                <w:left w:val="none" w:sz="0" w:space="0" w:color="auto"/>
                <w:bottom w:val="none" w:sz="0" w:space="0" w:color="auto"/>
                <w:right w:val="none" w:sz="0" w:space="0" w:color="auto"/>
              </w:divBdr>
            </w:div>
          </w:divsChild>
        </w:div>
        <w:div w:id="413937842">
          <w:marLeft w:val="0"/>
          <w:marRight w:val="0"/>
          <w:marTop w:val="0"/>
          <w:marBottom w:val="0"/>
          <w:divBdr>
            <w:top w:val="none" w:sz="0" w:space="0" w:color="auto"/>
            <w:left w:val="none" w:sz="0" w:space="0" w:color="auto"/>
            <w:bottom w:val="none" w:sz="0" w:space="0" w:color="auto"/>
            <w:right w:val="none" w:sz="0" w:space="0" w:color="auto"/>
          </w:divBdr>
          <w:divsChild>
            <w:div w:id="293994583">
              <w:marLeft w:val="0"/>
              <w:marRight w:val="0"/>
              <w:marTop w:val="0"/>
              <w:marBottom w:val="0"/>
              <w:divBdr>
                <w:top w:val="none" w:sz="0" w:space="0" w:color="auto"/>
                <w:left w:val="none" w:sz="0" w:space="0" w:color="auto"/>
                <w:bottom w:val="none" w:sz="0" w:space="0" w:color="auto"/>
                <w:right w:val="none" w:sz="0" w:space="0" w:color="auto"/>
              </w:divBdr>
            </w:div>
          </w:divsChild>
        </w:div>
        <w:div w:id="421727252">
          <w:marLeft w:val="0"/>
          <w:marRight w:val="0"/>
          <w:marTop w:val="0"/>
          <w:marBottom w:val="0"/>
          <w:divBdr>
            <w:top w:val="none" w:sz="0" w:space="0" w:color="auto"/>
            <w:left w:val="none" w:sz="0" w:space="0" w:color="auto"/>
            <w:bottom w:val="none" w:sz="0" w:space="0" w:color="auto"/>
            <w:right w:val="none" w:sz="0" w:space="0" w:color="auto"/>
          </w:divBdr>
          <w:divsChild>
            <w:div w:id="1500580809">
              <w:marLeft w:val="0"/>
              <w:marRight w:val="0"/>
              <w:marTop w:val="0"/>
              <w:marBottom w:val="0"/>
              <w:divBdr>
                <w:top w:val="none" w:sz="0" w:space="0" w:color="auto"/>
                <w:left w:val="none" w:sz="0" w:space="0" w:color="auto"/>
                <w:bottom w:val="none" w:sz="0" w:space="0" w:color="auto"/>
                <w:right w:val="none" w:sz="0" w:space="0" w:color="auto"/>
              </w:divBdr>
            </w:div>
          </w:divsChild>
        </w:div>
        <w:div w:id="430862297">
          <w:marLeft w:val="0"/>
          <w:marRight w:val="0"/>
          <w:marTop w:val="0"/>
          <w:marBottom w:val="0"/>
          <w:divBdr>
            <w:top w:val="none" w:sz="0" w:space="0" w:color="auto"/>
            <w:left w:val="none" w:sz="0" w:space="0" w:color="auto"/>
            <w:bottom w:val="none" w:sz="0" w:space="0" w:color="auto"/>
            <w:right w:val="none" w:sz="0" w:space="0" w:color="auto"/>
          </w:divBdr>
          <w:divsChild>
            <w:div w:id="602229612">
              <w:marLeft w:val="0"/>
              <w:marRight w:val="0"/>
              <w:marTop w:val="0"/>
              <w:marBottom w:val="0"/>
              <w:divBdr>
                <w:top w:val="none" w:sz="0" w:space="0" w:color="auto"/>
                <w:left w:val="none" w:sz="0" w:space="0" w:color="auto"/>
                <w:bottom w:val="none" w:sz="0" w:space="0" w:color="auto"/>
                <w:right w:val="none" w:sz="0" w:space="0" w:color="auto"/>
              </w:divBdr>
            </w:div>
          </w:divsChild>
        </w:div>
        <w:div w:id="458492593">
          <w:marLeft w:val="0"/>
          <w:marRight w:val="0"/>
          <w:marTop w:val="0"/>
          <w:marBottom w:val="0"/>
          <w:divBdr>
            <w:top w:val="none" w:sz="0" w:space="0" w:color="auto"/>
            <w:left w:val="none" w:sz="0" w:space="0" w:color="auto"/>
            <w:bottom w:val="none" w:sz="0" w:space="0" w:color="auto"/>
            <w:right w:val="none" w:sz="0" w:space="0" w:color="auto"/>
          </w:divBdr>
          <w:divsChild>
            <w:div w:id="1311206785">
              <w:marLeft w:val="0"/>
              <w:marRight w:val="0"/>
              <w:marTop w:val="0"/>
              <w:marBottom w:val="0"/>
              <w:divBdr>
                <w:top w:val="none" w:sz="0" w:space="0" w:color="auto"/>
                <w:left w:val="none" w:sz="0" w:space="0" w:color="auto"/>
                <w:bottom w:val="none" w:sz="0" w:space="0" w:color="auto"/>
                <w:right w:val="none" w:sz="0" w:space="0" w:color="auto"/>
              </w:divBdr>
            </w:div>
          </w:divsChild>
        </w:div>
        <w:div w:id="474877619">
          <w:marLeft w:val="0"/>
          <w:marRight w:val="0"/>
          <w:marTop w:val="0"/>
          <w:marBottom w:val="0"/>
          <w:divBdr>
            <w:top w:val="none" w:sz="0" w:space="0" w:color="auto"/>
            <w:left w:val="none" w:sz="0" w:space="0" w:color="auto"/>
            <w:bottom w:val="none" w:sz="0" w:space="0" w:color="auto"/>
            <w:right w:val="none" w:sz="0" w:space="0" w:color="auto"/>
          </w:divBdr>
          <w:divsChild>
            <w:div w:id="1051614539">
              <w:marLeft w:val="0"/>
              <w:marRight w:val="0"/>
              <w:marTop w:val="0"/>
              <w:marBottom w:val="0"/>
              <w:divBdr>
                <w:top w:val="none" w:sz="0" w:space="0" w:color="auto"/>
                <w:left w:val="none" w:sz="0" w:space="0" w:color="auto"/>
                <w:bottom w:val="none" w:sz="0" w:space="0" w:color="auto"/>
                <w:right w:val="none" w:sz="0" w:space="0" w:color="auto"/>
              </w:divBdr>
            </w:div>
          </w:divsChild>
        </w:div>
        <w:div w:id="481965693">
          <w:marLeft w:val="0"/>
          <w:marRight w:val="0"/>
          <w:marTop w:val="0"/>
          <w:marBottom w:val="0"/>
          <w:divBdr>
            <w:top w:val="none" w:sz="0" w:space="0" w:color="auto"/>
            <w:left w:val="none" w:sz="0" w:space="0" w:color="auto"/>
            <w:bottom w:val="none" w:sz="0" w:space="0" w:color="auto"/>
            <w:right w:val="none" w:sz="0" w:space="0" w:color="auto"/>
          </w:divBdr>
          <w:divsChild>
            <w:div w:id="617613627">
              <w:marLeft w:val="0"/>
              <w:marRight w:val="0"/>
              <w:marTop w:val="0"/>
              <w:marBottom w:val="0"/>
              <w:divBdr>
                <w:top w:val="none" w:sz="0" w:space="0" w:color="auto"/>
                <w:left w:val="none" w:sz="0" w:space="0" w:color="auto"/>
                <w:bottom w:val="none" w:sz="0" w:space="0" w:color="auto"/>
                <w:right w:val="none" w:sz="0" w:space="0" w:color="auto"/>
              </w:divBdr>
            </w:div>
          </w:divsChild>
        </w:div>
        <w:div w:id="515577544">
          <w:marLeft w:val="0"/>
          <w:marRight w:val="0"/>
          <w:marTop w:val="0"/>
          <w:marBottom w:val="0"/>
          <w:divBdr>
            <w:top w:val="none" w:sz="0" w:space="0" w:color="auto"/>
            <w:left w:val="none" w:sz="0" w:space="0" w:color="auto"/>
            <w:bottom w:val="none" w:sz="0" w:space="0" w:color="auto"/>
            <w:right w:val="none" w:sz="0" w:space="0" w:color="auto"/>
          </w:divBdr>
          <w:divsChild>
            <w:div w:id="264459888">
              <w:marLeft w:val="0"/>
              <w:marRight w:val="0"/>
              <w:marTop w:val="0"/>
              <w:marBottom w:val="0"/>
              <w:divBdr>
                <w:top w:val="none" w:sz="0" w:space="0" w:color="auto"/>
                <w:left w:val="none" w:sz="0" w:space="0" w:color="auto"/>
                <w:bottom w:val="none" w:sz="0" w:space="0" w:color="auto"/>
                <w:right w:val="none" w:sz="0" w:space="0" w:color="auto"/>
              </w:divBdr>
            </w:div>
          </w:divsChild>
        </w:div>
        <w:div w:id="547567317">
          <w:marLeft w:val="0"/>
          <w:marRight w:val="0"/>
          <w:marTop w:val="0"/>
          <w:marBottom w:val="0"/>
          <w:divBdr>
            <w:top w:val="none" w:sz="0" w:space="0" w:color="auto"/>
            <w:left w:val="none" w:sz="0" w:space="0" w:color="auto"/>
            <w:bottom w:val="none" w:sz="0" w:space="0" w:color="auto"/>
            <w:right w:val="none" w:sz="0" w:space="0" w:color="auto"/>
          </w:divBdr>
          <w:divsChild>
            <w:div w:id="1535802791">
              <w:marLeft w:val="0"/>
              <w:marRight w:val="0"/>
              <w:marTop w:val="0"/>
              <w:marBottom w:val="0"/>
              <w:divBdr>
                <w:top w:val="none" w:sz="0" w:space="0" w:color="auto"/>
                <w:left w:val="none" w:sz="0" w:space="0" w:color="auto"/>
                <w:bottom w:val="none" w:sz="0" w:space="0" w:color="auto"/>
                <w:right w:val="none" w:sz="0" w:space="0" w:color="auto"/>
              </w:divBdr>
            </w:div>
          </w:divsChild>
        </w:div>
        <w:div w:id="654068453">
          <w:marLeft w:val="0"/>
          <w:marRight w:val="0"/>
          <w:marTop w:val="0"/>
          <w:marBottom w:val="0"/>
          <w:divBdr>
            <w:top w:val="none" w:sz="0" w:space="0" w:color="auto"/>
            <w:left w:val="none" w:sz="0" w:space="0" w:color="auto"/>
            <w:bottom w:val="none" w:sz="0" w:space="0" w:color="auto"/>
            <w:right w:val="none" w:sz="0" w:space="0" w:color="auto"/>
          </w:divBdr>
          <w:divsChild>
            <w:div w:id="316493003">
              <w:marLeft w:val="0"/>
              <w:marRight w:val="0"/>
              <w:marTop w:val="0"/>
              <w:marBottom w:val="0"/>
              <w:divBdr>
                <w:top w:val="none" w:sz="0" w:space="0" w:color="auto"/>
                <w:left w:val="none" w:sz="0" w:space="0" w:color="auto"/>
                <w:bottom w:val="none" w:sz="0" w:space="0" w:color="auto"/>
                <w:right w:val="none" w:sz="0" w:space="0" w:color="auto"/>
              </w:divBdr>
            </w:div>
          </w:divsChild>
        </w:div>
        <w:div w:id="659163466">
          <w:marLeft w:val="0"/>
          <w:marRight w:val="0"/>
          <w:marTop w:val="0"/>
          <w:marBottom w:val="0"/>
          <w:divBdr>
            <w:top w:val="none" w:sz="0" w:space="0" w:color="auto"/>
            <w:left w:val="none" w:sz="0" w:space="0" w:color="auto"/>
            <w:bottom w:val="none" w:sz="0" w:space="0" w:color="auto"/>
            <w:right w:val="none" w:sz="0" w:space="0" w:color="auto"/>
          </w:divBdr>
          <w:divsChild>
            <w:div w:id="58599424">
              <w:marLeft w:val="0"/>
              <w:marRight w:val="0"/>
              <w:marTop w:val="0"/>
              <w:marBottom w:val="0"/>
              <w:divBdr>
                <w:top w:val="none" w:sz="0" w:space="0" w:color="auto"/>
                <w:left w:val="none" w:sz="0" w:space="0" w:color="auto"/>
                <w:bottom w:val="none" w:sz="0" w:space="0" w:color="auto"/>
                <w:right w:val="none" w:sz="0" w:space="0" w:color="auto"/>
              </w:divBdr>
            </w:div>
          </w:divsChild>
        </w:div>
        <w:div w:id="736628658">
          <w:marLeft w:val="0"/>
          <w:marRight w:val="0"/>
          <w:marTop w:val="0"/>
          <w:marBottom w:val="0"/>
          <w:divBdr>
            <w:top w:val="none" w:sz="0" w:space="0" w:color="auto"/>
            <w:left w:val="none" w:sz="0" w:space="0" w:color="auto"/>
            <w:bottom w:val="none" w:sz="0" w:space="0" w:color="auto"/>
            <w:right w:val="none" w:sz="0" w:space="0" w:color="auto"/>
          </w:divBdr>
          <w:divsChild>
            <w:div w:id="1098797403">
              <w:marLeft w:val="0"/>
              <w:marRight w:val="0"/>
              <w:marTop w:val="0"/>
              <w:marBottom w:val="0"/>
              <w:divBdr>
                <w:top w:val="none" w:sz="0" w:space="0" w:color="auto"/>
                <w:left w:val="none" w:sz="0" w:space="0" w:color="auto"/>
                <w:bottom w:val="none" w:sz="0" w:space="0" w:color="auto"/>
                <w:right w:val="none" w:sz="0" w:space="0" w:color="auto"/>
              </w:divBdr>
            </w:div>
          </w:divsChild>
        </w:div>
        <w:div w:id="740061615">
          <w:marLeft w:val="0"/>
          <w:marRight w:val="0"/>
          <w:marTop w:val="0"/>
          <w:marBottom w:val="0"/>
          <w:divBdr>
            <w:top w:val="none" w:sz="0" w:space="0" w:color="auto"/>
            <w:left w:val="none" w:sz="0" w:space="0" w:color="auto"/>
            <w:bottom w:val="none" w:sz="0" w:space="0" w:color="auto"/>
            <w:right w:val="none" w:sz="0" w:space="0" w:color="auto"/>
          </w:divBdr>
          <w:divsChild>
            <w:div w:id="2019380701">
              <w:marLeft w:val="0"/>
              <w:marRight w:val="0"/>
              <w:marTop w:val="0"/>
              <w:marBottom w:val="0"/>
              <w:divBdr>
                <w:top w:val="none" w:sz="0" w:space="0" w:color="auto"/>
                <w:left w:val="none" w:sz="0" w:space="0" w:color="auto"/>
                <w:bottom w:val="none" w:sz="0" w:space="0" w:color="auto"/>
                <w:right w:val="none" w:sz="0" w:space="0" w:color="auto"/>
              </w:divBdr>
            </w:div>
          </w:divsChild>
        </w:div>
        <w:div w:id="806048148">
          <w:marLeft w:val="0"/>
          <w:marRight w:val="0"/>
          <w:marTop w:val="0"/>
          <w:marBottom w:val="0"/>
          <w:divBdr>
            <w:top w:val="none" w:sz="0" w:space="0" w:color="auto"/>
            <w:left w:val="none" w:sz="0" w:space="0" w:color="auto"/>
            <w:bottom w:val="none" w:sz="0" w:space="0" w:color="auto"/>
            <w:right w:val="none" w:sz="0" w:space="0" w:color="auto"/>
          </w:divBdr>
          <w:divsChild>
            <w:div w:id="1979414521">
              <w:marLeft w:val="0"/>
              <w:marRight w:val="0"/>
              <w:marTop w:val="0"/>
              <w:marBottom w:val="0"/>
              <w:divBdr>
                <w:top w:val="none" w:sz="0" w:space="0" w:color="auto"/>
                <w:left w:val="none" w:sz="0" w:space="0" w:color="auto"/>
                <w:bottom w:val="none" w:sz="0" w:space="0" w:color="auto"/>
                <w:right w:val="none" w:sz="0" w:space="0" w:color="auto"/>
              </w:divBdr>
            </w:div>
          </w:divsChild>
        </w:div>
        <w:div w:id="808401694">
          <w:marLeft w:val="0"/>
          <w:marRight w:val="0"/>
          <w:marTop w:val="0"/>
          <w:marBottom w:val="0"/>
          <w:divBdr>
            <w:top w:val="none" w:sz="0" w:space="0" w:color="auto"/>
            <w:left w:val="none" w:sz="0" w:space="0" w:color="auto"/>
            <w:bottom w:val="none" w:sz="0" w:space="0" w:color="auto"/>
            <w:right w:val="none" w:sz="0" w:space="0" w:color="auto"/>
          </w:divBdr>
          <w:divsChild>
            <w:div w:id="967858637">
              <w:marLeft w:val="0"/>
              <w:marRight w:val="0"/>
              <w:marTop w:val="0"/>
              <w:marBottom w:val="0"/>
              <w:divBdr>
                <w:top w:val="none" w:sz="0" w:space="0" w:color="auto"/>
                <w:left w:val="none" w:sz="0" w:space="0" w:color="auto"/>
                <w:bottom w:val="none" w:sz="0" w:space="0" w:color="auto"/>
                <w:right w:val="none" w:sz="0" w:space="0" w:color="auto"/>
              </w:divBdr>
            </w:div>
          </w:divsChild>
        </w:div>
        <w:div w:id="816530987">
          <w:marLeft w:val="0"/>
          <w:marRight w:val="0"/>
          <w:marTop w:val="0"/>
          <w:marBottom w:val="0"/>
          <w:divBdr>
            <w:top w:val="none" w:sz="0" w:space="0" w:color="auto"/>
            <w:left w:val="none" w:sz="0" w:space="0" w:color="auto"/>
            <w:bottom w:val="none" w:sz="0" w:space="0" w:color="auto"/>
            <w:right w:val="none" w:sz="0" w:space="0" w:color="auto"/>
          </w:divBdr>
          <w:divsChild>
            <w:div w:id="1702973443">
              <w:marLeft w:val="0"/>
              <w:marRight w:val="0"/>
              <w:marTop w:val="0"/>
              <w:marBottom w:val="0"/>
              <w:divBdr>
                <w:top w:val="none" w:sz="0" w:space="0" w:color="auto"/>
                <w:left w:val="none" w:sz="0" w:space="0" w:color="auto"/>
                <w:bottom w:val="none" w:sz="0" w:space="0" w:color="auto"/>
                <w:right w:val="none" w:sz="0" w:space="0" w:color="auto"/>
              </w:divBdr>
            </w:div>
          </w:divsChild>
        </w:div>
        <w:div w:id="833570678">
          <w:marLeft w:val="0"/>
          <w:marRight w:val="0"/>
          <w:marTop w:val="0"/>
          <w:marBottom w:val="0"/>
          <w:divBdr>
            <w:top w:val="none" w:sz="0" w:space="0" w:color="auto"/>
            <w:left w:val="none" w:sz="0" w:space="0" w:color="auto"/>
            <w:bottom w:val="none" w:sz="0" w:space="0" w:color="auto"/>
            <w:right w:val="none" w:sz="0" w:space="0" w:color="auto"/>
          </w:divBdr>
          <w:divsChild>
            <w:div w:id="1676767801">
              <w:marLeft w:val="0"/>
              <w:marRight w:val="0"/>
              <w:marTop w:val="0"/>
              <w:marBottom w:val="0"/>
              <w:divBdr>
                <w:top w:val="none" w:sz="0" w:space="0" w:color="auto"/>
                <w:left w:val="none" w:sz="0" w:space="0" w:color="auto"/>
                <w:bottom w:val="none" w:sz="0" w:space="0" w:color="auto"/>
                <w:right w:val="none" w:sz="0" w:space="0" w:color="auto"/>
              </w:divBdr>
            </w:div>
          </w:divsChild>
        </w:div>
        <w:div w:id="895971619">
          <w:marLeft w:val="0"/>
          <w:marRight w:val="0"/>
          <w:marTop w:val="0"/>
          <w:marBottom w:val="0"/>
          <w:divBdr>
            <w:top w:val="none" w:sz="0" w:space="0" w:color="auto"/>
            <w:left w:val="none" w:sz="0" w:space="0" w:color="auto"/>
            <w:bottom w:val="none" w:sz="0" w:space="0" w:color="auto"/>
            <w:right w:val="none" w:sz="0" w:space="0" w:color="auto"/>
          </w:divBdr>
          <w:divsChild>
            <w:div w:id="1688558640">
              <w:marLeft w:val="0"/>
              <w:marRight w:val="0"/>
              <w:marTop w:val="0"/>
              <w:marBottom w:val="0"/>
              <w:divBdr>
                <w:top w:val="none" w:sz="0" w:space="0" w:color="auto"/>
                <w:left w:val="none" w:sz="0" w:space="0" w:color="auto"/>
                <w:bottom w:val="none" w:sz="0" w:space="0" w:color="auto"/>
                <w:right w:val="none" w:sz="0" w:space="0" w:color="auto"/>
              </w:divBdr>
            </w:div>
          </w:divsChild>
        </w:div>
        <w:div w:id="1055858551">
          <w:marLeft w:val="0"/>
          <w:marRight w:val="0"/>
          <w:marTop w:val="0"/>
          <w:marBottom w:val="0"/>
          <w:divBdr>
            <w:top w:val="none" w:sz="0" w:space="0" w:color="auto"/>
            <w:left w:val="none" w:sz="0" w:space="0" w:color="auto"/>
            <w:bottom w:val="none" w:sz="0" w:space="0" w:color="auto"/>
            <w:right w:val="none" w:sz="0" w:space="0" w:color="auto"/>
          </w:divBdr>
          <w:divsChild>
            <w:div w:id="168954325">
              <w:marLeft w:val="0"/>
              <w:marRight w:val="0"/>
              <w:marTop w:val="0"/>
              <w:marBottom w:val="0"/>
              <w:divBdr>
                <w:top w:val="none" w:sz="0" w:space="0" w:color="auto"/>
                <w:left w:val="none" w:sz="0" w:space="0" w:color="auto"/>
                <w:bottom w:val="none" w:sz="0" w:space="0" w:color="auto"/>
                <w:right w:val="none" w:sz="0" w:space="0" w:color="auto"/>
              </w:divBdr>
            </w:div>
          </w:divsChild>
        </w:div>
        <w:div w:id="1066612598">
          <w:marLeft w:val="0"/>
          <w:marRight w:val="0"/>
          <w:marTop w:val="0"/>
          <w:marBottom w:val="0"/>
          <w:divBdr>
            <w:top w:val="none" w:sz="0" w:space="0" w:color="auto"/>
            <w:left w:val="none" w:sz="0" w:space="0" w:color="auto"/>
            <w:bottom w:val="none" w:sz="0" w:space="0" w:color="auto"/>
            <w:right w:val="none" w:sz="0" w:space="0" w:color="auto"/>
          </w:divBdr>
          <w:divsChild>
            <w:div w:id="649557425">
              <w:marLeft w:val="0"/>
              <w:marRight w:val="0"/>
              <w:marTop w:val="0"/>
              <w:marBottom w:val="0"/>
              <w:divBdr>
                <w:top w:val="none" w:sz="0" w:space="0" w:color="auto"/>
                <w:left w:val="none" w:sz="0" w:space="0" w:color="auto"/>
                <w:bottom w:val="none" w:sz="0" w:space="0" w:color="auto"/>
                <w:right w:val="none" w:sz="0" w:space="0" w:color="auto"/>
              </w:divBdr>
            </w:div>
          </w:divsChild>
        </w:div>
        <w:div w:id="1085881696">
          <w:marLeft w:val="0"/>
          <w:marRight w:val="0"/>
          <w:marTop w:val="0"/>
          <w:marBottom w:val="0"/>
          <w:divBdr>
            <w:top w:val="none" w:sz="0" w:space="0" w:color="auto"/>
            <w:left w:val="none" w:sz="0" w:space="0" w:color="auto"/>
            <w:bottom w:val="none" w:sz="0" w:space="0" w:color="auto"/>
            <w:right w:val="none" w:sz="0" w:space="0" w:color="auto"/>
          </w:divBdr>
          <w:divsChild>
            <w:div w:id="1982343923">
              <w:marLeft w:val="0"/>
              <w:marRight w:val="0"/>
              <w:marTop w:val="0"/>
              <w:marBottom w:val="0"/>
              <w:divBdr>
                <w:top w:val="none" w:sz="0" w:space="0" w:color="auto"/>
                <w:left w:val="none" w:sz="0" w:space="0" w:color="auto"/>
                <w:bottom w:val="none" w:sz="0" w:space="0" w:color="auto"/>
                <w:right w:val="none" w:sz="0" w:space="0" w:color="auto"/>
              </w:divBdr>
            </w:div>
          </w:divsChild>
        </w:div>
        <w:div w:id="1102846502">
          <w:marLeft w:val="0"/>
          <w:marRight w:val="0"/>
          <w:marTop w:val="0"/>
          <w:marBottom w:val="0"/>
          <w:divBdr>
            <w:top w:val="none" w:sz="0" w:space="0" w:color="auto"/>
            <w:left w:val="none" w:sz="0" w:space="0" w:color="auto"/>
            <w:bottom w:val="none" w:sz="0" w:space="0" w:color="auto"/>
            <w:right w:val="none" w:sz="0" w:space="0" w:color="auto"/>
          </w:divBdr>
          <w:divsChild>
            <w:div w:id="928078556">
              <w:marLeft w:val="0"/>
              <w:marRight w:val="0"/>
              <w:marTop w:val="0"/>
              <w:marBottom w:val="0"/>
              <w:divBdr>
                <w:top w:val="none" w:sz="0" w:space="0" w:color="auto"/>
                <w:left w:val="none" w:sz="0" w:space="0" w:color="auto"/>
                <w:bottom w:val="none" w:sz="0" w:space="0" w:color="auto"/>
                <w:right w:val="none" w:sz="0" w:space="0" w:color="auto"/>
              </w:divBdr>
            </w:div>
          </w:divsChild>
        </w:div>
        <w:div w:id="1108164122">
          <w:marLeft w:val="0"/>
          <w:marRight w:val="0"/>
          <w:marTop w:val="0"/>
          <w:marBottom w:val="0"/>
          <w:divBdr>
            <w:top w:val="none" w:sz="0" w:space="0" w:color="auto"/>
            <w:left w:val="none" w:sz="0" w:space="0" w:color="auto"/>
            <w:bottom w:val="none" w:sz="0" w:space="0" w:color="auto"/>
            <w:right w:val="none" w:sz="0" w:space="0" w:color="auto"/>
          </w:divBdr>
          <w:divsChild>
            <w:div w:id="2051683400">
              <w:marLeft w:val="0"/>
              <w:marRight w:val="0"/>
              <w:marTop w:val="0"/>
              <w:marBottom w:val="0"/>
              <w:divBdr>
                <w:top w:val="none" w:sz="0" w:space="0" w:color="auto"/>
                <w:left w:val="none" w:sz="0" w:space="0" w:color="auto"/>
                <w:bottom w:val="none" w:sz="0" w:space="0" w:color="auto"/>
                <w:right w:val="none" w:sz="0" w:space="0" w:color="auto"/>
              </w:divBdr>
            </w:div>
          </w:divsChild>
        </w:div>
        <w:div w:id="1111514933">
          <w:marLeft w:val="0"/>
          <w:marRight w:val="0"/>
          <w:marTop w:val="0"/>
          <w:marBottom w:val="0"/>
          <w:divBdr>
            <w:top w:val="none" w:sz="0" w:space="0" w:color="auto"/>
            <w:left w:val="none" w:sz="0" w:space="0" w:color="auto"/>
            <w:bottom w:val="none" w:sz="0" w:space="0" w:color="auto"/>
            <w:right w:val="none" w:sz="0" w:space="0" w:color="auto"/>
          </w:divBdr>
          <w:divsChild>
            <w:div w:id="202331604">
              <w:marLeft w:val="0"/>
              <w:marRight w:val="0"/>
              <w:marTop w:val="0"/>
              <w:marBottom w:val="0"/>
              <w:divBdr>
                <w:top w:val="none" w:sz="0" w:space="0" w:color="auto"/>
                <w:left w:val="none" w:sz="0" w:space="0" w:color="auto"/>
                <w:bottom w:val="none" w:sz="0" w:space="0" w:color="auto"/>
                <w:right w:val="none" w:sz="0" w:space="0" w:color="auto"/>
              </w:divBdr>
            </w:div>
          </w:divsChild>
        </w:div>
        <w:div w:id="1133448059">
          <w:marLeft w:val="0"/>
          <w:marRight w:val="0"/>
          <w:marTop w:val="0"/>
          <w:marBottom w:val="0"/>
          <w:divBdr>
            <w:top w:val="none" w:sz="0" w:space="0" w:color="auto"/>
            <w:left w:val="none" w:sz="0" w:space="0" w:color="auto"/>
            <w:bottom w:val="none" w:sz="0" w:space="0" w:color="auto"/>
            <w:right w:val="none" w:sz="0" w:space="0" w:color="auto"/>
          </w:divBdr>
          <w:divsChild>
            <w:div w:id="1149591901">
              <w:marLeft w:val="0"/>
              <w:marRight w:val="0"/>
              <w:marTop w:val="0"/>
              <w:marBottom w:val="0"/>
              <w:divBdr>
                <w:top w:val="none" w:sz="0" w:space="0" w:color="auto"/>
                <w:left w:val="none" w:sz="0" w:space="0" w:color="auto"/>
                <w:bottom w:val="none" w:sz="0" w:space="0" w:color="auto"/>
                <w:right w:val="none" w:sz="0" w:space="0" w:color="auto"/>
              </w:divBdr>
            </w:div>
          </w:divsChild>
        </w:div>
        <w:div w:id="1154682896">
          <w:marLeft w:val="0"/>
          <w:marRight w:val="0"/>
          <w:marTop w:val="0"/>
          <w:marBottom w:val="0"/>
          <w:divBdr>
            <w:top w:val="none" w:sz="0" w:space="0" w:color="auto"/>
            <w:left w:val="none" w:sz="0" w:space="0" w:color="auto"/>
            <w:bottom w:val="none" w:sz="0" w:space="0" w:color="auto"/>
            <w:right w:val="none" w:sz="0" w:space="0" w:color="auto"/>
          </w:divBdr>
          <w:divsChild>
            <w:div w:id="1860001160">
              <w:marLeft w:val="0"/>
              <w:marRight w:val="0"/>
              <w:marTop w:val="0"/>
              <w:marBottom w:val="0"/>
              <w:divBdr>
                <w:top w:val="none" w:sz="0" w:space="0" w:color="auto"/>
                <w:left w:val="none" w:sz="0" w:space="0" w:color="auto"/>
                <w:bottom w:val="none" w:sz="0" w:space="0" w:color="auto"/>
                <w:right w:val="none" w:sz="0" w:space="0" w:color="auto"/>
              </w:divBdr>
            </w:div>
          </w:divsChild>
        </w:div>
        <w:div w:id="1156609741">
          <w:marLeft w:val="0"/>
          <w:marRight w:val="0"/>
          <w:marTop w:val="0"/>
          <w:marBottom w:val="0"/>
          <w:divBdr>
            <w:top w:val="none" w:sz="0" w:space="0" w:color="auto"/>
            <w:left w:val="none" w:sz="0" w:space="0" w:color="auto"/>
            <w:bottom w:val="none" w:sz="0" w:space="0" w:color="auto"/>
            <w:right w:val="none" w:sz="0" w:space="0" w:color="auto"/>
          </w:divBdr>
          <w:divsChild>
            <w:div w:id="304504443">
              <w:marLeft w:val="0"/>
              <w:marRight w:val="0"/>
              <w:marTop w:val="0"/>
              <w:marBottom w:val="0"/>
              <w:divBdr>
                <w:top w:val="none" w:sz="0" w:space="0" w:color="auto"/>
                <w:left w:val="none" w:sz="0" w:space="0" w:color="auto"/>
                <w:bottom w:val="none" w:sz="0" w:space="0" w:color="auto"/>
                <w:right w:val="none" w:sz="0" w:space="0" w:color="auto"/>
              </w:divBdr>
            </w:div>
          </w:divsChild>
        </w:div>
        <w:div w:id="1174690701">
          <w:marLeft w:val="0"/>
          <w:marRight w:val="0"/>
          <w:marTop w:val="0"/>
          <w:marBottom w:val="0"/>
          <w:divBdr>
            <w:top w:val="none" w:sz="0" w:space="0" w:color="auto"/>
            <w:left w:val="none" w:sz="0" w:space="0" w:color="auto"/>
            <w:bottom w:val="none" w:sz="0" w:space="0" w:color="auto"/>
            <w:right w:val="none" w:sz="0" w:space="0" w:color="auto"/>
          </w:divBdr>
          <w:divsChild>
            <w:div w:id="2085761112">
              <w:marLeft w:val="0"/>
              <w:marRight w:val="0"/>
              <w:marTop w:val="0"/>
              <w:marBottom w:val="0"/>
              <w:divBdr>
                <w:top w:val="none" w:sz="0" w:space="0" w:color="auto"/>
                <w:left w:val="none" w:sz="0" w:space="0" w:color="auto"/>
                <w:bottom w:val="none" w:sz="0" w:space="0" w:color="auto"/>
                <w:right w:val="none" w:sz="0" w:space="0" w:color="auto"/>
              </w:divBdr>
            </w:div>
          </w:divsChild>
        </w:div>
        <w:div w:id="1197814199">
          <w:marLeft w:val="0"/>
          <w:marRight w:val="0"/>
          <w:marTop w:val="0"/>
          <w:marBottom w:val="0"/>
          <w:divBdr>
            <w:top w:val="none" w:sz="0" w:space="0" w:color="auto"/>
            <w:left w:val="none" w:sz="0" w:space="0" w:color="auto"/>
            <w:bottom w:val="none" w:sz="0" w:space="0" w:color="auto"/>
            <w:right w:val="none" w:sz="0" w:space="0" w:color="auto"/>
          </w:divBdr>
          <w:divsChild>
            <w:div w:id="245699200">
              <w:marLeft w:val="0"/>
              <w:marRight w:val="0"/>
              <w:marTop w:val="0"/>
              <w:marBottom w:val="0"/>
              <w:divBdr>
                <w:top w:val="none" w:sz="0" w:space="0" w:color="auto"/>
                <w:left w:val="none" w:sz="0" w:space="0" w:color="auto"/>
                <w:bottom w:val="none" w:sz="0" w:space="0" w:color="auto"/>
                <w:right w:val="none" w:sz="0" w:space="0" w:color="auto"/>
              </w:divBdr>
            </w:div>
          </w:divsChild>
        </w:div>
        <w:div w:id="1289816238">
          <w:marLeft w:val="0"/>
          <w:marRight w:val="0"/>
          <w:marTop w:val="0"/>
          <w:marBottom w:val="0"/>
          <w:divBdr>
            <w:top w:val="none" w:sz="0" w:space="0" w:color="auto"/>
            <w:left w:val="none" w:sz="0" w:space="0" w:color="auto"/>
            <w:bottom w:val="none" w:sz="0" w:space="0" w:color="auto"/>
            <w:right w:val="none" w:sz="0" w:space="0" w:color="auto"/>
          </w:divBdr>
          <w:divsChild>
            <w:div w:id="27028862">
              <w:marLeft w:val="0"/>
              <w:marRight w:val="0"/>
              <w:marTop w:val="0"/>
              <w:marBottom w:val="0"/>
              <w:divBdr>
                <w:top w:val="none" w:sz="0" w:space="0" w:color="auto"/>
                <w:left w:val="none" w:sz="0" w:space="0" w:color="auto"/>
                <w:bottom w:val="none" w:sz="0" w:space="0" w:color="auto"/>
                <w:right w:val="none" w:sz="0" w:space="0" w:color="auto"/>
              </w:divBdr>
            </w:div>
            <w:div w:id="857892750">
              <w:marLeft w:val="0"/>
              <w:marRight w:val="0"/>
              <w:marTop w:val="0"/>
              <w:marBottom w:val="0"/>
              <w:divBdr>
                <w:top w:val="none" w:sz="0" w:space="0" w:color="auto"/>
                <w:left w:val="none" w:sz="0" w:space="0" w:color="auto"/>
                <w:bottom w:val="none" w:sz="0" w:space="0" w:color="auto"/>
                <w:right w:val="none" w:sz="0" w:space="0" w:color="auto"/>
              </w:divBdr>
            </w:div>
            <w:div w:id="1372417144">
              <w:marLeft w:val="0"/>
              <w:marRight w:val="0"/>
              <w:marTop w:val="0"/>
              <w:marBottom w:val="0"/>
              <w:divBdr>
                <w:top w:val="none" w:sz="0" w:space="0" w:color="auto"/>
                <w:left w:val="none" w:sz="0" w:space="0" w:color="auto"/>
                <w:bottom w:val="none" w:sz="0" w:space="0" w:color="auto"/>
                <w:right w:val="none" w:sz="0" w:space="0" w:color="auto"/>
              </w:divBdr>
            </w:div>
          </w:divsChild>
        </w:div>
        <w:div w:id="1348018911">
          <w:marLeft w:val="0"/>
          <w:marRight w:val="0"/>
          <w:marTop w:val="0"/>
          <w:marBottom w:val="0"/>
          <w:divBdr>
            <w:top w:val="none" w:sz="0" w:space="0" w:color="auto"/>
            <w:left w:val="none" w:sz="0" w:space="0" w:color="auto"/>
            <w:bottom w:val="none" w:sz="0" w:space="0" w:color="auto"/>
            <w:right w:val="none" w:sz="0" w:space="0" w:color="auto"/>
          </w:divBdr>
          <w:divsChild>
            <w:div w:id="398946567">
              <w:marLeft w:val="0"/>
              <w:marRight w:val="0"/>
              <w:marTop w:val="0"/>
              <w:marBottom w:val="0"/>
              <w:divBdr>
                <w:top w:val="none" w:sz="0" w:space="0" w:color="auto"/>
                <w:left w:val="none" w:sz="0" w:space="0" w:color="auto"/>
                <w:bottom w:val="none" w:sz="0" w:space="0" w:color="auto"/>
                <w:right w:val="none" w:sz="0" w:space="0" w:color="auto"/>
              </w:divBdr>
            </w:div>
          </w:divsChild>
        </w:div>
        <w:div w:id="1382286448">
          <w:marLeft w:val="0"/>
          <w:marRight w:val="0"/>
          <w:marTop w:val="0"/>
          <w:marBottom w:val="0"/>
          <w:divBdr>
            <w:top w:val="none" w:sz="0" w:space="0" w:color="auto"/>
            <w:left w:val="none" w:sz="0" w:space="0" w:color="auto"/>
            <w:bottom w:val="none" w:sz="0" w:space="0" w:color="auto"/>
            <w:right w:val="none" w:sz="0" w:space="0" w:color="auto"/>
          </w:divBdr>
          <w:divsChild>
            <w:div w:id="1690451541">
              <w:marLeft w:val="0"/>
              <w:marRight w:val="0"/>
              <w:marTop w:val="0"/>
              <w:marBottom w:val="0"/>
              <w:divBdr>
                <w:top w:val="none" w:sz="0" w:space="0" w:color="auto"/>
                <w:left w:val="none" w:sz="0" w:space="0" w:color="auto"/>
                <w:bottom w:val="none" w:sz="0" w:space="0" w:color="auto"/>
                <w:right w:val="none" w:sz="0" w:space="0" w:color="auto"/>
              </w:divBdr>
            </w:div>
          </w:divsChild>
        </w:div>
        <w:div w:id="1394306180">
          <w:marLeft w:val="0"/>
          <w:marRight w:val="0"/>
          <w:marTop w:val="0"/>
          <w:marBottom w:val="0"/>
          <w:divBdr>
            <w:top w:val="none" w:sz="0" w:space="0" w:color="auto"/>
            <w:left w:val="none" w:sz="0" w:space="0" w:color="auto"/>
            <w:bottom w:val="none" w:sz="0" w:space="0" w:color="auto"/>
            <w:right w:val="none" w:sz="0" w:space="0" w:color="auto"/>
          </w:divBdr>
          <w:divsChild>
            <w:div w:id="2070226965">
              <w:marLeft w:val="0"/>
              <w:marRight w:val="0"/>
              <w:marTop w:val="0"/>
              <w:marBottom w:val="0"/>
              <w:divBdr>
                <w:top w:val="none" w:sz="0" w:space="0" w:color="auto"/>
                <w:left w:val="none" w:sz="0" w:space="0" w:color="auto"/>
                <w:bottom w:val="none" w:sz="0" w:space="0" w:color="auto"/>
                <w:right w:val="none" w:sz="0" w:space="0" w:color="auto"/>
              </w:divBdr>
            </w:div>
          </w:divsChild>
        </w:div>
        <w:div w:id="1407609230">
          <w:marLeft w:val="0"/>
          <w:marRight w:val="0"/>
          <w:marTop w:val="0"/>
          <w:marBottom w:val="0"/>
          <w:divBdr>
            <w:top w:val="none" w:sz="0" w:space="0" w:color="auto"/>
            <w:left w:val="none" w:sz="0" w:space="0" w:color="auto"/>
            <w:bottom w:val="none" w:sz="0" w:space="0" w:color="auto"/>
            <w:right w:val="none" w:sz="0" w:space="0" w:color="auto"/>
          </w:divBdr>
          <w:divsChild>
            <w:div w:id="840508147">
              <w:marLeft w:val="0"/>
              <w:marRight w:val="0"/>
              <w:marTop w:val="0"/>
              <w:marBottom w:val="0"/>
              <w:divBdr>
                <w:top w:val="none" w:sz="0" w:space="0" w:color="auto"/>
                <w:left w:val="none" w:sz="0" w:space="0" w:color="auto"/>
                <w:bottom w:val="none" w:sz="0" w:space="0" w:color="auto"/>
                <w:right w:val="none" w:sz="0" w:space="0" w:color="auto"/>
              </w:divBdr>
            </w:div>
          </w:divsChild>
        </w:div>
        <w:div w:id="1553300315">
          <w:marLeft w:val="0"/>
          <w:marRight w:val="0"/>
          <w:marTop w:val="0"/>
          <w:marBottom w:val="0"/>
          <w:divBdr>
            <w:top w:val="none" w:sz="0" w:space="0" w:color="auto"/>
            <w:left w:val="none" w:sz="0" w:space="0" w:color="auto"/>
            <w:bottom w:val="none" w:sz="0" w:space="0" w:color="auto"/>
            <w:right w:val="none" w:sz="0" w:space="0" w:color="auto"/>
          </w:divBdr>
          <w:divsChild>
            <w:div w:id="1070232490">
              <w:marLeft w:val="0"/>
              <w:marRight w:val="0"/>
              <w:marTop w:val="0"/>
              <w:marBottom w:val="0"/>
              <w:divBdr>
                <w:top w:val="none" w:sz="0" w:space="0" w:color="auto"/>
                <w:left w:val="none" w:sz="0" w:space="0" w:color="auto"/>
                <w:bottom w:val="none" w:sz="0" w:space="0" w:color="auto"/>
                <w:right w:val="none" w:sz="0" w:space="0" w:color="auto"/>
              </w:divBdr>
            </w:div>
          </w:divsChild>
        </w:div>
        <w:div w:id="1667325357">
          <w:marLeft w:val="0"/>
          <w:marRight w:val="0"/>
          <w:marTop w:val="0"/>
          <w:marBottom w:val="0"/>
          <w:divBdr>
            <w:top w:val="none" w:sz="0" w:space="0" w:color="auto"/>
            <w:left w:val="none" w:sz="0" w:space="0" w:color="auto"/>
            <w:bottom w:val="none" w:sz="0" w:space="0" w:color="auto"/>
            <w:right w:val="none" w:sz="0" w:space="0" w:color="auto"/>
          </w:divBdr>
          <w:divsChild>
            <w:div w:id="764615441">
              <w:marLeft w:val="0"/>
              <w:marRight w:val="0"/>
              <w:marTop w:val="0"/>
              <w:marBottom w:val="0"/>
              <w:divBdr>
                <w:top w:val="none" w:sz="0" w:space="0" w:color="auto"/>
                <w:left w:val="none" w:sz="0" w:space="0" w:color="auto"/>
                <w:bottom w:val="none" w:sz="0" w:space="0" w:color="auto"/>
                <w:right w:val="none" w:sz="0" w:space="0" w:color="auto"/>
              </w:divBdr>
            </w:div>
          </w:divsChild>
        </w:div>
        <w:div w:id="1667708921">
          <w:marLeft w:val="0"/>
          <w:marRight w:val="0"/>
          <w:marTop w:val="0"/>
          <w:marBottom w:val="0"/>
          <w:divBdr>
            <w:top w:val="none" w:sz="0" w:space="0" w:color="auto"/>
            <w:left w:val="none" w:sz="0" w:space="0" w:color="auto"/>
            <w:bottom w:val="none" w:sz="0" w:space="0" w:color="auto"/>
            <w:right w:val="none" w:sz="0" w:space="0" w:color="auto"/>
          </w:divBdr>
          <w:divsChild>
            <w:div w:id="894655911">
              <w:marLeft w:val="0"/>
              <w:marRight w:val="0"/>
              <w:marTop w:val="0"/>
              <w:marBottom w:val="0"/>
              <w:divBdr>
                <w:top w:val="none" w:sz="0" w:space="0" w:color="auto"/>
                <w:left w:val="none" w:sz="0" w:space="0" w:color="auto"/>
                <w:bottom w:val="none" w:sz="0" w:space="0" w:color="auto"/>
                <w:right w:val="none" w:sz="0" w:space="0" w:color="auto"/>
              </w:divBdr>
            </w:div>
          </w:divsChild>
        </w:div>
        <w:div w:id="1668749064">
          <w:marLeft w:val="0"/>
          <w:marRight w:val="0"/>
          <w:marTop w:val="0"/>
          <w:marBottom w:val="0"/>
          <w:divBdr>
            <w:top w:val="none" w:sz="0" w:space="0" w:color="auto"/>
            <w:left w:val="none" w:sz="0" w:space="0" w:color="auto"/>
            <w:bottom w:val="none" w:sz="0" w:space="0" w:color="auto"/>
            <w:right w:val="none" w:sz="0" w:space="0" w:color="auto"/>
          </w:divBdr>
          <w:divsChild>
            <w:div w:id="1060252421">
              <w:marLeft w:val="0"/>
              <w:marRight w:val="0"/>
              <w:marTop w:val="0"/>
              <w:marBottom w:val="0"/>
              <w:divBdr>
                <w:top w:val="none" w:sz="0" w:space="0" w:color="auto"/>
                <w:left w:val="none" w:sz="0" w:space="0" w:color="auto"/>
                <w:bottom w:val="none" w:sz="0" w:space="0" w:color="auto"/>
                <w:right w:val="none" w:sz="0" w:space="0" w:color="auto"/>
              </w:divBdr>
            </w:div>
          </w:divsChild>
        </w:div>
        <w:div w:id="1740901071">
          <w:marLeft w:val="0"/>
          <w:marRight w:val="0"/>
          <w:marTop w:val="0"/>
          <w:marBottom w:val="0"/>
          <w:divBdr>
            <w:top w:val="none" w:sz="0" w:space="0" w:color="auto"/>
            <w:left w:val="none" w:sz="0" w:space="0" w:color="auto"/>
            <w:bottom w:val="none" w:sz="0" w:space="0" w:color="auto"/>
            <w:right w:val="none" w:sz="0" w:space="0" w:color="auto"/>
          </w:divBdr>
          <w:divsChild>
            <w:div w:id="797339188">
              <w:marLeft w:val="0"/>
              <w:marRight w:val="0"/>
              <w:marTop w:val="0"/>
              <w:marBottom w:val="0"/>
              <w:divBdr>
                <w:top w:val="none" w:sz="0" w:space="0" w:color="auto"/>
                <w:left w:val="none" w:sz="0" w:space="0" w:color="auto"/>
                <w:bottom w:val="none" w:sz="0" w:space="0" w:color="auto"/>
                <w:right w:val="none" w:sz="0" w:space="0" w:color="auto"/>
              </w:divBdr>
            </w:div>
          </w:divsChild>
        </w:div>
        <w:div w:id="1749231710">
          <w:marLeft w:val="0"/>
          <w:marRight w:val="0"/>
          <w:marTop w:val="0"/>
          <w:marBottom w:val="0"/>
          <w:divBdr>
            <w:top w:val="none" w:sz="0" w:space="0" w:color="auto"/>
            <w:left w:val="none" w:sz="0" w:space="0" w:color="auto"/>
            <w:bottom w:val="none" w:sz="0" w:space="0" w:color="auto"/>
            <w:right w:val="none" w:sz="0" w:space="0" w:color="auto"/>
          </w:divBdr>
          <w:divsChild>
            <w:div w:id="521632262">
              <w:marLeft w:val="0"/>
              <w:marRight w:val="0"/>
              <w:marTop w:val="0"/>
              <w:marBottom w:val="0"/>
              <w:divBdr>
                <w:top w:val="none" w:sz="0" w:space="0" w:color="auto"/>
                <w:left w:val="none" w:sz="0" w:space="0" w:color="auto"/>
                <w:bottom w:val="none" w:sz="0" w:space="0" w:color="auto"/>
                <w:right w:val="none" w:sz="0" w:space="0" w:color="auto"/>
              </w:divBdr>
            </w:div>
          </w:divsChild>
        </w:div>
        <w:div w:id="1755737055">
          <w:marLeft w:val="0"/>
          <w:marRight w:val="0"/>
          <w:marTop w:val="0"/>
          <w:marBottom w:val="0"/>
          <w:divBdr>
            <w:top w:val="none" w:sz="0" w:space="0" w:color="auto"/>
            <w:left w:val="none" w:sz="0" w:space="0" w:color="auto"/>
            <w:bottom w:val="none" w:sz="0" w:space="0" w:color="auto"/>
            <w:right w:val="none" w:sz="0" w:space="0" w:color="auto"/>
          </w:divBdr>
          <w:divsChild>
            <w:div w:id="798229020">
              <w:marLeft w:val="0"/>
              <w:marRight w:val="0"/>
              <w:marTop w:val="0"/>
              <w:marBottom w:val="0"/>
              <w:divBdr>
                <w:top w:val="none" w:sz="0" w:space="0" w:color="auto"/>
                <w:left w:val="none" w:sz="0" w:space="0" w:color="auto"/>
                <w:bottom w:val="none" w:sz="0" w:space="0" w:color="auto"/>
                <w:right w:val="none" w:sz="0" w:space="0" w:color="auto"/>
              </w:divBdr>
            </w:div>
          </w:divsChild>
        </w:div>
        <w:div w:id="1785728248">
          <w:marLeft w:val="0"/>
          <w:marRight w:val="0"/>
          <w:marTop w:val="0"/>
          <w:marBottom w:val="0"/>
          <w:divBdr>
            <w:top w:val="none" w:sz="0" w:space="0" w:color="auto"/>
            <w:left w:val="none" w:sz="0" w:space="0" w:color="auto"/>
            <w:bottom w:val="none" w:sz="0" w:space="0" w:color="auto"/>
            <w:right w:val="none" w:sz="0" w:space="0" w:color="auto"/>
          </w:divBdr>
          <w:divsChild>
            <w:div w:id="1444572150">
              <w:marLeft w:val="0"/>
              <w:marRight w:val="0"/>
              <w:marTop w:val="0"/>
              <w:marBottom w:val="0"/>
              <w:divBdr>
                <w:top w:val="none" w:sz="0" w:space="0" w:color="auto"/>
                <w:left w:val="none" w:sz="0" w:space="0" w:color="auto"/>
                <w:bottom w:val="none" w:sz="0" w:space="0" w:color="auto"/>
                <w:right w:val="none" w:sz="0" w:space="0" w:color="auto"/>
              </w:divBdr>
            </w:div>
          </w:divsChild>
        </w:div>
        <w:div w:id="1807115288">
          <w:marLeft w:val="0"/>
          <w:marRight w:val="0"/>
          <w:marTop w:val="0"/>
          <w:marBottom w:val="0"/>
          <w:divBdr>
            <w:top w:val="none" w:sz="0" w:space="0" w:color="auto"/>
            <w:left w:val="none" w:sz="0" w:space="0" w:color="auto"/>
            <w:bottom w:val="none" w:sz="0" w:space="0" w:color="auto"/>
            <w:right w:val="none" w:sz="0" w:space="0" w:color="auto"/>
          </w:divBdr>
          <w:divsChild>
            <w:div w:id="793252638">
              <w:marLeft w:val="0"/>
              <w:marRight w:val="0"/>
              <w:marTop w:val="0"/>
              <w:marBottom w:val="0"/>
              <w:divBdr>
                <w:top w:val="none" w:sz="0" w:space="0" w:color="auto"/>
                <w:left w:val="none" w:sz="0" w:space="0" w:color="auto"/>
                <w:bottom w:val="none" w:sz="0" w:space="0" w:color="auto"/>
                <w:right w:val="none" w:sz="0" w:space="0" w:color="auto"/>
              </w:divBdr>
            </w:div>
          </w:divsChild>
        </w:div>
        <w:div w:id="1813716038">
          <w:marLeft w:val="0"/>
          <w:marRight w:val="0"/>
          <w:marTop w:val="0"/>
          <w:marBottom w:val="0"/>
          <w:divBdr>
            <w:top w:val="none" w:sz="0" w:space="0" w:color="auto"/>
            <w:left w:val="none" w:sz="0" w:space="0" w:color="auto"/>
            <w:bottom w:val="none" w:sz="0" w:space="0" w:color="auto"/>
            <w:right w:val="none" w:sz="0" w:space="0" w:color="auto"/>
          </w:divBdr>
          <w:divsChild>
            <w:div w:id="1771660938">
              <w:marLeft w:val="0"/>
              <w:marRight w:val="0"/>
              <w:marTop w:val="0"/>
              <w:marBottom w:val="0"/>
              <w:divBdr>
                <w:top w:val="none" w:sz="0" w:space="0" w:color="auto"/>
                <w:left w:val="none" w:sz="0" w:space="0" w:color="auto"/>
                <w:bottom w:val="none" w:sz="0" w:space="0" w:color="auto"/>
                <w:right w:val="none" w:sz="0" w:space="0" w:color="auto"/>
              </w:divBdr>
            </w:div>
          </w:divsChild>
        </w:div>
        <w:div w:id="1816216543">
          <w:marLeft w:val="0"/>
          <w:marRight w:val="0"/>
          <w:marTop w:val="0"/>
          <w:marBottom w:val="0"/>
          <w:divBdr>
            <w:top w:val="none" w:sz="0" w:space="0" w:color="auto"/>
            <w:left w:val="none" w:sz="0" w:space="0" w:color="auto"/>
            <w:bottom w:val="none" w:sz="0" w:space="0" w:color="auto"/>
            <w:right w:val="none" w:sz="0" w:space="0" w:color="auto"/>
          </w:divBdr>
          <w:divsChild>
            <w:div w:id="901063875">
              <w:marLeft w:val="0"/>
              <w:marRight w:val="0"/>
              <w:marTop w:val="0"/>
              <w:marBottom w:val="0"/>
              <w:divBdr>
                <w:top w:val="none" w:sz="0" w:space="0" w:color="auto"/>
                <w:left w:val="none" w:sz="0" w:space="0" w:color="auto"/>
                <w:bottom w:val="none" w:sz="0" w:space="0" w:color="auto"/>
                <w:right w:val="none" w:sz="0" w:space="0" w:color="auto"/>
              </w:divBdr>
            </w:div>
          </w:divsChild>
        </w:div>
        <w:div w:id="1837841248">
          <w:marLeft w:val="0"/>
          <w:marRight w:val="0"/>
          <w:marTop w:val="0"/>
          <w:marBottom w:val="0"/>
          <w:divBdr>
            <w:top w:val="none" w:sz="0" w:space="0" w:color="auto"/>
            <w:left w:val="none" w:sz="0" w:space="0" w:color="auto"/>
            <w:bottom w:val="none" w:sz="0" w:space="0" w:color="auto"/>
            <w:right w:val="none" w:sz="0" w:space="0" w:color="auto"/>
          </w:divBdr>
          <w:divsChild>
            <w:div w:id="361370665">
              <w:marLeft w:val="0"/>
              <w:marRight w:val="0"/>
              <w:marTop w:val="0"/>
              <w:marBottom w:val="0"/>
              <w:divBdr>
                <w:top w:val="none" w:sz="0" w:space="0" w:color="auto"/>
                <w:left w:val="none" w:sz="0" w:space="0" w:color="auto"/>
                <w:bottom w:val="none" w:sz="0" w:space="0" w:color="auto"/>
                <w:right w:val="none" w:sz="0" w:space="0" w:color="auto"/>
              </w:divBdr>
            </w:div>
          </w:divsChild>
        </w:div>
        <w:div w:id="1838956872">
          <w:marLeft w:val="0"/>
          <w:marRight w:val="0"/>
          <w:marTop w:val="0"/>
          <w:marBottom w:val="0"/>
          <w:divBdr>
            <w:top w:val="none" w:sz="0" w:space="0" w:color="auto"/>
            <w:left w:val="none" w:sz="0" w:space="0" w:color="auto"/>
            <w:bottom w:val="none" w:sz="0" w:space="0" w:color="auto"/>
            <w:right w:val="none" w:sz="0" w:space="0" w:color="auto"/>
          </w:divBdr>
          <w:divsChild>
            <w:div w:id="1979219599">
              <w:marLeft w:val="0"/>
              <w:marRight w:val="0"/>
              <w:marTop w:val="0"/>
              <w:marBottom w:val="0"/>
              <w:divBdr>
                <w:top w:val="none" w:sz="0" w:space="0" w:color="auto"/>
                <w:left w:val="none" w:sz="0" w:space="0" w:color="auto"/>
                <w:bottom w:val="none" w:sz="0" w:space="0" w:color="auto"/>
                <w:right w:val="none" w:sz="0" w:space="0" w:color="auto"/>
              </w:divBdr>
            </w:div>
          </w:divsChild>
        </w:div>
        <w:div w:id="1860001371">
          <w:marLeft w:val="0"/>
          <w:marRight w:val="0"/>
          <w:marTop w:val="0"/>
          <w:marBottom w:val="0"/>
          <w:divBdr>
            <w:top w:val="none" w:sz="0" w:space="0" w:color="auto"/>
            <w:left w:val="none" w:sz="0" w:space="0" w:color="auto"/>
            <w:bottom w:val="none" w:sz="0" w:space="0" w:color="auto"/>
            <w:right w:val="none" w:sz="0" w:space="0" w:color="auto"/>
          </w:divBdr>
          <w:divsChild>
            <w:div w:id="10759891">
              <w:marLeft w:val="0"/>
              <w:marRight w:val="0"/>
              <w:marTop w:val="0"/>
              <w:marBottom w:val="0"/>
              <w:divBdr>
                <w:top w:val="none" w:sz="0" w:space="0" w:color="auto"/>
                <w:left w:val="none" w:sz="0" w:space="0" w:color="auto"/>
                <w:bottom w:val="none" w:sz="0" w:space="0" w:color="auto"/>
                <w:right w:val="none" w:sz="0" w:space="0" w:color="auto"/>
              </w:divBdr>
            </w:div>
          </w:divsChild>
        </w:div>
        <w:div w:id="1863670235">
          <w:marLeft w:val="0"/>
          <w:marRight w:val="0"/>
          <w:marTop w:val="0"/>
          <w:marBottom w:val="0"/>
          <w:divBdr>
            <w:top w:val="none" w:sz="0" w:space="0" w:color="auto"/>
            <w:left w:val="none" w:sz="0" w:space="0" w:color="auto"/>
            <w:bottom w:val="none" w:sz="0" w:space="0" w:color="auto"/>
            <w:right w:val="none" w:sz="0" w:space="0" w:color="auto"/>
          </w:divBdr>
          <w:divsChild>
            <w:div w:id="899635052">
              <w:marLeft w:val="0"/>
              <w:marRight w:val="0"/>
              <w:marTop w:val="0"/>
              <w:marBottom w:val="0"/>
              <w:divBdr>
                <w:top w:val="none" w:sz="0" w:space="0" w:color="auto"/>
                <w:left w:val="none" w:sz="0" w:space="0" w:color="auto"/>
                <w:bottom w:val="none" w:sz="0" w:space="0" w:color="auto"/>
                <w:right w:val="none" w:sz="0" w:space="0" w:color="auto"/>
              </w:divBdr>
            </w:div>
          </w:divsChild>
        </w:div>
        <w:div w:id="1870297648">
          <w:marLeft w:val="0"/>
          <w:marRight w:val="0"/>
          <w:marTop w:val="0"/>
          <w:marBottom w:val="0"/>
          <w:divBdr>
            <w:top w:val="none" w:sz="0" w:space="0" w:color="auto"/>
            <w:left w:val="none" w:sz="0" w:space="0" w:color="auto"/>
            <w:bottom w:val="none" w:sz="0" w:space="0" w:color="auto"/>
            <w:right w:val="none" w:sz="0" w:space="0" w:color="auto"/>
          </w:divBdr>
          <w:divsChild>
            <w:div w:id="113251823">
              <w:marLeft w:val="0"/>
              <w:marRight w:val="0"/>
              <w:marTop w:val="0"/>
              <w:marBottom w:val="0"/>
              <w:divBdr>
                <w:top w:val="none" w:sz="0" w:space="0" w:color="auto"/>
                <w:left w:val="none" w:sz="0" w:space="0" w:color="auto"/>
                <w:bottom w:val="none" w:sz="0" w:space="0" w:color="auto"/>
                <w:right w:val="none" w:sz="0" w:space="0" w:color="auto"/>
              </w:divBdr>
            </w:div>
          </w:divsChild>
        </w:div>
        <w:div w:id="1968200410">
          <w:marLeft w:val="0"/>
          <w:marRight w:val="0"/>
          <w:marTop w:val="0"/>
          <w:marBottom w:val="0"/>
          <w:divBdr>
            <w:top w:val="none" w:sz="0" w:space="0" w:color="auto"/>
            <w:left w:val="none" w:sz="0" w:space="0" w:color="auto"/>
            <w:bottom w:val="none" w:sz="0" w:space="0" w:color="auto"/>
            <w:right w:val="none" w:sz="0" w:space="0" w:color="auto"/>
          </w:divBdr>
          <w:divsChild>
            <w:div w:id="1728646491">
              <w:marLeft w:val="0"/>
              <w:marRight w:val="0"/>
              <w:marTop w:val="0"/>
              <w:marBottom w:val="0"/>
              <w:divBdr>
                <w:top w:val="none" w:sz="0" w:space="0" w:color="auto"/>
                <w:left w:val="none" w:sz="0" w:space="0" w:color="auto"/>
                <w:bottom w:val="none" w:sz="0" w:space="0" w:color="auto"/>
                <w:right w:val="none" w:sz="0" w:space="0" w:color="auto"/>
              </w:divBdr>
            </w:div>
          </w:divsChild>
        </w:div>
        <w:div w:id="1985086921">
          <w:marLeft w:val="0"/>
          <w:marRight w:val="0"/>
          <w:marTop w:val="0"/>
          <w:marBottom w:val="0"/>
          <w:divBdr>
            <w:top w:val="none" w:sz="0" w:space="0" w:color="auto"/>
            <w:left w:val="none" w:sz="0" w:space="0" w:color="auto"/>
            <w:bottom w:val="none" w:sz="0" w:space="0" w:color="auto"/>
            <w:right w:val="none" w:sz="0" w:space="0" w:color="auto"/>
          </w:divBdr>
          <w:divsChild>
            <w:div w:id="850951236">
              <w:marLeft w:val="0"/>
              <w:marRight w:val="0"/>
              <w:marTop w:val="0"/>
              <w:marBottom w:val="0"/>
              <w:divBdr>
                <w:top w:val="none" w:sz="0" w:space="0" w:color="auto"/>
                <w:left w:val="none" w:sz="0" w:space="0" w:color="auto"/>
                <w:bottom w:val="none" w:sz="0" w:space="0" w:color="auto"/>
                <w:right w:val="none" w:sz="0" w:space="0" w:color="auto"/>
              </w:divBdr>
            </w:div>
          </w:divsChild>
        </w:div>
        <w:div w:id="2000115776">
          <w:marLeft w:val="0"/>
          <w:marRight w:val="0"/>
          <w:marTop w:val="0"/>
          <w:marBottom w:val="0"/>
          <w:divBdr>
            <w:top w:val="none" w:sz="0" w:space="0" w:color="auto"/>
            <w:left w:val="none" w:sz="0" w:space="0" w:color="auto"/>
            <w:bottom w:val="none" w:sz="0" w:space="0" w:color="auto"/>
            <w:right w:val="none" w:sz="0" w:space="0" w:color="auto"/>
          </w:divBdr>
          <w:divsChild>
            <w:div w:id="725227615">
              <w:marLeft w:val="0"/>
              <w:marRight w:val="0"/>
              <w:marTop w:val="0"/>
              <w:marBottom w:val="0"/>
              <w:divBdr>
                <w:top w:val="none" w:sz="0" w:space="0" w:color="auto"/>
                <w:left w:val="none" w:sz="0" w:space="0" w:color="auto"/>
                <w:bottom w:val="none" w:sz="0" w:space="0" w:color="auto"/>
                <w:right w:val="none" w:sz="0" w:space="0" w:color="auto"/>
              </w:divBdr>
            </w:div>
          </w:divsChild>
        </w:div>
        <w:div w:id="2008436595">
          <w:marLeft w:val="0"/>
          <w:marRight w:val="0"/>
          <w:marTop w:val="0"/>
          <w:marBottom w:val="0"/>
          <w:divBdr>
            <w:top w:val="none" w:sz="0" w:space="0" w:color="auto"/>
            <w:left w:val="none" w:sz="0" w:space="0" w:color="auto"/>
            <w:bottom w:val="none" w:sz="0" w:space="0" w:color="auto"/>
            <w:right w:val="none" w:sz="0" w:space="0" w:color="auto"/>
          </w:divBdr>
          <w:divsChild>
            <w:div w:id="930704501">
              <w:marLeft w:val="0"/>
              <w:marRight w:val="0"/>
              <w:marTop w:val="0"/>
              <w:marBottom w:val="0"/>
              <w:divBdr>
                <w:top w:val="none" w:sz="0" w:space="0" w:color="auto"/>
                <w:left w:val="none" w:sz="0" w:space="0" w:color="auto"/>
                <w:bottom w:val="none" w:sz="0" w:space="0" w:color="auto"/>
                <w:right w:val="none" w:sz="0" w:space="0" w:color="auto"/>
              </w:divBdr>
            </w:div>
          </w:divsChild>
        </w:div>
        <w:div w:id="2009864984">
          <w:marLeft w:val="0"/>
          <w:marRight w:val="0"/>
          <w:marTop w:val="0"/>
          <w:marBottom w:val="0"/>
          <w:divBdr>
            <w:top w:val="none" w:sz="0" w:space="0" w:color="auto"/>
            <w:left w:val="none" w:sz="0" w:space="0" w:color="auto"/>
            <w:bottom w:val="none" w:sz="0" w:space="0" w:color="auto"/>
            <w:right w:val="none" w:sz="0" w:space="0" w:color="auto"/>
          </w:divBdr>
          <w:divsChild>
            <w:div w:id="1659848852">
              <w:marLeft w:val="0"/>
              <w:marRight w:val="0"/>
              <w:marTop w:val="0"/>
              <w:marBottom w:val="0"/>
              <w:divBdr>
                <w:top w:val="none" w:sz="0" w:space="0" w:color="auto"/>
                <w:left w:val="none" w:sz="0" w:space="0" w:color="auto"/>
                <w:bottom w:val="none" w:sz="0" w:space="0" w:color="auto"/>
                <w:right w:val="none" w:sz="0" w:space="0" w:color="auto"/>
              </w:divBdr>
            </w:div>
          </w:divsChild>
        </w:div>
        <w:div w:id="2053113252">
          <w:marLeft w:val="0"/>
          <w:marRight w:val="0"/>
          <w:marTop w:val="0"/>
          <w:marBottom w:val="0"/>
          <w:divBdr>
            <w:top w:val="none" w:sz="0" w:space="0" w:color="auto"/>
            <w:left w:val="none" w:sz="0" w:space="0" w:color="auto"/>
            <w:bottom w:val="none" w:sz="0" w:space="0" w:color="auto"/>
            <w:right w:val="none" w:sz="0" w:space="0" w:color="auto"/>
          </w:divBdr>
          <w:divsChild>
            <w:div w:id="714546872">
              <w:marLeft w:val="0"/>
              <w:marRight w:val="0"/>
              <w:marTop w:val="0"/>
              <w:marBottom w:val="0"/>
              <w:divBdr>
                <w:top w:val="none" w:sz="0" w:space="0" w:color="auto"/>
                <w:left w:val="none" w:sz="0" w:space="0" w:color="auto"/>
                <w:bottom w:val="none" w:sz="0" w:space="0" w:color="auto"/>
                <w:right w:val="none" w:sz="0" w:space="0" w:color="auto"/>
              </w:divBdr>
            </w:div>
          </w:divsChild>
        </w:div>
        <w:div w:id="2075278275">
          <w:marLeft w:val="0"/>
          <w:marRight w:val="0"/>
          <w:marTop w:val="0"/>
          <w:marBottom w:val="0"/>
          <w:divBdr>
            <w:top w:val="none" w:sz="0" w:space="0" w:color="auto"/>
            <w:left w:val="none" w:sz="0" w:space="0" w:color="auto"/>
            <w:bottom w:val="none" w:sz="0" w:space="0" w:color="auto"/>
            <w:right w:val="none" w:sz="0" w:space="0" w:color="auto"/>
          </w:divBdr>
          <w:divsChild>
            <w:div w:id="10947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3816">
      <w:bodyDiv w:val="1"/>
      <w:marLeft w:val="0"/>
      <w:marRight w:val="0"/>
      <w:marTop w:val="0"/>
      <w:marBottom w:val="0"/>
      <w:divBdr>
        <w:top w:val="none" w:sz="0" w:space="0" w:color="auto"/>
        <w:left w:val="none" w:sz="0" w:space="0" w:color="auto"/>
        <w:bottom w:val="none" w:sz="0" w:space="0" w:color="auto"/>
        <w:right w:val="none" w:sz="0" w:space="0" w:color="auto"/>
      </w:divBdr>
    </w:div>
    <w:div w:id="1601331985">
      <w:bodyDiv w:val="1"/>
      <w:marLeft w:val="0"/>
      <w:marRight w:val="0"/>
      <w:marTop w:val="0"/>
      <w:marBottom w:val="0"/>
      <w:divBdr>
        <w:top w:val="none" w:sz="0" w:space="0" w:color="auto"/>
        <w:left w:val="none" w:sz="0" w:space="0" w:color="auto"/>
        <w:bottom w:val="none" w:sz="0" w:space="0" w:color="auto"/>
        <w:right w:val="none" w:sz="0" w:space="0" w:color="auto"/>
      </w:divBdr>
    </w:div>
    <w:div w:id="1604997898">
      <w:bodyDiv w:val="1"/>
      <w:marLeft w:val="0"/>
      <w:marRight w:val="0"/>
      <w:marTop w:val="0"/>
      <w:marBottom w:val="0"/>
      <w:divBdr>
        <w:top w:val="none" w:sz="0" w:space="0" w:color="auto"/>
        <w:left w:val="none" w:sz="0" w:space="0" w:color="auto"/>
        <w:bottom w:val="none" w:sz="0" w:space="0" w:color="auto"/>
        <w:right w:val="none" w:sz="0" w:space="0" w:color="auto"/>
      </w:divBdr>
    </w:div>
    <w:div w:id="1608662296">
      <w:bodyDiv w:val="1"/>
      <w:marLeft w:val="0"/>
      <w:marRight w:val="0"/>
      <w:marTop w:val="0"/>
      <w:marBottom w:val="0"/>
      <w:divBdr>
        <w:top w:val="none" w:sz="0" w:space="0" w:color="auto"/>
        <w:left w:val="none" w:sz="0" w:space="0" w:color="auto"/>
        <w:bottom w:val="none" w:sz="0" w:space="0" w:color="auto"/>
        <w:right w:val="none" w:sz="0" w:space="0" w:color="auto"/>
      </w:divBdr>
    </w:div>
    <w:div w:id="1617060208">
      <w:bodyDiv w:val="1"/>
      <w:marLeft w:val="0"/>
      <w:marRight w:val="0"/>
      <w:marTop w:val="0"/>
      <w:marBottom w:val="0"/>
      <w:divBdr>
        <w:top w:val="none" w:sz="0" w:space="0" w:color="auto"/>
        <w:left w:val="none" w:sz="0" w:space="0" w:color="auto"/>
        <w:bottom w:val="none" w:sz="0" w:space="0" w:color="auto"/>
        <w:right w:val="none" w:sz="0" w:space="0" w:color="auto"/>
      </w:divBdr>
    </w:div>
    <w:div w:id="1623803965">
      <w:bodyDiv w:val="1"/>
      <w:marLeft w:val="0"/>
      <w:marRight w:val="0"/>
      <w:marTop w:val="0"/>
      <w:marBottom w:val="0"/>
      <w:divBdr>
        <w:top w:val="none" w:sz="0" w:space="0" w:color="auto"/>
        <w:left w:val="none" w:sz="0" w:space="0" w:color="auto"/>
        <w:bottom w:val="none" w:sz="0" w:space="0" w:color="auto"/>
        <w:right w:val="none" w:sz="0" w:space="0" w:color="auto"/>
      </w:divBdr>
    </w:div>
    <w:div w:id="1640765141">
      <w:bodyDiv w:val="1"/>
      <w:marLeft w:val="0"/>
      <w:marRight w:val="0"/>
      <w:marTop w:val="0"/>
      <w:marBottom w:val="0"/>
      <w:divBdr>
        <w:top w:val="none" w:sz="0" w:space="0" w:color="auto"/>
        <w:left w:val="none" w:sz="0" w:space="0" w:color="auto"/>
        <w:bottom w:val="none" w:sz="0" w:space="0" w:color="auto"/>
        <w:right w:val="none" w:sz="0" w:space="0" w:color="auto"/>
      </w:divBdr>
      <w:divsChild>
        <w:div w:id="613444373">
          <w:marLeft w:val="0"/>
          <w:marRight w:val="0"/>
          <w:marTop w:val="0"/>
          <w:marBottom w:val="0"/>
          <w:divBdr>
            <w:top w:val="none" w:sz="0" w:space="0" w:color="auto"/>
            <w:left w:val="none" w:sz="0" w:space="0" w:color="auto"/>
            <w:bottom w:val="none" w:sz="0" w:space="0" w:color="auto"/>
            <w:right w:val="none" w:sz="0" w:space="0" w:color="auto"/>
          </w:divBdr>
          <w:divsChild>
            <w:div w:id="294065848">
              <w:marLeft w:val="0"/>
              <w:marRight w:val="0"/>
              <w:marTop w:val="0"/>
              <w:marBottom w:val="0"/>
              <w:divBdr>
                <w:top w:val="none" w:sz="0" w:space="0" w:color="auto"/>
                <w:left w:val="none" w:sz="0" w:space="0" w:color="auto"/>
                <w:bottom w:val="none" w:sz="0" w:space="0" w:color="auto"/>
                <w:right w:val="none" w:sz="0" w:space="0" w:color="auto"/>
              </w:divBdr>
            </w:div>
            <w:div w:id="1643315441">
              <w:marLeft w:val="0"/>
              <w:marRight w:val="0"/>
              <w:marTop w:val="0"/>
              <w:marBottom w:val="0"/>
              <w:divBdr>
                <w:top w:val="none" w:sz="0" w:space="0" w:color="auto"/>
                <w:left w:val="none" w:sz="0" w:space="0" w:color="auto"/>
                <w:bottom w:val="none" w:sz="0" w:space="0" w:color="auto"/>
                <w:right w:val="none" w:sz="0" w:space="0" w:color="auto"/>
              </w:divBdr>
            </w:div>
          </w:divsChild>
        </w:div>
        <w:div w:id="853963179">
          <w:marLeft w:val="0"/>
          <w:marRight w:val="0"/>
          <w:marTop w:val="0"/>
          <w:marBottom w:val="0"/>
          <w:divBdr>
            <w:top w:val="none" w:sz="0" w:space="0" w:color="auto"/>
            <w:left w:val="none" w:sz="0" w:space="0" w:color="auto"/>
            <w:bottom w:val="none" w:sz="0" w:space="0" w:color="auto"/>
            <w:right w:val="none" w:sz="0" w:space="0" w:color="auto"/>
          </w:divBdr>
          <w:divsChild>
            <w:div w:id="1290161219">
              <w:marLeft w:val="0"/>
              <w:marRight w:val="0"/>
              <w:marTop w:val="0"/>
              <w:marBottom w:val="0"/>
              <w:divBdr>
                <w:top w:val="none" w:sz="0" w:space="0" w:color="auto"/>
                <w:left w:val="none" w:sz="0" w:space="0" w:color="auto"/>
                <w:bottom w:val="none" w:sz="0" w:space="0" w:color="auto"/>
                <w:right w:val="none" w:sz="0" w:space="0" w:color="auto"/>
              </w:divBdr>
            </w:div>
          </w:divsChild>
        </w:div>
        <w:div w:id="1751390300">
          <w:marLeft w:val="0"/>
          <w:marRight w:val="0"/>
          <w:marTop w:val="0"/>
          <w:marBottom w:val="0"/>
          <w:divBdr>
            <w:top w:val="none" w:sz="0" w:space="0" w:color="auto"/>
            <w:left w:val="none" w:sz="0" w:space="0" w:color="auto"/>
            <w:bottom w:val="none" w:sz="0" w:space="0" w:color="auto"/>
            <w:right w:val="none" w:sz="0" w:space="0" w:color="auto"/>
          </w:divBdr>
        </w:div>
        <w:div w:id="2099517234">
          <w:marLeft w:val="0"/>
          <w:marRight w:val="0"/>
          <w:marTop w:val="0"/>
          <w:marBottom w:val="0"/>
          <w:divBdr>
            <w:top w:val="none" w:sz="0" w:space="0" w:color="auto"/>
            <w:left w:val="none" w:sz="0" w:space="0" w:color="auto"/>
            <w:bottom w:val="none" w:sz="0" w:space="0" w:color="auto"/>
            <w:right w:val="none" w:sz="0" w:space="0" w:color="auto"/>
          </w:divBdr>
          <w:divsChild>
            <w:div w:id="4038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777">
      <w:bodyDiv w:val="1"/>
      <w:marLeft w:val="0"/>
      <w:marRight w:val="0"/>
      <w:marTop w:val="0"/>
      <w:marBottom w:val="0"/>
      <w:divBdr>
        <w:top w:val="none" w:sz="0" w:space="0" w:color="auto"/>
        <w:left w:val="none" w:sz="0" w:space="0" w:color="auto"/>
        <w:bottom w:val="none" w:sz="0" w:space="0" w:color="auto"/>
        <w:right w:val="none" w:sz="0" w:space="0" w:color="auto"/>
      </w:divBdr>
      <w:divsChild>
        <w:div w:id="1910461772">
          <w:marLeft w:val="0"/>
          <w:marRight w:val="0"/>
          <w:marTop w:val="0"/>
          <w:marBottom w:val="0"/>
          <w:divBdr>
            <w:top w:val="none" w:sz="0" w:space="0" w:color="auto"/>
            <w:left w:val="none" w:sz="0" w:space="0" w:color="auto"/>
            <w:bottom w:val="none" w:sz="0" w:space="0" w:color="auto"/>
            <w:right w:val="none" w:sz="0" w:space="0" w:color="auto"/>
          </w:divBdr>
        </w:div>
        <w:div w:id="1997564972">
          <w:marLeft w:val="0"/>
          <w:marRight w:val="0"/>
          <w:marTop w:val="0"/>
          <w:marBottom w:val="0"/>
          <w:divBdr>
            <w:top w:val="none" w:sz="0" w:space="0" w:color="auto"/>
            <w:left w:val="none" w:sz="0" w:space="0" w:color="auto"/>
            <w:bottom w:val="none" w:sz="0" w:space="0" w:color="auto"/>
            <w:right w:val="none" w:sz="0" w:space="0" w:color="auto"/>
          </w:divBdr>
        </w:div>
      </w:divsChild>
    </w:div>
    <w:div w:id="1647248323">
      <w:bodyDiv w:val="1"/>
      <w:marLeft w:val="0"/>
      <w:marRight w:val="0"/>
      <w:marTop w:val="0"/>
      <w:marBottom w:val="0"/>
      <w:divBdr>
        <w:top w:val="none" w:sz="0" w:space="0" w:color="auto"/>
        <w:left w:val="none" w:sz="0" w:space="0" w:color="auto"/>
        <w:bottom w:val="none" w:sz="0" w:space="0" w:color="auto"/>
        <w:right w:val="none" w:sz="0" w:space="0" w:color="auto"/>
      </w:divBdr>
      <w:divsChild>
        <w:div w:id="212428885">
          <w:marLeft w:val="0"/>
          <w:marRight w:val="0"/>
          <w:marTop w:val="0"/>
          <w:marBottom w:val="0"/>
          <w:divBdr>
            <w:top w:val="none" w:sz="0" w:space="0" w:color="auto"/>
            <w:left w:val="none" w:sz="0" w:space="0" w:color="auto"/>
            <w:bottom w:val="none" w:sz="0" w:space="0" w:color="auto"/>
            <w:right w:val="none" w:sz="0" w:space="0" w:color="auto"/>
          </w:divBdr>
        </w:div>
        <w:div w:id="247662304">
          <w:marLeft w:val="0"/>
          <w:marRight w:val="0"/>
          <w:marTop w:val="0"/>
          <w:marBottom w:val="0"/>
          <w:divBdr>
            <w:top w:val="none" w:sz="0" w:space="0" w:color="auto"/>
            <w:left w:val="none" w:sz="0" w:space="0" w:color="auto"/>
            <w:bottom w:val="none" w:sz="0" w:space="0" w:color="auto"/>
            <w:right w:val="none" w:sz="0" w:space="0" w:color="auto"/>
          </w:divBdr>
        </w:div>
        <w:div w:id="541744130">
          <w:marLeft w:val="0"/>
          <w:marRight w:val="0"/>
          <w:marTop w:val="0"/>
          <w:marBottom w:val="0"/>
          <w:divBdr>
            <w:top w:val="none" w:sz="0" w:space="0" w:color="auto"/>
            <w:left w:val="none" w:sz="0" w:space="0" w:color="auto"/>
            <w:bottom w:val="none" w:sz="0" w:space="0" w:color="auto"/>
            <w:right w:val="none" w:sz="0" w:space="0" w:color="auto"/>
          </w:divBdr>
        </w:div>
        <w:div w:id="603608181">
          <w:marLeft w:val="0"/>
          <w:marRight w:val="0"/>
          <w:marTop w:val="0"/>
          <w:marBottom w:val="0"/>
          <w:divBdr>
            <w:top w:val="none" w:sz="0" w:space="0" w:color="auto"/>
            <w:left w:val="none" w:sz="0" w:space="0" w:color="auto"/>
            <w:bottom w:val="none" w:sz="0" w:space="0" w:color="auto"/>
            <w:right w:val="none" w:sz="0" w:space="0" w:color="auto"/>
          </w:divBdr>
        </w:div>
        <w:div w:id="677852154">
          <w:marLeft w:val="0"/>
          <w:marRight w:val="0"/>
          <w:marTop w:val="0"/>
          <w:marBottom w:val="0"/>
          <w:divBdr>
            <w:top w:val="none" w:sz="0" w:space="0" w:color="auto"/>
            <w:left w:val="none" w:sz="0" w:space="0" w:color="auto"/>
            <w:bottom w:val="none" w:sz="0" w:space="0" w:color="auto"/>
            <w:right w:val="none" w:sz="0" w:space="0" w:color="auto"/>
          </w:divBdr>
        </w:div>
        <w:div w:id="685061218">
          <w:marLeft w:val="0"/>
          <w:marRight w:val="0"/>
          <w:marTop w:val="0"/>
          <w:marBottom w:val="0"/>
          <w:divBdr>
            <w:top w:val="none" w:sz="0" w:space="0" w:color="auto"/>
            <w:left w:val="none" w:sz="0" w:space="0" w:color="auto"/>
            <w:bottom w:val="none" w:sz="0" w:space="0" w:color="auto"/>
            <w:right w:val="none" w:sz="0" w:space="0" w:color="auto"/>
          </w:divBdr>
        </w:div>
        <w:div w:id="743527915">
          <w:marLeft w:val="0"/>
          <w:marRight w:val="0"/>
          <w:marTop w:val="0"/>
          <w:marBottom w:val="0"/>
          <w:divBdr>
            <w:top w:val="none" w:sz="0" w:space="0" w:color="auto"/>
            <w:left w:val="none" w:sz="0" w:space="0" w:color="auto"/>
            <w:bottom w:val="none" w:sz="0" w:space="0" w:color="auto"/>
            <w:right w:val="none" w:sz="0" w:space="0" w:color="auto"/>
          </w:divBdr>
        </w:div>
        <w:div w:id="941230540">
          <w:marLeft w:val="0"/>
          <w:marRight w:val="0"/>
          <w:marTop w:val="0"/>
          <w:marBottom w:val="0"/>
          <w:divBdr>
            <w:top w:val="none" w:sz="0" w:space="0" w:color="auto"/>
            <w:left w:val="none" w:sz="0" w:space="0" w:color="auto"/>
            <w:bottom w:val="none" w:sz="0" w:space="0" w:color="auto"/>
            <w:right w:val="none" w:sz="0" w:space="0" w:color="auto"/>
          </w:divBdr>
        </w:div>
        <w:div w:id="956567346">
          <w:marLeft w:val="0"/>
          <w:marRight w:val="0"/>
          <w:marTop w:val="0"/>
          <w:marBottom w:val="0"/>
          <w:divBdr>
            <w:top w:val="none" w:sz="0" w:space="0" w:color="auto"/>
            <w:left w:val="none" w:sz="0" w:space="0" w:color="auto"/>
            <w:bottom w:val="none" w:sz="0" w:space="0" w:color="auto"/>
            <w:right w:val="none" w:sz="0" w:space="0" w:color="auto"/>
          </w:divBdr>
        </w:div>
        <w:div w:id="1376663000">
          <w:marLeft w:val="0"/>
          <w:marRight w:val="0"/>
          <w:marTop w:val="0"/>
          <w:marBottom w:val="0"/>
          <w:divBdr>
            <w:top w:val="none" w:sz="0" w:space="0" w:color="auto"/>
            <w:left w:val="none" w:sz="0" w:space="0" w:color="auto"/>
            <w:bottom w:val="none" w:sz="0" w:space="0" w:color="auto"/>
            <w:right w:val="none" w:sz="0" w:space="0" w:color="auto"/>
          </w:divBdr>
        </w:div>
        <w:div w:id="1432165041">
          <w:marLeft w:val="0"/>
          <w:marRight w:val="0"/>
          <w:marTop w:val="0"/>
          <w:marBottom w:val="0"/>
          <w:divBdr>
            <w:top w:val="none" w:sz="0" w:space="0" w:color="auto"/>
            <w:left w:val="none" w:sz="0" w:space="0" w:color="auto"/>
            <w:bottom w:val="none" w:sz="0" w:space="0" w:color="auto"/>
            <w:right w:val="none" w:sz="0" w:space="0" w:color="auto"/>
          </w:divBdr>
        </w:div>
        <w:div w:id="1450272684">
          <w:marLeft w:val="0"/>
          <w:marRight w:val="0"/>
          <w:marTop w:val="0"/>
          <w:marBottom w:val="0"/>
          <w:divBdr>
            <w:top w:val="none" w:sz="0" w:space="0" w:color="auto"/>
            <w:left w:val="none" w:sz="0" w:space="0" w:color="auto"/>
            <w:bottom w:val="none" w:sz="0" w:space="0" w:color="auto"/>
            <w:right w:val="none" w:sz="0" w:space="0" w:color="auto"/>
          </w:divBdr>
        </w:div>
        <w:div w:id="1542132300">
          <w:marLeft w:val="0"/>
          <w:marRight w:val="0"/>
          <w:marTop w:val="0"/>
          <w:marBottom w:val="0"/>
          <w:divBdr>
            <w:top w:val="none" w:sz="0" w:space="0" w:color="auto"/>
            <w:left w:val="none" w:sz="0" w:space="0" w:color="auto"/>
            <w:bottom w:val="none" w:sz="0" w:space="0" w:color="auto"/>
            <w:right w:val="none" w:sz="0" w:space="0" w:color="auto"/>
          </w:divBdr>
        </w:div>
        <w:div w:id="1573390996">
          <w:marLeft w:val="0"/>
          <w:marRight w:val="0"/>
          <w:marTop w:val="0"/>
          <w:marBottom w:val="0"/>
          <w:divBdr>
            <w:top w:val="none" w:sz="0" w:space="0" w:color="auto"/>
            <w:left w:val="none" w:sz="0" w:space="0" w:color="auto"/>
            <w:bottom w:val="none" w:sz="0" w:space="0" w:color="auto"/>
            <w:right w:val="none" w:sz="0" w:space="0" w:color="auto"/>
          </w:divBdr>
        </w:div>
        <w:div w:id="2143881554">
          <w:marLeft w:val="0"/>
          <w:marRight w:val="0"/>
          <w:marTop w:val="0"/>
          <w:marBottom w:val="0"/>
          <w:divBdr>
            <w:top w:val="none" w:sz="0" w:space="0" w:color="auto"/>
            <w:left w:val="none" w:sz="0" w:space="0" w:color="auto"/>
            <w:bottom w:val="none" w:sz="0" w:space="0" w:color="auto"/>
            <w:right w:val="none" w:sz="0" w:space="0" w:color="auto"/>
          </w:divBdr>
        </w:div>
      </w:divsChild>
    </w:div>
    <w:div w:id="1665668913">
      <w:bodyDiv w:val="1"/>
      <w:marLeft w:val="0"/>
      <w:marRight w:val="0"/>
      <w:marTop w:val="0"/>
      <w:marBottom w:val="0"/>
      <w:divBdr>
        <w:top w:val="none" w:sz="0" w:space="0" w:color="auto"/>
        <w:left w:val="none" w:sz="0" w:space="0" w:color="auto"/>
        <w:bottom w:val="none" w:sz="0" w:space="0" w:color="auto"/>
        <w:right w:val="none" w:sz="0" w:space="0" w:color="auto"/>
      </w:divBdr>
      <w:divsChild>
        <w:div w:id="76750734">
          <w:marLeft w:val="0"/>
          <w:marRight w:val="0"/>
          <w:marTop w:val="0"/>
          <w:marBottom w:val="0"/>
          <w:divBdr>
            <w:top w:val="none" w:sz="0" w:space="0" w:color="auto"/>
            <w:left w:val="none" w:sz="0" w:space="0" w:color="auto"/>
            <w:bottom w:val="none" w:sz="0" w:space="0" w:color="auto"/>
            <w:right w:val="none" w:sz="0" w:space="0" w:color="auto"/>
          </w:divBdr>
        </w:div>
        <w:div w:id="83384120">
          <w:marLeft w:val="0"/>
          <w:marRight w:val="0"/>
          <w:marTop w:val="0"/>
          <w:marBottom w:val="0"/>
          <w:divBdr>
            <w:top w:val="none" w:sz="0" w:space="0" w:color="auto"/>
            <w:left w:val="none" w:sz="0" w:space="0" w:color="auto"/>
            <w:bottom w:val="none" w:sz="0" w:space="0" w:color="auto"/>
            <w:right w:val="none" w:sz="0" w:space="0" w:color="auto"/>
          </w:divBdr>
        </w:div>
        <w:div w:id="94251783">
          <w:marLeft w:val="0"/>
          <w:marRight w:val="0"/>
          <w:marTop w:val="0"/>
          <w:marBottom w:val="0"/>
          <w:divBdr>
            <w:top w:val="none" w:sz="0" w:space="0" w:color="auto"/>
            <w:left w:val="none" w:sz="0" w:space="0" w:color="auto"/>
            <w:bottom w:val="none" w:sz="0" w:space="0" w:color="auto"/>
            <w:right w:val="none" w:sz="0" w:space="0" w:color="auto"/>
          </w:divBdr>
          <w:divsChild>
            <w:div w:id="848985470">
              <w:marLeft w:val="0"/>
              <w:marRight w:val="0"/>
              <w:marTop w:val="0"/>
              <w:marBottom w:val="0"/>
              <w:divBdr>
                <w:top w:val="none" w:sz="0" w:space="0" w:color="auto"/>
                <w:left w:val="none" w:sz="0" w:space="0" w:color="auto"/>
                <w:bottom w:val="none" w:sz="0" w:space="0" w:color="auto"/>
                <w:right w:val="none" w:sz="0" w:space="0" w:color="auto"/>
              </w:divBdr>
            </w:div>
            <w:div w:id="1679696647">
              <w:marLeft w:val="0"/>
              <w:marRight w:val="0"/>
              <w:marTop w:val="0"/>
              <w:marBottom w:val="0"/>
              <w:divBdr>
                <w:top w:val="none" w:sz="0" w:space="0" w:color="auto"/>
                <w:left w:val="none" w:sz="0" w:space="0" w:color="auto"/>
                <w:bottom w:val="none" w:sz="0" w:space="0" w:color="auto"/>
                <w:right w:val="none" w:sz="0" w:space="0" w:color="auto"/>
              </w:divBdr>
            </w:div>
            <w:div w:id="2081973574">
              <w:marLeft w:val="0"/>
              <w:marRight w:val="0"/>
              <w:marTop w:val="0"/>
              <w:marBottom w:val="0"/>
              <w:divBdr>
                <w:top w:val="none" w:sz="0" w:space="0" w:color="auto"/>
                <w:left w:val="none" w:sz="0" w:space="0" w:color="auto"/>
                <w:bottom w:val="none" w:sz="0" w:space="0" w:color="auto"/>
                <w:right w:val="none" w:sz="0" w:space="0" w:color="auto"/>
              </w:divBdr>
            </w:div>
          </w:divsChild>
        </w:div>
        <w:div w:id="106434885">
          <w:marLeft w:val="0"/>
          <w:marRight w:val="0"/>
          <w:marTop w:val="0"/>
          <w:marBottom w:val="0"/>
          <w:divBdr>
            <w:top w:val="none" w:sz="0" w:space="0" w:color="auto"/>
            <w:left w:val="none" w:sz="0" w:space="0" w:color="auto"/>
            <w:bottom w:val="none" w:sz="0" w:space="0" w:color="auto"/>
            <w:right w:val="none" w:sz="0" w:space="0" w:color="auto"/>
          </w:divBdr>
          <w:divsChild>
            <w:div w:id="765658092">
              <w:marLeft w:val="0"/>
              <w:marRight w:val="0"/>
              <w:marTop w:val="0"/>
              <w:marBottom w:val="0"/>
              <w:divBdr>
                <w:top w:val="none" w:sz="0" w:space="0" w:color="auto"/>
                <w:left w:val="none" w:sz="0" w:space="0" w:color="auto"/>
                <w:bottom w:val="none" w:sz="0" w:space="0" w:color="auto"/>
                <w:right w:val="none" w:sz="0" w:space="0" w:color="auto"/>
              </w:divBdr>
            </w:div>
            <w:div w:id="1560555977">
              <w:marLeft w:val="0"/>
              <w:marRight w:val="0"/>
              <w:marTop w:val="0"/>
              <w:marBottom w:val="0"/>
              <w:divBdr>
                <w:top w:val="none" w:sz="0" w:space="0" w:color="auto"/>
                <w:left w:val="none" w:sz="0" w:space="0" w:color="auto"/>
                <w:bottom w:val="none" w:sz="0" w:space="0" w:color="auto"/>
                <w:right w:val="none" w:sz="0" w:space="0" w:color="auto"/>
              </w:divBdr>
            </w:div>
            <w:div w:id="1764378121">
              <w:marLeft w:val="0"/>
              <w:marRight w:val="0"/>
              <w:marTop w:val="0"/>
              <w:marBottom w:val="0"/>
              <w:divBdr>
                <w:top w:val="none" w:sz="0" w:space="0" w:color="auto"/>
                <w:left w:val="none" w:sz="0" w:space="0" w:color="auto"/>
                <w:bottom w:val="none" w:sz="0" w:space="0" w:color="auto"/>
                <w:right w:val="none" w:sz="0" w:space="0" w:color="auto"/>
              </w:divBdr>
            </w:div>
            <w:div w:id="1887839243">
              <w:marLeft w:val="0"/>
              <w:marRight w:val="0"/>
              <w:marTop w:val="0"/>
              <w:marBottom w:val="0"/>
              <w:divBdr>
                <w:top w:val="none" w:sz="0" w:space="0" w:color="auto"/>
                <w:left w:val="none" w:sz="0" w:space="0" w:color="auto"/>
                <w:bottom w:val="none" w:sz="0" w:space="0" w:color="auto"/>
                <w:right w:val="none" w:sz="0" w:space="0" w:color="auto"/>
              </w:divBdr>
            </w:div>
          </w:divsChild>
        </w:div>
        <w:div w:id="128476675">
          <w:marLeft w:val="0"/>
          <w:marRight w:val="0"/>
          <w:marTop w:val="0"/>
          <w:marBottom w:val="0"/>
          <w:divBdr>
            <w:top w:val="none" w:sz="0" w:space="0" w:color="auto"/>
            <w:left w:val="none" w:sz="0" w:space="0" w:color="auto"/>
            <w:bottom w:val="none" w:sz="0" w:space="0" w:color="auto"/>
            <w:right w:val="none" w:sz="0" w:space="0" w:color="auto"/>
          </w:divBdr>
        </w:div>
        <w:div w:id="151601461">
          <w:marLeft w:val="0"/>
          <w:marRight w:val="0"/>
          <w:marTop w:val="0"/>
          <w:marBottom w:val="0"/>
          <w:divBdr>
            <w:top w:val="none" w:sz="0" w:space="0" w:color="auto"/>
            <w:left w:val="none" w:sz="0" w:space="0" w:color="auto"/>
            <w:bottom w:val="none" w:sz="0" w:space="0" w:color="auto"/>
            <w:right w:val="none" w:sz="0" w:space="0" w:color="auto"/>
          </w:divBdr>
        </w:div>
        <w:div w:id="162861118">
          <w:marLeft w:val="0"/>
          <w:marRight w:val="0"/>
          <w:marTop w:val="0"/>
          <w:marBottom w:val="0"/>
          <w:divBdr>
            <w:top w:val="none" w:sz="0" w:space="0" w:color="auto"/>
            <w:left w:val="none" w:sz="0" w:space="0" w:color="auto"/>
            <w:bottom w:val="none" w:sz="0" w:space="0" w:color="auto"/>
            <w:right w:val="none" w:sz="0" w:space="0" w:color="auto"/>
          </w:divBdr>
        </w:div>
        <w:div w:id="186409981">
          <w:marLeft w:val="0"/>
          <w:marRight w:val="0"/>
          <w:marTop w:val="0"/>
          <w:marBottom w:val="0"/>
          <w:divBdr>
            <w:top w:val="none" w:sz="0" w:space="0" w:color="auto"/>
            <w:left w:val="none" w:sz="0" w:space="0" w:color="auto"/>
            <w:bottom w:val="none" w:sz="0" w:space="0" w:color="auto"/>
            <w:right w:val="none" w:sz="0" w:space="0" w:color="auto"/>
          </w:divBdr>
          <w:divsChild>
            <w:div w:id="95443951">
              <w:marLeft w:val="0"/>
              <w:marRight w:val="0"/>
              <w:marTop w:val="0"/>
              <w:marBottom w:val="0"/>
              <w:divBdr>
                <w:top w:val="none" w:sz="0" w:space="0" w:color="auto"/>
                <w:left w:val="none" w:sz="0" w:space="0" w:color="auto"/>
                <w:bottom w:val="none" w:sz="0" w:space="0" w:color="auto"/>
                <w:right w:val="none" w:sz="0" w:space="0" w:color="auto"/>
              </w:divBdr>
            </w:div>
            <w:div w:id="898899252">
              <w:marLeft w:val="0"/>
              <w:marRight w:val="0"/>
              <w:marTop w:val="0"/>
              <w:marBottom w:val="0"/>
              <w:divBdr>
                <w:top w:val="none" w:sz="0" w:space="0" w:color="auto"/>
                <w:left w:val="none" w:sz="0" w:space="0" w:color="auto"/>
                <w:bottom w:val="none" w:sz="0" w:space="0" w:color="auto"/>
                <w:right w:val="none" w:sz="0" w:space="0" w:color="auto"/>
              </w:divBdr>
            </w:div>
            <w:div w:id="1069230117">
              <w:marLeft w:val="0"/>
              <w:marRight w:val="0"/>
              <w:marTop w:val="0"/>
              <w:marBottom w:val="0"/>
              <w:divBdr>
                <w:top w:val="none" w:sz="0" w:space="0" w:color="auto"/>
                <w:left w:val="none" w:sz="0" w:space="0" w:color="auto"/>
                <w:bottom w:val="none" w:sz="0" w:space="0" w:color="auto"/>
                <w:right w:val="none" w:sz="0" w:space="0" w:color="auto"/>
              </w:divBdr>
            </w:div>
            <w:div w:id="1964268894">
              <w:marLeft w:val="0"/>
              <w:marRight w:val="0"/>
              <w:marTop w:val="0"/>
              <w:marBottom w:val="0"/>
              <w:divBdr>
                <w:top w:val="none" w:sz="0" w:space="0" w:color="auto"/>
                <w:left w:val="none" w:sz="0" w:space="0" w:color="auto"/>
                <w:bottom w:val="none" w:sz="0" w:space="0" w:color="auto"/>
                <w:right w:val="none" w:sz="0" w:space="0" w:color="auto"/>
              </w:divBdr>
            </w:div>
          </w:divsChild>
        </w:div>
        <w:div w:id="255793889">
          <w:marLeft w:val="0"/>
          <w:marRight w:val="0"/>
          <w:marTop w:val="0"/>
          <w:marBottom w:val="0"/>
          <w:divBdr>
            <w:top w:val="none" w:sz="0" w:space="0" w:color="auto"/>
            <w:left w:val="none" w:sz="0" w:space="0" w:color="auto"/>
            <w:bottom w:val="none" w:sz="0" w:space="0" w:color="auto"/>
            <w:right w:val="none" w:sz="0" w:space="0" w:color="auto"/>
          </w:divBdr>
        </w:div>
        <w:div w:id="263147606">
          <w:marLeft w:val="0"/>
          <w:marRight w:val="0"/>
          <w:marTop w:val="0"/>
          <w:marBottom w:val="0"/>
          <w:divBdr>
            <w:top w:val="none" w:sz="0" w:space="0" w:color="auto"/>
            <w:left w:val="none" w:sz="0" w:space="0" w:color="auto"/>
            <w:bottom w:val="none" w:sz="0" w:space="0" w:color="auto"/>
            <w:right w:val="none" w:sz="0" w:space="0" w:color="auto"/>
          </w:divBdr>
        </w:div>
        <w:div w:id="275018505">
          <w:marLeft w:val="0"/>
          <w:marRight w:val="0"/>
          <w:marTop w:val="0"/>
          <w:marBottom w:val="0"/>
          <w:divBdr>
            <w:top w:val="none" w:sz="0" w:space="0" w:color="auto"/>
            <w:left w:val="none" w:sz="0" w:space="0" w:color="auto"/>
            <w:bottom w:val="none" w:sz="0" w:space="0" w:color="auto"/>
            <w:right w:val="none" w:sz="0" w:space="0" w:color="auto"/>
          </w:divBdr>
        </w:div>
        <w:div w:id="281227453">
          <w:marLeft w:val="0"/>
          <w:marRight w:val="0"/>
          <w:marTop w:val="0"/>
          <w:marBottom w:val="0"/>
          <w:divBdr>
            <w:top w:val="none" w:sz="0" w:space="0" w:color="auto"/>
            <w:left w:val="none" w:sz="0" w:space="0" w:color="auto"/>
            <w:bottom w:val="none" w:sz="0" w:space="0" w:color="auto"/>
            <w:right w:val="none" w:sz="0" w:space="0" w:color="auto"/>
          </w:divBdr>
          <w:divsChild>
            <w:div w:id="32273373">
              <w:marLeft w:val="-75"/>
              <w:marRight w:val="0"/>
              <w:marTop w:val="30"/>
              <w:marBottom w:val="30"/>
              <w:divBdr>
                <w:top w:val="none" w:sz="0" w:space="0" w:color="auto"/>
                <w:left w:val="none" w:sz="0" w:space="0" w:color="auto"/>
                <w:bottom w:val="none" w:sz="0" w:space="0" w:color="auto"/>
                <w:right w:val="none" w:sz="0" w:space="0" w:color="auto"/>
              </w:divBdr>
              <w:divsChild>
                <w:div w:id="48848027">
                  <w:marLeft w:val="0"/>
                  <w:marRight w:val="0"/>
                  <w:marTop w:val="0"/>
                  <w:marBottom w:val="0"/>
                  <w:divBdr>
                    <w:top w:val="none" w:sz="0" w:space="0" w:color="auto"/>
                    <w:left w:val="none" w:sz="0" w:space="0" w:color="auto"/>
                    <w:bottom w:val="none" w:sz="0" w:space="0" w:color="auto"/>
                    <w:right w:val="none" w:sz="0" w:space="0" w:color="auto"/>
                  </w:divBdr>
                  <w:divsChild>
                    <w:div w:id="1754625709">
                      <w:marLeft w:val="0"/>
                      <w:marRight w:val="0"/>
                      <w:marTop w:val="0"/>
                      <w:marBottom w:val="0"/>
                      <w:divBdr>
                        <w:top w:val="none" w:sz="0" w:space="0" w:color="auto"/>
                        <w:left w:val="none" w:sz="0" w:space="0" w:color="auto"/>
                        <w:bottom w:val="none" w:sz="0" w:space="0" w:color="auto"/>
                        <w:right w:val="none" w:sz="0" w:space="0" w:color="auto"/>
                      </w:divBdr>
                    </w:div>
                  </w:divsChild>
                </w:div>
                <w:div w:id="173568500">
                  <w:marLeft w:val="0"/>
                  <w:marRight w:val="0"/>
                  <w:marTop w:val="0"/>
                  <w:marBottom w:val="0"/>
                  <w:divBdr>
                    <w:top w:val="none" w:sz="0" w:space="0" w:color="auto"/>
                    <w:left w:val="none" w:sz="0" w:space="0" w:color="auto"/>
                    <w:bottom w:val="none" w:sz="0" w:space="0" w:color="auto"/>
                    <w:right w:val="none" w:sz="0" w:space="0" w:color="auto"/>
                  </w:divBdr>
                  <w:divsChild>
                    <w:div w:id="3634631">
                      <w:marLeft w:val="0"/>
                      <w:marRight w:val="0"/>
                      <w:marTop w:val="0"/>
                      <w:marBottom w:val="0"/>
                      <w:divBdr>
                        <w:top w:val="none" w:sz="0" w:space="0" w:color="auto"/>
                        <w:left w:val="none" w:sz="0" w:space="0" w:color="auto"/>
                        <w:bottom w:val="none" w:sz="0" w:space="0" w:color="auto"/>
                        <w:right w:val="none" w:sz="0" w:space="0" w:color="auto"/>
                      </w:divBdr>
                    </w:div>
                  </w:divsChild>
                </w:div>
                <w:div w:id="248582941">
                  <w:marLeft w:val="0"/>
                  <w:marRight w:val="0"/>
                  <w:marTop w:val="0"/>
                  <w:marBottom w:val="0"/>
                  <w:divBdr>
                    <w:top w:val="none" w:sz="0" w:space="0" w:color="auto"/>
                    <w:left w:val="none" w:sz="0" w:space="0" w:color="auto"/>
                    <w:bottom w:val="none" w:sz="0" w:space="0" w:color="auto"/>
                    <w:right w:val="none" w:sz="0" w:space="0" w:color="auto"/>
                  </w:divBdr>
                  <w:divsChild>
                    <w:div w:id="759985771">
                      <w:marLeft w:val="0"/>
                      <w:marRight w:val="0"/>
                      <w:marTop w:val="0"/>
                      <w:marBottom w:val="0"/>
                      <w:divBdr>
                        <w:top w:val="none" w:sz="0" w:space="0" w:color="auto"/>
                        <w:left w:val="none" w:sz="0" w:space="0" w:color="auto"/>
                        <w:bottom w:val="none" w:sz="0" w:space="0" w:color="auto"/>
                        <w:right w:val="none" w:sz="0" w:space="0" w:color="auto"/>
                      </w:divBdr>
                    </w:div>
                  </w:divsChild>
                </w:div>
                <w:div w:id="327556989">
                  <w:marLeft w:val="0"/>
                  <w:marRight w:val="0"/>
                  <w:marTop w:val="0"/>
                  <w:marBottom w:val="0"/>
                  <w:divBdr>
                    <w:top w:val="none" w:sz="0" w:space="0" w:color="auto"/>
                    <w:left w:val="none" w:sz="0" w:space="0" w:color="auto"/>
                    <w:bottom w:val="none" w:sz="0" w:space="0" w:color="auto"/>
                    <w:right w:val="none" w:sz="0" w:space="0" w:color="auto"/>
                  </w:divBdr>
                  <w:divsChild>
                    <w:div w:id="1999922113">
                      <w:marLeft w:val="0"/>
                      <w:marRight w:val="0"/>
                      <w:marTop w:val="0"/>
                      <w:marBottom w:val="0"/>
                      <w:divBdr>
                        <w:top w:val="none" w:sz="0" w:space="0" w:color="auto"/>
                        <w:left w:val="none" w:sz="0" w:space="0" w:color="auto"/>
                        <w:bottom w:val="none" w:sz="0" w:space="0" w:color="auto"/>
                        <w:right w:val="none" w:sz="0" w:space="0" w:color="auto"/>
                      </w:divBdr>
                    </w:div>
                  </w:divsChild>
                </w:div>
                <w:div w:id="452216408">
                  <w:marLeft w:val="0"/>
                  <w:marRight w:val="0"/>
                  <w:marTop w:val="0"/>
                  <w:marBottom w:val="0"/>
                  <w:divBdr>
                    <w:top w:val="none" w:sz="0" w:space="0" w:color="auto"/>
                    <w:left w:val="none" w:sz="0" w:space="0" w:color="auto"/>
                    <w:bottom w:val="none" w:sz="0" w:space="0" w:color="auto"/>
                    <w:right w:val="none" w:sz="0" w:space="0" w:color="auto"/>
                  </w:divBdr>
                  <w:divsChild>
                    <w:div w:id="612714625">
                      <w:marLeft w:val="0"/>
                      <w:marRight w:val="0"/>
                      <w:marTop w:val="0"/>
                      <w:marBottom w:val="0"/>
                      <w:divBdr>
                        <w:top w:val="none" w:sz="0" w:space="0" w:color="auto"/>
                        <w:left w:val="none" w:sz="0" w:space="0" w:color="auto"/>
                        <w:bottom w:val="none" w:sz="0" w:space="0" w:color="auto"/>
                        <w:right w:val="none" w:sz="0" w:space="0" w:color="auto"/>
                      </w:divBdr>
                    </w:div>
                  </w:divsChild>
                </w:div>
                <w:div w:id="490874189">
                  <w:marLeft w:val="0"/>
                  <w:marRight w:val="0"/>
                  <w:marTop w:val="0"/>
                  <w:marBottom w:val="0"/>
                  <w:divBdr>
                    <w:top w:val="none" w:sz="0" w:space="0" w:color="auto"/>
                    <w:left w:val="none" w:sz="0" w:space="0" w:color="auto"/>
                    <w:bottom w:val="none" w:sz="0" w:space="0" w:color="auto"/>
                    <w:right w:val="none" w:sz="0" w:space="0" w:color="auto"/>
                  </w:divBdr>
                  <w:divsChild>
                    <w:div w:id="2031569355">
                      <w:marLeft w:val="0"/>
                      <w:marRight w:val="0"/>
                      <w:marTop w:val="0"/>
                      <w:marBottom w:val="0"/>
                      <w:divBdr>
                        <w:top w:val="none" w:sz="0" w:space="0" w:color="auto"/>
                        <w:left w:val="none" w:sz="0" w:space="0" w:color="auto"/>
                        <w:bottom w:val="none" w:sz="0" w:space="0" w:color="auto"/>
                        <w:right w:val="none" w:sz="0" w:space="0" w:color="auto"/>
                      </w:divBdr>
                    </w:div>
                  </w:divsChild>
                </w:div>
                <w:div w:id="600652406">
                  <w:marLeft w:val="0"/>
                  <w:marRight w:val="0"/>
                  <w:marTop w:val="0"/>
                  <w:marBottom w:val="0"/>
                  <w:divBdr>
                    <w:top w:val="none" w:sz="0" w:space="0" w:color="auto"/>
                    <w:left w:val="none" w:sz="0" w:space="0" w:color="auto"/>
                    <w:bottom w:val="none" w:sz="0" w:space="0" w:color="auto"/>
                    <w:right w:val="none" w:sz="0" w:space="0" w:color="auto"/>
                  </w:divBdr>
                  <w:divsChild>
                    <w:div w:id="1567691668">
                      <w:marLeft w:val="0"/>
                      <w:marRight w:val="0"/>
                      <w:marTop w:val="0"/>
                      <w:marBottom w:val="0"/>
                      <w:divBdr>
                        <w:top w:val="none" w:sz="0" w:space="0" w:color="auto"/>
                        <w:left w:val="none" w:sz="0" w:space="0" w:color="auto"/>
                        <w:bottom w:val="none" w:sz="0" w:space="0" w:color="auto"/>
                        <w:right w:val="none" w:sz="0" w:space="0" w:color="auto"/>
                      </w:divBdr>
                    </w:div>
                  </w:divsChild>
                </w:div>
                <w:div w:id="616838825">
                  <w:marLeft w:val="0"/>
                  <w:marRight w:val="0"/>
                  <w:marTop w:val="0"/>
                  <w:marBottom w:val="0"/>
                  <w:divBdr>
                    <w:top w:val="none" w:sz="0" w:space="0" w:color="auto"/>
                    <w:left w:val="none" w:sz="0" w:space="0" w:color="auto"/>
                    <w:bottom w:val="none" w:sz="0" w:space="0" w:color="auto"/>
                    <w:right w:val="none" w:sz="0" w:space="0" w:color="auto"/>
                  </w:divBdr>
                  <w:divsChild>
                    <w:div w:id="1721981245">
                      <w:marLeft w:val="0"/>
                      <w:marRight w:val="0"/>
                      <w:marTop w:val="0"/>
                      <w:marBottom w:val="0"/>
                      <w:divBdr>
                        <w:top w:val="none" w:sz="0" w:space="0" w:color="auto"/>
                        <w:left w:val="none" w:sz="0" w:space="0" w:color="auto"/>
                        <w:bottom w:val="none" w:sz="0" w:space="0" w:color="auto"/>
                        <w:right w:val="none" w:sz="0" w:space="0" w:color="auto"/>
                      </w:divBdr>
                    </w:div>
                  </w:divsChild>
                </w:div>
                <w:div w:id="625696525">
                  <w:marLeft w:val="0"/>
                  <w:marRight w:val="0"/>
                  <w:marTop w:val="0"/>
                  <w:marBottom w:val="0"/>
                  <w:divBdr>
                    <w:top w:val="none" w:sz="0" w:space="0" w:color="auto"/>
                    <w:left w:val="none" w:sz="0" w:space="0" w:color="auto"/>
                    <w:bottom w:val="none" w:sz="0" w:space="0" w:color="auto"/>
                    <w:right w:val="none" w:sz="0" w:space="0" w:color="auto"/>
                  </w:divBdr>
                  <w:divsChild>
                    <w:div w:id="777066742">
                      <w:marLeft w:val="0"/>
                      <w:marRight w:val="0"/>
                      <w:marTop w:val="0"/>
                      <w:marBottom w:val="0"/>
                      <w:divBdr>
                        <w:top w:val="none" w:sz="0" w:space="0" w:color="auto"/>
                        <w:left w:val="none" w:sz="0" w:space="0" w:color="auto"/>
                        <w:bottom w:val="none" w:sz="0" w:space="0" w:color="auto"/>
                        <w:right w:val="none" w:sz="0" w:space="0" w:color="auto"/>
                      </w:divBdr>
                    </w:div>
                  </w:divsChild>
                </w:div>
                <w:div w:id="681591676">
                  <w:marLeft w:val="0"/>
                  <w:marRight w:val="0"/>
                  <w:marTop w:val="0"/>
                  <w:marBottom w:val="0"/>
                  <w:divBdr>
                    <w:top w:val="none" w:sz="0" w:space="0" w:color="auto"/>
                    <w:left w:val="none" w:sz="0" w:space="0" w:color="auto"/>
                    <w:bottom w:val="none" w:sz="0" w:space="0" w:color="auto"/>
                    <w:right w:val="none" w:sz="0" w:space="0" w:color="auto"/>
                  </w:divBdr>
                  <w:divsChild>
                    <w:div w:id="959453887">
                      <w:marLeft w:val="0"/>
                      <w:marRight w:val="0"/>
                      <w:marTop w:val="0"/>
                      <w:marBottom w:val="0"/>
                      <w:divBdr>
                        <w:top w:val="none" w:sz="0" w:space="0" w:color="auto"/>
                        <w:left w:val="none" w:sz="0" w:space="0" w:color="auto"/>
                        <w:bottom w:val="none" w:sz="0" w:space="0" w:color="auto"/>
                        <w:right w:val="none" w:sz="0" w:space="0" w:color="auto"/>
                      </w:divBdr>
                    </w:div>
                  </w:divsChild>
                </w:div>
                <w:div w:id="893348895">
                  <w:marLeft w:val="0"/>
                  <w:marRight w:val="0"/>
                  <w:marTop w:val="0"/>
                  <w:marBottom w:val="0"/>
                  <w:divBdr>
                    <w:top w:val="none" w:sz="0" w:space="0" w:color="auto"/>
                    <w:left w:val="none" w:sz="0" w:space="0" w:color="auto"/>
                    <w:bottom w:val="none" w:sz="0" w:space="0" w:color="auto"/>
                    <w:right w:val="none" w:sz="0" w:space="0" w:color="auto"/>
                  </w:divBdr>
                  <w:divsChild>
                    <w:div w:id="1171872555">
                      <w:marLeft w:val="0"/>
                      <w:marRight w:val="0"/>
                      <w:marTop w:val="0"/>
                      <w:marBottom w:val="0"/>
                      <w:divBdr>
                        <w:top w:val="none" w:sz="0" w:space="0" w:color="auto"/>
                        <w:left w:val="none" w:sz="0" w:space="0" w:color="auto"/>
                        <w:bottom w:val="none" w:sz="0" w:space="0" w:color="auto"/>
                        <w:right w:val="none" w:sz="0" w:space="0" w:color="auto"/>
                      </w:divBdr>
                    </w:div>
                  </w:divsChild>
                </w:div>
                <w:div w:id="944462278">
                  <w:marLeft w:val="0"/>
                  <w:marRight w:val="0"/>
                  <w:marTop w:val="0"/>
                  <w:marBottom w:val="0"/>
                  <w:divBdr>
                    <w:top w:val="none" w:sz="0" w:space="0" w:color="auto"/>
                    <w:left w:val="none" w:sz="0" w:space="0" w:color="auto"/>
                    <w:bottom w:val="none" w:sz="0" w:space="0" w:color="auto"/>
                    <w:right w:val="none" w:sz="0" w:space="0" w:color="auto"/>
                  </w:divBdr>
                  <w:divsChild>
                    <w:div w:id="827744314">
                      <w:marLeft w:val="0"/>
                      <w:marRight w:val="0"/>
                      <w:marTop w:val="0"/>
                      <w:marBottom w:val="0"/>
                      <w:divBdr>
                        <w:top w:val="none" w:sz="0" w:space="0" w:color="auto"/>
                        <w:left w:val="none" w:sz="0" w:space="0" w:color="auto"/>
                        <w:bottom w:val="none" w:sz="0" w:space="0" w:color="auto"/>
                        <w:right w:val="none" w:sz="0" w:space="0" w:color="auto"/>
                      </w:divBdr>
                    </w:div>
                  </w:divsChild>
                </w:div>
                <w:div w:id="949239109">
                  <w:marLeft w:val="0"/>
                  <w:marRight w:val="0"/>
                  <w:marTop w:val="0"/>
                  <w:marBottom w:val="0"/>
                  <w:divBdr>
                    <w:top w:val="none" w:sz="0" w:space="0" w:color="auto"/>
                    <w:left w:val="none" w:sz="0" w:space="0" w:color="auto"/>
                    <w:bottom w:val="none" w:sz="0" w:space="0" w:color="auto"/>
                    <w:right w:val="none" w:sz="0" w:space="0" w:color="auto"/>
                  </w:divBdr>
                  <w:divsChild>
                    <w:div w:id="646320377">
                      <w:marLeft w:val="0"/>
                      <w:marRight w:val="0"/>
                      <w:marTop w:val="0"/>
                      <w:marBottom w:val="0"/>
                      <w:divBdr>
                        <w:top w:val="none" w:sz="0" w:space="0" w:color="auto"/>
                        <w:left w:val="none" w:sz="0" w:space="0" w:color="auto"/>
                        <w:bottom w:val="none" w:sz="0" w:space="0" w:color="auto"/>
                        <w:right w:val="none" w:sz="0" w:space="0" w:color="auto"/>
                      </w:divBdr>
                    </w:div>
                  </w:divsChild>
                </w:div>
                <w:div w:id="992417728">
                  <w:marLeft w:val="0"/>
                  <w:marRight w:val="0"/>
                  <w:marTop w:val="0"/>
                  <w:marBottom w:val="0"/>
                  <w:divBdr>
                    <w:top w:val="none" w:sz="0" w:space="0" w:color="auto"/>
                    <w:left w:val="none" w:sz="0" w:space="0" w:color="auto"/>
                    <w:bottom w:val="none" w:sz="0" w:space="0" w:color="auto"/>
                    <w:right w:val="none" w:sz="0" w:space="0" w:color="auto"/>
                  </w:divBdr>
                  <w:divsChild>
                    <w:div w:id="2025396828">
                      <w:marLeft w:val="0"/>
                      <w:marRight w:val="0"/>
                      <w:marTop w:val="0"/>
                      <w:marBottom w:val="0"/>
                      <w:divBdr>
                        <w:top w:val="none" w:sz="0" w:space="0" w:color="auto"/>
                        <w:left w:val="none" w:sz="0" w:space="0" w:color="auto"/>
                        <w:bottom w:val="none" w:sz="0" w:space="0" w:color="auto"/>
                        <w:right w:val="none" w:sz="0" w:space="0" w:color="auto"/>
                      </w:divBdr>
                    </w:div>
                  </w:divsChild>
                </w:div>
                <w:div w:id="1017656122">
                  <w:marLeft w:val="0"/>
                  <w:marRight w:val="0"/>
                  <w:marTop w:val="0"/>
                  <w:marBottom w:val="0"/>
                  <w:divBdr>
                    <w:top w:val="none" w:sz="0" w:space="0" w:color="auto"/>
                    <w:left w:val="none" w:sz="0" w:space="0" w:color="auto"/>
                    <w:bottom w:val="none" w:sz="0" w:space="0" w:color="auto"/>
                    <w:right w:val="none" w:sz="0" w:space="0" w:color="auto"/>
                  </w:divBdr>
                  <w:divsChild>
                    <w:div w:id="280459744">
                      <w:marLeft w:val="0"/>
                      <w:marRight w:val="0"/>
                      <w:marTop w:val="0"/>
                      <w:marBottom w:val="0"/>
                      <w:divBdr>
                        <w:top w:val="none" w:sz="0" w:space="0" w:color="auto"/>
                        <w:left w:val="none" w:sz="0" w:space="0" w:color="auto"/>
                        <w:bottom w:val="none" w:sz="0" w:space="0" w:color="auto"/>
                        <w:right w:val="none" w:sz="0" w:space="0" w:color="auto"/>
                      </w:divBdr>
                    </w:div>
                  </w:divsChild>
                </w:div>
                <w:div w:id="1050231616">
                  <w:marLeft w:val="0"/>
                  <w:marRight w:val="0"/>
                  <w:marTop w:val="0"/>
                  <w:marBottom w:val="0"/>
                  <w:divBdr>
                    <w:top w:val="none" w:sz="0" w:space="0" w:color="auto"/>
                    <w:left w:val="none" w:sz="0" w:space="0" w:color="auto"/>
                    <w:bottom w:val="none" w:sz="0" w:space="0" w:color="auto"/>
                    <w:right w:val="none" w:sz="0" w:space="0" w:color="auto"/>
                  </w:divBdr>
                  <w:divsChild>
                    <w:div w:id="431779346">
                      <w:marLeft w:val="0"/>
                      <w:marRight w:val="0"/>
                      <w:marTop w:val="0"/>
                      <w:marBottom w:val="0"/>
                      <w:divBdr>
                        <w:top w:val="none" w:sz="0" w:space="0" w:color="auto"/>
                        <w:left w:val="none" w:sz="0" w:space="0" w:color="auto"/>
                        <w:bottom w:val="none" w:sz="0" w:space="0" w:color="auto"/>
                        <w:right w:val="none" w:sz="0" w:space="0" w:color="auto"/>
                      </w:divBdr>
                    </w:div>
                  </w:divsChild>
                </w:div>
                <w:div w:id="1075123975">
                  <w:marLeft w:val="0"/>
                  <w:marRight w:val="0"/>
                  <w:marTop w:val="0"/>
                  <w:marBottom w:val="0"/>
                  <w:divBdr>
                    <w:top w:val="none" w:sz="0" w:space="0" w:color="auto"/>
                    <w:left w:val="none" w:sz="0" w:space="0" w:color="auto"/>
                    <w:bottom w:val="none" w:sz="0" w:space="0" w:color="auto"/>
                    <w:right w:val="none" w:sz="0" w:space="0" w:color="auto"/>
                  </w:divBdr>
                  <w:divsChild>
                    <w:div w:id="264583414">
                      <w:marLeft w:val="0"/>
                      <w:marRight w:val="0"/>
                      <w:marTop w:val="0"/>
                      <w:marBottom w:val="0"/>
                      <w:divBdr>
                        <w:top w:val="none" w:sz="0" w:space="0" w:color="auto"/>
                        <w:left w:val="none" w:sz="0" w:space="0" w:color="auto"/>
                        <w:bottom w:val="none" w:sz="0" w:space="0" w:color="auto"/>
                        <w:right w:val="none" w:sz="0" w:space="0" w:color="auto"/>
                      </w:divBdr>
                    </w:div>
                  </w:divsChild>
                </w:div>
                <w:div w:id="1087118379">
                  <w:marLeft w:val="0"/>
                  <w:marRight w:val="0"/>
                  <w:marTop w:val="0"/>
                  <w:marBottom w:val="0"/>
                  <w:divBdr>
                    <w:top w:val="none" w:sz="0" w:space="0" w:color="auto"/>
                    <w:left w:val="none" w:sz="0" w:space="0" w:color="auto"/>
                    <w:bottom w:val="none" w:sz="0" w:space="0" w:color="auto"/>
                    <w:right w:val="none" w:sz="0" w:space="0" w:color="auto"/>
                  </w:divBdr>
                  <w:divsChild>
                    <w:div w:id="1663318031">
                      <w:marLeft w:val="0"/>
                      <w:marRight w:val="0"/>
                      <w:marTop w:val="0"/>
                      <w:marBottom w:val="0"/>
                      <w:divBdr>
                        <w:top w:val="none" w:sz="0" w:space="0" w:color="auto"/>
                        <w:left w:val="none" w:sz="0" w:space="0" w:color="auto"/>
                        <w:bottom w:val="none" w:sz="0" w:space="0" w:color="auto"/>
                        <w:right w:val="none" w:sz="0" w:space="0" w:color="auto"/>
                      </w:divBdr>
                    </w:div>
                  </w:divsChild>
                </w:div>
                <w:div w:id="1140345453">
                  <w:marLeft w:val="0"/>
                  <w:marRight w:val="0"/>
                  <w:marTop w:val="0"/>
                  <w:marBottom w:val="0"/>
                  <w:divBdr>
                    <w:top w:val="none" w:sz="0" w:space="0" w:color="auto"/>
                    <w:left w:val="none" w:sz="0" w:space="0" w:color="auto"/>
                    <w:bottom w:val="none" w:sz="0" w:space="0" w:color="auto"/>
                    <w:right w:val="none" w:sz="0" w:space="0" w:color="auto"/>
                  </w:divBdr>
                  <w:divsChild>
                    <w:div w:id="2081436507">
                      <w:marLeft w:val="0"/>
                      <w:marRight w:val="0"/>
                      <w:marTop w:val="0"/>
                      <w:marBottom w:val="0"/>
                      <w:divBdr>
                        <w:top w:val="none" w:sz="0" w:space="0" w:color="auto"/>
                        <w:left w:val="none" w:sz="0" w:space="0" w:color="auto"/>
                        <w:bottom w:val="none" w:sz="0" w:space="0" w:color="auto"/>
                        <w:right w:val="none" w:sz="0" w:space="0" w:color="auto"/>
                      </w:divBdr>
                    </w:div>
                  </w:divsChild>
                </w:div>
                <w:div w:id="1162157973">
                  <w:marLeft w:val="0"/>
                  <w:marRight w:val="0"/>
                  <w:marTop w:val="0"/>
                  <w:marBottom w:val="0"/>
                  <w:divBdr>
                    <w:top w:val="none" w:sz="0" w:space="0" w:color="auto"/>
                    <w:left w:val="none" w:sz="0" w:space="0" w:color="auto"/>
                    <w:bottom w:val="none" w:sz="0" w:space="0" w:color="auto"/>
                    <w:right w:val="none" w:sz="0" w:space="0" w:color="auto"/>
                  </w:divBdr>
                  <w:divsChild>
                    <w:div w:id="373963602">
                      <w:marLeft w:val="0"/>
                      <w:marRight w:val="0"/>
                      <w:marTop w:val="0"/>
                      <w:marBottom w:val="0"/>
                      <w:divBdr>
                        <w:top w:val="none" w:sz="0" w:space="0" w:color="auto"/>
                        <w:left w:val="none" w:sz="0" w:space="0" w:color="auto"/>
                        <w:bottom w:val="none" w:sz="0" w:space="0" w:color="auto"/>
                        <w:right w:val="none" w:sz="0" w:space="0" w:color="auto"/>
                      </w:divBdr>
                    </w:div>
                  </w:divsChild>
                </w:div>
                <w:div w:id="1168325413">
                  <w:marLeft w:val="0"/>
                  <w:marRight w:val="0"/>
                  <w:marTop w:val="0"/>
                  <w:marBottom w:val="0"/>
                  <w:divBdr>
                    <w:top w:val="none" w:sz="0" w:space="0" w:color="auto"/>
                    <w:left w:val="none" w:sz="0" w:space="0" w:color="auto"/>
                    <w:bottom w:val="none" w:sz="0" w:space="0" w:color="auto"/>
                    <w:right w:val="none" w:sz="0" w:space="0" w:color="auto"/>
                  </w:divBdr>
                  <w:divsChild>
                    <w:div w:id="951476653">
                      <w:marLeft w:val="0"/>
                      <w:marRight w:val="0"/>
                      <w:marTop w:val="0"/>
                      <w:marBottom w:val="0"/>
                      <w:divBdr>
                        <w:top w:val="none" w:sz="0" w:space="0" w:color="auto"/>
                        <w:left w:val="none" w:sz="0" w:space="0" w:color="auto"/>
                        <w:bottom w:val="none" w:sz="0" w:space="0" w:color="auto"/>
                        <w:right w:val="none" w:sz="0" w:space="0" w:color="auto"/>
                      </w:divBdr>
                    </w:div>
                  </w:divsChild>
                </w:div>
                <w:div w:id="1185747405">
                  <w:marLeft w:val="0"/>
                  <w:marRight w:val="0"/>
                  <w:marTop w:val="0"/>
                  <w:marBottom w:val="0"/>
                  <w:divBdr>
                    <w:top w:val="none" w:sz="0" w:space="0" w:color="auto"/>
                    <w:left w:val="none" w:sz="0" w:space="0" w:color="auto"/>
                    <w:bottom w:val="none" w:sz="0" w:space="0" w:color="auto"/>
                    <w:right w:val="none" w:sz="0" w:space="0" w:color="auto"/>
                  </w:divBdr>
                  <w:divsChild>
                    <w:div w:id="239490396">
                      <w:marLeft w:val="0"/>
                      <w:marRight w:val="0"/>
                      <w:marTop w:val="0"/>
                      <w:marBottom w:val="0"/>
                      <w:divBdr>
                        <w:top w:val="none" w:sz="0" w:space="0" w:color="auto"/>
                        <w:left w:val="none" w:sz="0" w:space="0" w:color="auto"/>
                        <w:bottom w:val="none" w:sz="0" w:space="0" w:color="auto"/>
                        <w:right w:val="none" w:sz="0" w:space="0" w:color="auto"/>
                      </w:divBdr>
                    </w:div>
                  </w:divsChild>
                </w:div>
                <w:div w:id="1233587835">
                  <w:marLeft w:val="0"/>
                  <w:marRight w:val="0"/>
                  <w:marTop w:val="0"/>
                  <w:marBottom w:val="0"/>
                  <w:divBdr>
                    <w:top w:val="none" w:sz="0" w:space="0" w:color="auto"/>
                    <w:left w:val="none" w:sz="0" w:space="0" w:color="auto"/>
                    <w:bottom w:val="none" w:sz="0" w:space="0" w:color="auto"/>
                    <w:right w:val="none" w:sz="0" w:space="0" w:color="auto"/>
                  </w:divBdr>
                  <w:divsChild>
                    <w:div w:id="555095020">
                      <w:marLeft w:val="0"/>
                      <w:marRight w:val="0"/>
                      <w:marTop w:val="0"/>
                      <w:marBottom w:val="0"/>
                      <w:divBdr>
                        <w:top w:val="none" w:sz="0" w:space="0" w:color="auto"/>
                        <w:left w:val="none" w:sz="0" w:space="0" w:color="auto"/>
                        <w:bottom w:val="none" w:sz="0" w:space="0" w:color="auto"/>
                        <w:right w:val="none" w:sz="0" w:space="0" w:color="auto"/>
                      </w:divBdr>
                    </w:div>
                  </w:divsChild>
                </w:div>
                <w:div w:id="1276910859">
                  <w:marLeft w:val="0"/>
                  <w:marRight w:val="0"/>
                  <w:marTop w:val="0"/>
                  <w:marBottom w:val="0"/>
                  <w:divBdr>
                    <w:top w:val="none" w:sz="0" w:space="0" w:color="auto"/>
                    <w:left w:val="none" w:sz="0" w:space="0" w:color="auto"/>
                    <w:bottom w:val="none" w:sz="0" w:space="0" w:color="auto"/>
                    <w:right w:val="none" w:sz="0" w:space="0" w:color="auto"/>
                  </w:divBdr>
                  <w:divsChild>
                    <w:div w:id="353658315">
                      <w:marLeft w:val="0"/>
                      <w:marRight w:val="0"/>
                      <w:marTop w:val="0"/>
                      <w:marBottom w:val="0"/>
                      <w:divBdr>
                        <w:top w:val="none" w:sz="0" w:space="0" w:color="auto"/>
                        <w:left w:val="none" w:sz="0" w:space="0" w:color="auto"/>
                        <w:bottom w:val="none" w:sz="0" w:space="0" w:color="auto"/>
                        <w:right w:val="none" w:sz="0" w:space="0" w:color="auto"/>
                      </w:divBdr>
                    </w:div>
                  </w:divsChild>
                </w:div>
                <w:div w:id="1307975469">
                  <w:marLeft w:val="0"/>
                  <w:marRight w:val="0"/>
                  <w:marTop w:val="0"/>
                  <w:marBottom w:val="0"/>
                  <w:divBdr>
                    <w:top w:val="none" w:sz="0" w:space="0" w:color="auto"/>
                    <w:left w:val="none" w:sz="0" w:space="0" w:color="auto"/>
                    <w:bottom w:val="none" w:sz="0" w:space="0" w:color="auto"/>
                    <w:right w:val="none" w:sz="0" w:space="0" w:color="auto"/>
                  </w:divBdr>
                  <w:divsChild>
                    <w:div w:id="104543441">
                      <w:marLeft w:val="0"/>
                      <w:marRight w:val="0"/>
                      <w:marTop w:val="0"/>
                      <w:marBottom w:val="0"/>
                      <w:divBdr>
                        <w:top w:val="none" w:sz="0" w:space="0" w:color="auto"/>
                        <w:left w:val="none" w:sz="0" w:space="0" w:color="auto"/>
                        <w:bottom w:val="none" w:sz="0" w:space="0" w:color="auto"/>
                        <w:right w:val="none" w:sz="0" w:space="0" w:color="auto"/>
                      </w:divBdr>
                    </w:div>
                  </w:divsChild>
                </w:div>
                <w:div w:id="1309096483">
                  <w:marLeft w:val="0"/>
                  <w:marRight w:val="0"/>
                  <w:marTop w:val="0"/>
                  <w:marBottom w:val="0"/>
                  <w:divBdr>
                    <w:top w:val="none" w:sz="0" w:space="0" w:color="auto"/>
                    <w:left w:val="none" w:sz="0" w:space="0" w:color="auto"/>
                    <w:bottom w:val="none" w:sz="0" w:space="0" w:color="auto"/>
                    <w:right w:val="none" w:sz="0" w:space="0" w:color="auto"/>
                  </w:divBdr>
                  <w:divsChild>
                    <w:div w:id="2051689279">
                      <w:marLeft w:val="0"/>
                      <w:marRight w:val="0"/>
                      <w:marTop w:val="0"/>
                      <w:marBottom w:val="0"/>
                      <w:divBdr>
                        <w:top w:val="none" w:sz="0" w:space="0" w:color="auto"/>
                        <w:left w:val="none" w:sz="0" w:space="0" w:color="auto"/>
                        <w:bottom w:val="none" w:sz="0" w:space="0" w:color="auto"/>
                        <w:right w:val="none" w:sz="0" w:space="0" w:color="auto"/>
                      </w:divBdr>
                    </w:div>
                  </w:divsChild>
                </w:div>
                <w:div w:id="1310356837">
                  <w:marLeft w:val="0"/>
                  <w:marRight w:val="0"/>
                  <w:marTop w:val="0"/>
                  <w:marBottom w:val="0"/>
                  <w:divBdr>
                    <w:top w:val="none" w:sz="0" w:space="0" w:color="auto"/>
                    <w:left w:val="none" w:sz="0" w:space="0" w:color="auto"/>
                    <w:bottom w:val="none" w:sz="0" w:space="0" w:color="auto"/>
                    <w:right w:val="none" w:sz="0" w:space="0" w:color="auto"/>
                  </w:divBdr>
                  <w:divsChild>
                    <w:div w:id="410542356">
                      <w:marLeft w:val="0"/>
                      <w:marRight w:val="0"/>
                      <w:marTop w:val="0"/>
                      <w:marBottom w:val="0"/>
                      <w:divBdr>
                        <w:top w:val="none" w:sz="0" w:space="0" w:color="auto"/>
                        <w:left w:val="none" w:sz="0" w:space="0" w:color="auto"/>
                        <w:bottom w:val="none" w:sz="0" w:space="0" w:color="auto"/>
                        <w:right w:val="none" w:sz="0" w:space="0" w:color="auto"/>
                      </w:divBdr>
                    </w:div>
                  </w:divsChild>
                </w:div>
                <w:div w:id="1338534262">
                  <w:marLeft w:val="0"/>
                  <w:marRight w:val="0"/>
                  <w:marTop w:val="0"/>
                  <w:marBottom w:val="0"/>
                  <w:divBdr>
                    <w:top w:val="none" w:sz="0" w:space="0" w:color="auto"/>
                    <w:left w:val="none" w:sz="0" w:space="0" w:color="auto"/>
                    <w:bottom w:val="none" w:sz="0" w:space="0" w:color="auto"/>
                    <w:right w:val="none" w:sz="0" w:space="0" w:color="auto"/>
                  </w:divBdr>
                  <w:divsChild>
                    <w:div w:id="1241675006">
                      <w:marLeft w:val="0"/>
                      <w:marRight w:val="0"/>
                      <w:marTop w:val="0"/>
                      <w:marBottom w:val="0"/>
                      <w:divBdr>
                        <w:top w:val="none" w:sz="0" w:space="0" w:color="auto"/>
                        <w:left w:val="none" w:sz="0" w:space="0" w:color="auto"/>
                        <w:bottom w:val="none" w:sz="0" w:space="0" w:color="auto"/>
                        <w:right w:val="none" w:sz="0" w:space="0" w:color="auto"/>
                      </w:divBdr>
                    </w:div>
                  </w:divsChild>
                </w:div>
                <w:div w:id="1341815160">
                  <w:marLeft w:val="0"/>
                  <w:marRight w:val="0"/>
                  <w:marTop w:val="0"/>
                  <w:marBottom w:val="0"/>
                  <w:divBdr>
                    <w:top w:val="none" w:sz="0" w:space="0" w:color="auto"/>
                    <w:left w:val="none" w:sz="0" w:space="0" w:color="auto"/>
                    <w:bottom w:val="none" w:sz="0" w:space="0" w:color="auto"/>
                    <w:right w:val="none" w:sz="0" w:space="0" w:color="auto"/>
                  </w:divBdr>
                  <w:divsChild>
                    <w:div w:id="180094041">
                      <w:marLeft w:val="0"/>
                      <w:marRight w:val="0"/>
                      <w:marTop w:val="0"/>
                      <w:marBottom w:val="0"/>
                      <w:divBdr>
                        <w:top w:val="none" w:sz="0" w:space="0" w:color="auto"/>
                        <w:left w:val="none" w:sz="0" w:space="0" w:color="auto"/>
                        <w:bottom w:val="none" w:sz="0" w:space="0" w:color="auto"/>
                        <w:right w:val="none" w:sz="0" w:space="0" w:color="auto"/>
                      </w:divBdr>
                    </w:div>
                  </w:divsChild>
                </w:div>
                <w:div w:id="1347094940">
                  <w:marLeft w:val="0"/>
                  <w:marRight w:val="0"/>
                  <w:marTop w:val="0"/>
                  <w:marBottom w:val="0"/>
                  <w:divBdr>
                    <w:top w:val="none" w:sz="0" w:space="0" w:color="auto"/>
                    <w:left w:val="none" w:sz="0" w:space="0" w:color="auto"/>
                    <w:bottom w:val="none" w:sz="0" w:space="0" w:color="auto"/>
                    <w:right w:val="none" w:sz="0" w:space="0" w:color="auto"/>
                  </w:divBdr>
                  <w:divsChild>
                    <w:div w:id="1264915393">
                      <w:marLeft w:val="0"/>
                      <w:marRight w:val="0"/>
                      <w:marTop w:val="0"/>
                      <w:marBottom w:val="0"/>
                      <w:divBdr>
                        <w:top w:val="none" w:sz="0" w:space="0" w:color="auto"/>
                        <w:left w:val="none" w:sz="0" w:space="0" w:color="auto"/>
                        <w:bottom w:val="none" w:sz="0" w:space="0" w:color="auto"/>
                        <w:right w:val="none" w:sz="0" w:space="0" w:color="auto"/>
                      </w:divBdr>
                    </w:div>
                  </w:divsChild>
                </w:div>
                <w:div w:id="1359814995">
                  <w:marLeft w:val="0"/>
                  <w:marRight w:val="0"/>
                  <w:marTop w:val="0"/>
                  <w:marBottom w:val="0"/>
                  <w:divBdr>
                    <w:top w:val="none" w:sz="0" w:space="0" w:color="auto"/>
                    <w:left w:val="none" w:sz="0" w:space="0" w:color="auto"/>
                    <w:bottom w:val="none" w:sz="0" w:space="0" w:color="auto"/>
                    <w:right w:val="none" w:sz="0" w:space="0" w:color="auto"/>
                  </w:divBdr>
                  <w:divsChild>
                    <w:div w:id="2127308518">
                      <w:marLeft w:val="0"/>
                      <w:marRight w:val="0"/>
                      <w:marTop w:val="0"/>
                      <w:marBottom w:val="0"/>
                      <w:divBdr>
                        <w:top w:val="none" w:sz="0" w:space="0" w:color="auto"/>
                        <w:left w:val="none" w:sz="0" w:space="0" w:color="auto"/>
                        <w:bottom w:val="none" w:sz="0" w:space="0" w:color="auto"/>
                        <w:right w:val="none" w:sz="0" w:space="0" w:color="auto"/>
                      </w:divBdr>
                    </w:div>
                  </w:divsChild>
                </w:div>
                <w:div w:id="1425301356">
                  <w:marLeft w:val="0"/>
                  <w:marRight w:val="0"/>
                  <w:marTop w:val="0"/>
                  <w:marBottom w:val="0"/>
                  <w:divBdr>
                    <w:top w:val="none" w:sz="0" w:space="0" w:color="auto"/>
                    <w:left w:val="none" w:sz="0" w:space="0" w:color="auto"/>
                    <w:bottom w:val="none" w:sz="0" w:space="0" w:color="auto"/>
                    <w:right w:val="none" w:sz="0" w:space="0" w:color="auto"/>
                  </w:divBdr>
                  <w:divsChild>
                    <w:div w:id="1399354125">
                      <w:marLeft w:val="0"/>
                      <w:marRight w:val="0"/>
                      <w:marTop w:val="0"/>
                      <w:marBottom w:val="0"/>
                      <w:divBdr>
                        <w:top w:val="none" w:sz="0" w:space="0" w:color="auto"/>
                        <w:left w:val="none" w:sz="0" w:space="0" w:color="auto"/>
                        <w:bottom w:val="none" w:sz="0" w:space="0" w:color="auto"/>
                        <w:right w:val="none" w:sz="0" w:space="0" w:color="auto"/>
                      </w:divBdr>
                    </w:div>
                  </w:divsChild>
                </w:div>
                <w:div w:id="1542203568">
                  <w:marLeft w:val="0"/>
                  <w:marRight w:val="0"/>
                  <w:marTop w:val="0"/>
                  <w:marBottom w:val="0"/>
                  <w:divBdr>
                    <w:top w:val="none" w:sz="0" w:space="0" w:color="auto"/>
                    <w:left w:val="none" w:sz="0" w:space="0" w:color="auto"/>
                    <w:bottom w:val="none" w:sz="0" w:space="0" w:color="auto"/>
                    <w:right w:val="none" w:sz="0" w:space="0" w:color="auto"/>
                  </w:divBdr>
                  <w:divsChild>
                    <w:div w:id="629357378">
                      <w:marLeft w:val="0"/>
                      <w:marRight w:val="0"/>
                      <w:marTop w:val="0"/>
                      <w:marBottom w:val="0"/>
                      <w:divBdr>
                        <w:top w:val="none" w:sz="0" w:space="0" w:color="auto"/>
                        <w:left w:val="none" w:sz="0" w:space="0" w:color="auto"/>
                        <w:bottom w:val="none" w:sz="0" w:space="0" w:color="auto"/>
                        <w:right w:val="none" w:sz="0" w:space="0" w:color="auto"/>
                      </w:divBdr>
                    </w:div>
                  </w:divsChild>
                </w:div>
                <w:div w:id="1616790204">
                  <w:marLeft w:val="0"/>
                  <w:marRight w:val="0"/>
                  <w:marTop w:val="0"/>
                  <w:marBottom w:val="0"/>
                  <w:divBdr>
                    <w:top w:val="none" w:sz="0" w:space="0" w:color="auto"/>
                    <w:left w:val="none" w:sz="0" w:space="0" w:color="auto"/>
                    <w:bottom w:val="none" w:sz="0" w:space="0" w:color="auto"/>
                    <w:right w:val="none" w:sz="0" w:space="0" w:color="auto"/>
                  </w:divBdr>
                  <w:divsChild>
                    <w:div w:id="1045526445">
                      <w:marLeft w:val="0"/>
                      <w:marRight w:val="0"/>
                      <w:marTop w:val="0"/>
                      <w:marBottom w:val="0"/>
                      <w:divBdr>
                        <w:top w:val="none" w:sz="0" w:space="0" w:color="auto"/>
                        <w:left w:val="none" w:sz="0" w:space="0" w:color="auto"/>
                        <w:bottom w:val="none" w:sz="0" w:space="0" w:color="auto"/>
                        <w:right w:val="none" w:sz="0" w:space="0" w:color="auto"/>
                      </w:divBdr>
                    </w:div>
                  </w:divsChild>
                </w:div>
                <w:div w:id="1761022408">
                  <w:marLeft w:val="0"/>
                  <w:marRight w:val="0"/>
                  <w:marTop w:val="0"/>
                  <w:marBottom w:val="0"/>
                  <w:divBdr>
                    <w:top w:val="none" w:sz="0" w:space="0" w:color="auto"/>
                    <w:left w:val="none" w:sz="0" w:space="0" w:color="auto"/>
                    <w:bottom w:val="none" w:sz="0" w:space="0" w:color="auto"/>
                    <w:right w:val="none" w:sz="0" w:space="0" w:color="auto"/>
                  </w:divBdr>
                  <w:divsChild>
                    <w:div w:id="185368574">
                      <w:marLeft w:val="0"/>
                      <w:marRight w:val="0"/>
                      <w:marTop w:val="0"/>
                      <w:marBottom w:val="0"/>
                      <w:divBdr>
                        <w:top w:val="none" w:sz="0" w:space="0" w:color="auto"/>
                        <w:left w:val="none" w:sz="0" w:space="0" w:color="auto"/>
                        <w:bottom w:val="none" w:sz="0" w:space="0" w:color="auto"/>
                        <w:right w:val="none" w:sz="0" w:space="0" w:color="auto"/>
                      </w:divBdr>
                    </w:div>
                  </w:divsChild>
                </w:div>
                <w:div w:id="1771310736">
                  <w:marLeft w:val="0"/>
                  <w:marRight w:val="0"/>
                  <w:marTop w:val="0"/>
                  <w:marBottom w:val="0"/>
                  <w:divBdr>
                    <w:top w:val="none" w:sz="0" w:space="0" w:color="auto"/>
                    <w:left w:val="none" w:sz="0" w:space="0" w:color="auto"/>
                    <w:bottom w:val="none" w:sz="0" w:space="0" w:color="auto"/>
                    <w:right w:val="none" w:sz="0" w:space="0" w:color="auto"/>
                  </w:divBdr>
                  <w:divsChild>
                    <w:div w:id="2114086712">
                      <w:marLeft w:val="0"/>
                      <w:marRight w:val="0"/>
                      <w:marTop w:val="0"/>
                      <w:marBottom w:val="0"/>
                      <w:divBdr>
                        <w:top w:val="none" w:sz="0" w:space="0" w:color="auto"/>
                        <w:left w:val="none" w:sz="0" w:space="0" w:color="auto"/>
                        <w:bottom w:val="none" w:sz="0" w:space="0" w:color="auto"/>
                        <w:right w:val="none" w:sz="0" w:space="0" w:color="auto"/>
                      </w:divBdr>
                    </w:div>
                  </w:divsChild>
                </w:div>
                <w:div w:id="1773086289">
                  <w:marLeft w:val="0"/>
                  <w:marRight w:val="0"/>
                  <w:marTop w:val="0"/>
                  <w:marBottom w:val="0"/>
                  <w:divBdr>
                    <w:top w:val="none" w:sz="0" w:space="0" w:color="auto"/>
                    <w:left w:val="none" w:sz="0" w:space="0" w:color="auto"/>
                    <w:bottom w:val="none" w:sz="0" w:space="0" w:color="auto"/>
                    <w:right w:val="none" w:sz="0" w:space="0" w:color="auto"/>
                  </w:divBdr>
                  <w:divsChild>
                    <w:div w:id="47460251">
                      <w:marLeft w:val="0"/>
                      <w:marRight w:val="0"/>
                      <w:marTop w:val="0"/>
                      <w:marBottom w:val="0"/>
                      <w:divBdr>
                        <w:top w:val="none" w:sz="0" w:space="0" w:color="auto"/>
                        <w:left w:val="none" w:sz="0" w:space="0" w:color="auto"/>
                        <w:bottom w:val="none" w:sz="0" w:space="0" w:color="auto"/>
                        <w:right w:val="none" w:sz="0" w:space="0" w:color="auto"/>
                      </w:divBdr>
                    </w:div>
                  </w:divsChild>
                </w:div>
                <w:div w:id="1797288047">
                  <w:marLeft w:val="0"/>
                  <w:marRight w:val="0"/>
                  <w:marTop w:val="0"/>
                  <w:marBottom w:val="0"/>
                  <w:divBdr>
                    <w:top w:val="none" w:sz="0" w:space="0" w:color="auto"/>
                    <w:left w:val="none" w:sz="0" w:space="0" w:color="auto"/>
                    <w:bottom w:val="none" w:sz="0" w:space="0" w:color="auto"/>
                    <w:right w:val="none" w:sz="0" w:space="0" w:color="auto"/>
                  </w:divBdr>
                  <w:divsChild>
                    <w:div w:id="1617830397">
                      <w:marLeft w:val="0"/>
                      <w:marRight w:val="0"/>
                      <w:marTop w:val="0"/>
                      <w:marBottom w:val="0"/>
                      <w:divBdr>
                        <w:top w:val="none" w:sz="0" w:space="0" w:color="auto"/>
                        <w:left w:val="none" w:sz="0" w:space="0" w:color="auto"/>
                        <w:bottom w:val="none" w:sz="0" w:space="0" w:color="auto"/>
                        <w:right w:val="none" w:sz="0" w:space="0" w:color="auto"/>
                      </w:divBdr>
                    </w:div>
                  </w:divsChild>
                </w:div>
                <w:div w:id="1900052113">
                  <w:marLeft w:val="0"/>
                  <w:marRight w:val="0"/>
                  <w:marTop w:val="0"/>
                  <w:marBottom w:val="0"/>
                  <w:divBdr>
                    <w:top w:val="none" w:sz="0" w:space="0" w:color="auto"/>
                    <w:left w:val="none" w:sz="0" w:space="0" w:color="auto"/>
                    <w:bottom w:val="none" w:sz="0" w:space="0" w:color="auto"/>
                    <w:right w:val="none" w:sz="0" w:space="0" w:color="auto"/>
                  </w:divBdr>
                  <w:divsChild>
                    <w:div w:id="411976888">
                      <w:marLeft w:val="0"/>
                      <w:marRight w:val="0"/>
                      <w:marTop w:val="0"/>
                      <w:marBottom w:val="0"/>
                      <w:divBdr>
                        <w:top w:val="none" w:sz="0" w:space="0" w:color="auto"/>
                        <w:left w:val="none" w:sz="0" w:space="0" w:color="auto"/>
                        <w:bottom w:val="none" w:sz="0" w:space="0" w:color="auto"/>
                        <w:right w:val="none" w:sz="0" w:space="0" w:color="auto"/>
                      </w:divBdr>
                    </w:div>
                  </w:divsChild>
                </w:div>
                <w:div w:id="1907032724">
                  <w:marLeft w:val="0"/>
                  <w:marRight w:val="0"/>
                  <w:marTop w:val="0"/>
                  <w:marBottom w:val="0"/>
                  <w:divBdr>
                    <w:top w:val="none" w:sz="0" w:space="0" w:color="auto"/>
                    <w:left w:val="none" w:sz="0" w:space="0" w:color="auto"/>
                    <w:bottom w:val="none" w:sz="0" w:space="0" w:color="auto"/>
                    <w:right w:val="none" w:sz="0" w:space="0" w:color="auto"/>
                  </w:divBdr>
                  <w:divsChild>
                    <w:div w:id="1194613629">
                      <w:marLeft w:val="0"/>
                      <w:marRight w:val="0"/>
                      <w:marTop w:val="0"/>
                      <w:marBottom w:val="0"/>
                      <w:divBdr>
                        <w:top w:val="none" w:sz="0" w:space="0" w:color="auto"/>
                        <w:left w:val="none" w:sz="0" w:space="0" w:color="auto"/>
                        <w:bottom w:val="none" w:sz="0" w:space="0" w:color="auto"/>
                        <w:right w:val="none" w:sz="0" w:space="0" w:color="auto"/>
                      </w:divBdr>
                    </w:div>
                  </w:divsChild>
                </w:div>
                <w:div w:id="2008169724">
                  <w:marLeft w:val="0"/>
                  <w:marRight w:val="0"/>
                  <w:marTop w:val="0"/>
                  <w:marBottom w:val="0"/>
                  <w:divBdr>
                    <w:top w:val="none" w:sz="0" w:space="0" w:color="auto"/>
                    <w:left w:val="none" w:sz="0" w:space="0" w:color="auto"/>
                    <w:bottom w:val="none" w:sz="0" w:space="0" w:color="auto"/>
                    <w:right w:val="none" w:sz="0" w:space="0" w:color="auto"/>
                  </w:divBdr>
                  <w:divsChild>
                    <w:div w:id="1030758395">
                      <w:marLeft w:val="0"/>
                      <w:marRight w:val="0"/>
                      <w:marTop w:val="0"/>
                      <w:marBottom w:val="0"/>
                      <w:divBdr>
                        <w:top w:val="none" w:sz="0" w:space="0" w:color="auto"/>
                        <w:left w:val="none" w:sz="0" w:space="0" w:color="auto"/>
                        <w:bottom w:val="none" w:sz="0" w:space="0" w:color="auto"/>
                        <w:right w:val="none" w:sz="0" w:space="0" w:color="auto"/>
                      </w:divBdr>
                    </w:div>
                  </w:divsChild>
                </w:div>
                <w:div w:id="2040885486">
                  <w:marLeft w:val="0"/>
                  <w:marRight w:val="0"/>
                  <w:marTop w:val="0"/>
                  <w:marBottom w:val="0"/>
                  <w:divBdr>
                    <w:top w:val="none" w:sz="0" w:space="0" w:color="auto"/>
                    <w:left w:val="none" w:sz="0" w:space="0" w:color="auto"/>
                    <w:bottom w:val="none" w:sz="0" w:space="0" w:color="auto"/>
                    <w:right w:val="none" w:sz="0" w:space="0" w:color="auto"/>
                  </w:divBdr>
                  <w:divsChild>
                    <w:div w:id="659504572">
                      <w:marLeft w:val="0"/>
                      <w:marRight w:val="0"/>
                      <w:marTop w:val="0"/>
                      <w:marBottom w:val="0"/>
                      <w:divBdr>
                        <w:top w:val="none" w:sz="0" w:space="0" w:color="auto"/>
                        <w:left w:val="none" w:sz="0" w:space="0" w:color="auto"/>
                        <w:bottom w:val="none" w:sz="0" w:space="0" w:color="auto"/>
                        <w:right w:val="none" w:sz="0" w:space="0" w:color="auto"/>
                      </w:divBdr>
                    </w:div>
                  </w:divsChild>
                </w:div>
                <w:div w:id="2144035544">
                  <w:marLeft w:val="0"/>
                  <w:marRight w:val="0"/>
                  <w:marTop w:val="0"/>
                  <w:marBottom w:val="0"/>
                  <w:divBdr>
                    <w:top w:val="none" w:sz="0" w:space="0" w:color="auto"/>
                    <w:left w:val="none" w:sz="0" w:space="0" w:color="auto"/>
                    <w:bottom w:val="none" w:sz="0" w:space="0" w:color="auto"/>
                    <w:right w:val="none" w:sz="0" w:space="0" w:color="auto"/>
                  </w:divBdr>
                  <w:divsChild>
                    <w:div w:id="11185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1244">
          <w:marLeft w:val="0"/>
          <w:marRight w:val="0"/>
          <w:marTop w:val="0"/>
          <w:marBottom w:val="0"/>
          <w:divBdr>
            <w:top w:val="none" w:sz="0" w:space="0" w:color="auto"/>
            <w:left w:val="none" w:sz="0" w:space="0" w:color="auto"/>
            <w:bottom w:val="none" w:sz="0" w:space="0" w:color="auto"/>
            <w:right w:val="none" w:sz="0" w:space="0" w:color="auto"/>
          </w:divBdr>
          <w:divsChild>
            <w:div w:id="1518302583">
              <w:marLeft w:val="0"/>
              <w:marRight w:val="0"/>
              <w:marTop w:val="0"/>
              <w:marBottom w:val="0"/>
              <w:divBdr>
                <w:top w:val="none" w:sz="0" w:space="0" w:color="auto"/>
                <w:left w:val="none" w:sz="0" w:space="0" w:color="auto"/>
                <w:bottom w:val="none" w:sz="0" w:space="0" w:color="auto"/>
                <w:right w:val="none" w:sz="0" w:space="0" w:color="auto"/>
              </w:divBdr>
            </w:div>
            <w:div w:id="2005426180">
              <w:marLeft w:val="0"/>
              <w:marRight w:val="0"/>
              <w:marTop w:val="0"/>
              <w:marBottom w:val="0"/>
              <w:divBdr>
                <w:top w:val="none" w:sz="0" w:space="0" w:color="auto"/>
                <w:left w:val="none" w:sz="0" w:space="0" w:color="auto"/>
                <w:bottom w:val="none" w:sz="0" w:space="0" w:color="auto"/>
                <w:right w:val="none" w:sz="0" w:space="0" w:color="auto"/>
              </w:divBdr>
            </w:div>
            <w:div w:id="2096053098">
              <w:marLeft w:val="0"/>
              <w:marRight w:val="0"/>
              <w:marTop w:val="0"/>
              <w:marBottom w:val="0"/>
              <w:divBdr>
                <w:top w:val="none" w:sz="0" w:space="0" w:color="auto"/>
                <w:left w:val="none" w:sz="0" w:space="0" w:color="auto"/>
                <w:bottom w:val="none" w:sz="0" w:space="0" w:color="auto"/>
                <w:right w:val="none" w:sz="0" w:space="0" w:color="auto"/>
              </w:divBdr>
            </w:div>
          </w:divsChild>
        </w:div>
        <w:div w:id="318926188">
          <w:marLeft w:val="0"/>
          <w:marRight w:val="0"/>
          <w:marTop w:val="0"/>
          <w:marBottom w:val="0"/>
          <w:divBdr>
            <w:top w:val="none" w:sz="0" w:space="0" w:color="auto"/>
            <w:left w:val="none" w:sz="0" w:space="0" w:color="auto"/>
            <w:bottom w:val="none" w:sz="0" w:space="0" w:color="auto"/>
            <w:right w:val="none" w:sz="0" w:space="0" w:color="auto"/>
          </w:divBdr>
        </w:div>
        <w:div w:id="321474985">
          <w:marLeft w:val="0"/>
          <w:marRight w:val="0"/>
          <w:marTop w:val="0"/>
          <w:marBottom w:val="0"/>
          <w:divBdr>
            <w:top w:val="none" w:sz="0" w:space="0" w:color="auto"/>
            <w:left w:val="none" w:sz="0" w:space="0" w:color="auto"/>
            <w:bottom w:val="none" w:sz="0" w:space="0" w:color="auto"/>
            <w:right w:val="none" w:sz="0" w:space="0" w:color="auto"/>
          </w:divBdr>
          <w:divsChild>
            <w:div w:id="1868565839">
              <w:marLeft w:val="-75"/>
              <w:marRight w:val="0"/>
              <w:marTop w:val="30"/>
              <w:marBottom w:val="30"/>
              <w:divBdr>
                <w:top w:val="none" w:sz="0" w:space="0" w:color="auto"/>
                <w:left w:val="none" w:sz="0" w:space="0" w:color="auto"/>
                <w:bottom w:val="none" w:sz="0" w:space="0" w:color="auto"/>
                <w:right w:val="none" w:sz="0" w:space="0" w:color="auto"/>
              </w:divBdr>
              <w:divsChild>
                <w:div w:id="85660993">
                  <w:marLeft w:val="0"/>
                  <w:marRight w:val="0"/>
                  <w:marTop w:val="0"/>
                  <w:marBottom w:val="0"/>
                  <w:divBdr>
                    <w:top w:val="none" w:sz="0" w:space="0" w:color="auto"/>
                    <w:left w:val="none" w:sz="0" w:space="0" w:color="auto"/>
                    <w:bottom w:val="none" w:sz="0" w:space="0" w:color="auto"/>
                    <w:right w:val="none" w:sz="0" w:space="0" w:color="auto"/>
                  </w:divBdr>
                  <w:divsChild>
                    <w:div w:id="1992905460">
                      <w:marLeft w:val="0"/>
                      <w:marRight w:val="0"/>
                      <w:marTop w:val="0"/>
                      <w:marBottom w:val="0"/>
                      <w:divBdr>
                        <w:top w:val="none" w:sz="0" w:space="0" w:color="auto"/>
                        <w:left w:val="none" w:sz="0" w:space="0" w:color="auto"/>
                        <w:bottom w:val="none" w:sz="0" w:space="0" w:color="auto"/>
                        <w:right w:val="none" w:sz="0" w:space="0" w:color="auto"/>
                      </w:divBdr>
                    </w:div>
                  </w:divsChild>
                </w:div>
                <w:div w:id="377169171">
                  <w:marLeft w:val="0"/>
                  <w:marRight w:val="0"/>
                  <w:marTop w:val="0"/>
                  <w:marBottom w:val="0"/>
                  <w:divBdr>
                    <w:top w:val="none" w:sz="0" w:space="0" w:color="auto"/>
                    <w:left w:val="none" w:sz="0" w:space="0" w:color="auto"/>
                    <w:bottom w:val="none" w:sz="0" w:space="0" w:color="auto"/>
                    <w:right w:val="none" w:sz="0" w:space="0" w:color="auto"/>
                  </w:divBdr>
                  <w:divsChild>
                    <w:div w:id="1987971390">
                      <w:marLeft w:val="0"/>
                      <w:marRight w:val="0"/>
                      <w:marTop w:val="0"/>
                      <w:marBottom w:val="0"/>
                      <w:divBdr>
                        <w:top w:val="none" w:sz="0" w:space="0" w:color="auto"/>
                        <w:left w:val="none" w:sz="0" w:space="0" w:color="auto"/>
                        <w:bottom w:val="none" w:sz="0" w:space="0" w:color="auto"/>
                        <w:right w:val="none" w:sz="0" w:space="0" w:color="auto"/>
                      </w:divBdr>
                    </w:div>
                  </w:divsChild>
                </w:div>
                <w:div w:id="508642659">
                  <w:marLeft w:val="0"/>
                  <w:marRight w:val="0"/>
                  <w:marTop w:val="0"/>
                  <w:marBottom w:val="0"/>
                  <w:divBdr>
                    <w:top w:val="none" w:sz="0" w:space="0" w:color="auto"/>
                    <w:left w:val="none" w:sz="0" w:space="0" w:color="auto"/>
                    <w:bottom w:val="none" w:sz="0" w:space="0" w:color="auto"/>
                    <w:right w:val="none" w:sz="0" w:space="0" w:color="auto"/>
                  </w:divBdr>
                  <w:divsChild>
                    <w:div w:id="1146168613">
                      <w:marLeft w:val="0"/>
                      <w:marRight w:val="0"/>
                      <w:marTop w:val="0"/>
                      <w:marBottom w:val="0"/>
                      <w:divBdr>
                        <w:top w:val="none" w:sz="0" w:space="0" w:color="auto"/>
                        <w:left w:val="none" w:sz="0" w:space="0" w:color="auto"/>
                        <w:bottom w:val="none" w:sz="0" w:space="0" w:color="auto"/>
                        <w:right w:val="none" w:sz="0" w:space="0" w:color="auto"/>
                      </w:divBdr>
                    </w:div>
                  </w:divsChild>
                </w:div>
                <w:div w:id="674262695">
                  <w:marLeft w:val="0"/>
                  <w:marRight w:val="0"/>
                  <w:marTop w:val="0"/>
                  <w:marBottom w:val="0"/>
                  <w:divBdr>
                    <w:top w:val="none" w:sz="0" w:space="0" w:color="auto"/>
                    <w:left w:val="none" w:sz="0" w:space="0" w:color="auto"/>
                    <w:bottom w:val="none" w:sz="0" w:space="0" w:color="auto"/>
                    <w:right w:val="none" w:sz="0" w:space="0" w:color="auto"/>
                  </w:divBdr>
                  <w:divsChild>
                    <w:div w:id="1727677656">
                      <w:marLeft w:val="0"/>
                      <w:marRight w:val="0"/>
                      <w:marTop w:val="0"/>
                      <w:marBottom w:val="0"/>
                      <w:divBdr>
                        <w:top w:val="none" w:sz="0" w:space="0" w:color="auto"/>
                        <w:left w:val="none" w:sz="0" w:space="0" w:color="auto"/>
                        <w:bottom w:val="none" w:sz="0" w:space="0" w:color="auto"/>
                        <w:right w:val="none" w:sz="0" w:space="0" w:color="auto"/>
                      </w:divBdr>
                    </w:div>
                  </w:divsChild>
                </w:div>
                <w:div w:id="738676653">
                  <w:marLeft w:val="0"/>
                  <w:marRight w:val="0"/>
                  <w:marTop w:val="0"/>
                  <w:marBottom w:val="0"/>
                  <w:divBdr>
                    <w:top w:val="none" w:sz="0" w:space="0" w:color="auto"/>
                    <w:left w:val="none" w:sz="0" w:space="0" w:color="auto"/>
                    <w:bottom w:val="none" w:sz="0" w:space="0" w:color="auto"/>
                    <w:right w:val="none" w:sz="0" w:space="0" w:color="auto"/>
                  </w:divBdr>
                  <w:divsChild>
                    <w:div w:id="61025621">
                      <w:marLeft w:val="0"/>
                      <w:marRight w:val="0"/>
                      <w:marTop w:val="0"/>
                      <w:marBottom w:val="0"/>
                      <w:divBdr>
                        <w:top w:val="none" w:sz="0" w:space="0" w:color="auto"/>
                        <w:left w:val="none" w:sz="0" w:space="0" w:color="auto"/>
                        <w:bottom w:val="none" w:sz="0" w:space="0" w:color="auto"/>
                        <w:right w:val="none" w:sz="0" w:space="0" w:color="auto"/>
                      </w:divBdr>
                    </w:div>
                  </w:divsChild>
                </w:div>
                <w:div w:id="1054890560">
                  <w:marLeft w:val="0"/>
                  <w:marRight w:val="0"/>
                  <w:marTop w:val="0"/>
                  <w:marBottom w:val="0"/>
                  <w:divBdr>
                    <w:top w:val="none" w:sz="0" w:space="0" w:color="auto"/>
                    <w:left w:val="none" w:sz="0" w:space="0" w:color="auto"/>
                    <w:bottom w:val="none" w:sz="0" w:space="0" w:color="auto"/>
                    <w:right w:val="none" w:sz="0" w:space="0" w:color="auto"/>
                  </w:divBdr>
                  <w:divsChild>
                    <w:div w:id="1485312073">
                      <w:marLeft w:val="0"/>
                      <w:marRight w:val="0"/>
                      <w:marTop w:val="0"/>
                      <w:marBottom w:val="0"/>
                      <w:divBdr>
                        <w:top w:val="none" w:sz="0" w:space="0" w:color="auto"/>
                        <w:left w:val="none" w:sz="0" w:space="0" w:color="auto"/>
                        <w:bottom w:val="none" w:sz="0" w:space="0" w:color="auto"/>
                        <w:right w:val="none" w:sz="0" w:space="0" w:color="auto"/>
                      </w:divBdr>
                    </w:div>
                  </w:divsChild>
                </w:div>
                <w:div w:id="1251695355">
                  <w:marLeft w:val="0"/>
                  <w:marRight w:val="0"/>
                  <w:marTop w:val="0"/>
                  <w:marBottom w:val="0"/>
                  <w:divBdr>
                    <w:top w:val="none" w:sz="0" w:space="0" w:color="auto"/>
                    <w:left w:val="none" w:sz="0" w:space="0" w:color="auto"/>
                    <w:bottom w:val="none" w:sz="0" w:space="0" w:color="auto"/>
                    <w:right w:val="none" w:sz="0" w:space="0" w:color="auto"/>
                  </w:divBdr>
                  <w:divsChild>
                    <w:div w:id="345988948">
                      <w:marLeft w:val="0"/>
                      <w:marRight w:val="0"/>
                      <w:marTop w:val="0"/>
                      <w:marBottom w:val="0"/>
                      <w:divBdr>
                        <w:top w:val="none" w:sz="0" w:space="0" w:color="auto"/>
                        <w:left w:val="none" w:sz="0" w:space="0" w:color="auto"/>
                        <w:bottom w:val="none" w:sz="0" w:space="0" w:color="auto"/>
                        <w:right w:val="none" w:sz="0" w:space="0" w:color="auto"/>
                      </w:divBdr>
                    </w:div>
                  </w:divsChild>
                </w:div>
                <w:div w:id="1468430134">
                  <w:marLeft w:val="0"/>
                  <w:marRight w:val="0"/>
                  <w:marTop w:val="0"/>
                  <w:marBottom w:val="0"/>
                  <w:divBdr>
                    <w:top w:val="none" w:sz="0" w:space="0" w:color="auto"/>
                    <w:left w:val="none" w:sz="0" w:space="0" w:color="auto"/>
                    <w:bottom w:val="none" w:sz="0" w:space="0" w:color="auto"/>
                    <w:right w:val="none" w:sz="0" w:space="0" w:color="auto"/>
                  </w:divBdr>
                  <w:divsChild>
                    <w:div w:id="2013412061">
                      <w:marLeft w:val="0"/>
                      <w:marRight w:val="0"/>
                      <w:marTop w:val="0"/>
                      <w:marBottom w:val="0"/>
                      <w:divBdr>
                        <w:top w:val="none" w:sz="0" w:space="0" w:color="auto"/>
                        <w:left w:val="none" w:sz="0" w:space="0" w:color="auto"/>
                        <w:bottom w:val="none" w:sz="0" w:space="0" w:color="auto"/>
                        <w:right w:val="none" w:sz="0" w:space="0" w:color="auto"/>
                      </w:divBdr>
                    </w:div>
                  </w:divsChild>
                </w:div>
                <w:div w:id="1545826975">
                  <w:marLeft w:val="0"/>
                  <w:marRight w:val="0"/>
                  <w:marTop w:val="0"/>
                  <w:marBottom w:val="0"/>
                  <w:divBdr>
                    <w:top w:val="none" w:sz="0" w:space="0" w:color="auto"/>
                    <w:left w:val="none" w:sz="0" w:space="0" w:color="auto"/>
                    <w:bottom w:val="none" w:sz="0" w:space="0" w:color="auto"/>
                    <w:right w:val="none" w:sz="0" w:space="0" w:color="auto"/>
                  </w:divBdr>
                  <w:divsChild>
                    <w:div w:id="1079517756">
                      <w:marLeft w:val="0"/>
                      <w:marRight w:val="0"/>
                      <w:marTop w:val="0"/>
                      <w:marBottom w:val="0"/>
                      <w:divBdr>
                        <w:top w:val="none" w:sz="0" w:space="0" w:color="auto"/>
                        <w:left w:val="none" w:sz="0" w:space="0" w:color="auto"/>
                        <w:bottom w:val="none" w:sz="0" w:space="0" w:color="auto"/>
                        <w:right w:val="none" w:sz="0" w:space="0" w:color="auto"/>
                      </w:divBdr>
                    </w:div>
                  </w:divsChild>
                </w:div>
                <w:div w:id="1561941805">
                  <w:marLeft w:val="0"/>
                  <w:marRight w:val="0"/>
                  <w:marTop w:val="0"/>
                  <w:marBottom w:val="0"/>
                  <w:divBdr>
                    <w:top w:val="none" w:sz="0" w:space="0" w:color="auto"/>
                    <w:left w:val="none" w:sz="0" w:space="0" w:color="auto"/>
                    <w:bottom w:val="none" w:sz="0" w:space="0" w:color="auto"/>
                    <w:right w:val="none" w:sz="0" w:space="0" w:color="auto"/>
                  </w:divBdr>
                  <w:divsChild>
                    <w:div w:id="18240900">
                      <w:marLeft w:val="0"/>
                      <w:marRight w:val="0"/>
                      <w:marTop w:val="0"/>
                      <w:marBottom w:val="0"/>
                      <w:divBdr>
                        <w:top w:val="none" w:sz="0" w:space="0" w:color="auto"/>
                        <w:left w:val="none" w:sz="0" w:space="0" w:color="auto"/>
                        <w:bottom w:val="none" w:sz="0" w:space="0" w:color="auto"/>
                        <w:right w:val="none" w:sz="0" w:space="0" w:color="auto"/>
                      </w:divBdr>
                    </w:div>
                  </w:divsChild>
                </w:div>
                <w:div w:id="1838380837">
                  <w:marLeft w:val="0"/>
                  <w:marRight w:val="0"/>
                  <w:marTop w:val="0"/>
                  <w:marBottom w:val="0"/>
                  <w:divBdr>
                    <w:top w:val="none" w:sz="0" w:space="0" w:color="auto"/>
                    <w:left w:val="none" w:sz="0" w:space="0" w:color="auto"/>
                    <w:bottom w:val="none" w:sz="0" w:space="0" w:color="auto"/>
                    <w:right w:val="none" w:sz="0" w:space="0" w:color="auto"/>
                  </w:divBdr>
                  <w:divsChild>
                    <w:div w:id="1412309537">
                      <w:marLeft w:val="0"/>
                      <w:marRight w:val="0"/>
                      <w:marTop w:val="0"/>
                      <w:marBottom w:val="0"/>
                      <w:divBdr>
                        <w:top w:val="none" w:sz="0" w:space="0" w:color="auto"/>
                        <w:left w:val="none" w:sz="0" w:space="0" w:color="auto"/>
                        <w:bottom w:val="none" w:sz="0" w:space="0" w:color="auto"/>
                        <w:right w:val="none" w:sz="0" w:space="0" w:color="auto"/>
                      </w:divBdr>
                    </w:div>
                  </w:divsChild>
                </w:div>
                <w:div w:id="1972246861">
                  <w:marLeft w:val="0"/>
                  <w:marRight w:val="0"/>
                  <w:marTop w:val="0"/>
                  <w:marBottom w:val="0"/>
                  <w:divBdr>
                    <w:top w:val="none" w:sz="0" w:space="0" w:color="auto"/>
                    <w:left w:val="none" w:sz="0" w:space="0" w:color="auto"/>
                    <w:bottom w:val="none" w:sz="0" w:space="0" w:color="auto"/>
                    <w:right w:val="none" w:sz="0" w:space="0" w:color="auto"/>
                  </w:divBdr>
                  <w:divsChild>
                    <w:div w:id="1832483521">
                      <w:marLeft w:val="0"/>
                      <w:marRight w:val="0"/>
                      <w:marTop w:val="0"/>
                      <w:marBottom w:val="0"/>
                      <w:divBdr>
                        <w:top w:val="none" w:sz="0" w:space="0" w:color="auto"/>
                        <w:left w:val="none" w:sz="0" w:space="0" w:color="auto"/>
                        <w:bottom w:val="none" w:sz="0" w:space="0" w:color="auto"/>
                        <w:right w:val="none" w:sz="0" w:space="0" w:color="auto"/>
                      </w:divBdr>
                    </w:div>
                  </w:divsChild>
                </w:div>
                <w:div w:id="1992563019">
                  <w:marLeft w:val="0"/>
                  <w:marRight w:val="0"/>
                  <w:marTop w:val="0"/>
                  <w:marBottom w:val="0"/>
                  <w:divBdr>
                    <w:top w:val="none" w:sz="0" w:space="0" w:color="auto"/>
                    <w:left w:val="none" w:sz="0" w:space="0" w:color="auto"/>
                    <w:bottom w:val="none" w:sz="0" w:space="0" w:color="auto"/>
                    <w:right w:val="none" w:sz="0" w:space="0" w:color="auto"/>
                  </w:divBdr>
                  <w:divsChild>
                    <w:div w:id="1313371294">
                      <w:marLeft w:val="0"/>
                      <w:marRight w:val="0"/>
                      <w:marTop w:val="0"/>
                      <w:marBottom w:val="0"/>
                      <w:divBdr>
                        <w:top w:val="none" w:sz="0" w:space="0" w:color="auto"/>
                        <w:left w:val="none" w:sz="0" w:space="0" w:color="auto"/>
                        <w:bottom w:val="none" w:sz="0" w:space="0" w:color="auto"/>
                        <w:right w:val="none" w:sz="0" w:space="0" w:color="auto"/>
                      </w:divBdr>
                    </w:div>
                  </w:divsChild>
                </w:div>
                <w:div w:id="2048751076">
                  <w:marLeft w:val="0"/>
                  <w:marRight w:val="0"/>
                  <w:marTop w:val="0"/>
                  <w:marBottom w:val="0"/>
                  <w:divBdr>
                    <w:top w:val="none" w:sz="0" w:space="0" w:color="auto"/>
                    <w:left w:val="none" w:sz="0" w:space="0" w:color="auto"/>
                    <w:bottom w:val="none" w:sz="0" w:space="0" w:color="auto"/>
                    <w:right w:val="none" w:sz="0" w:space="0" w:color="auto"/>
                  </w:divBdr>
                  <w:divsChild>
                    <w:div w:id="19839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488">
          <w:marLeft w:val="0"/>
          <w:marRight w:val="0"/>
          <w:marTop w:val="0"/>
          <w:marBottom w:val="0"/>
          <w:divBdr>
            <w:top w:val="none" w:sz="0" w:space="0" w:color="auto"/>
            <w:left w:val="none" w:sz="0" w:space="0" w:color="auto"/>
            <w:bottom w:val="none" w:sz="0" w:space="0" w:color="auto"/>
            <w:right w:val="none" w:sz="0" w:space="0" w:color="auto"/>
          </w:divBdr>
        </w:div>
        <w:div w:id="419451592">
          <w:marLeft w:val="0"/>
          <w:marRight w:val="0"/>
          <w:marTop w:val="0"/>
          <w:marBottom w:val="0"/>
          <w:divBdr>
            <w:top w:val="none" w:sz="0" w:space="0" w:color="auto"/>
            <w:left w:val="none" w:sz="0" w:space="0" w:color="auto"/>
            <w:bottom w:val="none" w:sz="0" w:space="0" w:color="auto"/>
            <w:right w:val="none" w:sz="0" w:space="0" w:color="auto"/>
          </w:divBdr>
        </w:div>
        <w:div w:id="421266688">
          <w:marLeft w:val="0"/>
          <w:marRight w:val="0"/>
          <w:marTop w:val="0"/>
          <w:marBottom w:val="0"/>
          <w:divBdr>
            <w:top w:val="none" w:sz="0" w:space="0" w:color="auto"/>
            <w:left w:val="none" w:sz="0" w:space="0" w:color="auto"/>
            <w:bottom w:val="none" w:sz="0" w:space="0" w:color="auto"/>
            <w:right w:val="none" w:sz="0" w:space="0" w:color="auto"/>
          </w:divBdr>
        </w:div>
        <w:div w:id="432867460">
          <w:marLeft w:val="0"/>
          <w:marRight w:val="0"/>
          <w:marTop w:val="0"/>
          <w:marBottom w:val="0"/>
          <w:divBdr>
            <w:top w:val="none" w:sz="0" w:space="0" w:color="auto"/>
            <w:left w:val="none" w:sz="0" w:space="0" w:color="auto"/>
            <w:bottom w:val="none" w:sz="0" w:space="0" w:color="auto"/>
            <w:right w:val="none" w:sz="0" w:space="0" w:color="auto"/>
          </w:divBdr>
          <w:divsChild>
            <w:div w:id="667637189">
              <w:marLeft w:val="0"/>
              <w:marRight w:val="0"/>
              <w:marTop w:val="0"/>
              <w:marBottom w:val="0"/>
              <w:divBdr>
                <w:top w:val="none" w:sz="0" w:space="0" w:color="auto"/>
                <w:left w:val="none" w:sz="0" w:space="0" w:color="auto"/>
                <w:bottom w:val="none" w:sz="0" w:space="0" w:color="auto"/>
                <w:right w:val="none" w:sz="0" w:space="0" w:color="auto"/>
              </w:divBdr>
            </w:div>
            <w:div w:id="804157478">
              <w:marLeft w:val="0"/>
              <w:marRight w:val="0"/>
              <w:marTop w:val="0"/>
              <w:marBottom w:val="0"/>
              <w:divBdr>
                <w:top w:val="none" w:sz="0" w:space="0" w:color="auto"/>
                <w:left w:val="none" w:sz="0" w:space="0" w:color="auto"/>
                <w:bottom w:val="none" w:sz="0" w:space="0" w:color="auto"/>
                <w:right w:val="none" w:sz="0" w:space="0" w:color="auto"/>
              </w:divBdr>
            </w:div>
            <w:div w:id="1534534379">
              <w:marLeft w:val="0"/>
              <w:marRight w:val="0"/>
              <w:marTop w:val="0"/>
              <w:marBottom w:val="0"/>
              <w:divBdr>
                <w:top w:val="none" w:sz="0" w:space="0" w:color="auto"/>
                <w:left w:val="none" w:sz="0" w:space="0" w:color="auto"/>
                <w:bottom w:val="none" w:sz="0" w:space="0" w:color="auto"/>
                <w:right w:val="none" w:sz="0" w:space="0" w:color="auto"/>
              </w:divBdr>
            </w:div>
          </w:divsChild>
        </w:div>
        <w:div w:id="451560374">
          <w:marLeft w:val="0"/>
          <w:marRight w:val="0"/>
          <w:marTop w:val="0"/>
          <w:marBottom w:val="0"/>
          <w:divBdr>
            <w:top w:val="none" w:sz="0" w:space="0" w:color="auto"/>
            <w:left w:val="none" w:sz="0" w:space="0" w:color="auto"/>
            <w:bottom w:val="none" w:sz="0" w:space="0" w:color="auto"/>
            <w:right w:val="none" w:sz="0" w:space="0" w:color="auto"/>
          </w:divBdr>
        </w:div>
        <w:div w:id="456338863">
          <w:marLeft w:val="0"/>
          <w:marRight w:val="0"/>
          <w:marTop w:val="0"/>
          <w:marBottom w:val="0"/>
          <w:divBdr>
            <w:top w:val="none" w:sz="0" w:space="0" w:color="auto"/>
            <w:left w:val="none" w:sz="0" w:space="0" w:color="auto"/>
            <w:bottom w:val="none" w:sz="0" w:space="0" w:color="auto"/>
            <w:right w:val="none" w:sz="0" w:space="0" w:color="auto"/>
          </w:divBdr>
        </w:div>
        <w:div w:id="466510288">
          <w:marLeft w:val="0"/>
          <w:marRight w:val="0"/>
          <w:marTop w:val="0"/>
          <w:marBottom w:val="0"/>
          <w:divBdr>
            <w:top w:val="none" w:sz="0" w:space="0" w:color="auto"/>
            <w:left w:val="none" w:sz="0" w:space="0" w:color="auto"/>
            <w:bottom w:val="none" w:sz="0" w:space="0" w:color="auto"/>
            <w:right w:val="none" w:sz="0" w:space="0" w:color="auto"/>
          </w:divBdr>
        </w:div>
        <w:div w:id="526138997">
          <w:marLeft w:val="0"/>
          <w:marRight w:val="0"/>
          <w:marTop w:val="0"/>
          <w:marBottom w:val="0"/>
          <w:divBdr>
            <w:top w:val="none" w:sz="0" w:space="0" w:color="auto"/>
            <w:left w:val="none" w:sz="0" w:space="0" w:color="auto"/>
            <w:bottom w:val="none" w:sz="0" w:space="0" w:color="auto"/>
            <w:right w:val="none" w:sz="0" w:space="0" w:color="auto"/>
          </w:divBdr>
          <w:divsChild>
            <w:div w:id="876622661">
              <w:marLeft w:val="0"/>
              <w:marRight w:val="0"/>
              <w:marTop w:val="0"/>
              <w:marBottom w:val="0"/>
              <w:divBdr>
                <w:top w:val="none" w:sz="0" w:space="0" w:color="auto"/>
                <w:left w:val="none" w:sz="0" w:space="0" w:color="auto"/>
                <w:bottom w:val="none" w:sz="0" w:space="0" w:color="auto"/>
                <w:right w:val="none" w:sz="0" w:space="0" w:color="auto"/>
              </w:divBdr>
            </w:div>
            <w:div w:id="1529485084">
              <w:marLeft w:val="0"/>
              <w:marRight w:val="0"/>
              <w:marTop w:val="0"/>
              <w:marBottom w:val="0"/>
              <w:divBdr>
                <w:top w:val="none" w:sz="0" w:space="0" w:color="auto"/>
                <w:left w:val="none" w:sz="0" w:space="0" w:color="auto"/>
                <w:bottom w:val="none" w:sz="0" w:space="0" w:color="auto"/>
                <w:right w:val="none" w:sz="0" w:space="0" w:color="auto"/>
              </w:divBdr>
            </w:div>
          </w:divsChild>
        </w:div>
        <w:div w:id="565065219">
          <w:marLeft w:val="0"/>
          <w:marRight w:val="0"/>
          <w:marTop w:val="0"/>
          <w:marBottom w:val="0"/>
          <w:divBdr>
            <w:top w:val="none" w:sz="0" w:space="0" w:color="auto"/>
            <w:left w:val="none" w:sz="0" w:space="0" w:color="auto"/>
            <w:bottom w:val="none" w:sz="0" w:space="0" w:color="auto"/>
            <w:right w:val="none" w:sz="0" w:space="0" w:color="auto"/>
          </w:divBdr>
        </w:div>
        <w:div w:id="589507022">
          <w:marLeft w:val="0"/>
          <w:marRight w:val="0"/>
          <w:marTop w:val="0"/>
          <w:marBottom w:val="0"/>
          <w:divBdr>
            <w:top w:val="none" w:sz="0" w:space="0" w:color="auto"/>
            <w:left w:val="none" w:sz="0" w:space="0" w:color="auto"/>
            <w:bottom w:val="none" w:sz="0" w:space="0" w:color="auto"/>
            <w:right w:val="none" w:sz="0" w:space="0" w:color="auto"/>
          </w:divBdr>
        </w:div>
        <w:div w:id="608851244">
          <w:marLeft w:val="0"/>
          <w:marRight w:val="0"/>
          <w:marTop w:val="0"/>
          <w:marBottom w:val="0"/>
          <w:divBdr>
            <w:top w:val="none" w:sz="0" w:space="0" w:color="auto"/>
            <w:left w:val="none" w:sz="0" w:space="0" w:color="auto"/>
            <w:bottom w:val="none" w:sz="0" w:space="0" w:color="auto"/>
            <w:right w:val="none" w:sz="0" w:space="0" w:color="auto"/>
          </w:divBdr>
        </w:div>
        <w:div w:id="630137598">
          <w:marLeft w:val="0"/>
          <w:marRight w:val="0"/>
          <w:marTop w:val="0"/>
          <w:marBottom w:val="0"/>
          <w:divBdr>
            <w:top w:val="none" w:sz="0" w:space="0" w:color="auto"/>
            <w:left w:val="none" w:sz="0" w:space="0" w:color="auto"/>
            <w:bottom w:val="none" w:sz="0" w:space="0" w:color="auto"/>
            <w:right w:val="none" w:sz="0" w:space="0" w:color="auto"/>
          </w:divBdr>
        </w:div>
        <w:div w:id="686562113">
          <w:marLeft w:val="0"/>
          <w:marRight w:val="0"/>
          <w:marTop w:val="0"/>
          <w:marBottom w:val="0"/>
          <w:divBdr>
            <w:top w:val="none" w:sz="0" w:space="0" w:color="auto"/>
            <w:left w:val="none" w:sz="0" w:space="0" w:color="auto"/>
            <w:bottom w:val="none" w:sz="0" w:space="0" w:color="auto"/>
            <w:right w:val="none" w:sz="0" w:space="0" w:color="auto"/>
          </w:divBdr>
          <w:divsChild>
            <w:div w:id="732850685">
              <w:marLeft w:val="0"/>
              <w:marRight w:val="0"/>
              <w:marTop w:val="0"/>
              <w:marBottom w:val="0"/>
              <w:divBdr>
                <w:top w:val="none" w:sz="0" w:space="0" w:color="auto"/>
                <w:left w:val="none" w:sz="0" w:space="0" w:color="auto"/>
                <w:bottom w:val="none" w:sz="0" w:space="0" w:color="auto"/>
                <w:right w:val="none" w:sz="0" w:space="0" w:color="auto"/>
              </w:divBdr>
            </w:div>
            <w:div w:id="930627529">
              <w:marLeft w:val="0"/>
              <w:marRight w:val="0"/>
              <w:marTop w:val="0"/>
              <w:marBottom w:val="0"/>
              <w:divBdr>
                <w:top w:val="none" w:sz="0" w:space="0" w:color="auto"/>
                <w:left w:val="none" w:sz="0" w:space="0" w:color="auto"/>
                <w:bottom w:val="none" w:sz="0" w:space="0" w:color="auto"/>
                <w:right w:val="none" w:sz="0" w:space="0" w:color="auto"/>
              </w:divBdr>
            </w:div>
          </w:divsChild>
        </w:div>
        <w:div w:id="712115454">
          <w:marLeft w:val="0"/>
          <w:marRight w:val="0"/>
          <w:marTop w:val="0"/>
          <w:marBottom w:val="0"/>
          <w:divBdr>
            <w:top w:val="none" w:sz="0" w:space="0" w:color="auto"/>
            <w:left w:val="none" w:sz="0" w:space="0" w:color="auto"/>
            <w:bottom w:val="none" w:sz="0" w:space="0" w:color="auto"/>
            <w:right w:val="none" w:sz="0" w:space="0" w:color="auto"/>
          </w:divBdr>
          <w:divsChild>
            <w:div w:id="147671441">
              <w:marLeft w:val="0"/>
              <w:marRight w:val="0"/>
              <w:marTop w:val="0"/>
              <w:marBottom w:val="0"/>
              <w:divBdr>
                <w:top w:val="none" w:sz="0" w:space="0" w:color="auto"/>
                <w:left w:val="none" w:sz="0" w:space="0" w:color="auto"/>
                <w:bottom w:val="none" w:sz="0" w:space="0" w:color="auto"/>
                <w:right w:val="none" w:sz="0" w:space="0" w:color="auto"/>
              </w:divBdr>
            </w:div>
            <w:div w:id="954797245">
              <w:marLeft w:val="0"/>
              <w:marRight w:val="0"/>
              <w:marTop w:val="0"/>
              <w:marBottom w:val="0"/>
              <w:divBdr>
                <w:top w:val="none" w:sz="0" w:space="0" w:color="auto"/>
                <w:left w:val="none" w:sz="0" w:space="0" w:color="auto"/>
                <w:bottom w:val="none" w:sz="0" w:space="0" w:color="auto"/>
                <w:right w:val="none" w:sz="0" w:space="0" w:color="auto"/>
              </w:divBdr>
            </w:div>
            <w:div w:id="1171721443">
              <w:marLeft w:val="0"/>
              <w:marRight w:val="0"/>
              <w:marTop w:val="0"/>
              <w:marBottom w:val="0"/>
              <w:divBdr>
                <w:top w:val="none" w:sz="0" w:space="0" w:color="auto"/>
                <w:left w:val="none" w:sz="0" w:space="0" w:color="auto"/>
                <w:bottom w:val="none" w:sz="0" w:space="0" w:color="auto"/>
                <w:right w:val="none" w:sz="0" w:space="0" w:color="auto"/>
              </w:divBdr>
            </w:div>
            <w:div w:id="1314914956">
              <w:marLeft w:val="0"/>
              <w:marRight w:val="0"/>
              <w:marTop w:val="0"/>
              <w:marBottom w:val="0"/>
              <w:divBdr>
                <w:top w:val="none" w:sz="0" w:space="0" w:color="auto"/>
                <w:left w:val="none" w:sz="0" w:space="0" w:color="auto"/>
                <w:bottom w:val="none" w:sz="0" w:space="0" w:color="auto"/>
                <w:right w:val="none" w:sz="0" w:space="0" w:color="auto"/>
              </w:divBdr>
            </w:div>
          </w:divsChild>
        </w:div>
        <w:div w:id="723017706">
          <w:marLeft w:val="0"/>
          <w:marRight w:val="0"/>
          <w:marTop w:val="0"/>
          <w:marBottom w:val="0"/>
          <w:divBdr>
            <w:top w:val="none" w:sz="0" w:space="0" w:color="auto"/>
            <w:left w:val="none" w:sz="0" w:space="0" w:color="auto"/>
            <w:bottom w:val="none" w:sz="0" w:space="0" w:color="auto"/>
            <w:right w:val="none" w:sz="0" w:space="0" w:color="auto"/>
          </w:divBdr>
        </w:div>
        <w:div w:id="772474305">
          <w:marLeft w:val="0"/>
          <w:marRight w:val="0"/>
          <w:marTop w:val="0"/>
          <w:marBottom w:val="0"/>
          <w:divBdr>
            <w:top w:val="none" w:sz="0" w:space="0" w:color="auto"/>
            <w:left w:val="none" w:sz="0" w:space="0" w:color="auto"/>
            <w:bottom w:val="none" w:sz="0" w:space="0" w:color="auto"/>
            <w:right w:val="none" w:sz="0" w:space="0" w:color="auto"/>
          </w:divBdr>
        </w:div>
        <w:div w:id="778263065">
          <w:marLeft w:val="0"/>
          <w:marRight w:val="0"/>
          <w:marTop w:val="0"/>
          <w:marBottom w:val="0"/>
          <w:divBdr>
            <w:top w:val="none" w:sz="0" w:space="0" w:color="auto"/>
            <w:left w:val="none" w:sz="0" w:space="0" w:color="auto"/>
            <w:bottom w:val="none" w:sz="0" w:space="0" w:color="auto"/>
            <w:right w:val="none" w:sz="0" w:space="0" w:color="auto"/>
          </w:divBdr>
          <w:divsChild>
            <w:div w:id="1873568292">
              <w:marLeft w:val="0"/>
              <w:marRight w:val="0"/>
              <w:marTop w:val="0"/>
              <w:marBottom w:val="0"/>
              <w:divBdr>
                <w:top w:val="none" w:sz="0" w:space="0" w:color="auto"/>
                <w:left w:val="none" w:sz="0" w:space="0" w:color="auto"/>
                <w:bottom w:val="none" w:sz="0" w:space="0" w:color="auto"/>
                <w:right w:val="none" w:sz="0" w:space="0" w:color="auto"/>
              </w:divBdr>
            </w:div>
          </w:divsChild>
        </w:div>
        <w:div w:id="795831061">
          <w:marLeft w:val="0"/>
          <w:marRight w:val="0"/>
          <w:marTop w:val="0"/>
          <w:marBottom w:val="0"/>
          <w:divBdr>
            <w:top w:val="none" w:sz="0" w:space="0" w:color="auto"/>
            <w:left w:val="none" w:sz="0" w:space="0" w:color="auto"/>
            <w:bottom w:val="none" w:sz="0" w:space="0" w:color="auto"/>
            <w:right w:val="none" w:sz="0" w:space="0" w:color="auto"/>
          </w:divBdr>
          <w:divsChild>
            <w:div w:id="278608724">
              <w:marLeft w:val="-75"/>
              <w:marRight w:val="0"/>
              <w:marTop w:val="30"/>
              <w:marBottom w:val="30"/>
              <w:divBdr>
                <w:top w:val="none" w:sz="0" w:space="0" w:color="auto"/>
                <w:left w:val="none" w:sz="0" w:space="0" w:color="auto"/>
                <w:bottom w:val="none" w:sz="0" w:space="0" w:color="auto"/>
                <w:right w:val="none" w:sz="0" w:space="0" w:color="auto"/>
              </w:divBdr>
              <w:divsChild>
                <w:div w:id="16540951">
                  <w:marLeft w:val="0"/>
                  <w:marRight w:val="0"/>
                  <w:marTop w:val="0"/>
                  <w:marBottom w:val="0"/>
                  <w:divBdr>
                    <w:top w:val="none" w:sz="0" w:space="0" w:color="auto"/>
                    <w:left w:val="none" w:sz="0" w:space="0" w:color="auto"/>
                    <w:bottom w:val="none" w:sz="0" w:space="0" w:color="auto"/>
                    <w:right w:val="none" w:sz="0" w:space="0" w:color="auto"/>
                  </w:divBdr>
                  <w:divsChild>
                    <w:div w:id="2074351364">
                      <w:marLeft w:val="0"/>
                      <w:marRight w:val="0"/>
                      <w:marTop w:val="0"/>
                      <w:marBottom w:val="0"/>
                      <w:divBdr>
                        <w:top w:val="none" w:sz="0" w:space="0" w:color="auto"/>
                        <w:left w:val="none" w:sz="0" w:space="0" w:color="auto"/>
                        <w:bottom w:val="none" w:sz="0" w:space="0" w:color="auto"/>
                        <w:right w:val="none" w:sz="0" w:space="0" w:color="auto"/>
                      </w:divBdr>
                    </w:div>
                  </w:divsChild>
                </w:div>
                <w:div w:id="81532612">
                  <w:marLeft w:val="0"/>
                  <w:marRight w:val="0"/>
                  <w:marTop w:val="0"/>
                  <w:marBottom w:val="0"/>
                  <w:divBdr>
                    <w:top w:val="none" w:sz="0" w:space="0" w:color="auto"/>
                    <w:left w:val="none" w:sz="0" w:space="0" w:color="auto"/>
                    <w:bottom w:val="none" w:sz="0" w:space="0" w:color="auto"/>
                    <w:right w:val="none" w:sz="0" w:space="0" w:color="auto"/>
                  </w:divBdr>
                  <w:divsChild>
                    <w:div w:id="1668484811">
                      <w:marLeft w:val="0"/>
                      <w:marRight w:val="0"/>
                      <w:marTop w:val="0"/>
                      <w:marBottom w:val="0"/>
                      <w:divBdr>
                        <w:top w:val="none" w:sz="0" w:space="0" w:color="auto"/>
                        <w:left w:val="none" w:sz="0" w:space="0" w:color="auto"/>
                        <w:bottom w:val="none" w:sz="0" w:space="0" w:color="auto"/>
                        <w:right w:val="none" w:sz="0" w:space="0" w:color="auto"/>
                      </w:divBdr>
                    </w:div>
                  </w:divsChild>
                </w:div>
                <w:div w:id="85657518">
                  <w:marLeft w:val="0"/>
                  <w:marRight w:val="0"/>
                  <w:marTop w:val="0"/>
                  <w:marBottom w:val="0"/>
                  <w:divBdr>
                    <w:top w:val="none" w:sz="0" w:space="0" w:color="auto"/>
                    <w:left w:val="none" w:sz="0" w:space="0" w:color="auto"/>
                    <w:bottom w:val="none" w:sz="0" w:space="0" w:color="auto"/>
                    <w:right w:val="none" w:sz="0" w:space="0" w:color="auto"/>
                  </w:divBdr>
                  <w:divsChild>
                    <w:div w:id="1387216814">
                      <w:marLeft w:val="0"/>
                      <w:marRight w:val="0"/>
                      <w:marTop w:val="0"/>
                      <w:marBottom w:val="0"/>
                      <w:divBdr>
                        <w:top w:val="none" w:sz="0" w:space="0" w:color="auto"/>
                        <w:left w:val="none" w:sz="0" w:space="0" w:color="auto"/>
                        <w:bottom w:val="none" w:sz="0" w:space="0" w:color="auto"/>
                        <w:right w:val="none" w:sz="0" w:space="0" w:color="auto"/>
                      </w:divBdr>
                    </w:div>
                  </w:divsChild>
                </w:div>
                <w:div w:id="88502348">
                  <w:marLeft w:val="0"/>
                  <w:marRight w:val="0"/>
                  <w:marTop w:val="0"/>
                  <w:marBottom w:val="0"/>
                  <w:divBdr>
                    <w:top w:val="none" w:sz="0" w:space="0" w:color="auto"/>
                    <w:left w:val="none" w:sz="0" w:space="0" w:color="auto"/>
                    <w:bottom w:val="none" w:sz="0" w:space="0" w:color="auto"/>
                    <w:right w:val="none" w:sz="0" w:space="0" w:color="auto"/>
                  </w:divBdr>
                  <w:divsChild>
                    <w:div w:id="309866943">
                      <w:marLeft w:val="0"/>
                      <w:marRight w:val="0"/>
                      <w:marTop w:val="0"/>
                      <w:marBottom w:val="0"/>
                      <w:divBdr>
                        <w:top w:val="none" w:sz="0" w:space="0" w:color="auto"/>
                        <w:left w:val="none" w:sz="0" w:space="0" w:color="auto"/>
                        <w:bottom w:val="none" w:sz="0" w:space="0" w:color="auto"/>
                        <w:right w:val="none" w:sz="0" w:space="0" w:color="auto"/>
                      </w:divBdr>
                    </w:div>
                  </w:divsChild>
                </w:div>
                <w:div w:id="130834167">
                  <w:marLeft w:val="0"/>
                  <w:marRight w:val="0"/>
                  <w:marTop w:val="0"/>
                  <w:marBottom w:val="0"/>
                  <w:divBdr>
                    <w:top w:val="none" w:sz="0" w:space="0" w:color="auto"/>
                    <w:left w:val="none" w:sz="0" w:space="0" w:color="auto"/>
                    <w:bottom w:val="none" w:sz="0" w:space="0" w:color="auto"/>
                    <w:right w:val="none" w:sz="0" w:space="0" w:color="auto"/>
                  </w:divBdr>
                  <w:divsChild>
                    <w:div w:id="2131124725">
                      <w:marLeft w:val="0"/>
                      <w:marRight w:val="0"/>
                      <w:marTop w:val="0"/>
                      <w:marBottom w:val="0"/>
                      <w:divBdr>
                        <w:top w:val="none" w:sz="0" w:space="0" w:color="auto"/>
                        <w:left w:val="none" w:sz="0" w:space="0" w:color="auto"/>
                        <w:bottom w:val="none" w:sz="0" w:space="0" w:color="auto"/>
                        <w:right w:val="none" w:sz="0" w:space="0" w:color="auto"/>
                      </w:divBdr>
                    </w:div>
                  </w:divsChild>
                </w:div>
                <w:div w:id="174807574">
                  <w:marLeft w:val="0"/>
                  <w:marRight w:val="0"/>
                  <w:marTop w:val="0"/>
                  <w:marBottom w:val="0"/>
                  <w:divBdr>
                    <w:top w:val="none" w:sz="0" w:space="0" w:color="auto"/>
                    <w:left w:val="none" w:sz="0" w:space="0" w:color="auto"/>
                    <w:bottom w:val="none" w:sz="0" w:space="0" w:color="auto"/>
                    <w:right w:val="none" w:sz="0" w:space="0" w:color="auto"/>
                  </w:divBdr>
                  <w:divsChild>
                    <w:div w:id="1811550907">
                      <w:marLeft w:val="0"/>
                      <w:marRight w:val="0"/>
                      <w:marTop w:val="0"/>
                      <w:marBottom w:val="0"/>
                      <w:divBdr>
                        <w:top w:val="none" w:sz="0" w:space="0" w:color="auto"/>
                        <w:left w:val="none" w:sz="0" w:space="0" w:color="auto"/>
                        <w:bottom w:val="none" w:sz="0" w:space="0" w:color="auto"/>
                        <w:right w:val="none" w:sz="0" w:space="0" w:color="auto"/>
                      </w:divBdr>
                    </w:div>
                  </w:divsChild>
                </w:div>
                <w:div w:id="192960547">
                  <w:marLeft w:val="0"/>
                  <w:marRight w:val="0"/>
                  <w:marTop w:val="0"/>
                  <w:marBottom w:val="0"/>
                  <w:divBdr>
                    <w:top w:val="none" w:sz="0" w:space="0" w:color="auto"/>
                    <w:left w:val="none" w:sz="0" w:space="0" w:color="auto"/>
                    <w:bottom w:val="none" w:sz="0" w:space="0" w:color="auto"/>
                    <w:right w:val="none" w:sz="0" w:space="0" w:color="auto"/>
                  </w:divBdr>
                  <w:divsChild>
                    <w:div w:id="255486320">
                      <w:marLeft w:val="0"/>
                      <w:marRight w:val="0"/>
                      <w:marTop w:val="0"/>
                      <w:marBottom w:val="0"/>
                      <w:divBdr>
                        <w:top w:val="none" w:sz="0" w:space="0" w:color="auto"/>
                        <w:left w:val="none" w:sz="0" w:space="0" w:color="auto"/>
                        <w:bottom w:val="none" w:sz="0" w:space="0" w:color="auto"/>
                        <w:right w:val="none" w:sz="0" w:space="0" w:color="auto"/>
                      </w:divBdr>
                    </w:div>
                  </w:divsChild>
                </w:div>
                <w:div w:id="200483026">
                  <w:marLeft w:val="0"/>
                  <w:marRight w:val="0"/>
                  <w:marTop w:val="0"/>
                  <w:marBottom w:val="0"/>
                  <w:divBdr>
                    <w:top w:val="none" w:sz="0" w:space="0" w:color="auto"/>
                    <w:left w:val="none" w:sz="0" w:space="0" w:color="auto"/>
                    <w:bottom w:val="none" w:sz="0" w:space="0" w:color="auto"/>
                    <w:right w:val="none" w:sz="0" w:space="0" w:color="auto"/>
                  </w:divBdr>
                  <w:divsChild>
                    <w:div w:id="695883769">
                      <w:marLeft w:val="0"/>
                      <w:marRight w:val="0"/>
                      <w:marTop w:val="0"/>
                      <w:marBottom w:val="0"/>
                      <w:divBdr>
                        <w:top w:val="none" w:sz="0" w:space="0" w:color="auto"/>
                        <w:left w:val="none" w:sz="0" w:space="0" w:color="auto"/>
                        <w:bottom w:val="none" w:sz="0" w:space="0" w:color="auto"/>
                        <w:right w:val="none" w:sz="0" w:space="0" w:color="auto"/>
                      </w:divBdr>
                    </w:div>
                  </w:divsChild>
                </w:div>
                <w:div w:id="244153592">
                  <w:marLeft w:val="0"/>
                  <w:marRight w:val="0"/>
                  <w:marTop w:val="0"/>
                  <w:marBottom w:val="0"/>
                  <w:divBdr>
                    <w:top w:val="none" w:sz="0" w:space="0" w:color="auto"/>
                    <w:left w:val="none" w:sz="0" w:space="0" w:color="auto"/>
                    <w:bottom w:val="none" w:sz="0" w:space="0" w:color="auto"/>
                    <w:right w:val="none" w:sz="0" w:space="0" w:color="auto"/>
                  </w:divBdr>
                  <w:divsChild>
                    <w:div w:id="1486163923">
                      <w:marLeft w:val="0"/>
                      <w:marRight w:val="0"/>
                      <w:marTop w:val="0"/>
                      <w:marBottom w:val="0"/>
                      <w:divBdr>
                        <w:top w:val="none" w:sz="0" w:space="0" w:color="auto"/>
                        <w:left w:val="none" w:sz="0" w:space="0" w:color="auto"/>
                        <w:bottom w:val="none" w:sz="0" w:space="0" w:color="auto"/>
                        <w:right w:val="none" w:sz="0" w:space="0" w:color="auto"/>
                      </w:divBdr>
                    </w:div>
                  </w:divsChild>
                </w:div>
                <w:div w:id="273099258">
                  <w:marLeft w:val="0"/>
                  <w:marRight w:val="0"/>
                  <w:marTop w:val="0"/>
                  <w:marBottom w:val="0"/>
                  <w:divBdr>
                    <w:top w:val="none" w:sz="0" w:space="0" w:color="auto"/>
                    <w:left w:val="none" w:sz="0" w:space="0" w:color="auto"/>
                    <w:bottom w:val="none" w:sz="0" w:space="0" w:color="auto"/>
                    <w:right w:val="none" w:sz="0" w:space="0" w:color="auto"/>
                  </w:divBdr>
                  <w:divsChild>
                    <w:div w:id="286397665">
                      <w:marLeft w:val="0"/>
                      <w:marRight w:val="0"/>
                      <w:marTop w:val="0"/>
                      <w:marBottom w:val="0"/>
                      <w:divBdr>
                        <w:top w:val="none" w:sz="0" w:space="0" w:color="auto"/>
                        <w:left w:val="none" w:sz="0" w:space="0" w:color="auto"/>
                        <w:bottom w:val="none" w:sz="0" w:space="0" w:color="auto"/>
                        <w:right w:val="none" w:sz="0" w:space="0" w:color="auto"/>
                      </w:divBdr>
                    </w:div>
                  </w:divsChild>
                </w:div>
                <w:div w:id="281428324">
                  <w:marLeft w:val="0"/>
                  <w:marRight w:val="0"/>
                  <w:marTop w:val="0"/>
                  <w:marBottom w:val="0"/>
                  <w:divBdr>
                    <w:top w:val="none" w:sz="0" w:space="0" w:color="auto"/>
                    <w:left w:val="none" w:sz="0" w:space="0" w:color="auto"/>
                    <w:bottom w:val="none" w:sz="0" w:space="0" w:color="auto"/>
                    <w:right w:val="none" w:sz="0" w:space="0" w:color="auto"/>
                  </w:divBdr>
                  <w:divsChild>
                    <w:div w:id="884949878">
                      <w:marLeft w:val="0"/>
                      <w:marRight w:val="0"/>
                      <w:marTop w:val="0"/>
                      <w:marBottom w:val="0"/>
                      <w:divBdr>
                        <w:top w:val="none" w:sz="0" w:space="0" w:color="auto"/>
                        <w:left w:val="none" w:sz="0" w:space="0" w:color="auto"/>
                        <w:bottom w:val="none" w:sz="0" w:space="0" w:color="auto"/>
                        <w:right w:val="none" w:sz="0" w:space="0" w:color="auto"/>
                      </w:divBdr>
                    </w:div>
                  </w:divsChild>
                </w:div>
                <w:div w:id="330063830">
                  <w:marLeft w:val="0"/>
                  <w:marRight w:val="0"/>
                  <w:marTop w:val="0"/>
                  <w:marBottom w:val="0"/>
                  <w:divBdr>
                    <w:top w:val="none" w:sz="0" w:space="0" w:color="auto"/>
                    <w:left w:val="none" w:sz="0" w:space="0" w:color="auto"/>
                    <w:bottom w:val="none" w:sz="0" w:space="0" w:color="auto"/>
                    <w:right w:val="none" w:sz="0" w:space="0" w:color="auto"/>
                  </w:divBdr>
                  <w:divsChild>
                    <w:div w:id="632560429">
                      <w:marLeft w:val="0"/>
                      <w:marRight w:val="0"/>
                      <w:marTop w:val="0"/>
                      <w:marBottom w:val="0"/>
                      <w:divBdr>
                        <w:top w:val="none" w:sz="0" w:space="0" w:color="auto"/>
                        <w:left w:val="none" w:sz="0" w:space="0" w:color="auto"/>
                        <w:bottom w:val="none" w:sz="0" w:space="0" w:color="auto"/>
                        <w:right w:val="none" w:sz="0" w:space="0" w:color="auto"/>
                      </w:divBdr>
                    </w:div>
                  </w:divsChild>
                </w:div>
                <w:div w:id="482938191">
                  <w:marLeft w:val="0"/>
                  <w:marRight w:val="0"/>
                  <w:marTop w:val="0"/>
                  <w:marBottom w:val="0"/>
                  <w:divBdr>
                    <w:top w:val="none" w:sz="0" w:space="0" w:color="auto"/>
                    <w:left w:val="none" w:sz="0" w:space="0" w:color="auto"/>
                    <w:bottom w:val="none" w:sz="0" w:space="0" w:color="auto"/>
                    <w:right w:val="none" w:sz="0" w:space="0" w:color="auto"/>
                  </w:divBdr>
                  <w:divsChild>
                    <w:div w:id="1503936230">
                      <w:marLeft w:val="0"/>
                      <w:marRight w:val="0"/>
                      <w:marTop w:val="0"/>
                      <w:marBottom w:val="0"/>
                      <w:divBdr>
                        <w:top w:val="none" w:sz="0" w:space="0" w:color="auto"/>
                        <w:left w:val="none" w:sz="0" w:space="0" w:color="auto"/>
                        <w:bottom w:val="none" w:sz="0" w:space="0" w:color="auto"/>
                        <w:right w:val="none" w:sz="0" w:space="0" w:color="auto"/>
                      </w:divBdr>
                    </w:div>
                  </w:divsChild>
                </w:div>
                <w:div w:id="488057627">
                  <w:marLeft w:val="0"/>
                  <w:marRight w:val="0"/>
                  <w:marTop w:val="0"/>
                  <w:marBottom w:val="0"/>
                  <w:divBdr>
                    <w:top w:val="none" w:sz="0" w:space="0" w:color="auto"/>
                    <w:left w:val="none" w:sz="0" w:space="0" w:color="auto"/>
                    <w:bottom w:val="none" w:sz="0" w:space="0" w:color="auto"/>
                    <w:right w:val="none" w:sz="0" w:space="0" w:color="auto"/>
                  </w:divBdr>
                  <w:divsChild>
                    <w:div w:id="1721324601">
                      <w:marLeft w:val="0"/>
                      <w:marRight w:val="0"/>
                      <w:marTop w:val="0"/>
                      <w:marBottom w:val="0"/>
                      <w:divBdr>
                        <w:top w:val="none" w:sz="0" w:space="0" w:color="auto"/>
                        <w:left w:val="none" w:sz="0" w:space="0" w:color="auto"/>
                        <w:bottom w:val="none" w:sz="0" w:space="0" w:color="auto"/>
                        <w:right w:val="none" w:sz="0" w:space="0" w:color="auto"/>
                      </w:divBdr>
                    </w:div>
                  </w:divsChild>
                </w:div>
                <w:div w:id="488323534">
                  <w:marLeft w:val="0"/>
                  <w:marRight w:val="0"/>
                  <w:marTop w:val="0"/>
                  <w:marBottom w:val="0"/>
                  <w:divBdr>
                    <w:top w:val="none" w:sz="0" w:space="0" w:color="auto"/>
                    <w:left w:val="none" w:sz="0" w:space="0" w:color="auto"/>
                    <w:bottom w:val="none" w:sz="0" w:space="0" w:color="auto"/>
                    <w:right w:val="none" w:sz="0" w:space="0" w:color="auto"/>
                  </w:divBdr>
                  <w:divsChild>
                    <w:div w:id="1109400121">
                      <w:marLeft w:val="0"/>
                      <w:marRight w:val="0"/>
                      <w:marTop w:val="0"/>
                      <w:marBottom w:val="0"/>
                      <w:divBdr>
                        <w:top w:val="none" w:sz="0" w:space="0" w:color="auto"/>
                        <w:left w:val="none" w:sz="0" w:space="0" w:color="auto"/>
                        <w:bottom w:val="none" w:sz="0" w:space="0" w:color="auto"/>
                        <w:right w:val="none" w:sz="0" w:space="0" w:color="auto"/>
                      </w:divBdr>
                    </w:div>
                  </w:divsChild>
                </w:div>
                <w:div w:id="518012141">
                  <w:marLeft w:val="0"/>
                  <w:marRight w:val="0"/>
                  <w:marTop w:val="0"/>
                  <w:marBottom w:val="0"/>
                  <w:divBdr>
                    <w:top w:val="none" w:sz="0" w:space="0" w:color="auto"/>
                    <w:left w:val="none" w:sz="0" w:space="0" w:color="auto"/>
                    <w:bottom w:val="none" w:sz="0" w:space="0" w:color="auto"/>
                    <w:right w:val="none" w:sz="0" w:space="0" w:color="auto"/>
                  </w:divBdr>
                  <w:divsChild>
                    <w:div w:id="1786538826">
                      <w:marLeft w:val="0"/>
                      <w:marRight w:val="0"/>
                      <w:marTop w:val="0"/>
                      <w:marBottom w:val="0"/>
                      <w:divBdr>
                        <w:top w:val="none" w:sz="0" w:space="0" w:color="auto"/>
                        <w:left w:val="none" w:sz="0" w:space="0" w:color="auto"/>
                        <w:bottom w:val="none" w:sz="0" w:space="0" w:color="auto"/>
                        <w:right w:val="none" w:sz="0" w:space="0" w:color="auto"/>
                      </w:divBdr>
                    </w:div>
                  </w:divsChild>
                </w:div>
                <w:div w:id="529034021">
                  <w:marLeft w:val="0"/>
                  <w:marRight w:val="0"/>
                  <w:marTop w:val="0"/>
                  <w:marBottom w:val="0"/>
                  <w:divBdr>
                    <w:top w:val="none" w:sz="0" w:space="0" w:color="auto"/>
                    <w:left w:val="none" w:sz="0" w:space="0" w:color="auto"/>
                    <w:bottom w:val="none" w:sz="0" w:space="0" w:color="auto"/>
                    <w:right w:val="none" w:sz="0" w:space="0" w:color="auto"/>
                  </w:divBdr>
                  <w:divsChild>
                    <w:div w:id="223299643">
                      <w:marLeft w:val="0"/>
                      <w:marRight w:val="0"/>
                      <w:marTop w:val="0"/>
                      <w:marBottom w:val="0"/>
                      <w:divBdr>
                        <w:top w:val="none" w:sz="0" w:space="0" w:color="auto"/>
                        <w:left w:val="none" w:sz="0" w:space="0" w:color="auto"/>
                        <w:bottom w:val="none" w:sz="0" w:space="0" w:color="auto"/>
                        <w:right w:val="none" w:sz="0" w:space="0" w:color="auto"/>
                      </w:divBdr>
                    </w:div>
                  </w:divsChild>
                </w:div>
                <w:div w:id="541402325">
                  <w:marLeft w:val="0"/>
                  <w:marRight w:val="0"/>
                  <w:marTop w:val="0"/>
                  <w:marBottom w:val="0"/>
                  <w:divBdr>
                    <w:top w:val="none" w:sz="0" w:space="0" w:color="auto"/>
                    <w:left w:val="none" w:sz="0" w:space="0" w:color="auto"/>
                    <w:bottom w:val="none" w:sz="0" w:space="0" w:color="auto"/>
                    <w:right w:val="none" w:sz="0" w:space="0" w:color="auto"/>
                  </w:divBdr>
                  <w:divsChild>
                    <w:div w:id="1993757249">
                      <w:marLeft w:val="0"/>
                      <w:marRight w:val="0"/>
                      <w:marTop w:val="0"/>
                      <w:marBottom w:val="0"/>
                      <w:divBdr>
                        <w:top w:val="none" w:sz="0" w:space="0" w:color="auto"/>
                        <w:left w:val="none" w:sz="0" w:space="0" w:color="auto"/>
                        <w:bottom w:val="none" w:sz="0" w:space="0" w:color="auto"/>
                        <w:right w:val="none" w:sz="0" w:space="0" w:color="auto"/>
                      </w:divBdr>
                    </w:div>
                  </w:divsChild>
                </w:div>
                <w:div w:id="555629478">
                  <w:marLeft w:val="0"/>
                  <w:marRight w:val="0"/>
                  <w:marTop w:val="0"/>
                  <w:marBottom w:val="0"/>
                  <w:divBdr>
                    <w:top w:val="none" w:sz="0" w:space="0" w:color="auto"/>
                    <w:left w:val="none" w:sz="0" w:space="0" w:color="auto"/>
                    <w:bottom w:val="none" w:sz="0" w:space="0" w:color="auto"/>
                    <w:right w:val="none" w:sz="0" w:space="0" w:color="auto"/>
                  </w:divBdr>
                  <w:divsChild>
                    <w:div w:id="1618179181">
                      <w:marLeft w:val="0"/>
                      <w:marRight w:val="0"/>
                      <w:marTop w:val="0"/>
                      <w:marBottom w:val="0"/>
                      <w:divBdr>
                        <w:top w:val="none" w:sz="0" w:space="0" w:color="auto"/>
                        <w:left w:val="none" w:sz="0" w:space="0" w:color="auto"/>
                        <w:bottom w:val="none" w:sz="0" w:space="0" w:color="auto"/>
                        <w:right w:val="none" w:sz="0" w:space="0" w:color="auto"/>
                      </w:divBdr>
                    </w:div>
                  </w:divsChild>
                </w:div>
                <w:div w:id="588856980">
                  <w:marLeft w:val="0"/>
                  <w:marRight w:val="0"/>
                  <w:marTop w:val="0"/>
                  <w:marBottom w:val="0"/>
                  <w:divBdr>
                    <w:top w:val="none" w:sz="0" w:space="0" w:color="auto"/>
                    <w:left w:val="none" w:sz="0" w:space="0" w:color="auto"/>
                    <w:bottom w:val="none" w:sz="0" w:space="0" w:color="auto"/>
                    <w:right w:val="none" w:sz="0" w:space="0" w:color="auto"/>
                  </w:divBdr>
                  <w:divsChild>
                    <w:div w:id="483593421">
                      <w:marLeft w:val="0"/>
                      <w:marRight w:val="0"/>
                      <w:marTop w:val="0"/>
                      <w:marBottom w:val="0"/>
                      <w:divBdr>
                        <w:top w:val="none" w:sz="0" w:space="0" w:color="auto"/>
                        <w:left w:val="none" w:sz="0" w:space="0" w:color="auto"/>
                        <w:bottom w:val="none" w:sz="0" w:space="0" w:color="auto"/>
                        <w:right w:val="none" w:sz="0" w:space="0" w:color="auto"/>
                      </w:divBdr>
                    </w:div>
                  </w:divsChild>
                </w:div>
                <w:div w:id="624313853">
                  <w:marLeft w:val="0"/>
                  <w:marRight w:val="0"/>
                  <w:marTop w:val="0"/>
                  <w:marBottom w:val="0"/>
                  <w:divBdr>
                    <w:top w:val="none" w:sz="0" w:space="0" w:color="auto"/>
                    <w:left w:val="none" w:sz="0" w:space="0" w:color="auto"/>
                    <w:bottom w:val="none" w:sz="0" w:space="0" w:color="auto"/>
                    <w:right w:val="none" w:sz="0" w:space="0" w:color="auto"/>
                  </w:divBdr>
                  <w:divsChild>
                    <w:div w:id="2001618666">
                      <w:marLeft w:val="0"/>
                      <w:marRight w:val="0"/>
                      <w:marTop w:val="0"/>
                      <w:marBottom w:val="0"/>
                      <w:divBdr>
                        <w:top w:val="none" w:sz="0" w:space="0" w:color="auto"/>
                        <w:left w:val="none" w:sz="0" w:space="0" w:color="auto"/>
                        <w:bottom w:val="none" w:sz="0" w:space="0" w:color="auto"/>
                        <w:right w:val="none" w:sz="0" w:space="0" w:color="auto"/>
                      </w:divBdr>
                    </w:div>
                  </w:divsChild>
                </w:div>
                <w:div w:id="674304287">
                  <w:marLeft w:val="0"/>
                  <w:marRight w:val="0"/>
                  <w:marTop w:val="0"/>
                  <w:marBottom w:val="0"/>
                  <w:divBdr>
                    <w:top w:val="none" w:sz="0" w:space="0" w:color="auto"/>
                    <w:left w:val="none" w:sz="0" w:space="0" w:color="auto"/>
                    <w:bottom w:val="none" w:sz="0" w:space="0" w:color="auto"/>
                    <w:right w:val="none" w:sz="0" w:space="0" w:color="auto"/>
                  </w:divBdr>
                  <w:divsChild>
                    <w:div w:id="1830705489">
                      <w:marLeft w:val="0"/>
                      <w:marRight w:val="0"/>
                      <w:marTop w:val="0"/>
                      <w:marBottom w:val="0"/>
                      <w:divBdr>
                        <w:top w:val="none" w:sz="0" w:space="0" w:color="auto"/>
                        <w:left w:val="none" w:sz="0" w:space="0" w:color="auto"/>
                        <w:bottom w:val="none" w:sz="0" w:space="0" w:color="auto"/>
                        <w:right w:val="none" w:sz="0" w:space="0" w:color="auto"/>
                      </w:divBdr>
                    </w:div>
                  </w:divsChild>
                </w:div>
                <w:div w:id="676883440">
                  <w:marLeft w:val="0"/>
                  <w:marRight w:val="0"/>
                  <w:marTop w:val="0"/>
                  <w:marBottom w:val="0"/>
                  <w:divBdr>
                    <w:top w:val="none" w:sz="0" w:space="0" w:color="auto"/>
                    <w:left w:val="none" w:sz="0" w:space="0" w:color="auto"/>
                    <w:bottom w:val="none" w:sz="0" w:space="0" w:color="auto"/>
                    <w:right w:val="none" w:sz="0" w:space="0" w:color="auto"/>
                  </w:divBdr>
                  <w:divsChild>
                    <w:div w:id="927540504">
                      <w:marLeft w:val="0"/>
                      <w:marRight w:val="0"/>
                      <w:marTop w:val="0"/>
                      <w:marBottom w:val="0"/>
                      <w:divBdr>
                        <w:top w:val="none" w:sz="0" w:space="0" w:color="auto"/>
                        <w:left w:val="none" w:sz="0" w:space="0" w:color="auto"/>
                        <w:bottom w:val="none" w:sz="0" w:space="0" w:color="auto"/>
                        <w:right w:val="none" w:sz="0" w:space="0" w:color="auto"/>
                      </w:divBdr>
                    </w:div>
                  </w:divsChild>
                </w:div>
                <w:div w:id="697700672">
                  <w:marLeft w:val="0"/>
                  <w:marRight w:val="0"/>
                  <w:marTop w:val="0"/>
                  <w:marBottom w:val="0"/>
                  <w:divBdr>
                    <w:top w:val="none" w:sz="0" w:space="0" w:color="auto"/>
                    <w:left w:val="none" w:sz="0" w:space="0" w:color="auto"/>
                    <w:bottom w:val="none" w:sz="0" w:space="0" w:color="auto"/>
                    <w:right w:val="none" w:sz="0" w:space="0" w:color="auto"/>
                  </w:divBdr>
                  <w:divsChild>
                    <w:div w:id="1501577091">
                      <w:marLeft w:val="0"/>
                      <w:marRight w:val="0"/>
                      <w:marTop w:val="0"/>
                      <w:marBottom w:val="0"/>
                      <w:divBdr>
                        <w:top w:val="none" w:sz="0" w:space="0" w:color="auto"/>
                        <w:left w:val="none" w:sz="0" w:space="0" w:color="auto"/>
                        <w:bottom w:val="none" w:sz="0" w:space="0" w:color="auto"/>
                        <w:right w:val="none" w:sz="0" w:space="0" w:color="auto"/>
                      </w:divBdr>
                    </w:div>
                  </w:divsChild>
                </w:div>
                <w:div w:id="768499989">
                  <w:marLeft w:val="0"/>
                  <w:marRight w:val="0"/>
                  <w:marTop w:val="0"/>
                  <w:marBottom w:val="0"/>
                  <w:divBdr>
                    <w:top w:val="none" w:sz="0" w:space="0" w:color="auto"/>
                    <w:left w:val="none" w:sz="0" w:space="0" w:color="auto"/>
                    <w:bottom w:val="none" w:sz="0" w:space="0" w:color="auto"/>
                    <w:right w:val="none" w:sz="0" w:space="0" w:color="auto"/>
                  </w:divBdr>
                  <w:divsChild>
                    <w:div w:id="637298770">
                      <w:marLeft w:val="0"/>
                      <w:marRight w:val="0"/>
                      <w:marTop w:val="0"/>
                      <w:marBottom w:val="0"/>
                      <w:divBdr>
                        <w:top w:val="none" w:sz="0" w:space="0" w:color="auto"/>
                        <w:left w:val="none" w:sz="0" w:space="0" w:color="auto"/>
                        <w:bottom w:val="none" w:sz="0" w:space="0" w:color="auto"/>
                        <w:right w:val="none" w:sz="0" w:space="0" w:color="auto"/>
                      </w:divBdr>
                    </w:div>
                  </w:divsChild>
                </w:div>
                <w:div w:id="915669643">
                  <w:marLeft w:val="0"/>
                  <w:marRight w:val="0"/>
                  <w:marTop w:val="0"/>
                  <w:marBottom w:val="0"/>
                  <w:divBdr>
                    <w:top w:val="none" w:sz="0" w:space="0" w:color="auto"/>
                    <w:left w:val="none" w:sz="0" w:space="0" w:color="auto"/>
                    <w:bottom w:val="none" w:sz="0" w:space="0" w:color="auto"/>
                    <w:right w:val="none" w:sz="0" w:space="0" w:color="auto"/>
                  </w:divBdr>
                  <w:divsChild>
                    <w:div w:id="1678145686">
                      <w:marLeft w:val="0"/>
                      <w:marRight w:val="0"/>
                      <w:marTop w:val="0"/>
                      <w:marBottom w:val="0"/>
                      <w:divBdr>
                        <w:top w:val="none" w:sz="0" w:space="0" w:color="auto"/>
                        <w:left w:val="none" w:sz="0" w:space="0" w:color="auto"/>
                        <w:bottom w:val="none" w:sz="0" w:space="0" w:color="auto"/>
                        <w:right w:val="none" w:sz="0" w:space="0" w:color="auto"/>
                      </w:divBdr>
                    </w:div>
                  </w:divsChild>
                </w:div>
                <w:div w:id="1019086029">
                  <w:marLeft w:val="0"/>
                  <w:marRight w:val="0"/>
                  <w:marTop w:val="0"/>
                  <w:marBottom w:val="0"/>
                  <w:divBdr>
                    <w:top w:val="none" w:sz="0" w:space="0" w:color="auto"/>
                    <w:left w:val="none" w:sz="0" w:space="0" w:color="auto"/>
                    <w:bottom w:val="none" w:sz="0" w:space="0" w:color="auto"/>
                    <w:right w:val="none" w:sz="0" w:space="0" w:color="auto"/>
                  </w:divBdr>
                  <w:divsChild>
                    <w:div w:id="774405314">
                      <w:marLeft w:val="0"/>
                      <w:marRight w:val="0"/>
                      <w:marTop w:val="0"/>
                      <w:marBottom w:val="0"/>
                      <w:divBdr>
                        <w:top w:val="none" w:sz="0" w:space="0" w:color="auto"/>
                        <w:left w:val="none" w:sz="0" w:space="0" w:color="auto"/>
                        <w:bottom w:val="none" w:sz="0" w:space="0" w:color="auto"/>
                        <w:right w:val="none" w:sz="0" w:space="0" w:color="auto"/>
                      </w:divBdr>
                    </w:div>
                  </w:divsChild>
                </w:div>
                <w:div w:id="1175271087">
                  <w:marLeft w:val="0"/>
                  <w:marRight w:val="0"/>
                  <w:marTop w:val="0"/>
                  <w:marBottom w:val="0"/>
                  <w:divBdr>
                    <w:top w:val="none" w:sz="0" w:space="0" w:color="auto"/>
                    <w:left w:val="none" w:sz="0" w:space="0" w:color="auto"/>
                    <w:bottom w:val="none" w:sz="0" w:space="0" w:color="auto"/>
                    <w:right w:val="none" w:sz="0" w:space="0" w:color="auto"/>
                  </w:divBdr>
                  <w:divsChild>
                    <w:div w:id="328487390">
                      <w:marLeft w:val="0"/>
                      <w:marRight w:val="0"/>
                      <w:marTop w:val="0"/>
                      <w:marBottom w:val="0"/>
                      <w:divBdr>
                        <w:top w:val="none" w:sz="0" w:space="0" w:color="auto"/>
                        <w:left w:val="none" w:sz="0" w:space="0" w:color="auto"/>
                        <w:bottom w:val="none" w:sz="0" w:space="0" w:color="auto"/>
                        <w:right w:val="none" w:sz="0" w:space="0" w:color="auto"/>
                      </w:divBdr>
                    </w:div>
                  </w:divsChild>
                </w:div>
                <w:div w:id="1176309611">
                  <w:marLeft w:val="0"/>
                  <w:marRight w:val="0"/>
                  <w:marTop w:val="0"/>
                  <w:marBottom w:val="0"/>
                  <w:divBdr>
                    <w:top w:val="none" w:sz="0" w:space="0" w:color="auto"/>
                    <w:left w:val="none" w:sz="0" w:space="0" w:color="auto"/>
                    <w:bottom w:val="none" w:sz="0" w:space="0" w:color="auto"/>
                    <w:right w:val="none" w:sz="0" w:space="0" w:color="auto"/>
                  </w:divBdr>
                  <w:divsChild>
                    <w:div w:id="1376545404">
                      <w:marLeft w:val="0"/>
                      <w:marRight w:val="0"/>
                      <w:marTop w:val="0"/>
                      <w:marBottom w:val="0"/>
                      <w:divBdr>
                        <w:top w:val="none" w:sz="0" w:space="0" w:color="auto"/>
                        <w:left w:val="none" w:sz="0" w:space="0" w:color="auto"/>
                        <w:bottom w:val="none" w:sz="0" w:space="0" w:color="auto"/>
                        <w:right w:val="none" w:sz="0" w:space="0" w:color="auto"/>
                      </w:divBdr>
                    </w:div>
                  </w:divsChild>
                </w:div>
                <w:div w:id="1176767775">
                  <w:marLeft w:val="0"/>
                  <w:marRight w:val="0"/>
                  <w:marTop w:val="0"/>
                  <w:marBottom w:val="0"/>
                  <w:divBdr>
                    <w:top w:val="none" w:sz="0" w:space="0" w:color="auto"/>
                    <w:left w:val="none" w:sz="0" w:space="0" w:color="auto"/>
                    <w:bottom w:val="none" w:sz="0" w:space="0" w:color="auto"/>
                    <w:right w:val="none" w:sz="0" w:space="0" w:color="auto"/>
                  </w:divBdr>
                  <w:divsChild>
                    <w:div w:id="1473332247">
                      <w:marLeft w:val="0"/>
                      <w:marRight w:val="0"/>
                      <w:marTop w:val="0"/>
                      <w:marBottom w:val="0"/>
                      <w:divBdr>
                        <w:top w:val="none" w:sz="0" w:space="0" w:color="auto"/>
                        <w:left w:val="none" w:sz="0" w:space="0" w:color="auto"/>
                        <w:bottom w:val="none" w:sz="0" w:space="0" w:color="auto"/>
                        <w:right w:val="none" w:sz="0" w:space="0" w:color="auto"/>
                      </w:divBdr>
                    </w:div>
                  </w:divsChild>
                </w:div>
                <w:div w:id="1177302963">
                  <w:marLeft w:val="0"/>
                  <w:marRight w:val="0"/>
                  <w:marTop w:val="0"/>
                  <w:marBottom w:val="0"/>
                  <w:divBdr>
                    <w:top w:val="none" w:sz="0" w:space="0" w:color="auto"/>
                    <w:left w:val="none" w:sz="0" w:space="0" w:color="auto"/>
                    <w:bottom w:val="none" w:sz="0" w:space="0" w:color="auto"/>
                    <w:right w:val="none" w:sz="0" w:space="0" w:color="auto"/>
                  </w:divBdr>
                  <w:divsChild>
                    <w:div w:id="1940336131">
                      <w:marLeft w:val="0"/>
                      <w:marRight w:val="0"/>
                      <w:marTop w:val="0"/>
                      <w:marBottom w:val="0"/>
                      <w:divBdr>
                        <w:top w:val="none" w:sz="0" w:space="0" w:color="auto"/>
                        <w:left w:val="none" w:sz="0" w:space="0" w:color="auto"/>
                        <w:bottom w:val="none" w:sz="0" w:space="0" w:color="auto"/>
                        <w:right w:val="none" w:sz="0" w:space="0" w:color="auto"/>
                      </w:divBdr>
                    </w:div>
                  </w:divsChild>
                </w:div>
                <w:div w:id="1187215210">
                  <w:marLeft w:val="0"/>
                  <w:marRight w:val="0"/>
                  <w:marTop w:val="0"/>
                  <w:marBottom w:val="0"/>
                  <w:divBdr>
                    <w:top w:val="none" w:sz="0" w:space="0" w:color="auto"/>
                    <w:left w:val="none" w:sz="0" w:space="0" w:color="auto"/>
                    <w:bottom w:val="none" w:sz="0" w:space="0" w:color="auto"/>
                    <w:right w:val="none" w:sz="0" w:space="0" w:color="auto"/>
                  </w:divBdr>
                  <w:divsChild>
                    <w:div w:id="595021568">
                      <w:marLeft w:val="0"/>
                      <w:marRight w:val="0"/>
                      <w:marTop w:val="0"/>
                      <w:marBottom w:val="0"/>
                      <w:divBdr>
                        <w:top w:val="none" w:sz="0" w:space="0" w:color="auto"/>
                        <w:left w:val="none" w:sz="0" w:space="0" w:color="auto"/>
                        <w:bottom w:val="none" w:sz="0" w:space="0" w:color="auto"/>
                        <w:right w:val="none" w:sz="0" w:space="0" w:color="auto"/>
                      </w:divBdr>
                    </w:div>
                  </w:divsChild>
                </w:div>
                <w:div w:id="1221329062">
                  <w:marLeft w:val="0"/>
                  <w:marRight w:val="0"/>
                  <w:marTop w:val="0"/>
                  <w:marBottom w:val="0"/>
                  <w:divBdr>
                    <w:top w:val="none" w:sz="0" w:space="0" w:color="auto"/>
                    <w:left w:val="none" w:sz="0" w:space="0" w:color="auto"/>
                    <w:bottom w:val="none" w:sz="0" w:space="0" w:color="auto"/>
                    <w:right w:val="none" w:sz="0" w:space="0" w:color="auto"/>
                  </w:divBdr>
                  <w:divsChild>
                    <w:div w:id="51927935">
                      <w:marLeft w:val="0"/>
                      <w:marRight w:val="0"/>
                      <w:marTop w:val="0"/>
                      <w:marBottom w:val="0"/>
                      <w:divBdr>
                        <w:top w:val="none" w:sz="0" w:space="0" w:color="auto"/>
                        <w:left w:val="none" w:sz="0" w:space="0" w:color="auto"/>
                        <w:bottom w:val="none" w:sz="0" w:space="0" w:color="auto"/>
                        <w:right w:val="none" w:sz="0" w:space="0" w:color="auto"/>
                      </w:divBdr>
                    </w:div>
                  </w:divsChild>
                </w:div>
                <w:div w:id="1225027985">
                  <w:marLeft w:val="0"/>
                  <w:marRight w:val="0"/>
                  <w:marTop w:val="0"/>
                  <w:marBottom w:val="0"/>
                  <w:divBdr>
                    <w:top w:val="none" w:sz="0" w:space="0" w:color="auto"/>
                    <w:left w:val="none" w:sz="0" w:space="0" w:color="auto"/>
                    <w:bottom w:val="none" w:sz="0" w:space="0" w:color="auto"/>
                    <w:right w:val="none" w:sz="0" w:space="0" w:color="auto"/>
                  </w:divBdr>
                  <w:divsChild>
                    <w:div w:id="1995138073">
                      <w:marLeft w:val="0"/>
                      <w:marRight w:val="0"/>
                      <w:marTop w:val="0"/>
                      <w:marBottom w:val="0"/>
                      <w:divBdr>
                        <w:top w:val="none" w:sz="0" w:space="0" w:color="auto"/>
                        <w:left w:val="none" w:sz="0" w:space="0" w:color="auto"/>
                        <w:bottom w:val="none" w:sz="0" w:space="0" w:color="auto"/>
                        <w:right w:val="none" w:sz="0" w:space="0" w:color="auto"/>
                      </w:divBdr>
                    </w:div>
                  </w:divsChild>
                </w:div>
                <w:div w:id="1263144345">
                  <w:marLeft w:val="0"/>
                  <w:marRight w:val="0"/>
                  <w:marTop w:val="0"/>
                  <w:marBottom w:val="0"/>
                  <w:divBdr>
                    <w:top w:val="none" w:sz="0" w:space="0" w:color="auto"/>
                    <w:left w:val="none" w:sz="0" w:space="0" w:color="auto"/>
                    <w:bottom w:val="none" w:sz="0" w:space="0" w:color="auto"/>
                    <w:right w:val="none" w:sz="0" w:space="0" w:color="auto"/>
                  </w:divBdr>
                  <w:divsChild>
                    <w:div w:id="45838619">
                      <w:marLeft w:val="0"/>
                      <w:marRight w:val="0"/>
                      <w:marTop w:val="0"/>
                      <w:marBottom w:val="0"/>
                      <w:divBdr>
                        <w:top w:val="none" w:sz="0" w:space="0" w:color="auto"/>
                        <w:left w:val="none" w:sz="0" w:space="0" w:color="auto"/>
                        <w:bottom w:val="none" w:sz="0" w:space="0" w:color="auto"/>
                        <w:right w:val="none" w:sz="0" w:space="0" w:color="auto"/>
                      </w:divBdr>
                    </w:div>
                  </w:divsChild>
                </w:div>
                <w:div w:id="1339456962">
                  <w:marLeft w:val="0"/>
                  <w:marRight w:val="0"/>
                  <w:marTop w:val="0"/>
                  <w:marBottom w:val="0"/>
                  <w:divBdr>
                    <w:top w:val="none" w:sz="0" w:space="0" w:color="auto"/>
                    <w:left w:val="none" w:sz="0" w:space="0" w:color="auto"/>
                    <w:bottom w:val="none" w:sz="0" w:space="0" w:color="auto"/>
                    <w:right w:val="none" w:sz="0" w:space="0" w:color="auto"/>
                  </w:divBdr>
                  <w:divsChild>
                    <w:div w:id="947468174">
                      <w:marLeft w:val="0"/>
                      <w:marRight w:val="0"/>
                      <w:marTop w:val="0"/>
                      <w:marBottom w:val="0"/>
                      <w:divBdr>
                        <w:top w:val="none" w:sz="0" w:space="0" w:color="auto"/>
                        <w:left w:val="none" w:sz="0" w:space="0" w:color="auto"/>
                        <w:bottom w:val="none" w:sz="0" w:space="0" w:color="auto"/>
                        <w:right w:val="none" w:sz="0" w:space="0" w:color="auto"/>
                      </w:divBdr>
                    </w:div>
                  </w:divsChild>
                </w:div>
                <w:div w:id="1377319191">
                  <w:marLeft w:val="0"/>
                  <w:marRight w:val="0"/>
                  <w:marTop w:val="0"/>
                  <w:marBottom w:val="0"/>
                  <w:divBdr>
                    <w:top w:val="none" w:sz="0" w:space="0" w:color="auto"/>
                    <w:left w:val="none" w:sz="0" w:space="0" w:color="auto"/>
                    <w:bottom w:val="none" w:sz="0" w:space="0" w:color="auto"/>
                    <w:right w:val="none" w:sz="0" w:space="0" w:color="auto"/>
                  </w:divBdr>
                  <w:divsChild>
                    <w:div w:id="1410421461">
                      <w:marLeft w:val="0"/>
                      <w:marRight w:val="0"/>
                      <w:marTop w:val="0"/>
                      <w:marBottom w:val="0"/>
                      <w:divBdr>
                        <w:top w:val="none" w:sz="0" w:space="0" w:color="auto"/>
                        <w:left w:val="none" w:sz="0" w:space="0" w:color="auto"/>
                        <w:bottom w:val="none" w:sz="0" w:space="0" w:color="auto"/>
                        <w:right w:val="none" w:sz="0" w:space="0" w:color="auto"/>
                      </w:divBdr>
                    </w:div>
                  </w:divsChild>
                </w:div>
                <w:div w:id="1380470974">
                  <w:marLeft w:val="0"/>
                  <w:marRight w:val="0"/>
                  <w:marTop w:val="0"/>
                  <w:marBottom w:val="0"/>
                  <w:divBdr>
                    <w:top w:val="none" w:sz="0" w:space="0" w:color="auto"/>
                    <w:left w:val="none" w:sz="0" w:space="0" w:color="auto"/>
                    <w:bottom w:val="none" w:sz="0" w:space="0" w:color="auto"/>
                    <w:right w:val="none" w:sz="0" w:space="0" w:color="auto"/>
                  </w:divBdr>
                  <w:divsChild>
                    <w:div w:id="686443384">
                      <w:marLeft w:val="0"/>
                      <w:marRight w:val="0"/>
                      <w:marTop w:val="0"/>
                      <w:marBottom w:val="0"/>
                      <w:divBdr>
                        <w:top w:val="none" w:sz="0" w:space="0" w:color="auto"/>
                        <w:left w:val="none" w:sz="0" w:space="0" w:color="auto"/>
                        <w:bottom w:val="none" w:sz="0" w:space="0" w:color="auto"/>
                        <w:right w:val="none" w:sz="0" w:space="0" w:color="auto"/>
                      </w:divBdr>
                    </w:div>
                  </w:divsChild>
                </w:div>
                <w:div w:id="1417361053">
                  <w:marLeft w:val="0"/>
                  <w:marRight w:val="0"/>
                  <w:marTop w:val="0"/>
                  <w:marBottom w:val="0"/>
                  <w:divBdr>
                    <w:top w:val="none" w:sz="0" w:space="0" w:color="auto"/>
                    <w:left w:val="none" w:sz="0" w:space="0" w:color="auto"/>
                    <w:bottom w:val="none" w:sz="0" w:space="0" w:color="auto"/>
                    <w:right w:val="none" w:sz="0" w:space="0" w:color="auto"/>
                  </w:divBdr>
                  <w:divsChild>
                    <w:div w:id="1214006189">
                      <w:marLeft w:val="0"/>
                      <w:marRight w:val="0"/>
                      <w:marTop w:val="0"/>
                      <w:marBottom w:val="0"/>
                      <w:divBdr>
                        <w:top w:val="none" w:sz="0" w:space="0" w:color="auto"/>
                        <w:left w:val="none" w:sz="0" w:space="0" w:color="auto"/>
                        <w:bottom w:val="none" w:sz="0" w:space="0" w:color="auto"/>
                        <w:right w:val="none" w:sz="0" w:space="0" w:color="auto"/>
                      </w:divBdr>
                    </w:div>
                  </w:divsChild>
                </w:div>
                <w:div w:id="1472286174">
                  <w:marLeft w:val="0"/>
                  <w:marRight w:val="0"/>
                  <w:marTop w:val="0"/>
                  <w:marBottom w:val="0"/>
                  <w:divBdr>
                    <w:top w:val="none" w:sz="0" w:space="0" w:color="auto"/>
                    <w:left w:val="none" w:sz="0" w:space="0" w:color="auto"/>
                    <w:bottom w:val="none" w:sz="0" w:space="0" w:color="auto"/>
                    <w:right w:val="none" w:sz="0" w:space="0" w:color="auto"/>
                  </w:divBdr>
                  <w:divsChild>
                    <w:div w:id="658339390">
                      <w:marLeft w:val="0"/>
                      <w:marRight w:val="0"/>
                      <w:marTop w:val="0"/>
                      <w:marBottom w:val="0"/>
                      <w:divBdr>
                        <w:top w:val="none" w:sz="0" w:space="0" w:color="auto"/>
                        <w:left w:val="none" w:sz="0" w:space="0" w:color="auto"/>
                        <w:bottom w:val="none" w:sz="0" w:space="0" w:color="auto"/>
                        <w:right w:val="none" w:sz="0" w:space="0" w:color="auto"/>
                      </w:divBdr>
                    </w:div>
                  </w:divsChild>
                </w:div>
                <w:div w:id="1524634542">
                  <w:marLeft w:val="0"/>
                  <w:marRight w:val="0"/>
                  <w:marTop w:val="0"/>
                  <w:marBottom w:val="0"/>
                  <w:divBdr>
                    <w:top w:val="none" w:sz="0" w:space="0" w:color="auto"/>
                    <w:left w:val="none" w:sz="0" w:space="0" w:color="auto"/>
                    <w:bottom w:val="none" w:sz="0" w:space="0" w:color="auto"/>
                    <w:right w:val="none" w:sz="0" w:space="0" w:color="auto"/>
                  </w:divBdr>
                  <w:divsChild>
                    <w:div w:id="1686982727">
                      <w:marLeft w:val="0"/>
                      <w:marRight w:val="0"/>
                      <w:marTop w:val="0"/>
                      <w:marBottom w:val="0"/>
                      <w:divBdr>
                        <w:top w:val="none" w:sz="0" w:space="0" w:color="auto"/>
                        <w:left w:val="none" w:sz="0" w:space="0" w:color="auto"/>
                        <w:bottom w:val="none" w:sz="0" w:space="0" w:color="auto"/>
                        <w:right w:val="none" w:sz="0" w:space="0" w:color="auto"/>
                      </w:divBdr>
                    </w:div>
                  </w:divsChild>
                </w:div>
                <w:div w:id="1548909592">
                  <w:marLeft w:val="0"/>
                  <w:marRight w:val="0"/>
                  <w:marTop w:val="0"/>
                  <w:marBottom w:val="0"/>
                  <w:divBdr>
                    <w:top w:val="none" w:sz="0" w:space="0" w:color="auto"/>
                    <w:left w:val="none" w:sz="0" w:space="0" w:color="auto"/>
                    <w:bottom w:val="none" w:sz="0" w:space="0" w:color="auto"/>
                    <w:right w:val="none" w:sz="0" w:space="0" w:color="auto"/>
                  </w:divBdr>
                  <w:divsChild>
                    <w:div w:id="430199179">
                      <w:marLeft w:val="0"/>
                      <w:marRight w:val="0"/>
                      <w:marTop w:val="0"/>
                      <w:marBottom w:val="0"/>
                      <w:divBdr>
                        <w:top w:val="none" w:sz="0" w:space="0" w:color="auto"/>
                        <w:left w:val="none" w:sz="0" w:space="0" w:color="auto"/>
                        <w:bottom w:val="none" w:sz="0" w:space="0" w:color="auto"/>
                        <w:right w:val="none" w:sz="0" w:space="0" w:color="auto"/>
                      </w:divBdr>
                    </w:div>
                  </w:divsChild>
                </w:div>
                <w:div w:id="1561986325">
                  <w:marLeft w:val="0"/>
                  <w:marRight w:val="0"/>
                  <w:marTop w:val="0"/>
                  <w:marBottom w:val="0"/>
                  <w:divBdr>
                    <w:top w:val="none" w:sz="0" w:space="0" w:color="auto"/>
                    <w:left w:val="none" w:sz="0" w:space="0" w:color="auto"/>
                    <w:bottom w:val="none" w:sz="0" w:space="0" w:color="auto"/>
                    <w:right w:val="none" w:sz="0" w:space="0" w:color="auto"/>
                  </w:divBdr>
                  <w:divsChild>
                    <w:div w:id="1347748836">
                      <w:marLeft w:val="0"/>
                      <w:marRight w:val="0"/>
                      <w:marTop w:val="0"/>
                      <w:marBottom w:val="0"/>
                      <w:divBdr>
                        <w:top w:val="none" w:sz="0" w:space="0" w:color="auto"/>
                        <w:left w:val="none" w:sz="0" w:space="0" w:color="auto"/>
                        <w:bottom w:val="none" w:sz="0" w:space="0" w:color="auto"/>
                        <w:right w:val="none" w:sz="0" w:space="0" w:color="auto"/>
                      </w:divBdr>
                    </w:div>
                  </w:divsChild>
                </w:div>
                <w:div w:id="1568371923">
                  <w:marLeft w:val="0"/>
                  <w:marRight w:val="0"/>
                  <w:marTop w:val="0"/>
                  <w:marBottom w:val="0"/>
                  <w:divBdr>
                    <w:top w:val="none" w:sz="0" w:space="0" w:color="auto"/>
                    <w:left w:val="none" w:sz="0" w:space="0" w:color="auto"/>
                    <w:bottom w:val="none" w:sz="0" w:space="0" w:color="auto"/>
                    <w:right w:val="none" w:sz="0" w:space="0" w:color="auto"/>
                  </w:divBdr>
                  <w:divsChild>
                    <w:div w:id="318577558">
                      <w:marLeft w:val="0"/>
                      <w:marRight w:val="0"/>
                      <w:marTop w:val="0"/>
                      <w:marBottom w:val="0"/>
                      <w:divBdr>
                        <w:top w:val="none" w:sz="0" w:space="0" w:color="auto"/>
                        <w:left w:val="none" w:sz="0" w:space="0" w:color="auto"/>
                        <w:bottom w:val="none" w:sz="0" w:space="0" w:color="auto"/>
                        <w:right w:val="none" w:sz="0" w:space="0" w:color="auto"/>
                      </w:divBdr>
                    </w:div>
                  </w:divsChild>
                </w:div>
                <w:div w:id="1586105629">
                  <w:marLeft w:val="0"/>
                  <w:marRight w:val="0"/>
                  <w:marTop w:val="0"/>
                  <w:marBottom w:val="0"/>
                  <w:divBdr>
                    <w:top w:val="none" w:sz="0" w:space="0" w:color="auto"/>
                    <w:left w:val="none" w:sz="0" w:space="0" w:color="auto"/>
                    <w:bottom w:val="none" w:sz="0" w:space="0" w:color="auto"/>
                    <w:right w:val="none" w:sz="0" w:space="0" w:color="auto"/>
                  </w:divBdr>
                  <w:divsChild>
                    <w:div w:id="2004313985">
                      <w:marLeft w:val="0"/>
                      <w:marRight w:val="0"/>
                      <w:marTop w:val="0"/>
                      <w:marBottom w:val="0"/>
                      <w:divBdr>
                        <w:top w:val="none" w:sz="0" w:space="0" w:color="auto"/>
                        <w:left w:val="none" w:sz="0" w:space="0" w:color="auto"/>
                        <w:bottom w:val="none" w:sz="0" w:space="0" w:color="auto"/>
                        <w:right w:val="none" w:sz="0" w:space="0" w:color="auto"/>
                      </w:divBdr>
                    </w:div>
                  </w:divsChild>
                </w:div>
                <w:div w:id="1644656335">
                  <w:marLeft w:val="0"/>
                  <w:marRight w:val="0"/>
                  <w:marTop w:val="0"/>
                  <w:marBottom w:val="0"/>
                  <w:divBdr>
                    <w:top w:val="none" w:sz="0" w:space="0" w:color="auto"/>
                    <w:left w:val="none" w:sz="0" w:space="0" w:color="auto"/>
                    <w:bottom w:val="none" w:sz="0" w:space="0" w:color="auto"/>
                    <w:right w:val="none" w:sz="0" w:space="0" w:color="auto"/>
                  </w:divBdr>
                  <w:divsChild>
                    <w:div w:id="1318532396">
                      <w:marLeft w:val="0"/>
                      <w:marRight w:val="0"/>
                      <w:marTop w:val="0"/>
                      <w:marBottom w:val="0"/>
                      <w:divBdr>
                        <w:top w:val="none" w:sz="0" w:space="0" w:color="auto"/>
                        <w:left w:val="none" w:sz="0" w:space="0" w:color="auto"/>
                        <w:bottom w:val="none" w:sz="0" w:space="0" w:color="auto"/>
                        <w:right w:val="none" w:sz="0" w:space="0" w:color="auto"/>
                      </w:divBdr>
                    </w:div>
                  </w:divsChild>
                </w:div>
                <w:div w:id="1680737479">
                  <w:marLeft w:val="0"/>
                  <w:marRight w:val="0"/>
                  <w:marTop w:val="0"/>
                  <w:marBottom w:val="0"/>
                  <w:divBdr>
                    <w:top w:val="none" w:sz="0" w:space="0" w:color="auto"/>
                    <w:left w:val="none" w:sz="0" w:space="0" w:color="auto"/>
                    <w:bottom w:val="none" w:sz="0" w:space="0" w:color="auto"/>
                    <w:right w:val="none" w:sz="0" w:space="0" w:color="auto"/>
                  </w:divBdr>
                  <w:divsChild>
                    <w:div w:id="1833912411">
                      <w:marLeft w:val="0"/>
                      <w:marRight w:val="0"/>
                      <w:marTop w:val="0"/>
                      <w:marBottom w:val="0"/>
                      <w:divBdr>
                        <w:top w:val="none" w:sz="0" w:space="0" w:color="auto"/>
                        <w:left w:val="none" w:sz="0" w:space="0" w:color="auto"/>
                        <w:bottom w:val="none" w:sz="0" w:space="0" w:color="auto"/>
                        <w:right w:val="none" w:sz="0" w:space="0" w:color="auto"/>
                      </w:divBdr>
                    </w:div>
                  </w:divsChild>
                </w:div>
                <w:div w:id="1753164298">
                  <w:marLeft w:val="0"/>
                  <w:marRight w:val="0"/>
                  <w:marTop w:val="0"/>
                  <w:marBottom w:val="0"/>
                  <w:divBdr>
                    <w:top w:val="none" w:sz="0" w:space="0" w:color="auto"/>
                    <w:left w:val="none" w:sz="0" w:space="0" w:color="auto"/>
                    <w:bottom w:val="none" w:sz="0" w:space="0" w:color="auto"/>
                    <w:right w:val="none" w:sz="0" w:space="0" w:color="auto"/>
                  </w:divBdr>
                  <w:divsChild>
                    <w:div w:id="633216418">
                      <w:marLeft w:val="0"/>
                      <w:marRight w:val="0"/>
                      <w:marTop w:val="0"/>
                      <w:marBottom w:val="0"/>
                      <w:divBdr>
                        <w:top w:val="none" w:sz="0" w:space="0" w:color="auto"/>
                        <w:left w:val="none" w:sz="0" w:space="0" w:color="auto"/>
                        <w:bottom w:val="none" w:sz="0" w:space="0" w:color="auto"/>
                        <w:right w:val="none" w:sz="0" w:space="0" w:color="auto"/>
                      </w:divBdr>
                    </w:div>
                  </w:divsChild>
                </w:div>
                <w:div w:id="1761834624">
                  <w:marLeft w:val="0"/>
                  <w:marRight w:val="0"/>
                  <w:marTop w:val="0"/>
                  <w:marBottom w:val="0"/>
                  <w:divBdr>
                    <w:top w:val="none" w:sz="0" w:space="0" w:color="auto"/>
                    <w:left w:val="none" w:sz="0" w:space="0" w:color="auto"/>
                    <w:bottom w:val="none" w:sz="0" w:space="0" w:color="auto"/>
                    <w:right w:val="none" w:sz="0" w:space="0" w:color="auto"/>
                  </w:divBdr>
                  <w:divsChild>
                    <w:div w:id="1648705653">
                      <w:marLeft w:val="0"/>
                      <w:marRight w:val="0"/>
                      <w:marTop w:val="0"/>
                      <w:marBottom w:val="0"/>
                      <w:divBdr>
                        <w:top w:val="none" w:sz="0" w:space="0" w:color="auto"/>
                        <w:left w:val="none" w:sz="0" w:space="0" w:color="auto"/>
                        <w:bottom w:val="none" w:sz="0" w:space="0" w:color="auto"/>
                        <w:right w:val="none" w:sz="0" w:space="0" w:color="auto"/>
                      </w:divBdr>
                    </w:div>
                  </w:divsChild>
                </w:div>
                <w:div w:id="1832675895">
                  <w:marLeft w:val="0"/>
                  <w:marRight w:val="0"/>
                  <w:marTop w:val="0"/>
                  <w:marBottom w:val="0"/>
                  <w:divBdr>
                    <w:top w:val="none" w:sz="0" w:space="0" w:color="auto"/>
                    <w:left w:val="none" w:sz="0" w:space="0" w:color="auto"/>
                    <w:bottom w:val="none" w:sz="0" w:space="0" w:color="auto"/>
                    <w:right w:val="none" w:sz="0" w:space="0" w:color="auto"/>
                  </w:divBdr>
                  <w:divsChild>
                    <w:div w:id="1985812074">
                      <w:marLeft w:val="0"/>
                      <w:marRight w:val="0"/>
                      <w:marTop w:val="0"/>
                      <w:marBottom w:val="0"/>
                      <w:divBdr>
                        <w:top w:val="none" w:sz="0" w:space="0" w:color="auto"/>
                        <w:left w:val="none" w:sz="0" w:space="0" w:color="auto"/>
                        <w:bottom w:val="none" w:sz="0" w:space="0" w:color="auto"/>
                        <w:right w:val="none" w:sz="0" w:space="0" w:color="auto"/>
                      </w:divBdr>
                    </w:div>
                  </w:divsChild>
                </w:div>
                <w:div w:id="1890147348">
                  <w:marLeft w:val="0"/>
                  <w:marRight w:val="0"/>
                  <w:marTop w:val="0"/>
                  <w:marBottom w:val="0"/>
                  <w:divBdr>
                    <w:top w:val="none" w:sz="0" w:space="0" w:color="auto"/>
                    <w:left w:val="none" w:sz="0" w:space="0" w:color="auto"/>
                    <w:bottom w:val="none" w:sz="0" w:space="0" w:color="auto"/>
                    <w:right w:val="none" w:sz="0" w:space="0" w:color="auto"/>
                  </w:divBdr>
                  <w:divsChild>
                    <w:div w:id="775446307">
                      <w:marLeft w:val="0"/>
                      <w:marRight w:val="0"/>
                      <w:marTop w:val="0"/>
                      <w:marBottom w:val="0"/>
                      <w:divBdr>
                        <w:top w:val="none" w:sz="0" w:space="0" w:color="auto"/>
                        <w:left w:val="none" w:sz="0" w:space="0" w:color="auto"/>
                        <w:bottom w:val="none" w:sz="0" w:space="0" w:color="auto"/>
                        <w:right w:val="none" w:sz="0" w:space="0" w:color="auto"/>
                      </w:divBdr>
                    </w:div>
                  </w:divsChild>
                </w:div>
                <w:div w:id="1964847863">
                  <w:marLeft w:val="0"/>
                  <w:marRight w:val="0"/>
                  <w:marTop w:val="0"/>
                  <w:marBottom w:val="0"/>
                  <w:divBdr>
                    <w:top w:val="none" w:sz="0" w:space="0" w:color="auto"/>
                    <w:left w:val="none" w:sz="0" w:space="0" w:color="auto"/>
                    <w:bottom w:val="none" w:sz="0" w:space="0" w:color="auto"/>
                    <w:right w:val="none" w:sz="0" w:space="0" w:color="auto"/>
                  </w:divBdr>
                  <w:divsChild>
                    <w:div w:id="220605740">
                      <w:marLeft w:val="0"/>
                      <w:marRight w:val="0"/>
                      <w:marTop w:val="0"/>
                      <w:marBottom w:val="0"/>
                      <w:divBdr>
                        <w:top w:val="none" w:sz="0" w:space="0" w:color="auto"/>
                        <w:left w:val="none" w:sz="0" w:space="0" w:color="auto"/>
                        <w:bottom w:val="none" w:sz="0" w:space="0" w:color="auto"/>
                        <w:right w:val="none" w:sz="0" w:space="0" w:color="auto"/>
                      </w:divBdr>
                    </w:div>
                  </w:divsChild>
                </w:div>
                <w:div w:id="1998800989">
                  <w:marLeft w:val="0"/>
                  <w:marRight w:val="0"/>
                  <w:marTop w:val="0"/>
                  <w:marBottom w:val="0"/>
                  <w:divBdr>
                    <w:top w:val="none" w:sz="0" w:space="0" w:color="auto"/>
                    <w:left w:val="none" w:sz="0" w:space="0" w:color="auto"/>
                    <w:bottom w:val="none" w:sz="0" w:space="0" w:color="auto"/>
                    <w:right w:val="none" w:sz="0" w:space="0" w:color="auto"/>
                  </w:divBdr>
                  <w:divsChild>
                    <w:div w:id="901716930">
                      <w:marLeft w:val="0"/>
                      <w:marRight w:val="0"/>
                      <w:marTop w:val="0"/>
                      <w:marBottom w:val="0"/>
                      <w:divBdr>
                        <w:top w:val="none" w:sz="0" w:space="0" w:color="auto"/>
                        <w:left w:val="none" w:sz="0" w:space="0" w:color="auto"/>
                        <w:bottom w:val="none" w:sz="0" w:space="0" w:color="auto"/>
                        <w:right w:val="none" w:sz="0" w:space="0" w:color="auto"/>
                      </w:divBdr>
                    </w:div>
                  </w:divsChild>
                </w:div>
                <w:div w:id="2094812314">
                  <w:marLeft w:val="0"/>
                  <w:marRight w:val="0"/>
                  <w:marTop w:val="0"/>
                  <w:marBottom w:val="0"/>
                  <w:divBdr>
                    <w:top w:val="none" w:sz="0" w:space="0" w:color="auto"/>
                    <w:left w:val="none" w:sz="0" w:space="0" w:color="auto"/>
                    <w:bottom w:val="none" w:sz="0" w:space="0" w:color="auto"/>
                    <w:right w:val="none" w:sz="0" w:space="0" w:color="auto"/>
                  </w:divBdr>
                  <w:divsChild>
                    <w:div w:id="1113015334">
                      <w:marLeft w:val="0"/>
                      <w:marRight w:val="0"/>
                      <w:marTop w:val="0"/>
                      <w:marBottom w:val="0"/>
                      <w:divBdr>
                        <w:top w:val="none" w:sz="0" w:space="0" w:color="auto"/>
                        <w:left w:val="none" w:sz="0" w:space="0" w:color="auto"/>
                        <w:bottom w:val="none" w:sz="0" w:space="0" w:color="auto"/>
                        <w:right w:val="none" w:sz="0" w:space="0" w:color="auto"/>
                      </w:divBdr>
                    </w:div>
                  </w:divsChild>
                </w:div>
                <w:div w:id="2111507361">
                  <w:marLeft w:val="0"/>
                  <w:marRight w:val="0"/>
                  <w:marTop w:val="0"/>
                  <w:marBottom w:val="0"/>
                  <w:divBdr>
                    <w:top w:val="none" w:sz="0" w:space="0" w:color="auto"/>
                    <w:left w:val="none" w:sz="0" w:space="0" w:color="auto"/>
                    <w:bottom w:val="none" w:sz="0" w:space="0" w:color="auto"/>
                    <w:right w:val="none" w:sz="0" w:space="0" w:color="auto"/>
                  </w:divBdr>
                  <w:divsChild>
                    <w:div w:id="1796634469">
                      <w:marLeft w:val="0"/>
                      <w:marRight w:val="0"/>
                      <w:marTop w:val="0"/>
                      <w:marBottom w:val="0"/>
                      <w:divBdr>
                        <w:top w:val="none" w:sz="0" w:space="0" w:color="auto"/>
                        <w:left w:val="none" w:sz="0" w:space="0" w:color="auto"/>
                        <w:bottom w:val="none" w:sz="0" w:space="0" w:color="auto"/>
                        <w:right w:val="none" w:sz="0" w:space="0" w:color="auto"/>
                      </w:divBdr>
                    </w:div>
                  </w:divsChild>
                </w:div>
                <w:div w:id="2146315548">
                  <w:marLeft w:val="0"/>
                  <w:marRight w:val="0"/>
                  <w:marTop w:val="0"/>
                  <w:marBottom w:val="0"/>
                  <w:divBdr>
                    <w:top w:val="none" w:sz="0" w:space="0" w:color="auto"/>
                    <w:left w:val="none" w:sz="0" w:space="0" w:color="auto"/>
                    <w:bottom w:val="none" w:sz="0" w:space="0" w:color="auto"/>
                    <w:right w:val="none" w:sz="0" w:space="0" w:color="auto"/>
                  </w:divBdr>
                  <w:divsChild>
                    <w:div w:id="7278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6975">
          <w:marLeft w:val="0"/>
          <w:marRight w:val="0"/>
          <w:marTop w:val="0"/>
          <w:marBottom w:val="0"/>
          <w:divBdr>
            <w:top w:val="none" w:sz="0" w:space="0" w:color="auto"/>
            <w:left w:val="none" w:sz="0" w:space="0" w:color="auto"/>
            <w:bottom w:val="none" w:sz="0" w:space="0" w:color="auto"/>
            <w:right w:val="none" w:sz="0" w:space="0" w:color="auto"/>
          </w:divBdr>
        </w:div>
        <w:div w:id="798839466">
          <w:marLeft w:val="0"/>
          <w:marRight w:val="0"/>
          <w:marTop w:val="0"/>
          <w:marBottom w:val="0"/>
          <w:divBdr>
            <w:top w:val="none" w:sz="0" w:space="0" w:color="auto"/>
            <w:left w:val="none" w:sz="0" w:space="0" w:color="auto"/>
            <w:bottom w:val="none" w:sz="0" w:space="0" w:color="auto"/>
            <w:right w:val="none" w:sz="0" w:space="0" w:color="auto"/>
          </w:divBdr>
        </w:div>
        <w:div w:id="858855536">
          <w:marLeft w:val="0"/>
          <w:marRight w:val="0"/>
          <w:marTop w:val="0"/>
          <w:marBottom w:val="0"/>
          <w:divBdr>
            <w:top w:val="none" w:sz="0" w:space="0" w:color="auto"/>
            <w:left w:val="none" w:sz="0" w:space="0" w:color="auto"/>
            <w:bottom w:val="none" w:sz="0" w:space="0" w:color="auto"/>
            <w:right w:val="none" w:sz="0" w:space="0" w:color="auto"/>
          </w:divBdr>
        </w:div>
        <w:div w:id="906499190">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329940479">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 w:id="1615558993">
              <w:marLeft w:val="0"/>
              <w:marRight w:val="0"/>
              <w:marTop w:val="0"/>
              <w:marBottom w:val="0"/>
              <w:divBdr>
                <w:top w:val="none" w:sz="0" w:space="0" w:color="auto"/>
                <w:left w:val="none" w:sz="0" w:space="0" w:color="auto"/>
                <w:bottom w:val="none" w:sz="0" w:space="0" w:color="auto"/>
                <w:right w:val="none" w:sz="0" w:space="0" w:color="auto"/>
              </w:divBdr>
            </w:div>
          </w:divsChild>
        </w:div>
        <w:div w:id="948514602">
          <w:marLeft w:val="0"/>
          <w:marRight w:val="0"/>
          <w:marTop w:val="0"/>
          <w:marBottom w:val="0"/>
          <w:divBdr>
            <w:top w:val="none" w:sz="0" w:space="0" w:color="auto"/>
            <w:left w:val="none" w:sz="0" w:space="0" w:color="auto"/>
            <w:bottom w:val="none" w:sz="0" w:space="0" w:color="auto"/>
            <w:right w:val="none" w:sz="0" w:space="0" w:color="auto"/>
          </w:divBdr>
        </w:div>
        <w:div w:id="993950687">
          <w:marLeft w:val="0"/>
          <w:marRight w:val="0"/>
          <w:marTop w:val="0"/>
          <w:marBottom w:val="0"/>
          <w:divBdr>
            <w:top w:val="none" w:sz="0" w:space="0" w:color="auto"/>
            <w:left w:val="none" w:sz="0" w:space="0" w:color="auto"/>
            <w:bottom w:val="none" w:sz="0" w:space="0" w:color="auto"/>
            <w:right w:val="none" w:sz="0" w:space="0" w:color="auto"/>
          </w:divBdr>
        </w:div>
        <w:div w:id="1004667027">
          <w:marLeft w:val="0"/>
          <w:marRight w:val="0"/>
          <w:marTop w:val="0"/>
          <w:marBottom w:val="0"/>
          <w:divBdr>
            <w:top w:val="none" w:sz="0" w:space="0" w:color="auto"/>
            <w:left w:val="none" w:sz="0" w:space="0" w:color="auto"/>
            <w:bottom w:val="none" w:sz="0" w:space="0" w:color="auto"/>
            <w:right w:val="none" w:sz="0" w:space="0" w:color="auto"/>
          </w:divBdr>
        </w:div>
        <w:div w:id="1009141375">
          <w:marLeft w:val="0"/>
          <w:marRight w:val="0"/>
          <w:marTop w:val="0"/>
          <w:marBottom w:val="0"/>
          <w:divBdr>
            <w:top w:val="none" w:sz="0" w:space="0" w:color="auto"/>
            <w:left w:val="none" w:sz="0" w:space="0" w:color="auto"/>
            <w:bottom w:val="none" w:sz="0" w:space="0" w:color="auto"/>
            <w:right w:val="none" w:sz="0" w:space="0" w:color="auto"/>
          </w:divBdr>
        </w:div>
        <w:div w:id="1012954213">
          <w:marLeft w:val="0"/>
          <w:marRight w:val="0"/>
          <w:marTop w:val="0"/>
          <w:marBottom w:val="0"/>
          <w:divBdr>
            <w:top w:val="none" w:sz="0" w:space="0" w:color="auto"/>
            <w:left w:val="none" w:sz="0" w:space="0" w:color="auto"/>
            <w:bottom w:val="none" w:sz="0" w:space="0" w:color="auto"/>
            <w:right w:val="none" w:sz="0" w:space="0" w:color="auto"/>
          </w:divBdr>
        </w:div>
        <w:div w:id="1031225308">
          <w:marLeft w:val="0"/>
          <w:marRight w:val="0"/>
          <w:marTop w:val="0"/>
          <w:marBottom w:val="0"/>
          <w:divBdr>
            <w:top w:val="none" w:sz="0" w:space="0" w:color="auto"/>
            <w:left w:val="none" w:sz="0" w:space="0" w:color="auto"/>
            <w:bottom w:val="none" w:sz="0" w:space="0" w:color="auto"/>
            <w:right w:val="none" w:sz="0" w:space="0" w:color="auto"/>
          </w:divBdr>
          <w:divsChild>
            <w:div w:id="611788215">
              <w:marLeft w:val="0"/>
              <w:marRight w:val="0"/>
              <w:marTop w:val="0"/>
              <w:marBottom w:val="0"/>
              <w:divBdr>
                <w:top w:val="none" w:sz="0" w:space="0" w:color="auto"/>
                <w:left w:val="none" w:sz="0" w:space="0" w:color="auto"/>
                <w:bottom w:val="none" w:sz="0" w:space="0" w:color="auto"/>
                <w:right w:val="none" w:sz="0" w:space="0" w:color="auto"/>
              </w:divBdr>
            </w:div>
            <w:div w:id="974677177">
              <w:marLeft w:val="0"/>
              <w:marRight w:val="0"/>
              <w:marTop w:val="0"/>
              <w:marBottom w:val="0"/>
              <w:divBdr>
                <w:top w:val="none" w:sz="0" w:space="0" w:color="auto"/>
                <w:left w:val="none" w:sz="0" w:space="0" w:color="auto"/>
                <w:bottom w:val="none" w:sz="0" w:space="0" w:color="auto"/>
                <w:right w:val="none" w:sz="0" w:space="0" w:color="auto"/>
              </w:divBdr>
            </w:div>
            <w:div w:id="1141459421">
              <w:marLeft w:val="0"/>
              <w:marRight w:val="0"/>
              <w:marTop w:val="0"/>
              <w:marBottom w:val="0"/>
              <w:divBdr>
                <w:top w:val="none" w:sz="0" w:space="0" w:color="auto"/>
                <w:left w:val="none" w:sz="0" w:space="0" w:color="auto"/>
                <w:bottom w:val="none" w:sz="0" w:space="0" w:color="auto"/>
                <w:right w:val="none" w:sz="0" w:space="0" w:color="auto"/>
              </w:divBdr>
            </w:div>
            <w:div w:id="1519200397">
              <w:marLeft w:val="0"/>
              <w:marRight w:val="0"/>
              <w:marTop w:val="0"/>
              <w:marBottom w:val="0"/>
              <w:divBdr>
                <w:top w:val="none" w:sz="0" w:space="0" w:color="auto"/>
                <w:left w:val="none" w:sz="0" w:space="0" w:color="auto"/>
                <w:bottom w:val="none" w:sz="0" w:space="0" w:color="auto"/>
                <w:right w:val="none" w:sz="0" w:space="0" w:color="auto"/>
              </w:divBdr>
            </w:div>
            <w:div w:id="1800493988">
              <w:marLeft w:val="0"/>
              <w:marRight w:val="0"/>
              <w:marTop w:val="0"/>
              <w:marBottom w:val="0"/>
              <w:divBdr>
                <w:top w:val="none" w:sz="0" w:space="0" w:color="auto"/>
                <w:left w:val="none" w:sz="0" w:space="0" w:color="auto"/>
                <w:bottom w:val="none" w:sz="0" w:space="0" w:color="auto"/>
                <w:right w:val="none" w:sz="0" w:space="0" w:color="auto"/>
              </w:divBdr>
            </w:div>
          </w:divsChild>
        </w:div>
        <w:div w:id="1067335330">
          <w:marLeft w:val="0"/>
          <w:marRight w:val="0"/>
          <w:marTop w:val="0"/>
          <w:marBottom w:val="0"/>
          <w:divBdr>
            <w:top w:val="none" w:sz="0" w:space="0" w:color="auto"/>
            <w:left w:val="none" w:sz="0" w:space="0" w:color="auto"/>
            <w:bottom w:val="none" w:sz="0" w:space="0" w:color="auto"/>
            <w:right w:val="none" w:sz="0" w:space="0" w:color="auto"/>
          </w:divBdr>
        </w:div>
        <w:div w:id="1092631379">
          <w:marLeft w:val="0"/>
          <w:marRight w:val="0"/>
          <w:marTop w:val="0"/>
          <w:marBottom w:val="0"/>
          <w:divBdr>
            <w:top w:val="none" w:sz="0" w:space="0" w:color="auto"/>
            <w:left w:val="none" w:sz="0" w:space="0" w:color="auto"/>
            <w:bottom w:val="none" w:sz="0" w:space="0" w:color="auto"/>
            <w:right w:val="none" w:sz="0" w:space="0" w:color="auto"/>
          </w:divBdr>
        </w:div>
        <w:div w:id="1116683197">
          <w:marLeft w:val="0"/>
          <w:marRight w:val="0"/>
          <w:marTop w:val="0"/>
          <w:marBottom w:val="0"/>
          <w:divBdr>
            <w:top w:val="none" w:sz="0" w:space="0" w:color="auto"/>
            <w:left w:val="none" w:sz="0" w:space="0" w:color="auto"/>
            <w:bottom w:val="none" w:sz="0" w:space="0" w:color="auto"/>
            <w:right w:val="none" w:sz="0" w:space="0" w:color="auto"/>
          </w:divBdr>
          <w:divsChild>
            <w:div w:id="1442723635">
              <w:marLeft w:val="-75"/>
              <w:marRight w:val="0"/>
              <w:marTop w:val="30"/>
              <w:marBottom w:val="30"/>
              <w:divBdr>
                <w:top w:val="none" w:sz="0" w:space="0" w:color="auto"/>
                <w:left w:val="none" w:sz="0" w:space="0" w:color="auto"/>
                <w:bottom w:val="none" w:sz="0" w:space="0" w:color="auto"/>
                <w:right w:val="none" w:sz="0" w:space="0" w:color="auto"/>
              </w:divBdr>
              <w:divsChild>
                <w:div w:id="68042051">
                  <w:marLeft w:val="0"/>
                  <w:marRight w:val="0"/>
                  <w:marTop w:val="0"/>
                  <w:marBottom w:val="0"/>
                  <w:divBdr>
                    <w:top w:val="none" w:sz="0" w:space="0" w:color="auto"/>
                    <w:left w:val="none" w:sz="0" w:space="0" w:color="auto"/>
                    <w:bottom w:val="none" w:sz="0" w:space="0" w:color="auto"/>
                    <w:right w:val="none" w:sz="0" w:space="0" w:color="auto"/>
                  </w:divBdr>
                  <w:divsChild>
                    <w:div w:id="926042064">
                      <w:marLeft w:val="0"/>
                      <w:marRight w:val="0"/>
                      <w:marTop w:val="0"/>
                      <w:marBottom w:val="0"/>
                      <w:divBdr>
                        <w:top w:val="none" w:sz="0" w:space="0" w:color="auto"/>
                        <w:left w:val="none" w:sz="0" w:space="0" w:color="auto"/>
                        <w:bottom w:val="none" w:sz="0" w:space="0" w:color="auto"/>
                        <w:right w:val="none" w:sz="0" w:space="0" w:color="auto"/>
                      </w:divBdr>
                    </w:div>
                  </w:divsChild>
                </w:div>
                <w:div w:id="70591959">
                  <w:marLeft w:val="0"/>
                  <w:marRight w:val="0"/>
                  <w:marTop w:val="0"/>
                  <w:marBottom w:val="0"/>
                  <w:divBdr>
                    <w:top w:val="none" w:sz="0" w:space="0" w:color="auto"/>
                    <w:left w:val="none" w:sz="0" w:space="0" w:color="auto"/>
                    <w:bottom w:val="none" w:sz="0" w:space="0" w:color="auto"/>
                    <w:right w:val="none" w:sz="0" w:space="0" w:color="auto"/>
                  </w:divBdr>
                  <w:divsChild>
                    <w:div w:id="1729262210">
                      <w:marLeft w:val="0"/>
                      <w:marRight w:val="0"/>
                      <w:marTop w:val="0"/>
                      <w:marBottom w:val="0"/>
                      <w:divBdr>
                        <w:top w:val="none" w:sz="0" w:space="0" w:color="auto"/>
                        <w:left w:val="none" w:sz="0" w:space="0" w:color="auto"/>
                        <w:bottom w:val="none" w:sz="0" w:space="0" w:color="auto"/>
                        <w:right w:val="none" w:sz="0" w:space="0" w:color="auto"/>
                      </w:divBdr>
                    </w:div>
                  </w:divsChild>
                </w:div>
                <w:div w:id="169561155">
                  <w:marLeft w:val="0"/>
                  <w:marRight w:val="0"/>
                  <w:marTop w:val="0"/>
                  <w:marBottom w:val="0"/>
                  <w:divBdr>
                    <w:top w:val="none" w:sz="0" w:space="0" w:color="auto"/>
                    <w:left w:val="none" w:sz="0" w:space="0" w:color="auto"/>
                    <w:bottom w:val="none" w:sz="0" w:space="0" w:color="auto"/>
                    <w:right w:val="none" w:sz="0" w:space="0" w:color="auto"/>
                  </w:divBdr>
                  <w:divsChild>
                    <w:div w:id="1368486183">
                      <w:marLeft w:val="0"/>
                      <w:marRight w:val="0"/>
                      <w:marTop w:val="0"/>
                      <w:marBottom w:val="0"/>
                      <w:divBdr>
                        <w:top w:val="none" w:sz="0" w:space="0" w:color="auto"/>
                        <w:left w:val="none" w:sz="0" w:space="0" w:color="auto"/>
                        <w:bottom w:val="none" w:sz="0" w:space="0" w:color="auto"/>
                        <w:right w:val="none" w:sz="0" w:space="0" w:color="auto"/>
                      </w:divBdr>
                    </w:div>
                  </w:divsChild>
                </w:div>
                <w:div w:id="171141074">
                  <w:marLeft w:val="0"/>
                  <w:marRight w:val="0"/>
                  <w:marTop w:val="0"/>
                  <w:marBottom w:val="0"/>
                  <w:divBdr>
                    <w:top w:val="none" w:sz="0" w:space="0" w:color="auto"/>
                    <w:left w:val="none" w:sz="0" w:space="0" w:color="auto"/>
                    <w:bottom w:val="none" w:sz="0" w:space="0" w:color="auto"/>
                    <w:right w:val="none" w:sz="0" w:space="0" w:color="auto"/>
                  </w:divBdr>
                  <w:divsChild>
                    <w:div w:id="1865092000">
                      <w:marLeft w:val="0"/>
                      <w:marRight w:val="0"/>
                      <w:marTop w:val="0"/>
                      <w:marBottom w:val="0"/>
                      <w:divBdr>
                        <w:top w:val="none" w:sz="0" w:space="0" w:color="auto"/>
                        <w:left w:val="none" w:sz="0" w:space="0" w:color="auto"/>
                        <w:bottom w:val="none" w:sz="0" w:space="0" w:color="auto"/>
                        <w:right w:val="none" w:sz="0" w:space="0" w:color="auto"/>
                      </w:divBdr>
                    </w:div>
                  </w:divsChild>
                </w:div>
                <w:div w:id="296842499">
                  <w:marLeft w:val="0"/>
                  <w:marRight w:val="0"/>
                  <w:marTop w:val="0"/>
                  <w:marBottom w:val="0"/>
                  <w:divBdr>
                    <w:top w:val="none" w:sz="0" w:space="0" w:color="auto"/>
                    <w:left w:val="none" w:sz="0" w:space="0" w:color="auto"/>
                    <w:bottom w:val="none" w:sz="0" w:space="0" w:color="auto"/>
                    <w:right w:val="none" w:sz="0" w:space="0" w:color="auto"/>
                  </w:divBdr>
                  <w:divsChild>
                    <w:div w:id="974067280">
                      <w:marLeft w:val="0"/>
                      <w:marRight w:val="0"/>
                      <w:marTop w:val="0"/>
                      <w:marBottom w:val="0"/>
                      <w:divBdr>
                        <w:top w:val="none" w:sz="0" w:space="0" w:color="auto"/>
                        <w:left w:val="none" w:sz="0" w:space="0" w:color="auto"/>
                        <w:bottom w:val="none" w:sz="0" w:space="0" w:color="auto"/>
                        <w:right w:val="none" w:sz="0" w:space="0" w:color="auto"/>
                      </w:divBdr>
                    </w:div>
                  </w:divsChild>
                </w:div>
                <w:div w:id="536163749">
                  <w:marLeft w:val="0"/>
                  <w:marRight w:val="0"/>
                  <w:marTop w:val="0"/>
                  <w:marBottom w:val="0"/>
                  <w:divBdr>
                    <w:top w:val="none" w:sz="0" w:space="0" w:color="auto"/>
                    <w:left w:val="none" w:sz="0" w:space="0" w:color="auto"/>
                    <w:bottom w:val="none" w:sz="0" w:space="0" w:color="auto"/>
                    <w:right w:val="none" w:sz="0" w:space="0" w:color="auto"/>
                  </w:divBdr>
                  <w:divsChild>
                    <w:div w:id="1911426220">
                      <w:marLeft w:val="0"/>
                      <w:marRight w:val="0"/>
                      <w:marTop w:val="0"/>
                      <w:marBottom w:val="0"/>
                      <w:divBdr>
                        <w:top w:val="none" w:sz="0" w:space="0" w:color="auto"/>
                        <w:left w:val="none" w:sz="0" w:space="0" w:color="auto"/>
                        <w:bottom w:val="none" w:sz="0" w:space="0" w:color="auto"/>
                        <w:right w:val="none" w:sz="0" w:space="0" w:color="auto"/>
                      </w:divBdr>
                    </w:div>
                  </w:divsChild>
                </w:div>
                <w:div w:id="540095615">
                  <w:marLeft w:val="0"/>
                  <w:marRight w:val="0"/>
                  <w:marTop w:val="0"/>
                  <w:marBottom w:val="0"/>
                  <w:divBdr>
                    <w:top w:val="none" w:sz="0" w:space="0" w:color="auto"/>
                    <w:left w:val="none" w:sz="0" w:space="0" w:color="auto"/>
                    <w:bottom w:val="none" w:sz="0" w:space="0" w:color="auto"/>
                    <w:right w:val="none" w:sz="0" w:space="0" w:color="auto"/>
                  </w:divBdr>
                  <w:divsChild>
                    <w:div w:id="1454901963">
                      <w:marLeft w:val="0"/>
                      <w:marRight w:val="0"/>
                      <w:marTop w:val="0"/>
                      <w:marBottom w:val="0"/>
                      <w:divBdr>
                        <w:top w:val="none" w:sz="0" w:space="0" w:color="auto"/>
                        <w:left w:val="none" w:sz="0" w:space="0" w:color="auto"/>
                        <w:bottom w:val="none" w:sz="0" w:space="0" w:color="auto"/>
                        <w:right w:val="none" w:sz="0" w:space="0" w:color="auto"/>
                      </w:divBdr>
                    </w:div>
                  </w:divsChild>
                </w:div>
                <w:div w:id="547957770">
                  <w:marLeft w:val="0"/>
                  <w:marRight w:val="0"/>
                  <w:marTop w:val="0"/>
                  <w:marBottom w:val="0"/>
                  <w:divBdr>
                    <w:top w:val="none" w:sz="0" w:space="0" w:color="auto"/>
                    <w:left w:val="none" w:sz="0" w:space="0" w:color="auto"/>
                    <w:bottom w:val="none" w:sz="0" w:space="0" w:color="auto"/>
                    <w:right w:val="none" w:sz="0" w:space="0" w:color="auto"/>
                  </w:divBdr>
                  <w:divsChild>
                    <w:div w:id="684021914">
                      <w:marLeft w:val="0"/>
                      <w:marRight w:val="0"/>
                      <w:marTop w:val="0"/>
                      <w:marBottom w:val="0"/>
                      <w:divBdr>
                        <w:top w:val="none" w:sz="0" w:space="0" w:color="auto"/>
                        <w:left w:val="none" w:sz="0" w:space="0" w:color="auto"/>
                        <w:bottom w:val="none" w:sz="0" w:space="0" w:color="auto"/>
                        <w:right w:val="none" w:sz="0" w:space="0" w:color="auto"/>
                      </w:divBdr>
                    </w:div>
                  </w:divsChild>
                </w:div>
                <w:div w:id="551159714">
                  <w:marLeft w:val="0"/>
                  <w:marRight w:val="0"/>
                  <w:marTop w:val="0"/>
                  <w:marBottom w:val="0"/>
                  <w:divBdr>
                    <w:top w:val="none" w:sz="0" w:space="0" w:color="auto"/>
                    <w:left w:val="none" w:sz="0" w:space="0" w:color="auto"/>
                    <w:bottom w:val="none" w:sz="0" w:space="0" w:color="auto"/>
                    <w:right w:val="none" w:sz="0" w:space="0" w:color="auto"/>
                  </w:divBdr>
                  <w:divsChild>
                    <w:div w:id="250041941">
                      <w:marLeft w:val="0"/>
                      <w:marRight w:val="0"/>
                      <w:marTop w:val="0"/>
                      <w:marBottom w:val="0"/>
                      <w:divBdr>
                        <w:top w:val="none" w:sz="0" w:space="0" w:color="auto"/>
                        <w:left w:val="none" w:sz="0" w:space="0" w:color="auto"/>
                        <w:bottom w:val="none" w:sz="0" w:space="0" w:color="auto"/>
                        <w:right w:val="none" w:sz="0" w:space="0" w:color="auto"/>
                      </w:divBdr>
                    </w:div>
                  </w:divsChild>
                </w:div>
                <w:div w:id="627199025">
                  <w:marLeft w:val="0"/>
                  <w:marRight w:val="0"/>
                  <w:marTop w:val="0"/>
                  <w:marBottom w:val="0"/>
                  <w:divBdr>
                    <w:top w:val="none" w:sz="0" w:space="0" w:color="auto"/>
                    <w:left w:val="none" w:sz="0" w:space="0" w:color="auto"/>
                    <w:bottom w:val="none" w:sz="0" w:space="0" w:color="auto"/>
                    <w:right w:val="none" w:sz="0" w:space="0" w:color="auto"/>
                  </w:divBdr>
                  <w:divsChild>
                    <w:div w:id="714159465">
                      <w:marLeft w:val="0"/>
                      <w:marRight w:val="0"/>
                      <w:marTop w:val="0"/>
                      <w:marBottom w:val="0"/>
                      <w:divBdr>
                        <w:top w:val="none" w:sz="0" w:space="0" w:color="auto"/>
                        <w:left w:val="none" w:sz="0" w:space="0" w:color="auto"/>
                        <w:bottom w:val="none" w:sz="0" w:space="0" w:color="auto"/>
                        <w:right w:val="none" w:sz="0" w:space="0" w:color="auto"/>
                      </w:divBdr>
                    </w:div>
                  </w:divsChild>
                </w:div>
                <w:div w:id="627933007">
                  <w:marLeft w:val="0"/>
                  <w:marRight w:val="0"/>
                  <w:marTop w:val="0"/>
                  <w:marBottom w:val="0"/>
                  <w:divBdr>
                    <w:top w:val="none" w:sz="0" w:space="0" w:color="auto"/>
                    <w:left w:val="none" w:sz="0" w:space="0" w:color="auto"/>
                    <w:bottom w:val="none" w:sz="0" w:space="0" w:color="auto"/>
                    <w:right w:val="none" w:sz="0" w:space="0" w:color="auto"/>
                  </w:divBdr>
                  <w:divsChild>
                    <w:div w:id="1591503216">
                      <w:marLeft w:val="0"/>
                      <w:marRight w:val="0"/>
                      <w:marTop w:val="0"/>
                      <w:marBottom w:val="0"/>
                      <w:divBdr>
                        <w:top w:val="none" w:sz="0" w:space="0" w:color="auto"/>
                        <w:left w:val="none" w:sz="0" w:space="0" w:color="auto"/>
                        <w:bottom w:val="none" w:sz="0" w:space="0" w:color="auto"/>
                        <w:right w:val="none" w:sz="0" w:space="0" w:color="auto"/>
                      </w:divBdr>
                    </w:div>
                  </w:divsChild>
                </w:div>
                <w:div w:id="840318225">
                  <w:marLeft w:val="0"/>
                  <w:marRight w:val="0"/>
                  <w:marTop w:val="0"/>
                  <w:marBottom w:val="0"/>
                  <w:divBdr>
                    <w:top w:val="none" w:sz="0" w:space="0" w:color="auto"/>
                    <w:left w:val="none" w:sz="0" w:space="0" w:color="auto"/>
                    <w:bottom w:val="none" w:sz="0" w:space="0" w:color="auto"/>
                    <w:right w:val="none" w:sz="0" w:space="0" w:color="auto"/>
                  </w:divBdr>
                  <w:divsChild>
                    <w:div w:id="1983579171">
                      <w:marLeft w:val="0"/>
                      <w:marRight w:val="0"/>
                      <w:marTop w:val="0"/>
                      <w:marBottom w:val="0"/>
                      <w:divBdr>
                        <w:top w:val="none" w:sz="0" w:space="0" w:color="auto"/>
                        <w:left w:val="none" w:sz="0" w:space="0" w:color="auto"/>
                        <w:bottom w:val="none" w:sz="0" w:space="0" w:color="auto"/>
                        <w:right w:val="none" w:sz="0" w:space="0" w:color="auto"/>
                      </w:divBdr>
                    </w:div>
                  </w:divsChild>
                </w:div>
                <w:div w:id="921714938">
                  <w:marLeft w:val="0"/>
                  <w:marRight w:val="0"/>
                  <w:marTop w:val="0"/>
                  <w:marBottom w:val="0"/>
                  <w:divBdr>
                    <w:top w:val="none" w:sz="0" w:space="0" w:color="auto"/>
                    <w:left w:val="none" w:sz="0" w:space="0" w:color="auto"/>
                    <w:bottom w:val="none" w:sz="0" w:space="0" w:color="auto"/>
                    <w:right w:val="none" w:sz="0" w:space="0" w:color="auto"/>
                  </w:divBdr>
                  <w:divsChild>
                    <w:div w:id="1488084806">
                      <w:marLeft w:val="0"/>
                      <w:marRight w:val="0"/>
                      <w:marTop w:val="0"/>
                      <w:marBottom w:val="0"/>
                      <w:divBdr>
                        <w:top w:val="none" w:sz="0" w:space="0" w:color="auto"/>
                        <w:left w:val="none" w:sz="0" w:space="0" w:color="auto"/>
                        <w:bottom w:val="none" w:sz="0" w:space="0" w:color="auto"/>
                        <w:right w:val="none" w:sz="0" w:space="0" w:color="auto"/>
                      </w:divBdr>
                    </w:div>
                  </w:divsChild>
                </w:div>
                <w:div w:id="951715043">
                  <w:marLeft w:val="0"/>
                  <w:marRight w:val="0"/>
                  <w:marTop w:val="0"/>
                  <w:marBottom w:val="0"/>
                  <w:divBdr>
                    <w:top w:val="none" w:sz="0" w:space="0" w:color="auto"/>
                    <w:left w:val="none" w:sz="0" w:space="0" w:color="auto"/>
                    <w:bottom w:val="none" w:sz="0" w:space="0" w:color="auto"/>
                    <w:right w:val="none" w:sz="0" w:space="0" w:color="auto"/>
                  </w:divBdr>
                  <w:divsChild>
                    <w:div w:id="1249731035">
                      <w:marLeft w:val="0"/>
                      <w:marRight w:val="0"/>
                      <w:marTop w:val="0"/>
                      <w:marBottom w:val="0"/>
                      <w:divBdr>
                        <w:top w:val="none" w:sz="0" w:space="0" w:color="auto"/>
                        <w:left w:val="none" w:sz="0" w:space="0" w:color="auto"/>
                        <w:bottom w:val="none" w:sz="0" w:space="0" w:color="auto"/>
                        <w:right w:val="none" w:sz="0" w:space="0" w:color="auto"/>
                      </w:divBdr>
                    </w:div>
                  </w:divsChild>
                </w:div>
                <w:div w:id="964116266">
                  <w:marLeft w:val="0"/>
                  <w:marRight w:val="0"/>
                  <w:marTop w:val="0"/>
                  <w:marBottom w:val="0"/>
                  <w:divBdr>
                    <w:top w:val="none" w:sz="0" w:space="0" w:color="auto"/>
                    <w:left w:val="none" w:sz="0" w:space="0" w:color="auto"/>
                    <w:bottom w:val="none" w:sz="0" w:space="0" w:color="auto"/>
                    <w:right w:val="none" w:sz="0" w:space="0" w:color="auto"/>
                  </w:divBdr>
                  <w:divsChild>
                    <w:div w:id="1827941390">
                      <w:marLeft w:val="0"/>
                      <w:marRight w:val="0"/>
                      <w:marTop w:val="0"/>
                      <w:marBottom w:val="0"/>
                      <w:divBdr>
                        <w:top w:val="none" w:sz="0" w:space="0" w:color="auto"/>
                        <w:left w:val="none" w:sz="0" w:space="0" w:color="auto"/>
                        <w:bottom w:val="none" w:sz="0" w:space="0" w:color="auto"/>
                        <w:right w:val="none" w:sz="0" w:space="0" w:color="auto"/>
                      </w:divBdr>
                    </w:div>
                  </w:divsChild>
                </w:div>
                <w:div w:id="1050037921">
                  <w:marLeft w:val="0"/>
                  <w:marRight w:val="0"/>
                  <w:marTop w:val="0"/>
                  <w:marBottom w:val="0"/>
                  <w:divBdr>
                    <w:top w:val="none" w:sz="0" w:space="0" w:color="auto"/>
                    <w:left w:val="none" w:sz="0" w:space="0" w:color="auto"/>
                    <w:bottom w:val="none" w:sz="0" w:space="0" w:color="auto"/>
                    <w:right w:val="none" w:sz="0" w:space="0" w:color="auto"/>
                  </w:divBdr>
                  <w:divsChild>
                    <w:div w:id="624191487">
                      <w:marLeft w:val="0"/>
                      <w:marRight w:val="0"/>
                      <w:marTop w:val="0"/>
                      <w:marBottom w:val="0"/>
                      <w:divBdr>
                        <w:top w:val="none" w:sz="0" w:space="0" w:color="auto"/>
                        <w:left w:val="none" w:sz="0" w:space="0" w:color="auto"/>
                        <w:bottom w:val="none" w:sz="0" w:space="0" w:color="auto"/>
                        <w:right w:val="none" w:sz="0" w:space="0" w:color="auto"/>
                      </w:divBdr>
                    </w:div>
                  </w:divsChild>
                </w:div>
                <w:div w:id="1073431172">
                  <w:marLeft w:val="0"/>
                  <w:marRight w:val="0"/>
                  <w:marTop w:val="0"/>
                  <w:marBottom w:val="0"/>
                  <w:divBdr>
                    <w:top w:val="none" w:sz="0" w:space="0" w:color="auto"/>
                    <w:left w:val="none" w:sz="0" w:space="0" w:color="auto"/>
                    <w:bottom w:val="none" w:sz="0" w:space="0" w:color="auto"/>
                    <w:right w:val="none" w:sz="0" w:space="0" w:color="auto"/>
                  </w:divBdr>
                  <w:divsChild>
                    <w:div w:id="2135055798">
                      <w:marLeft w:val="0"/>
                      <w:marRight w:val="0"/>
                      <w:marTop w:val="0"/>
                      <w:marBottom w:val="0"/>
                      <w:divBdr>
                        <w:top w:val="none" w:sz="0" w:space="0" w:color="auto"/>
                        <w:left w:val="none" w:sz="0" w:space="0" w:color="auto"/>
                        <w:bottom w:val="none" w:sz="0" w:space="0" w:color="auto"/>
                        <w:right w:val="none" w:sz="0" w:space="0" w:color="auto"/>
                      </w:divBdr>
                    </w:div>
                  </w:divsChild>
                </w:div>
                <w:div w:id="1094008543">
                  <w:marLeft w:val="0"/>
                  <w:marRight w:val="0"/>
                  <w:marTop w:val="0"/>
                  <w:marBottom w:val="0"/>
                  <w:divBdr>
                    <w:top w:val="none" w:sz="0" w:space="0" w:color="auto"/>
                    <w:left w:val="none" w:sz="0" w:space="0" w:color="auto"/>
                    <w:bottom w:val="none" w:sz="0" w:space="0" w:color="auto"/>
                    <w:right w:val="none" w:sz="0" w:space="0" w:color="auto"/>
                  </w:divBdr>
                  <w:divsChild>
                    <w:div w:id="1082875158">
                      <w:marLeft w:val="0"/>
                      <w:marRight w:val="0"/>
                      <w:marTop w:val="0"/>
                      <w:marBottom w:val="0"/>
                      <w:divBdr>
                        <w:top w:val="none" w:sz="0" w:space="0" w:color="auto"/>
                        <w:left w:val="none" w:sz="0" w:space="0" w:color="auto"/>
                        <w:bottom w:val="none" w:sz="0" w:space="0" w:color="auto"/>
                        <w:right w:val="none" w:sz="0" w:space="0" w:color="auto"/>
                      </w:divBdr>
                    </w:div>
                  </w:divsChild>
                </w:div>
                <w:div w:id="1147823246">
                  <w:marLeft w:val="0"/>
                  <w:marRight w:val="0"/>
                  <w:marTop w:val="0"/>
                  <w:marBottom w:val="0"/>
                  <w:divBdr>
                    <w:top w:val="none" w:sz="0" w:space="0" w:color="auto"/>
                    <w:left w:val="none" w:sz="0" w:space="0" w:color="auto"/>
                    <w:bottom w:val="none" w:sz="0" w:space="0" w:color="auto"/>
                    <w:right w:val="none" w:sz="0" w:space="0" w:color="auto"/>
                  </w:divBdr>
                  <w:divsChild>
                    <w:div w:id="31881249">
                      <w:marLeft w:val="0"/>
                      <w:marRight w:val="0"/>
                      <w:marTop w:val="0"/>
                      <w:marBottom w:val="0"/>
                      <w:divBdr>
                        <w:top w:val="none" w:sz="0" w:space="0" w:color="auto"/>
                        <w:left w:val="none" w:sz="0" w:space="0" w:color="auto"/>
                        <w:bottom w:val="none" w:sz="0" w:space="0" w:color="auto"/>
                        <w:right w:val="none" w:sz="0" w:space="0" w:color="auto"/>
                      </w:divBdr>
                    </w:div>
                  </w:divsChild>
                </w:div>
                <w:div w:id="1160124077">
                  <w:marLeft w:val="0"/>
                  <w:marRight w:val="0"/>
                  <w:marTop w:val="0"/>
                  <w:marBottom w:val="0"/>
                  <w:divBdr>
                    <w:top w:val="none" w:sz="0" w:space="0" w:color="auto"/>
                    <w:left w:val="none" w:sz="0" w:space="0" w:color="auto"/>
                    <w:bottom w:val="none" w:sz="0" w:space="0" w:color="auto"/>
                    <w:right w:val="none" w:sz="0" w:space="0" w:color="auto"/>
                  </w:divBdr>
                  <w:divsChild>
                    <w:div w:id="1272471474">
                      <w:marLeft w:val="0"/>
                      <w:marRight w:val="0"/>
                      <w:marTop w:val="0"/>
                      <w:marBottom w:val="0"/>
                      <w:divBdr>
                        <w:top w:val="none" w:sz="0" w:space="0" w:color="auto"/>
                        <w:left w:val="none" w:sz="0" w:space="0" w:color="auto"/>
                        <w:bottom w:val="none" w:sz="0" w:space="0" w:color="auto"/>
                        <w:right w:val="none" w:sz="0" w:space="0" w:color="auto"/>
                      </w:divBdr>
                    </w:div>
                  </w:divsChild>
                </w:div>
                <w:div w:id="1209561877">
                  <w:marLeft w:val="0"/>
                  <w:marRight w:val="0"/>
                  <w:marTop w:val="0"/>
                  <w:marBottom w:val="0"/>
                  <w:divBdr>
                    <w:top w:val="none" w:sz="0" w:space="0" w:color="auto"/>
                    <w:left w:val="none" w:sz="0" w:space="0" w:color="auto"/>
                    <w:bottom w:val="none" w:sz="0" w:space="0" w:color="auto"/>
                    <w:right w:val="none" w:sz="0" w:space="0" w:color="auto"/>
                  </w:divBdr>
                  <w:divsChild>
                    <w:div w:id="454641414">
                      <w:marLeft w:val="0"/>
                      <w:marRight w:val="0"/>
                      <w:marTop w:val="0"/>
                      <w:marBottom w:val="0"/>
                      <w:divBdr>
                        <w:top w:val="none" w:sz="0" w:space="0" w:color="auto"/>
                        <w:left w:val="none" w:sz="0" w:space="0" w:color="auto"/>
                        <w:bottom w:val="none" w:sz="0" w:space="0" w:color="auto"/>
                        <w:right w:val="none" w:sz="0" w:space="0" w:color="auto"/>
                      </w:divBdr>
                    </w:div>
                  </w:divsChild>
                </w:div>
                <w:div w:id="1241714084">
                  <w:marLeft w:val="0"/>
                  <w:marRight w:val="0"/>
                  <w:marTop w:val="0"/>
                  <w:marBottom w:val="0"/>
                  <w:divBdr>
                    <w:top w:val="none" w:sz="0" w:space="0" w:color="auto"/>
                    <w:left w:val="none" w:sz="0" w:space="0" w:color="auto"/>
                    <w:bottom w:val="none" w:sz="0" w:space="0" w:color="auto"/>
                    <w:right w:val="none" w:sz="0" w:space="0" w:color="auto"/>
                  </w:divBdr>
                  <w:divsChild>
                    <w:div w:id="40054839">
                      <w:marLeft w:val="0"/>
                      <w:marRight w:val="0"/>
                      <w:marTop w:val="0"/>
                      <w:marBottom w:val="0"/>
                      <w:divBdr>
                        <w:top w:val="none" w:sz="0" w:space="0" w:color="auto"/>
                        <w:left w:val="none" w:sz="0" w:space="0" w:color="auto"/>
                        <w:bottom w:val="none" w:sz="0" w:space="0" w:color="auto"/>
                        <w:right w:val="none" w:sz="0" w:space="0" w:color="auto"/>
                      </w:divBdr>
                    </w:div>
                  </w:divsChild>
                </w:div>
                <w:div w:id="1260941880">
                  <w:marLeft w:val="0"/>
                  <w:marRight w:val="0"/>
                  <w:marTop w:val="0"/>
                  <w:marBottom w:val="0"/>
                  <w:divBdr>
                    <w:top w:val="none" w:sz="0" w:space="0" w:color="auto"/>
                    <w:left w:val="none" w:sz="0" w:space="0" w:color="auto"/>
                    <w:bottom w:val="none" w:sz="0" w:space="0" w:color="auto"/>
                    <w:right w:val="none" w:sz="0" w:space="0" w:color="auto"/>
                  </w:divBdr>
                  <w:divsChild>
                    <w:div w:id="1396858445">
                      <w:marLeft w:val="0"/>
                      <w:marRight w:val="0"/>
                      <w:marTop w:val="0"/>
                      <w:marBottom w:val="0"/>
                      <w:divBdr>
                        <w:top w:val="none" w:sz="0" w:space="0" w:color="auto"/>
                        <w:left w:val="none" w:sz="0" w:space="0" w:color="auto"/>
                        <w:bottom w:val="none" w:sz="0" w:space="0" w:color="auto"/>
                        <w:right w:val="none" w:sz="0" w:space="0" w:color="auto"/>
                      </w:divBdr>
                    </w:div>
                  </w:divsChild>
                </w:div>
                <w:div w:id="1336542648">
                  <w:marLeft w:val="0"/>
                  <w:marRight w:val="0"/>
                  <w:marTop w:val="0"/>
                  <w:marBottom w:val="0"/>
                  <w:divBdr>
                    <w:top w:val="none" w:sz="0" w:space="0" w:color="auto"/>
                    <w:left w:val="none" w:sz="0" w:space="0" w:color="auto"/>
                    <w:bottom w:val="none" w:sz="0" w:space="0" w:color="auto"/>
                    <w:right w:val="none" w:sz="0" w:space="0" w:color="auto"/>
                  </w:divBdr>
                  <w:divsChild>
                    <w:div w:id="2005355854">
                      <w:marLeft w:val="0"/>
                      <w:marRight w:val="0"/>
                      <w:marTop w:val="0"/>
                      <w:marBottom w:val="0"/>
                      <w:divBdr>
                        <w:top w:val="none" w:sz="0" w:space="0" w:color="auto"/>
                        <w:left w:val="none" w:sz="0" w:space="0" w:color="auto"/>
                        <w:bottom w:val="none" w:sz="0" w:space="0" w:color="auto"/>
                        <w:right w:val="none" w:sz="0" w:space="0" w:color="auto"/>
                      </w:divBdr>
                    </w:div>
                  </w:divsChild>
                </w:div>
                <w:div w:id="1347827147">
                  <w:marLeft w:val="0"/>
                  <w:marRight w:val="0"/>
                  <w:marTop w:val="0"/>
                  <w:marBottom w:val="0"/>
                  <w:divBdr>
                    <w:top w:val="none" w:sz="0" w:space="0" w:color="auto"/>
                    <w:left w:val="none" w:sz="0" w:space="0" w:color="auto"/>
                    <w:bottom w:val="none" w:sz="0" w:space="0" w:color="auto"/>
                    <w:right w:val="none" w:sz="0" w:space="0" w:color="auto"/>
                  </w:divBdr>
                  <w:divsChild>
                    <w:div w:id="542638976">
                      <w:marLeft w:val="0"/>
                      <w:marRight w:val="0"/>
                      <w:marTop w:val="0"/>
                      <w:marBottom w:val="0"/>
                      <w:divBdr>
                        <w:top w:val="none" w:sz="0" w:space="0" w:color="auto"/>
                        <w:left w:val="none" w:sz="0" w:space="0" w:color="auto"/>
                        <w:bottom w:val="none" w:sz="0" w:space="0" w:color="auto"/>
                        <w:right w:val="none" w:sz="0" w:space="0" w:color="auto"/>
                      </w:divBdr>
                    </w:div>
                  </w:divsChild>
                </w:div>
                <w:div w:id="1375041375">
                  <w:marLeft w:val="0"/>
                  <w:marRight w:val="0"/>
                  <w:marTop w:val="0"/>
                  <w:marBottom w:val="0"/>
                  <w:divBdr>
                    <w:top w:val="none" w:sz="0" w:space="0" w:color="auto"/>
                    <w:left w:val="none" w:sz="0" w:space="0" w:color="auto"/>
                    <w:bottom w:val="none" w:sz="0" w:space="0" w:color="auto"/>
                    <w:right w:val="none" w:sz="0" w:space="0" w:color="auto"/>
                  </w:divBdr>
                  <w:divsChild>
                    <w:div w:id="279068128">
                      <w:marLeft w:val="0"/>
                      <w:marRight w:val="0"/>
                      <w:marTop w:val="0"/>
                      <w:marBottom w:val="0"/>
                      <w:divBdr>
                        <w:top w:val="none" w:sz="0" w:space="0" w:color="auto"/>
                        <w:left w:val="none" w:sz="0" w:space="0" w:color="auto"/>
                        <w:bottom w:val="none" w:sz="0" w:space="0" w:color="auto"/>
                        <w:right w:val="none" w:sz="0" w:space="0" w:color="auto"/>
                      </w:divBdr>
                    </w:div>
                  </w:divsChild>
                </w:div>
                <w:div w:id="1702514847">
                  <w:marLeft w:val="0"/>
                  <w:marRight w:val="0"/>
                  <w:marTop w:val="0"/>
                  <w:marBottom w:val="0"/>
                  <w:divBdr>
                    <w:top w:val="none" w:sz="0" w:space="0" w:color="auto"/>
                    <w:left w:val="none" w:sz="0" w:space="0" w:color="auto"/>
                    <w:bottom w:val="none" w:sz="0" w:space="0" w:color="auto"/>
                    <w:right w:val="none" w:sz="0" w:space="0" w:color="auto"/>
                  </w:divBdr>
                  <w:divsChild>
                    <w:div w:id="109932277">
                      <w:marLeft w:val="0"/>
                      <w:marRight w:val="0"/>
                      <w:marTop w:val="0"/>
                      <w:marBottom w:val="0"/>
                      <w:divBdr>
                        <w:top w:val="none" w:sz="0" w:space="0" w:color="auto"/>
                        <w:left w:val="none" w:sz="0" w:space="0" w:color="auto"/>
                        <w:bottom w:val="none" w:sz="0" w:space="0" w:color="auto"/>
                        <w:right w:val="none" w:sz="0" w:space="0" w:color="auto"/>
                      </w:divBdr>
                    </w:div>
                  </w:divsChild>
                </w:div>
                <w:div w:id="1818380776">
                  <w:marLeft w:val="0"/>
                  <w:marRight w:val="0"/>
                  <w:marTop w:val="0"/>
                  <w:marBottom w:val="0"/>
                  <w:divBdr>
                    <w:top w:val="none" w:sz="0" w:space="0" w:color="auto"/>
                    <w:left w:val="none" w:sz="0" w:space="0" w:color="auto"/>
                    <w:bottom w:val="none" w:sz="0" w:space="0" w:color="auto"/>
                    <w:right w:val="none" w:sz="0" w:space="0" w:color="auto"/>
                  </w:divBdr>
                  <w:divsChild>
                    <w:div w:id="8687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8948">
          <w:marLeft w:val="0"/>
          <w:marRight w:val="0"/>
          <w:marTop w:val="0"/>
          <w:marBottom w:val="0"/>
          <w:divBdr>
            <w:top w:val="none" w:sz="0" w:space="0" w:color="auto"/>
            <w:left w:val="none" w:sz="0" w:space="0" w:color="auto"/>
            <w:bottom w:val="none" w:sz="0" w:space="0" w:color="auto"/>
            <w:right w:val="none" w:sz="0" w:space="0" w:color="auto"/>
          </w:divBdr>
        </w:div>
        <w:div w:id="1219825027">
          <w:marLeft w:val="0"/>
          <w:marRight w:val="0"/>
          <w:marTop w:val="0"/>
          <w:marBottom w:val="0"/>
          <w:divBdr>
            <w:top w:val="none" w:sz="0" w:space="0" w:color="auto"/>
            <w:left w:val="none" w:sz="0" w:space="0" w:color="auto"/>
            <w:bottom w:val="none" w:sz="0" w:space="0" w:color="auto"/>
            <w:right w:val="none" w:sz="0" w:space="0" w:color="auto"/>
          </w:divBdr>
        </w:div>
        <w:div w:id="1225020672">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sChild>
            <w:div w:id="19938597">
              <w:marLeft w:val="0"/>
              <w:marRight w:val="0"/>
              <w:marTop w:val="0"/>
              <w:marBottom w:val="0"/>
              <w:divBdr>
                <w:top w:val="none" w:sz="0" w:space="0" w:color="auto"/>
                <w:left w:val="none" w:sz="0" w:space="0" w:color="auto"/>
                <w:bottom w:val="none" w:sz="0" w:space="0" w:color="auto"/>
                <w:right w:val="none" w:sz="0" w:space="0" w:color="auto"/>
              </w:divBdr>
            </w:div>
            <w:div w:id="382488668">
              <w:marLeft w:val="0"/>
              <w:marRight w:val="0"/>
              <w:marTop w:val="0"/>
              <w:marBottom w:val="0"/>
              <w:divBdr>
                <w:top w:val="none" w:sz="0" w:space="0" w:color="auto"/>
                <w:left w:val="none" w:sz="0" w:space="0" w:color="auto"/>
                <w:bottom w:val="none" w:sz="0" w:space="0" w:color="auto"/>
                <w:right w:val="none" w:sz="0" w:space="0" w:color="auto"/>
              </w:divBdr>
            </w:div>
            <w:div w:id="492915217">
              <w:marLeft w:val="0"/>
              <w:marRight w:val="0"/>
              <w:marTop w:val="0"/>
              <w:marBottom w:val="0"/>
              <w:divBdr>
                <w:top w:val="none" w:sz="0" w:space="0" w:color="auto"/>
                <w:left w:val="none" w:sz="0" w:space="0" w:color="auto"/>
                <w:bottom w:val="none" w:sz="0" w:space="0" w:color="auto"/>
                <w:right w:val="none" w:sz="0" w:space="0" w:color="auto"/>
              </w:divBdr>
            </w:div>
            <w:div w:id="861894921">
              <w:marLeft w:val="0"/>
              <w:marRight w:val="0"/>
              <w:marTop w:val="0"/>
              <w:marBottom w:val="0"/>
              <w:divBdr>
                <w:top w:val="none" w:sz="0" w:space="0" w:color="auto"/>
                <w:left w:val="none" w:sz="0" w:space="0" w:color="auto"/>
                <w:bottom w:val="none" w:sz="0" w:space="0" w:color="auto"/>
                <w:right w:val="none" w:sz="0" w:space="0" w:color="auto"/>
              </w:divBdr>
            </w:div>
          </w:divsChild>
        </w:div>
        <w:div w:id="1263800036">
          <w:marLeft w:val="0"/>
          <w:marRight w:val="0"/>
          <w:marTop w:val="0"/>
          <w:marBottom w:val="0"/>
          <w:divBdr>
            <w:top w:val="none" w:sz="0" w:space="0" w:color="auto"/>
            <w:left w:val="none" w:sz="0" w:space="0" w:color="auto"/>
            <w:bottom w:val="none" w:sz="0" w:space="0" w:color="auto"/>
            <w:right w:val="none" w:sz="0" w:space="0" w:color="auto"/>
          </w:divBdr>
          <w:divsChild>
            <w:div w:id="939527161">
              <w:marLeft w:val="-75"/>
              <w:marRight w:val="0"/>
              <w:marTop w:val="30"/>
              <w:marBottom w:val="30"/>
              <w:divBdr>
                <w:top w:val="none" w:sz="0" w:space="0" w:color="auto"/>
                <w:left w:val="none" w:sz="0" w:space="0" w:color="auto"/>
                <w:bottom w:val="none" w:sz="0" w:space="0" w:color="auto"/>
                <w:right w:val="none" w:sz="0" w:space="0" w:color="auto"/>
              </w:divBdr>
              <w:divsChild>
                <w:div w:id="18312134">
                  <w:marLeft w:val="0"/>
                  <w:marRight w:val="0"/>
                  <w:marTop w:val="0"/>
                  <w:marBottom w:val="0"/>
                  <w:divBdr>
                    <w:top w:val="none" w:sz="0" w:space="0" w:color="auto"/>
                    <w:left w:val="none" w:sz="0" w:space="0" w:color="auto"/>
                    <w:bottom w:val="none" w:sz="0" w:space="0" w:color="auto"/>
                    <w:right w:val="none" w:sz="0" w:space="0" w:color="auto"/>
                  </w:divBdr>
                  <w:divsChild>
                    <w:div w:id="1315447103">
                      <w:marLeft w:val="0"/>
                      <w:marRight w:val="0"/>
                      <w:marTop w:val="0"/>
                      <w:marBottom w:val="0"/>
                      <w:divBdr>
                        <w:top w:val="none" w:sz="0" w:space="0" w:color="auto"/>
                        <w:left w:val="none" w:sz="0" w:space="0" w:color="auto"/>
                        <w:bottom w:val="none" w:sz="0" w:space="0" w:color="auto"/>
                        <w:right w:val="none" w:sz="0" w:space="0" w:color="auto"/>
                      </w:divBdr>
                    </w:div>
                  </w:divsChild>
                </w:div>
                <w:div w:id="34428599">
                  <w:marLeft w:val="0"/>
                  <w:marRight w:val="0"/>
                  <w:marTop w:val="0"/>
                  <w:marBottom w:val="0"/>
                  <w:divBdr>
                    <w:top w:val="none" w:sz="0" w:space="0" w:color="auto"/>
                    <w:left w:val="none" w:sz="0" w:space="0" w:color="auto"/>
                    <w:bottom w:val="none" w:sz="0" w:space="0" w:color="auto"/>
                    <w:right w:val="none" w:sz="0" w:space="0" w:color="auto"/>
                  </w:divBdr>
                  <w:divsChild>
                    <w:div w:id="721901928">
                      <w:marLeft w:val="0"/>
                      <w:marRight w:val="0"/>
                      <w:marTop w:val="0"/>
                      <w:marBottom w:val="0"/>
                      <w:divBdr>
                        <w:top w:val="none" w:sz="0" w:space="0" w:color="auto"/>
                        <w:left w:val="none" w:sz="0" w:space="0" w:color="auto"/>
                        <w:bottom w:val="none" w:sz="0" w:space="0" w:color="auto"/>
                        <w:right w:val="none" w:sz="0" w:space="0" w:color="auto"/>
                      </w:divBdr>
                    </w:div>
                  </w:divsChild>
                </w:div>
                <w:div w:id="49422333">
                  <w:marLeft w:val="0"/>
                  <w:marRight w:val="0"/>
                  <w:marTop w:val="0"/>
                  <w:marBottom w:val="0"/>
                  <w:divBdr>
                    <w:top w:val="none" w:sz="0" w:space="0" w:color="auto"/>
                    <w:left w:val="none" w:sz="0" w:space="0" w:color="auto"/>
                    <w:bottom w:val="none" w:sz="0" w:space="0" w:color="auto"/>
                    <w:right w:val="none" w:sz="0" w:space="0" w:color="auto"/>
                  </w:divBdr>
                  <w:divsChild>
                    <w:div w:id="364908682">
                      <w:marLeft w:val="0"/>
                      <w:marRight w:val="0"/>
                      <w:marTop w:val="0"/>
                      <w:marBottom w:val="0"/>
                      <w:divBdr>
                        <w:top w:val="none" w:sz="0" w:space="0" w:color="auto"/>
                        <w:left w:val="none" w:sz="0" w:space="0" w:color="auto"/>
                        <w:bottom w:val="none" w:sz="0" w:space="0" w:color="auto"/>
                        <w:right w:val="none" w:sz="0" w:space="0" w:color="auto"/>
                      </w:divBdr>
                    </w:div>
                  </w:divsChild>
                </w:div>
                <w:div w:id="56704509">
                  <w:marLeft w:val="0"/>
                  <w:marRight w:val="0"/>
                  <w:marTop w:val="0"/>
                  <w:marBottom w:val="0"/>
                  <w:divBdr>
                    <w:top w:val="none" w:sz="0" w:space="0" w:color="auto"/>
                    <w:left w:val="none" w:sz="0" w:space="0" w:color="auto"/>
                    <w:bottom w:val="none" w:sz="0" w:space="0" w:color="auto"/>
                    <w:right w:val="none" w:sz="0" w:space="0" w:color="auto"/>
                  </w:divBdr>
                  <w:divsChild>
                    <w:div w:id="1496266052">
                      <w:marLeft w:val="0"/>
                      <w:marRight w:val="0"/>
                      <w:marTop w:val="0"/>
                      <w:marBottom w:val="0"/>
                      <w:divBdr>
                        <w:top w:val="none" w:sz="0" w:space="0" w:color="auto"/>
                        <w:left w:val="none" w:sz="0" w:space="0" w:color="auto"/>
                        <w:bottom w:val="none" w:sz="0" w:space="0" w:color="auto"/>
                        <w:right w:val="none" w:sz="0" w:space="0" w:color="auto"/>
                      </w:divBdr>
                    </w:div>
                  </w:divsChild>
                </w:div>
                <w:div w:id="59061531">
                  <w:marLeft w:val="0"/>
                  <w:marRight w:val="0"/>
                  <w:marTop w:val="0"/>
                  <w:marBottom w:val="0"/>
                  <w:divBdr>
                    <w:top w:val="none" w:sz="0" w:space="0" w:color="auto"/>
                    <w:left w:val="none" w:sz="0" w:space="0" w:color="auto"/>
                    <w:bottom w:val="none" w:sz="0" w:space="0" w:color="auto"/>
                    <w:right w:val="none" w:sz="0" w:space="0" w:color="auto"/>
                  </w:divBdr>
                  <w:divsChild>
                    <w:div w:id="1000087351">
                      <w:marLeft w:val="0"/>
                      <w:marRight w:val="0"/>
                      <w:marTop w:val="0"/>
                      <w:marBottom w:val="0"/>
                      <w:divBdr>
                        <w:top w:val="none" w:sz="0" w:space="0" w:color="auto"/>
                        <w:left w:val="none" w:sz="0" w:space="0" w:color="auto"/>
                        <w:bottom w:val="none" w:sz="0" w:space="0" w:color="auto"/>
                        <w:right w:val="none" w:sz="0" w:space="0" w:color="auto"/>
                      </w:divBdr>
                    </w:div>
                  </w:divsChild>
                </w:div>
                <w:div w:id="61028378">
                  <w:marLeft w:val="0"/>
                  <w:marRight w:val="0"/>
                  <w:marTop w:val="0"/>
                  <w:marBottom w:val="0"/>
                  <w:divBdr>
                    <w:top w:val="none" w:sz="0" w:space="0" w:color="auto"/>
                    <w:left w:val="none" w:sz="0" w:space="0" w:color="auto"/>
                    <w:bottom w:val="none" w:sz="0" w:space="0" w:color="auto"/>
                    <w:right w:val="none" w:sz="0" w:space="0" w:color="auto"/>
                  </w:divBdr>
                  <w:divsChild>
                    <w:div w:id="2025089922">
                      <w:marLeft w:val="0"/>
                      <w:marRight w:val="0"/>
                      <w:marTop w:val="0"/>
                      <w:marBottom w:val="0"/>
                      <w:divBdr>
                        <w:top w:val="none" w:sz="0" w:space="0" w:color="auto"/>
                        <w:left w:val="none" w:sz="0" w:space="0" w:color="auto"/>
                        <w:bottom w:val="none" w:sz="0" w:space="0" w:color="auto"/>
                        <w:right w:val="none" w:sz="0" w:space="0" w:color="auto"/>
                      </w:divBdr>
                    </w:div>
                  </w:divsChild>
                </w:div>
                <w:div w:id="80222243">
                  <w:marLeft w:val="0"/>
                  <w:marRight w:val="0"/>
                  <w:marTop w:val="0"/>
                  <w:marBottom w:val="0"/>
                  <w:divBdr>
                    <w:top w:val="none" w:sz="0" w:space="0" w:color="auto"/>
                    <w:left w:val="none" w:sz="0" w:space="0" w:color="auto"/>
                    <w:bottom w:val="none" w:sz="0" w:space="0" w:color="auto"/>
                    <w:right w:val="none" w:sz="0" w:space="0" w:color="auto"/>
                  </w:divBdr>
                  <w:divsChild>
                    <w:div w:id="266430521">
                      <w:marLeft w:val="0"/>
                      <w:marRight w:val="0"/>
                      <w:marTop w:val="0"/>
                      <w:marBottom w:val="0"/>
                      <w:divBdr>
                        <w:top w:val="none" w:sz="0" w:space="0" w:color="auto"/>
                        <w:left w:val="none" w:sz="0" w:space="0" w:color="auto"/>
                        <w:bottom w:val="none" w:sz="0" w:space="0" w:color="auto"/>
                        <w:right w:val="none" w:sz="0" w:space="0" w:color="auto"/>
                      </w:divBdr>
                    </w:div>
                  </w:divsChild>
                </w:div>
                <w:div w:id="115954572">
                  <w:marLeft w:val="0"/>
                  <w:marRight w:val="0"/>
                  <w:marTop w:val="0"/>
                  <w:marBottom w:val="0"/>
                  <w:divBdr>
                    <w:top w:val="none" w:sz="0" w:space="0" w:color="auto"/>
                    <w:left w:val="none" w:sz="0" w:space="0" w:color="auto"/>
                    <w:bottom w:val="none" w:sz="0" w:space="0" w:color="auto"/>
                    <w:right w:val="none" w:sz="0" w:space="0" w:color="auto"/>
                  </w:divBdr>
                  <w:divsChild>
                    <w:div w:id="1378311762">
                      <w:marLeft w:val="0"/>
                      <w:marRight w:val="0"/>
                      <w:marTop w:val="0"/>
                      <w:marBottom w:val="0"/>
                      <w:divBdr>
                        <w:top w:val="none" w:sz="0" w:space="0" w:color="auto"/>
                        <w:left w:val="none" w:sz="0" w:space="0" w:color="auto"/>
                        <w:bottom w:val="none" w:sz="0" w:space="0" w:color="auto"/>
                        <w:right w:val="none" w:sz="0" w:space="0" w:color="auto"/>
                      </w:divBdr>
                    </w:div>
                  </w:divsChild>
                </w:div>
                <w:div w:id="128397757">
                  <w:marLeft w:val="0"/>
                  <w:marRight w:val="0"/>
                  <w:marTop w:val="0"/>
                  <w:marBottom w:val="0"/>
                  <w:divBdr>
                    <w:top w:val="none" w:sz="0" w:space="0" w:color="auto"/>
                    <w:left w:val="none" w:sz="0" w:space="0" w:color="auto"/>
                    <w:bottom w:val="none" w:sz="0" w:space="0" w:color="auto"/>
                    <w:right w:val="none" w:sz="0" w:space="0" w:color="auto"/>
                  </w:divBdr>
                  <w:divsChild>
                    <w:div w:id="965047127">
                      <w:marLeft w:val="0"/>
                      <w:marRight w:val="0"/>
                      <w:marTop w:val="0"/>
                      <w:marBottom w:val="0"/>
                      <w:divBdr>
                        <w:top w:val="none" w:sz="0" w:space="0" w:color="auto"/>
                        <w:left w:val="none" w:sz="0" w:space="0" w:color="auto"/>
                        <w:bottom w:val="none" w:sz="0" w:space="0" w:color="auto"/>
                        <w:right w:val="none" w:sz="0" w:space="0" w:color="auto"/>
                      </w:divBdr>
                    </w:div>
                  </w:divsChild>
                </w:div>
                <w:div w:id="186724318">
                  <w:marLeft w:val="0"/>
                  <w:marRight w:val="0"/>
                  <w:marTop w:val="0"/>
                  <w:marBottom w:val="0"/>
                  <w:divBdr>
                    <w:top w:val="none" w:sz="0" w:space="0" w:color="auto"/>
                    <w:left w:val="none" w:sz="0" w:space="0" w:color="auto"/>
                    <w:bottom w:val="none" w:sz="0" w:space="0" w:color="auto"/>
                    <w:right w:val="none" w:sz="0" w:space="0" w:color="auto"/>
                  </w:divBdr>
                  <w:divsChild>
                    <w:div w:id="33313898">
                      <w:marLeft w:val="0"/>
                      <w:marRight w:val="0"/>
                      <w:marTop w:val="0"/>
                      <w:marBottom w:val="0"/>
                      <w:divBdr>
                        <w:top w:val="none" w:sz="0" w:space="0" w:color="auto"/>
                        <w:left w:val="none" w:sz="0" w:space="0" w:color="auto"/>
                        <w:bottom w:val="none" w:sz="0" w:space="0" w:color="auto"/>
                        <w:right w:val="none" w:sz="0" w:space="0" w:color="auto"/>
                      </w:divBdr>
                    </w:div>
                  </w:divsChild>
                </w:div>
                <w:div w:id="190459534">
                  <w:marLeft w:val="0"/>
                  <w:marRight w:val="0"/>
                  <w:marTop w:val="0"/>
                  <w:marBottom w:val="0"/>
                  <w:divBdr>
                    <w:top w:val="none" w:sz="0" w:space="0" w:color="auto"/>
                    <w:left w:val="none" w:sz="0" w:space="0" w:color="auto"/>
                    <w:bottom w:val="none" w:sz="0" w:space="0" w:color="auto"/>
                    <w:right w:val="none" w:sz="0" w:space="0" w:color="auto"/>
                  </w:divBdr>
                  <w:divsChild>
                    <w:div w:id="1942643963">
                      <w:marLeft w:val="0"/>
                      <w:marRight w:val="0"/>
                      <w:marTop w:val="0"/>
                      <w:marBottom w:val="0"/>
                      <w:divBdr>
                        <w:top w:val="none" w:sz="0" w:space="0" w:color="auto"/>
                        <w:left w:val="none" w:sz="0" w:space="0" w:color="auto"/>
                        <w:bottom w:val="none" w:sz="0" w:space="0" w:color="auto"/>
                        <w:right w:val="none" w:sz="0" w:space="0" w:color="auto"/>
                      </w:divBdr>
                    </w:div>
                  </w:divsChild>
                </w:div>
                <w:div w:id="245388429">
                  <w:marLeft w:val="0"/>
                  <w:marRight w:val="0"/>
                  <w:marTop w:val="0"/>
                  <w:marBottom w:val="0"/>
                  <w:divBdr>
                    <w:top w:val="none" w:sz="0" w:space="0" w:color="auto"/>
                    <w:left w:val="none" w:sz="0" w:space="0" w:color="auto"/>
                    <w:bottom w:val="none" w:sz="0" w:space="0" w:color="auto"/>
                    <w:right w:val="none" w:sz="0" w:space="0" w:color="auto"/>
                  </w:divBdr>
                  <w:divsChild>
                    <w:div w:id="1054891972">
                      <w:marLeft w:val="0"/>
                      <w:marRight w:val="0"/>
                      <w:marTop w:val="0"/>
                      <w:marBottom w:val="0"/>
                      <w:divBdr>
                        <w:top w:val="none" w:sz="0" w:space="0" w:color="auto"/>
                        <w:left w:val="none" w:sz="0" w:space="0" w:color="auto"/>
                        <w:bottom w:val="none" w:sz="0" w:space="0" w:color="auto"/>
                        <w:right w:val="none" w:sz="0" w:space="0" w:color="auto"/>
                      </w:divBdr>
                    </w:div>
                  </w:divsChild>
                </w:div>
                <w:div w:id="262539037">
                  <w:marLeft w:val="0"/>
                  <w:marRight w:val="0"/>
                  <w:marTop w:val="0"/>
                  <w:marBottom w:val="0"/>
                  <w:divBdr>
                    <w:top w:val="none" w:sz="0" w:space="0" w:color="auto"/>
                    <w:left w:val="none" w:sz="0" w:space="0" w:color="auto"/>
                    <w:bottom w:val="none" w:sz="0" w:space="0" w:color="auto"/>
                    <w:right w:val="none" w:sz="0" w:space="0" w:color="auto"/>
                  </w:divBdr>
                  <w:divsChild>
                    <w:div w:id="1335109625">
                      <w:marLeft w:val="0"/>
                      <w:marRight w:val="0"/>
                      <w:marTop w:val="0"/>
                      <w:marBottom w:val="0"/>
                      <w:divBdr>
                        <w:top w:val="none" w:sz="0" w:space="0" w:color="auto"/>
                        <w:left w:val="none" w:sz="0" w:space="0" w:color="auto"/>
                        <w:bottom w:val="none" w:sz="0" w:space="0" w:color="auto"/>
                        <w:right w:val="none" w:sz="0" w:space="0" w:color="auto"/>
                      </w:divBdr>
                    </w:div>
                  </w:divsChild>
                </w:div>
                <w:div w:id="270208866">
                  <w:marLeft w:val="0"/>
                  <w:marRight w:val="0"/>
                  <w:marTop w:val="0"/>
                  <w:marBottom w:val="0"/>
                  <w:divBdr>
                    <w:top w:val="none" w:sz="0" w:space="0" w:color="auto"/>
                    <w:left w:val="none" w:sz="0" w:space="0" w:color="auto"/>
                    <w:bottom w:val="none" w:sz="0" w:space="0" w:color="auto"/>
                    <w:right w:val="none" w:sz="0" w:space="0" w:color="auto"/>
                  </w:divBdr>
                  <w:divsChild>
                    <w:div w:id="697966798">
                      <w:marLeft w:val="0"/>
                      <w:marRight w:val="0"/>
                      <w:marTop w:val="0"/>
                      <w:marBottom w:val="0"/>
                      <w:divBdr>
                        <w:top w:val="none" w:sz="0" w:space="0" w:color="auto"/>
                        <w:left w:val="none" w:sz="0" w:space="0" w:color="auto"/>
                        <w:bottom w:val="none" w:sz="0" w:space="0" w:color="auto"/>
                        <w:right w:val="none" w:sz="0" w:space="0" w:color="auto"/>
                      </w:divBdr>
                    </w:div>
                  </w:divsChild>
                </w:div>
                <w:div w:id="297498949">
                  <w:marLeft w:val="0"/>
                  <w:marRight w:val="0"/>
                  <w:marTop w:val="0"/>
                  <w:marBottom w:val="0"/>
                  <w:divBdr>
                    <w:top w:val="none" w:sz="0" w:space="0" w:color="auto"/>
                    <w:left w:val="none" w:sz="0" w:space="0" w:color="auto"/>
                    <w:bottom w:val="none" w:sz="0" w:space="0" w:color="auto"/>
                    <w:right w:val="none" w:sz="0" w:space="0" w:color="auto"/>
                  </w:divBdr>
                  <w:divsChild>
                    <w:div w:id="1533572134">
                      <w:marLeft w:val="0"/>
                      <w:marRight w:val="0"/>
                      <w:marTop w:val="0"/>
                      <w:marBottom w:val="0"/>
                      <w:divBdr>
                        <w:top w:val="none" w:sz="0" w:space="0" w:color="auto"/>
                        <w:left w:val="none" w:sz="0" w:space="0" w:color="auto"/>
                        <w:bottom w:val="none" w:sz="0" w:space="0" w:color="auto"/>
                        <w:right w:val="none" w:sz="0" w:space="0" w:color="auto"/>
                      </w:divBdr>
                    </w:div>
                  </w:divsChild>
                </w:div>
                <w:div w:id="411774887">
                  <w:marLeft w:val="0"/>
                  <w:marRight w:val="0"/>
                  <w:marTop w:val="0"/>
                  <w:marBottom w:val="0"/>
                  <w:divBdr>
                    <w:top w:val="none" w:sz="0" w:space="0" w:color="auto"/>
                    <w:left w:val="none" w:sz="0" w:space="0" w:color="auto"/>
                    <w:bottom w:val="none" w:sz="0" w:space="0" w:color="auto"/>
                    <w:right w:val="none" w:sz="0" w:space="0" w:color="auto"/>
                  </w:divBdr>
                  <w:divsChild>
                    <w:div w:id="286663102">
                      <w:marLeft w:val="0"/>
                      <w:marRight w:val="0"/>
                      <w:marTop w:val="0"/>
                      <w:marBottom w:val="0"/>
                      <w:divBdr>
                        <w:top w:val="none" w:sz="0" w:space="0" w:color="auto"/>
                        <w:left w:val="none" w:sz="0" w:space="0" w:color="auto"/>
                        <w:bottom w:val="none" w:sz="0" w:space="0" w:color="auto"/>
                        <w:right w:val="none" w:sz="0" w:space="0" w:color="auto"/>
                      </w:divBdr>
                    </w:div>
                  </w:divsChild>
                </w:div>
                <w:div w:id="471990544">
                  <w:marLeft w:val="0"/>
                  <w:marRight w:val="0"/>
                  <w:marTop w:val="0"/>
                  <w:marBottom w:val="0"/>
                  <w:divBdr>
                    <w:top w:val="none" w:sz="0" w:space="0" w:color="auto"/>
                    <w:left w:val="none" w:sz="0" w:space="0" w:color="auto"/>
                    <w:bottom w:val="none" w:sz="0" w:space="0" w:color="auto"/>
                    <w:right w:val="none" w:sz="0" w:space="0" w:color="auto"/>
                  </w:divBdr>
                  <w:divsChild>
                    <w:div w:id="1174690953">
                      <w:marLeft w:val="0"/>
                      <w:marRight w:val="0"/>
                      <w:marTop w:val="0"/>
                      <w:marBottom w:val="0"/>
                      <w:divBdr>
                        <w:top w:val="none" w:sz="0" w:space="0" w:color="auto"/>
                        <w:left w:val="none" w:sz="0" w:space="0" w:color="auto"/>
                        <w:bottom w:val="none" w:sz="0" w:space="0" w:color="auto"/>
                        <w:right w:val="none" w:sz="0" w:space="0" w:color="auto"/>
                      </w:divBdr>
                    </w:div>
                  </w:divsChild>
                </w:div>
                <w:div w:id="494149324">
                  <w:marLeft w:val="0"/>
                  <w:marRight w:val="0"/>
                  <w:marTop w:val="0"/>
                  <w:marBottom w:val="0"/>
                  <w:divBdr>
                    <w:top w:val="none" w:sz="0" w:space="0" w:color="auto"/>
                    <w:left w:val="none" w:sz="0" w:space="0" w:color="auto"/>
                    <w:bottom w:val="none" w:sz="0" w:space="0" w:color="auto"/>
                    <w:right w:val="none" w:sz="0" w:space="0" w:color="auto"/>
                  </w:divBdr>
                  <w:divsChild>
                    <w:div w:id="1727946316">
                      <w:marLeft w:val="0"/>
                      <w:marRight w:val="0"/>
                      <w:marTop w:val="0"/>
                      <w:marBottom w:val="0"/>
                      <w:divBdr>
                        <w:top w:val="none" w:sz="0" w:space="0" w:color="auto"/>
                        <w:left w:val="none" w:sz="0" w:space="0" w:color="auto"/>
                        <w:bottom w:val="none" w:sz="0" w:space="0" w:color="auto"/>
                        <w:right w:val="none" w:sz="0" w:space="0" w:color="auto"/>
                      </w:divBdr>
                    </w:div>
                  </w:divsChild>
                </w:div>
                <w:div w:id="516383122">
                  <w:marLeft w:val="0"/>
                  <w:marRight w:val="0"/>
                  <w:marTop w:val="0"/>
                  <w:marBottom w:val="0"/>
                  <w:divBdr>
                    <w:top w:val="none" w:sz="0" w:space="0" w:color="auto"/>
                    <w:left w:val="none" w:sz="0" w:space="0" w:color="auto"/>
                    <w:bottom w:val="none" w:sz="0" w:space="0" w:color="auto"/>
                    <w:right w:val="none" w:sz="0" w:space="0" w:color="auto"/>
                  </w:divBdr>
                  <w:divsChild>
                    <w:div w:id="2092777998">
                      <w:marLeft w:val="0"/>
                      <w:marRight w:val="0"/>
                      <w:marTop w:val="0"/>
                      <w:marBottom w:val="0"/>
                      <w:divBdr>
                        <w:top w:val="none" w:sz="0" w:space="0" w:color="auto"/>
                        <w:left w:val="none" w:sz="0" w:space="0" w:color="auto"/>
                        <w:bottom w:val="none" w:sz="0" w:space="0" w:color="auto"/>
                        <w:right w:val="none" w:sz="0" w:space="0" w:color="auto"/>
                      </w:divBdr>
                    </w:div>
                  </w:divsChild>
                </w:div>
                <w:div w:id="521096202">
                  <w:marLeft w:val="0"/>
                  <w:marRight w:val="0"/>
                  <w:marTop w:val="0"/>
                  <w:marBottom w:val="0"/>
                  <w:divBdr>
                    <w:top w:val="none" w:sz="0" w:space="0" w:color="auto"/>
                    <w:left w:val="none" w:sz="0" w:space="0" w:color="auto"/>
                    <w:bottom w:val="none" w:sz="0" w:space="0" w:color="auto"/>
                    <w:right w:val="none" w:sz="0" w:space="0" w:color="auto"/>
                  </w:divBdr>
                  <w:divsChild>
                    <w:div w:id="760495733">
                      <w:marLeft w:val="0"/>
                      <w:marRight w:val="0"/>
                      <w:marTop w:val="0"/>
                      <w:marBottom w:val="0"/>
                      <w:divBdr>
                        <w:top w:val="none" w:sz="0" w:space="0" w:color="auto"/>
                        <w:left w:val="none" w:sz="0" w:space="0" w:color="auto"/>
                        <w:bottom w:val="none" w:sz="0" w:space="0" w:color="auto"/>
                        <w:right w:val="none" w:sz="0" w:space="0" w:color="auto"/>
                      </w:divBdr>
                    </w:div>
                  </w:divsChild>
                </w:div>
                <w:div w:id="563568151">
                  <w:marLeft w:val="0"/>
                  <w:marRight w:val="0"/>
                  <w:marTop w:val="0"/>
                  <w:marBottom w:val="0"/>
                  <w:divBdr>
                    <w:top w:val="none" w:sz="0" w:space="0" w:color="auto"/>
                    <w:left w:val="none" w:sz="0" w:space="0" w:color="auto"/>
                    <w:bottom w:val="none" w:sz="0" w:space="0" w:color="auto"/>
                    <w:right w:val="none" w:sz="0" w:space="0" w:color="auto"/>
                  </w:divBdr>
                  <w:divsChild>
                    <w:div w:id="1715150737">
                      <w:marLeft w:val="0"/>
                      <w:marRight w:val="0"/>
                      <w:marTop w:val="0"/>
                      <w:marBottom w:val="0"/>
                      <w:divBdr>
                        <w:top w:val="none" w:sz="0" w:space="0" w:color="auto"/>
                        <w:left w:val="none" w:sz="0" w:space="0" w:color="auto"/>
                        <w:bottom w:val="none" w:sz="0" w:space="0" w:color="auto"/>
                        <w:right w:val="none" w:sz="0" w:space="0" w:color="auto"/>
                      </w:divBdr>
                    </w:div>
                  </w:divsChild>
                </w:div>
                <w:div w:id="618608336">
                  <w:marLeft w:val="0"/>
                  <w:marRight w:val="0"/>
                  <w:marTop w:val="0"/>
                  <w:marBottom w:val="0"/>
                  <w:divBdr>
                    <w:top w:val="none" w:sz="0" w:space="0" w:color="auto"/>
                    <w:left w:val="none" w:sz="0" w:space="0" w:color="auto"/>
                    <w:bottom w:val="none" w:sz="0" w:space="0" w:color="auto"/>
                    <w:right w:val="none" w:sz="0" w:space="0" w:color="auto"/>
                  </w:divBdr>
                  <w:divsChild>
                    <w:div w:id="274756991">
                      <w:marLeft w:val="0"/>
                      <w:marRight w:val="0"/>
                      <w:marTop w:val="0"/>
                      <w:marBottom w:val="0"/>
                      <w:divBdr>
                        <w:top w:val="none" w:sz="0" w:space="0" w:color="auto"/>
                        <w:left w:val="none" w:sz="0" w:space="0" w:color="auto"/>
                        <w:bottom w:val="none" w:sz="0" w:space="0" w:color="auto"/>
                        <w:right w:val="none" w:sz="0" w:space="0" w:color="auto"/>
                      </w:divBdr>
                    </w:div>
                  </w:divsChild>
                </w:div>
                <w:div w:id="652367153">
                  <w:marLeft w:val="0"/>
                  <w:marRight w:val="0"/>
                  <w:marTop w:val="0"/>
                  <w:marBottom w:val="0"/>
                  <w:divBdr>
                    <w:top w:val="none" w:sz="0" w:space="0" w:color="auto"/>
                    <w:left w:val="none" w:sz="0" w:space="0" w:color="auto"/>
                    <w:bottom w:val="none" w:sz="0" w:space="0" w:color="auto"/>
                    <w:right w:val="none" w:sz="0" w:space="0" w:color="auto"/>
                  </w:divBdr>
                  <w:divsChild>
                    <w:div w:id="110443105">
                      <w:marLeft w:val="0"/>
                      <w:marRight w:val="0"/>
                      <w:marTop w:val="0"/>
                      <w:marBottom w:val="0"/>
                      <w:divBdr>
                        <w:top w:val="none" w:sz="0" w:space="0" w:color="auto"/>
                        <w:left w:val="none" w:sz="0" w:space="0" w:color="auto"/>
                        <w:bottom w:val="none" w:sz="0" w:space="0" w:color="auto"/>
                        <w:right w:val="none" w:sz="0" w:space="0" w:color="auto"/>
                      </w:divBdr>
                    </w:div>
                  </w:divsChild>
                </w:div>
                <w:div w:id="670791628">
                  <w:marLeft w:val="0"/>
                  <w:marRight w:val="0"/>
                  <w:marTop w:val="0"/>
                  <w:marBottom w:val="0"/>
                  <w:divBdr>
                    <w:top w:val="none" w:sz="0" w:space="0" w:color="auto"/>
                    <w:left w:val="none" w:sz="0" w:space="0" w:color="auto"/>
                    <w:bottom w:val="none" w:sz="0" w:space="0" w:color="auto"/>
                    <w:right w:val="none" w:sz="0" w:space="0" w:color="auto"/>
                  </w:divBdr>
                  <w:divsChild>
                    <w:div w:id="380204471">
                      <w:marLeft w:val="0"/>
                      <w:marRight w:val="0"/>
                      <w:marTop w:val="0"/>
                      <w:marBottom w:val="0"/>
                      <w:divBdr>
                        <w:top w:val="none" w:sz="0" w:space="0" w:color="auto"/>
                        <w:left w:val="none" w:sz="0" w:space="0" w:color="auto"/>
                        <w:bottom w:val="none" w:sz="0" w:space="0" w:color="auto"/>
                        <w:right w:val="none" w:sz="0" w:space="0" w:color="auto"/>
                      </w:divBdr>
                    </w:div>
                  </w:divsChild>
                </w:div>
                <w:div w:id="719672056">
                  <w:marLeft w:val="0"/>
                  <w:marRight w:val="0"/>
                  <w:marTop w:val="0"/>
                  <w:marBottom w:val="0"/>
                  <w:divBdr>
                    <w:top w:val="none" w:sz="0" w:space="0" w:color="auto"/>
                    <w:left w:val="none" w:sz="0" w:space="0" w:color="auto"/>
                    <w:bottom w:val="none" w:sz="0" w:space="0" w:color="auto"/>
                    <w:right w:val="none" w:sz="0" w:space="0" w:color="auto"/>
                  </w:divBdr>
                  <w:divsChild>
                    <w:div w:id="333073574">
                      <w:marLeft w:val="0"/>
                      <w:marRight w:val="0"/>
                      <w:marTop w:val="0"/>
                      <w:marBottom w:val="0"/>
                      <w:divBdr>
                        <w:top w:val="none" w:sz="0" w:space="0" w:color="auto"/>
                        <w:left w:val="none" w:sz="0" w:space="0" w:color="auto"/>
                        <w:bottom w:val="none" w:sz="0" w:space="0" w:color="auto"/>
                        <w:right w:val="none" w:sz="0" w:space="0" w:color="auto"/>
                      </w:divBdr>
                    </w:div>
                  </w:divsChild>
                </w:div>
                <w:div w:id="760837300">
                  <w:marLeft w:val="0"/>
                  <w:marRight w:val="0"/>
                  <w:marTop w:val="0"/>
                  <w:marBottom w:val="0"/>
                  <w:divBdr>
                    <w:top w:val="none" w:sz="0" w:space="0" w:color="auto"/>
                    <w:left w:val="none" w:sz="0" w:space="0" w:color="auto"/>
                    <w:bottom w:val="none" w:sz="0" w:space="0" w:color="auto"/>
                    <w:right w:val="none" w:sz="0" w:space="0" w:color="auto"/>
                  </w:divBdr>
                  <w:divsChild>
                    <w:div w:id="736519223">
                      <w:marLeft w:val="0"/>
                      <w:marRight w:val="0"/>
                      <w:marTop w:val="0"/>
                      <w:marBottom w:val="0"/>
                      <w:divBdr>
                        <w:top w:val="none" w:sz="0" w:space="0" w:color="auto"/>
                        <w:left w:val="none" w:sz="0" w:space="0" w:color="auto"/>
                        <w:bottom w:val="none" w:sz="0" w:space="0" w:color="auto"/>
                        <w:right w:val="none" w:sz="0" w:space="0" w:color="auto"/>
                      </w:divBdr>
                    </w:div>
                  </w:divsChild>
                </w:div>
                <w:div w:id="763191076">
                  <w:marLeft w:val="0"/>
                  <w:marRight w:val="0"/>
                  <w:marTop w:val="0"/>
                  <w:marBottom w:val="0"/>
                  <w:divBdr>
                    <w:top w:val="none" w:sz="0" w:space="0" w:color="auto"/>
                    <w:left w:val="none" w:sz="0" w:space="0" w:color="auto"/>
                    <w:bottom w:val="none" w:sz="0" w:space="0" w:color="auto"/>
                    <w:right w:val="none" w:sz="0" w:space="0" w:color="auto"/>
                  </w:divBdr>
                  <w:divsChild>
                    <w:div w:id="935287852">
                      <w:marLeft w:val="0"/>
                      <w:marRight w:val="0"/>
                      <w:marTop w:val="0"/>
                      <w:marBottom w:val="0"/>
                      <w:divBdr>
                        <w:top w:val="none" w:sz="0" w:space="0" w:color="auto"/>
                        <w:left w:val="none" w:sz="0" w:space="0" w:color="auto"/>
                        <w:bottom w:val="none" w:sz="0" w:space="0" w:color="auto"/>
                        <w:right w:val="none" w:sz="0" w:space="0" w:color="auto"/>
                      </w:divBdr>
                    </w:div>
                  </w:divsChild>
                </w:div>
                <w:div w:id="790511808">
                  <w:marLeft w:val="0"/>
                  <w:marRight w:val="0"/>
                  <w:marTop w:val="0"/>
                  <w:marBottom w:val="0"/>
                  <w:divBdr>
                    <w:top w:val="none" w:sz="0" w:space="0" w:color="auto"/>
                    <w:left w:val="none" w:sz="0" w:space="0" w:color="auto"/>
                    <w:bottom w:val="none" w:sz="0" w:space="0" w:color="auto"/>
                    <w:right w:val="none" w:sz="0" w:space="0" w:color="auto"/>
                  </w:divBdr>
                  <w:divsChild>
                    <w:div w:id="270358919">
                      <w:marLeft w:val="0"/>
                      <w:marRight w:val="0"/>
                      <w:marTop w:val="0"/>
                      <w:marBottom w:val="0"/>
                      <w:divBdr>
                        <w:top w:val="none" w:sz="0" w:space="0" w:color="auto"/>
                        <w:left w:val="none" w:sz="0" w:space="0" w:color="auto"/>
                        <w:bottom w:val="none" w:sz="0" w:space="0" w:color="auto"/>
                        <w:right w:val="none" w:sz="0" w:space="0" w:color="auto"/>
                      </w:divBdr>
                    </w:div>
                  </w:divsChild>
                </w:div>
                <w:div w:id="852452751">
                  <w:marLeft w:val="0"/>
                  <w:marRight w:val="0"/>
                  <w:marTop w:val="0"/>
                  <w:marBottom w:val="0"/>
                  <w:divBdr>
                    <w:top w:val="none" w:sz="0" w:space="0" w:color="auto"/>
                    <w:left w:val="none" w:sz="0" w:space="0" w:color="auto"/>
                    <w:bottom w:val="none" w:sz="0" w:space="0" w:color="auto"/>
                    <w:right w:val="none" w:sz="0" w:space="0" w:color="auto"/>
                  </w:divBdr>
                  <w:divsChild>
                    <w:div w:id="1941833146">
                      <w:marLeft w:val="0"/>
                      <w:marRight w:val="0"/>
                      <w:marTop w:val="0"/>
                      <w:marBottom w:val="0"/>
                      <w:divBdr>
                        <w:top w:val="none" w:sz="0" w:space="0" w:color="auto"/>
                        <w:left w:val="none" w:sz="0" w:space="0" w:color="auto"/>
                        <w:bottom w:val="none" w:sz="0" w:space="0" w:color="auto"/>
                        <w:right w:val="none" w:sz="0" w:space="0" w:color="auto"/>
                      </w:divBdr>
                    </w:div>
                  </w:divsChild>
                </w:div>
                <w:div w:id="975837451">
                  <w:marLeft w:val="0"/>
                  <w:marRight w:val="0"/>
                  <w:marTop w:val="0"/>
                  <w:marBottom w:val="0"/>
                  <w:divBdr>
                    <w:top w:val="none" w:sz="0" w:space="0" w:color="auto"/>
                    <w:left w:val="none" w:sz="0" w:space="0" w:color="auto"/>
                    <w:bottom w:val="none" w:sz="0" w:space="0" w:color="auto"/>
                    <w:right w:val="none" w:sz="0" w:space="0" w:color="auto"/>
                  </w:divBdr>
                  <w:divsChild>
                    <w:div w:id="2071876345">
                      <w:marLeft w:val="0"/>
                      <w:marRight w:val="0"/>
                      <w:marTop w:val="0"/>
                      <w:marBottom w:val="0"/>
                      <w:divBdr>
                        <w:top w:val="none" w:sz="0" w:space="0" w:color="auto"/>
                        <w:left w:val="none" w:sz="0" w:space="0" w:color="auto"/>
                        <w:bottom w:val="none" w:sz="0" w:space="0" w:color="auto"/>
                        <w:right w:val="none" w:sz="0" w:space="0" w:color="auto"/>
                      </w:divBdr>
                    </w:div>
                  </w:divsChild>
                </w:div>
                <w:div w:id="996886769">
                  <w:marLeft w:val="0"/>
                  <w:marRight w:val="0"/>
                  <w:marTop w:val="0"/>
                  <w:marBottom w:val="0"/>
                  <w:divBdr>
                    <w:top w:val="none" w:sz="0" w:space="0" w:color="auto"/>
                    <w:left w:val="none" w:sz="0" w:space="0" w:color="auto"/>
                    <w:bottom w:val="none" w:sz="0" w:space="0" w:color="auto"/>
                    <w:right w:val="none" w:sz="0" w:space="0" w:color="auto"/>
                  </w:divBdr>
                  <w:divsChild>
                    <w:div w:id="1239289218">
                      <w:marLeft w:val="0"/>
                      <w:marRight w:val="0"/>
                      <w:marTop w:val="0"/>
                      <w:marBottom w:val="0"/>
                      <w:divBdr>
                        <w:top w:val="none" w:sz="0" w:space="0" w:color="auto"/>
                        <w:left w:val="none" w:sz="0" w:space="0" w:color="auto"/>
                        <w:bottom w:val="none" w:sz="0" w:space="0" w:color="auto"/>
                        <w:right w:val="none" w:sz="0" w:space="0" w:color="auto"/>
                      </w:divBdr>
                    </w:div>
                  </w:divsChild>
                </w:div>
                <w:div w:id="1007484968">
                  <w:marLeft w:val="0"/>
                  <w:marRight w:val="0"/>
                  <w:marTop w:val="0"/>
                  <w:marBottom w:val="0"/>
                  <w:divBdr>
                    <w:top w:val="none" w:sz="0" w:space="0" w:color="auto"/>
                    <w:left w:val="none" w:sz="0" w:space="0" w:color="auto"/>
                    <w:bottom w:val="none" w:sz="0" w:space="0" w:color="auto"/>
                    <w:right w:val="none" w:sz="0" w:space="0" w:color="auto"/>
                  </w:divBdr>
                  <w:divsChild>
                    <w:div w:id="1900434973">
                      <w:marLeft w:val="0"/>
                      <w:marRight w:val="0"/>
                      <w:marTop w:val="0"/>
                      <w:marBottom w:val="0"/>
                      <w:divBdr>
                        <w:top w:val="none" w:sz="0" w:space="0" w:color="auto"/>
                        <w:left w:val="none" w:sz="0" w:space="0" w:color="auto"/>
                        <w:bottom w:val="none" w:sz="0" w:space="0" w:color="auto"/>
                        <w:right w:val="none" w:sz="0" w:space="0" w:color="auto"/>
                      </w:divBdr>
                    </w:div>
                  </w:divsChild>
                </w:div>
                <w:div w:id="1008368599">
                  <w:marLeft w:val="0"/>
                  <w:marRight w:val="0"/>
                  <w:marTop w:val="0"/>
                  <w:marBottom w:val="0"/>
                  <w:divBdr>
                    <w:top w:val="none" w:sz="0" w:space="0" w:color="auto"/>
                    <w:left w:val="none" w:sz="0" w:space="0" w:color="auto"/>
                    <w:bottom w:val="none" w:sz="0" w:space="0" w:color="auto"/>
                    <w:right w:val="none" w:sz="0" w:space="0" w:color="auto"/>
                  </w:divBdr>
                  <w:divsChild>
                    <w:div w:id="327487017">
                      <w:marLeft w:val="0"/>
                      <w:marRight w:val="0"/>
                      <w:marTop w:val="0"/>
                      <w:marBottom w:val="0"/>
                      <w:divBdr>
                        <w:top w:val="none" w:sz="0" w:space="0" w:color="auto"/>
                        <w:left w:val="none" w:sz="0" w:space="0" w:color="auto"/>
                        <w:bottom w:val="none" w:sz="0" w:space="0" w:color="auto"/>
                        <w:right w:val="none" w:sz="0" w:space="0" w:color="auto"/>
                      </w:divBdr>
                    </w:div>
                  </w:divsChild>
                </w:div>
                <w:div w:id="1014265868">
                  <w:marLeft w:val="0"/>
                  <w:marRight w:val="0"/>
                  <w:marTop w:val="0"/>
                  <w:marBottom w:val="0"/>
                  <w:divBdr>
                    <w:top w:val="none" w:sz="0" w:space="0" w:color="auto"/>
                    <w:left w:val="none" w:sz="0" w:space="0" w:color="auto"/>
                    <w:bottom w:val="none" w:sz="0" w:space="0" w:color="auto"/>
                    <w:right w:val="none" w:sz="0" w:space="0" w:color="auto"/>
                  </w:divBdr>
                  <w:divsChild>
                    <w:div w:id="605888789">
                      <w:marLeft w:val="0"/>
                      <w:marRight w:val="0"/>
                      <w:marTop w:val="0"/>
                      <w:marBottom w:val="0"/>
                      <w:divBdr>
                        <w:top w:val="none" w:sz="0" w:space="0" w:color="auto"/>
                        <w:left w:val="none" w:sz="0" w:space="0" w:color="auto"/>
                        <w:bottom w:val="none" w:sz="0" w:space="0" w:color="auto"/>
                        <w:right w:val="none" w:sz="0" w:space="0" w:color="auto"/>
                      </w:divBdr>
                    </w:div>
                  </w:divsChild>
                </w:div>
                <w:div w:id="1036615135">
                  <w:marLeft w:val="0"/>
                  <w:marRight w:val="0"/>
                  <w:marTop w:val="0"/>
                  <w:marBottom w:val="0"/>
                  <w:divBdr>
                    <w:top w:val="none" w:sz="0" w:space="0" w:color="auto"/>
                    <w:left w:val="none" w:sz="0" w:space="0" w:color="auto"/>
                    <w:bottom w:val="none" w:sz="0" w:space="0" w:color="auto"/>
                    <w:right w:val="none" w:sz="0" w:space="0" w:color="auto"/>
                  </w:divBdr>
                  <w:divsChild>
                    <w:div w:id="1009718018">
                      <w:marLeft w:val="0"/>
                      <w:marRight w:val="0"/>
                      <w:marTop w:val="0"/>
                      <w:marBottom w:val="0"/>
                      <w:divBdr>
                        <w:top w:val="none" w:sz="0" w:space="0" w:color="auto"/>
                        <w:left w:val="none" w:sz="0" w:space="0" w:color="auto"/>
                        <w:bottom w:val="none" w:sz="0" w:space="0" w:color="auto"/>
                        <w:right w:val="none" w:sz="0" w:space="0" w:color="auto"/>
                      </w:divBdr>
                    </w:div>
                  </w:divsChild>
                </w:div>
                <w:div w:id="1075589947">
                  <w:marLeft w:val="0"/>
                  <w:marRight w:val="0"/>
                  <w:marTop w:val="0"/>
                  <w:marBottom w:val="0"/>
                  <w:divBdr>
                    <w:top w:val="none" w:sz="0" w:space="0" w:color="auto"/>
                    <w:left w:val="none" w:sz="0" w:space="0" w:color="auto"/>
                    <w:bottom w:val="none" w:sz="0" w:space="0" w:color="auto"/>
                    <w:right w:val="none" w:sz="0" w:space="0" w:color="auto"/>
                  </w:divBdr>
                  <w:divsChild>
                    <w:div w:id="1931155196">
                      <w:marLeft w:val="0"/>
                      <w:marRight w:val="0"/>
                      <w:marTop w:val="0"/>
                      <w:marBottom w:val="0"/>
                      <w:divBdr>
                        <w:top w:val="none" w:sz="0" w:space="0" w:color="auto"/>
                        <w:left w:val="none" w:sz="0" w:space="0" w:color="auto"/>
                        <w:bottom w:val="none" w:sz="0" w:space="0" w:color="auto"/>
                        <w:right w:val="none" w:sz="0" w:space="0" w:color="auto"/>
                      </w:divBdr>
                    </w:div>
                  </w:divsChild>
                </w:div>
                <w:div w:id="1084184467">
                  <w:marLeft w:val="0"/>
                  <w:marRight w:val="0"/>
                  <w:marTop w:val="0"/>
                  <w:marBottom w:val="0"/>
                  <w:divBdr>
                    <w:top w:val="none" w:sz="0" w:space="0" w:color="auto"/>
                    <w:left w:val="none" w:sz="0" w:space="0" w:color="auto"/>
                    <w:bottom w:val="none" w:sz="0" w:space="0" w:color="auto"/>
                    <w:right w:val="none" w:sz="0" w:space="0" w:color="auto"/>
                  </w:divBdr>
                  <w:divsChild>
                    <w:div w:id="1159157874">
                      <w:marLeft w:val="0"/>
                      <w:marRight w:val="0"/>
                      <w:marTop w:val="0"/>
                      <w:marBottom w:val="0"/>
                      <w:divBdr>
                        <w:top w:val="none" w:sz="0" w:space="0" w:color="auto"/>
                        <w:left w:val="none" w:sz="0" w:space="0" w:color="auto"/>
                        <w:bottom w:val="none" w:sz="0" w:space="0" w:color="auto"/>
                        <w:right w:val="none" w:sz="0" w:space="0" w:color="auto"/>
                      </w:divBdr>
                    </w:div>
                  </w:divsChild>
                </w:div>
                <w:div w:id="1094789836">
                  <w:marLeft w:val="0"/>
                  <w:marRight w:val="0"/>
                  <w:marTop w:val="0"/>
                  <w:marBottom w:val="0"/>
                  <w:divBdr>
                    <w:top w:val="none" w:sz="0" w:space="0" w:color="auto"/>
                    <w:left w:val="none" w:sz="0" w:space="0" w:color="auto"/>
                    <w:bottom w:val="none" w:sz="0" w:space="0" w:color="auto"/>
                    <w:right w:val="none" w:sz="0" w:space="0" w:color="auto"/>
                  </w:divBdr>
                  <w:divsChild>
                    <w:div w:id="1988970376">
                      <w:marLeft w:val="0"/>
                      <w:marRight w:val="0"/>
                      <w:marTop w:val="0"/>
                      <w:marBottom w:val="0"/>
                      <w:divBdr>
                        <w:top w:val="none" w:sz="0" w:space="0" w:color="auto"/>
                        <w:left w:val="none" w:sz="0" w:space="0" w:color="auto"/>
                        <w:bottom w:val="none" w:sz="0" w:space="0" w:color="auto"/>
                        <w:right w:val="none" w:sz="0" w:space="0" w:color="auto"/>
                      </w:divBdr>
                    </w:div>
                  </w:divsChild>
                </w:div>
                <w:div w:id="1178807559">
                  <w:marLeft w:val="0"/>
                  <w:marRight w:val="0"/>
                  <w:marTop w:val="0"/>
                  <w:marBottom w:val="0"/>
                  <w:divBdr>
                    <w:top w:val="none" w:sz="0" w:space="0" w:color="auto"/>
                    <w:left w:val="none" w:sz="0" w:space="0" w:color="auto"/>
                    <w:bottom w:val="none" w:sz="0" w:space="0" w:color="auto"/>
                    <w:right w:val="none" w:sz="0" w:space="0" w:color="auto"/>
                  </w:divBdr>
                  <w:divsChild>
                    <w:div w:id="912857665">
                      <w:marLeft w:val="0"/>
                      <w:marRight w:val="0"/>
                      <w:marTop w:val="0"/>
                      <w:marBottom w:val="0"/>
                      <w:divBdr>
                        <w:top w:val="none" w:sz="0" w:space="0" w:color="auto"/>
                        <w:left w:val="none" w:sz="0" w:space="0" w:color="auto"/>
                        <w:bottom w:val="none" w:sz="0" w:space="0" w:color="auto"/>
                        <w:right w:val="none" w:sz="0" w:space="0" w:color="auto"/>
                      </w:divBdr>
                    </w:div>
                  </w:divsChild>
                </w:div>
                <w:div w:id="1199588859">
                  <w:marLeft w:val="0"/>
                  <w:marRight w:val="0"/>
                  <w:marTop w:val="0"/>
                  <w:marBottom w:val="0"/>
                  <w:divBdr>
                    <w:top w:val="none" w:sz="0" w:space="0" w:color="auto"/>
                    <w:left w:val="none" w:sz="0" w:space="0" w:color="auto"/>
                    <w:bottom w:val="none" w:sz="0" w:space="0" w:color="auto"/>
                    <w:right w:val="none" w:sz="0" w:space="0" w:color="auto"/>
                  </w:divBdr>
                  <w:divsChild>
                    <w:div w:id="275479933">
                      <w:marLeft w:val="0"/>
                      <w:marRight w:val="0"/>
                      <w:marTop w:val="0"/>
                      <w:marBottom w:val="0"/>
                      <w:divBdr>
                        <w:top w:val="none" w:sz="0" w:space="0" w:color="auto"/>
                        <w:left w:val="none" w:sz="0" w:space="0" w:color="auto"/>
                        <w:bottom w:val="none" w:sz="0" w:space="0" w:color="auto"/>
                        <w:right w:val="none" w:sz="0" w:space="0" w:color="auto"/>
                      </w:divBdr>
                    </w:div>
                  </w:divsChild>
                </w:div>
                <w:div w:id="1277104093">
                  <w:marLeft w:val="0"/>
                  <w:marRight w:val="0"/>
                  <w:marTop w:val="0"/>
                  <w:marBottom w:val="0"/>
                  <w:divBdr>
                    <w:top w:val="none" w:sz="0" w:space="0" w:color="auto"/>
                    <w:left w:val="none" w:sz="0" w:space="0" w:color="auto"/>
                    <w:bottom w:val="none" w:sz="0" w:space="0" w:color="auto"/>
                    <w:right w:val="none" w:sz="0" w:space="0" w:color="auto"/>
                  </w:divBdr>
                  <w:divsChild>
                    <w:div w:id="639579809">
                      <w:marLeft w:val="0"/>
                      <w:marRight w:val="0"/>
                      <w:marTop w:val="0"/>
                      <w:marBottom w:val="0"/>
                      <w:divBdr>
                        <w:top w:val="none" w:sz="0" w:space="0" w:color="auto"/>
                        <w:left w:val="none" w:sz="0" w:space="0" w:color="auto"/>
                        <w:bottom w:val="none" w:sz="0" w:space="0" w:color="auto"/>
                        <w:right w:val="none" w:sz="0" w:space="0" w:color="auto"/>
                      </w:divBdr>
                    </w:div>
                  </w:divsChild>
                </w:div>
                <w:div w:id="1279796398">
                  <w:marLeft w:val="0"/>
                  <w:marRight w:val="0"/>
                  <w:marTop w:val="0"/>
                  <w:marBottom w:val="0"/>
                  <w:divBdr>
                    <w:top w:val="none" w:sz="0" w:space="0" w:color="auto"/>
                    <w:left w:val="none" w:sz="0" w:space="0" w:color="auto"/>
                    <w:bottom w:val="none" w:sz="0" w:space="0" w:color="auto"/>
                    <w:right w:val="none" w:sz="0" w:space="0" w:color="auto"/>
                  </w:divBdr>
                  <w:divsChild>
                    <w:div w:id="1013990570">
                      <w:marLeft w:val="0"/>
                      <w:marRight w:val="0"/>
                      <w:marTop w:val="0"/>
                      <w:marBottom w:val="0"/>
                      <w:divBdr>
                        <w:top w:val="none" w:sz="0" w:space="0" w:color="auto"/>
                        <w:left w:val="none" w:sz="0" w:space="0" w:color="auto"/>
                        <w:bottom w:val="none" w:sz="0" w:space="0" w:color="auto"/>
                        <w:right w:val="none" w:sz="0" w:space="0" w:color="auto"/>
                      </w:divBdr>
                    </w:div>
                  </w:divsChild>
                </w:div>
                <w:div w:id="1309482169">
                  <w:marLeft w:val="0"/>
                  <w:marRight w:val="0"/>
                  <w:marTop w:val="0"/>
                  <w:marBottom w:val="0"/>
                  <w:divBdr>
                    <w:top w:val="none" w:sz="0" w:space="0" w:color="auto"/>
                    <w:left w:val="none" w:sz="0" w:space="0" w:color="auto"/>
                    <w:bottom w:val="none" w:sz="0" w:space="0" w:color="auto"/>
                    <w:right w:val="none" w:sz="0" w:space="0" w:color="auto"/>
                  </w:divBdr>
                  <w:divsChild>
                    <w:div w:id="1713076605">
                      <w:marLeft w:val="0"/>
                      <w:marRight w:val="0"/>
                      <w:marTop w:val="0"/>
                      <w:marBottom w:val="0"/>
                      <w:divBdr>
                        <w:top w:val="none" w:sz="0" w:space="0" w:color="auto"/>
                        <w:left w:val="none" w:sz="0" w:space="0" w:color="auto"/>
                        <w:bottom w:val="none" w:sz="0" w:space="0" w:color="auto"/>
                        <w:right w:val="none" w:sz="0" w:space="0" w:color="auto"/>
                      </w:divBdr>
                    </w:div>
                  </w:divsChild>
                </w:div>
                <w:div w:id="1314527455">
                  <w:marLeft w:val="0"/>
                  <w:marRight w:val="0"/>
                  <w:marTop w:val="0"/>
                  <w:marBottom w:val="0"/>
                  <w:divBdr>
                    <w:top w:val="none" w:sz="0" w:space="0" w:color="auto"/>
                    <w:left w:val="none" w:sz="0" w:space="0" w:color="auto"/>
                    <w:bottom w:val="none" w:sz="0" w:space="0" w:color="auto"/>
                    <w:right w:val="none" w:sz="0" w:space="0" w:color="auto"/>
                  </w:divBdr>
                  <w:divsChild>
                    <w:div w:id="1622031897">
                      <w:marLeft w:val="0"/>
                      <w:marRight w:val="0"/>
                      <w:marTop w:val="0"/>
                      <w:marBottom w:val="0"/>
                      <w:divBdr>
                        <w:top w:val="none" w:sz="0" w:space="0" w:color="auto"/>
                        <w:left w:val="none" w:sz="0" w:space="0" w:color="auto"/>
                        <w:bottom w:val="none" w:sz="0" w:space="0" w:color="auto"/>
                        <w:right w:val="none" w:sz="0" w:space="0" w:color="auto"/>
                      </w:divBdr>
                    </w:div>
                  </w:divsChild>
                </w:div>
                <w:div w:id="1384983920">
                  <w:marLeft w:val="0"/>
                  <w:marRight w:val="0"/>
                  <w:marTop w:val="0"/>
                  <w:marBottom w:val="0"/>
                  <w:divBdr>
                    <w:top w:val="none" w:sz="0" w:space="0" w:color="auto"/>
                    <w:left w:val="none" w:sz="0" w:space="0" w:color="auto"/>
                    <w:bottom w:val="none" w:sz="0" w:space="0" w:color="auto"/>
                    <w:right w:val="none" w:sz="0" w:space="0" w:color="auto"/>
                  </w:divBdr>
                  <w:divsChild>
                    <w:div w:id="701394393">
                      <w:marLeft w:val="0"/>
                      <w:marRight w:val="0"/>
                      <w:marTop w:val="0"/>
                      <w:marBottom w:val="0"/>
                      <w:divBdr>
                        <w:top w:val="none" w:sz="0" w:space="0" w:color="auto"/>
                        <w:left w:val="none" w:sz="0" w:space="0" w:color="auto"/>
                        <w:bottom w:val="none" w:sz="0" w:space="0" w:color="auto"/>
                        <w:right w:val="none" w:sz="0" w:space="0" w:color="auto"/>
                      </w:divBdr>
                    </w:div>
                  </w:divsChild>
                </w:div>
                <w:div w:id="1386366576">
                  <w:marLeft w:val="0"/>
                  <w:marRight w:val="0"/>
                  <w:marTop w:val="0"/>
                  <w:marBottom w:val="0"/>
                  <w:divBdr>
                    <w:top w:val="none" w:sz="0" w:space="0" w:color="auto"/>
                    <w:left w:val="none" w:sz="0" w:space="0" w:color="auto"/>
                    <w:bottom w:val="none" w:sz="0" w:space="0" w:color="auto"/>
                    <w:right w:val="none" w:sz="0" w:space="0" w:color="auto"/>
                  </w:divBdr>
                  <w:divsChild>
                    <w:div w:id="576790442">
                      <w:marLeft w:val="0"/>
                      <w:marRight w:val="0"/>
                      <w:marTop w:val="0"/>
                      <w:marBottom w:val="0"/>
                      <w:divBdr>
                        <w:top w:val="none" w:sz="0" w:space="0" w:color="auto"/>
                        <w:left w:val="none" w:sz="0" w:space="0" w:color="auto"/>
                        <w:bottom w:val="none" w:sz="0" w:space="0" w:color="auto"/>
                        <w:right w:val="none" w:sz="0" w:space="0" w:color="auto"/>
                      </w:divBdr>
                    </w:div>
                  </w:divsChild>
                </w:div>
                <w:div w:id="1430396491">
                  <w:marLeft w:val="0"/>
                  <w:marRight w:val="0"/>
                  <w:marTop w:val="0"/>
                  <w:marBottom w:val="0"/>
                  <w:divBdr>
                    <w:top w:val="none" w:sz="0" w:space="0" w:color="auto"/>
                    <w:left w:val="none" w:sz="0" w:space="0" w:color="auto"/>
                    <w:bottom w:val="none" w:sz="0" w:space="0" w:color="auto"/>
                    <w:right w:val="none" w:sz="0" w:space="0" w:color="auto"/>
                  </w:divBdr>
                  <w:divsChild>
                    <w:div w:id="752513571">
                      <w:marLeft w:val="0"/>
                      <w:marRight w:val="0"/>
                      <w:marTop w:val="0"/>
                      <w:marBottom w:val="0"/>
                      <w:divBdr>
                        <w:top w:val="none" w:sz="0" w:space="0" w:color="auto"/>
                        <w:left w:val="none" w:sz="0" w:space="0" w:color="auto"/>
                        <w:bottom w:val="none" w:sz="0" w:space="0" w:color="auto"/>
                        <w:right w:val="none" w:sz="0" w:space="0" w:color="auto"/>
                      </w:divBdr>
                    </w:div>
                  </w:divsChild>
                </w:div>
                <w:div w:id="1497500533">
                  <w:marLeft w:val="0"/>
                  <w:marRight w:val="0"/>
                  <w:marTop w:val="0"/>
                  <w:marBottom w:val="0"/>
                  <w:divBdr>
                    <w:top w:val="none" w:sz="0" w:space="0" w:color="auto"/>
                    <w:left w:val="none" w:sz="0" w:space="0" w:color="auto"/>
                    <w:bottom w:val="none" w:sz="0" w:space="0" w:color="auto"/>
                    <w:right w:val="none" w:sz="0" w:space="0" w:color="auto"/>
                  </w:divBdr>
                  <w:divsChild>
                    <w:div w:id="881019605">
                      <w:marLeft w:val="0"/>
                      <w:marRight w:val="0"/>
                      <w:marTop w:val="0"/>
                      <w:marBottom w:val="0"/>
                      <w:divBdr>
                        <w:top w:val="none" w:sz="0" w:space="0" w:color="auto"/>
                        <w:left w:val="none" w:sz="0" w:space="0" w:color="auto"/>
                        <w:bottom w:val="none" w:sz="0" w:space="0" w:color="auto"/>
                        <w:right w:val="none" w:sz="0" w:space="0" w:color="auto"/>
                      </w:divBdr>
                    </w:div>
                  </w:divsChild>
                </w:div>
                <w:div w:id="1524174611">
                  <w:marLeft w:val="0"/>
                  <w:marRight w:val="0"/>
                  <w:marTop w:val="0"/>
                  <w:marBottom w:val="0"/>
                  <w:divBdr>
                    <w:top w:val="none" w:sz="0" w:space="0" w:color="auto"/>
                    <w:left w:val="none" w:sz="0" w:space="0" w:color="auto"/>
                    <w:bottom w:val="none" w:sz="0" w:space="0" w:color="auto"/>
                    <w:right w:val="none" w:sz="0" w:space="0" w:color="auto"/>
                  </w:divBdr>
                  <w:divsChild>
                    <w:div w:id="917596133">
                      <w:marLeft w:val="0"/>
                      <w:marRight w:val="0"/>
                      <w:marTop w:val="0"/>
                      <w:marBottom w:val="0"/>
                      <w:divBdr>
                        <w:top w:val="none" w:sz="0" w:space="0" w:color="auto"/>
                        <w:left w:val="none" w:sz="0" w:space="0" w:color="auto"/>
                        <w:bottom w:val="none" w:sz="0" w:space="0" w:color="auto"/>
                        <w:right w:val="none" w:sz="0" w:space="0" w:color="auto"/>
                      </w:divBdr>
                    </w:div>
                  </w:divsChild>
                </w:div>
                <w:div w:id="1537428437">
                  <w:marLeft w:val="0"/>
                  <w:marRight w:val="0"/>
                  <w:marTop w:val="0"/>
                  <w:marBottom w:val="0"/>
                  <w:divBdr>
                    <w:top w:val="none" w:sz="0" w:space="0" w:color="auto"/>
                    <w:left w:val="none" w:sz="0" w:space="0" w:color="auto"/>
                    <w:bottom w:val="none" w:sz="0" w:space="0" w:color="auto"/>
                    <w:right w:val="none" w:sz="0" w:space="0" w:color="auto"/>
                  </w:divBdr>
                  <w:divsChild>
                    <w:div w:id="853374136">
                      <w:marLeft w:val="0"/>
                      <w:marRight w:val="0"/>
                      <w:marTop w:val="0"/>
                      <w:marBottom w:val="0"/>
                      <w:divBdr>
                        <w:top w:val="none" w:sz="0" w:space="0" w:color="auto"/>
                        <w:left w:val="none" w:sz="0" w:space="0" w:color="auto"/>
                        <w:bottom w:val="none" w:sz="0" w:space="0" w:color="auto"/>
                        <w:right w:val="none" w:sz="0" w:space="0" w:color="auto"/>
                      </w:divBdr>
                    </w:div>
                  </w:divsChild>
                </w:div>
                <w:div w:id="1549143269">
                  <w:marLeft w:val="0"/>
                  <w:marRight w:val="0"/>
                  <w:marTop w:val="0"/>
                  <w:marBottom w:val="0"/>
                  <w:divBdr>
                    <w:top w:val="none" w:sz="0" w:space="0" w:color="auto"/>
                    <w:left w:val="none" w:sz="0" w:space="0" w:color="auto"/>
                    <w:bottom w:val="none" w:sz="0" w:space="0" w:color="auto"/>
                    <w:right w:val="none" w:sz="0" w:space="0" w:color="auto"/>
                  </w:divBdr>
                  <w:divsChild>
                    <w:div w:id="1922565012">
                      <w:marLeft w:val="0"/>
                      <w:marRight w:val="0"/>
                      <w:marTop w:val="0"/>
                      <w:marBottom w:val="0"/>
                      <w:divBdr>
                        <w:top w:val="none" w:sz="0" w:space="0" w:color="auto"/>
                        <w:left w:val="none" w:sz="0" w:space="0" w:color="auto"/>
                        <w:bottom w:val="none" w:sz="0" w:space="0" w:color="auto"/>
                        <w:right w:val="none" w:sz="0" w:space="0" w:color="auto"/>
                      </w:divBdr>
                    </w:div>
                  </w:divsChild>
                </w:div>
                <w:div w:id="1577396898">
                  <w:marLeft w:val="0"/>
                  <w:marRight w:val="0"/>
                  <w:marTop w:val="0"/>
                  <w:marBottom w:val="0"/>
                  <w:divBdr>
                    <w:top w:val="none" w:sz="0" w:space="0" w:color="auto"/>
                    <w:left w:val="none" w:sz="0" w:space="0" w:color="auto"/>
                    <w:bottom w:val="none" w:sz="0" w:space="0" w:color="auto"/>
                    <w:right w:val="none" w:sz="0" w:space="0" w:color="auto"/>
                  </w:divBdr>
                  <w:divsChild>
                    <w:div w:id="980689981">
                      <w:marLeft w:val="0"/>
                      <w:marRight w:val="0"/>
                      <w:marTop w:val="0"/>
                      <w:marBottom w:val="0"/>
                      <w:divBdr>
                        <w:top w:val="none" w:sz="0" w:space="0" w:color="auto"/>
                        <w:left w:val="none" w:sz="0" w:space="0" w:color="auto"/>
                        <w:bottom w:val="none" w:sz="0" w:space="0" w:color="auto"/>
                        <w:right w:val="none" w:sz="0" w:space="0" w:color="auto"/>
                      </w:divBdr>
                    </w:div>
                  </w:divsChild>
                </w:div>
                <w:div w:id="1600675539">
                  <w:marLeft w:val="0"/>
                  <w:marRight w:val="0"/>
                  <w:marTop w:val="0"/>
                  <w:marBottom w:val="0"/>
                  <w:divBdr>
                    <w:top w:val="none" w:sz="0" w:space="0" w:color="auto"/>
                    <w:left w:val="none" w:sz="0" w:space="0" w:color="auto"/>
                    <w:bottom w:val="none" w:sz="0" w:space="0" w:color="auto"/>
                    <w:right w:val="none" w:sz="0" w:space="0" w:color="auto"/>
                  </w:divBdr>
                  <w:divsChild>
                    <w:div w:id="1434086944">
                      <w:marLeft w:val="0"/>
                      <w:marRight w:val="0"/>
                      <w:marTop w:val="0"/>
                      <w:marBottom w:val="0"/>
                      <w:divBdr>
                        <w:top w:val="none" w:sz="0" w:space="0" w:color="auto"/>
                        <w:left w:val="none" w:sz="0" w:space="0" w:color="auto"/>
                        <w:bottom w:val="none" w:sz="0" w:space="0" w:color="auto"/>
                        <w:right w:val="none" w:sz="0" w:space="0" w:color="auto"/>
                      </w:divBdr>
                    </w:div>
                  </w:divsChild>
                </w:div>
                <w:div w:id="1619992015">
                  <w:marLeft w:val="0"/>
                  <w:marRight w:val="0"/>
                  <w:marTop w:val="0"/>
                  <w:marBottom w:val="0"/>
                  <w:divBdr>
                    <w:top w:val="none" w:sz="0" w:space="0" w:color="auto"/>
                    <w:left w:val="none" w:sz="0" w:space="0" w:color="auto"/>
                    <w:bottom w:val="none" w:sz="0" w:space="0" w:color="auto"/>
                    <w:right w:val="none" w:sz="0" w:space="0" w:color="auto"/>
                  </w:divBdr>
                  <w:divsChild>
                    <w:div w:id="810252746">
                      <w:marLeft w:val="0"/>
                      <w:marRight w:val="0"/>
                      <w:marTop w:val="0"/>
                      <w:marBottom w:val="0"/>
                      <w:divBdr>
                        <w:top w:val="none" w:sz="0" w:space="0" w:color="auto"/>
                        <w:left w:val="none" w:sz="0" w:space="0" w:color="auto"/>
                        <w:bottom w:val="none" w:sz="0" w:space="0" w:color="auto"/>
                        <w:right w:val="none" w:sz="0" w:space="0" w:color="auto"/>
                      </w:divBdr>
                    </w:div>
                  </w:divsChild>
                </w:div>
                <w:div w:id="1704013306">
                  <w:marLeft w:val="0"/>
                  <w:marRight w:val="0"/>
                  <w:marTop w:val="0"/>
                  <w:marBottom w:val="0"/>
                  <w:divBdr>
                    <w:top w:val="none" w:sz="0" w:space="0" w:color="auto"/>
                    <w:left w:val="none" w:sz="0" w:space="0" w:color="auto"/>
                    <w:bottom w:val="none" w:sz="0" w:space="0" w:color="auto"/>
                    <w:right w:val="none" w:sz="0" w:space="0" w:color="auto"/>
                  </w:divBdr>
                  <w:divsChild>
                    <w:div w:id="2093892949">
                      <w:marLeft w:val="0"/>
                      <w:marRight w:val="0"/>
                      <w:marTop w:val="0"/>
                      <w:marBottom w:val="0"/>
                      <w:divBdr>
                        <w:top w:val="none" w:sz="0" w:space="0" w:color="auto"/>
                        <w:left w:val="none" w:sz="0" w:space="0" w:color="auto"/>
                        <w:bottom w:val="none" w:sz="0" w:space="0" w:color="auto"/>
                        <w:right w:val="none" w:sz="0" w:space="0" w:color="auto"/>
                      </w:divBdr>
                    </w:div>
                  </w:divsChild>
                </w:div>
                <w:div w:id="1710452079">
                  <w:marLeft w:val="0"/>
                  <w:marRight w:val="0"/>
                  <w:marTop w:val="0"/>
                  <w:marBottom w:val="0"/>
                  <w:divBdr>
                    <w:top w:val="none" w:sz="0" w:space="0" w:color="auto"/>
                    <w:left w:val="none" w:sz="0" w:space="0" w:color="auto"/>
                    <w:bottom w:val="none" w:sz="0" w:space="0" w:color="auto"/>
                    <w:right w:val="none" w:sz="0" w:space="0" w:color="auto"/>
                  </w:divBdr>
                  <w:divsChild>
                    <w:div w:id="155463909">
                      <w:marLeft w:val="0"/>
                      <w:marRight w:val="0"/>
                      <w:marTop w:val="0"/>
                      <w:marBottom w:val="0"/>
                      <w:divBdr>
                        <w:top w:val="none" w:sz="0" w:space="0" w:color="auto"/>
                        <w:left w:val="none" w:sz="0" w:space="0" w:color="auto"/>
                        <w:bottom w:val="none" w:sz="0" w:space="0" w:color="auto"/>
                        <w:right w:val="none" w:sz="0" w:space="0" w:color="auto"/>
                      </w:divBdr>
                    </w:div>
                  </w:divsChild>
                </w:div>
                <w:div w:id="1712270086">
                  <w:marLeft w:val="0"/>
                  <w:marRight w:val="0"/>
                  <w:marTop w:val="0"/>
                  <w:marBottom w:val="0"/>
                  <w:divBdr>
                    <w:top w:val="none" w:sz="0" w:space="0" w:color="auto"/>
                    <w:left w:val="none" w:sz="0" w:space="0" w:color="auto"/>
                    <w:bottom w:val="none" w:sz="0" w:space="0" w:color="auto"/>
                    <w:right w:val="none" w:sz="0" w:space="0" w:color="auto"/>
                  </w:divBdr>
                  <w:divsChild>
                    <w:div w:id="393507630">
                      <w:marLeft w:val="0"/>
                      <w:marRight w:val="0"/>
                      <w:marTop w:val="0"/>
                      <w:marBottom w:val="0"/>
                      <w:divBdr>
                        <w:top w:val="none" w:sz="0" w:space="0" w:color="auto"/>
                        <w:left w:val="none" w:sz="0" w:space="0" w:color="auto"/>
                        <w:bottom w:val="none" w:sz="0" w:space="0" w:color="auto"/>
                        <w:right w:val="none" w:sz="0" w:space="0" w:color="auto"/>
                      </w:divBdr>
                    </w:div>
                  </w:divsChild>
                </w:div>
                <w:div w:id="1727874683">
                  <w:marLeft w:val="0"/>
                  <w:marRight w:val="0"/>
                  <w:marTop w:val="0"/>
                  <w:marBottom w:val="0"/>
                  <w:divBdr>
                    <w:top w:val="none" w:sz="0" w:space="0" w:color="auto"/>
                    <w:left w:val="none" w:sz="0" w:space="0" w:color="auto"/>
                    <w:bottom w:val="none" w:sz="0" w:space="0" w:color="auto"/>
                    <w:right w:val="none" w:sz="0" w:space="0" w:color="auto"/>
                  </w:divBdr>
                  <w:divsChild>
                    <w:div w:id="305084399">
                      <w:marLeft w:val="0"/>
                      <w:marRight w:val="0"/>
                      <w:marTop w:val="0"/>
                      <w:marBottom w:val="0"/>
                      <w:divBdr>
                        <w:top w:val="none" w:sz="0" w:space="0" w:color="auto"/>
                        <w:left w:val="none" w:sz="0" w:space="0" w:color="auto"/>
                        <w:bottom w:val="none" w:sz="0" w:space="0" w:color="auto"/>
                        <w:right w:val="none" w:sz="0" w:space="0" w:color="auto"/>
                      </w:divBdr>
                    </w:div>
                  </w:divsChild>
                </w:div>
                <w:div w:id="1775976443">
                  <w:marLeft w:val="0"/>
                  <w:marRight w:val="0"/>
                  <w:marTop w:val="0"/>
                  <w:marBottom w:val="0"/>
                  <w:divBdr>
                    <w:top w:val="none" w:sz="0" w:space="0" w:color="auto"/>
                    <w:left w:val="none" w:sz="0" w:space="0" w:color="auto"/>
                    <w:bottom w:val="none" w:sz="0" w:space="0" w:color="auto"/>
                    <w:right w:val="none" w:sz="0" w:space="0" w:color="auto"/>
                  </w:divBdr>
                  <w:divsChild>
                    <w:div w:id="1202592509">
                      <w:marLeft w:val="0"/>
                      <w:marRight w:val="0"/>
                      <w:marTop w:val="0"/>
                      <w:marBottom w:val="0"/>
                      <w:divBdr>
                        <w:top w:val="none" w:sz="0" w:space="0" w:color="auto"/>
                        <w:left w:val="none" w:sz="0" w:space="0" w:color="auto"/>
                        <w:bottom w:val="none" w:sz="0" w:space="0" w:color="auto"/>
                        <w:right w:val="none" w:sz="0" w:space="0" w:color="auto"/>
                      </w:divBdr>
                    </w:div>
                  </w:divsChild>
                </w:div>
                <w:div w:id="1790734069">
                  <w:marLeft w:val="0"/>
                  <w:marRight w:val="0"/>
                  <w:marTop w:val="0"/>
                  <w:marBottom w:val="0"/>
                  <w:divBdr>
                    <w:top w:val="none" w:sz="0" w:space="0" w:color="auto"/>
                    <w:left w:val="none" w:sz="0" w:space="0" w:color="auto"/>
                    <w:bottom w:val="none" w:sz="0" w:space="0" w:color="auto"/>
                    <w:right w:val="none" w:sz="0" w:space="0" w:color="auto"/>
                  </w:divBdr>
                  <w:divsChild>
                    <w:div w:id="963315298">
                      <w:marLeft w:val="0"/>
                      <w:marRight w:val="0"/>
                      <w:marTop w:val="0"/>
                      <w:marBottom w:val="0"/>
                      <w:divBdr>
                        <w:top w:val="none" w:sz="0" w:space="0" w:color="auto"/>
                        <w:left w:val="none" w:sz="0" w:space="0" w:color="auto"/>
                        <w:bottom w:val="none" w:sz="0" w:space="0" w:color="auto"/>
                        <w:right w:val="none" w:sz="0" w:space="0" w:color="auto"/>
                      </w:divBdr>
                    </w:div>
                  </w:divsChild>
                </w:div>
                <w:div w:id="1831214653">
                  <w:marLeft w:val="0"/>
                  <w:marRight w:val="0"/>
                  <w:marTop w:val="0"/>
                  <w:marBottom w:val="0"/>
                  <w:divBdr>
                    <w:top w:val="none" w:sz="0" w:space="0" w:color="auto"/>
                    <w:left w:val="none" w:sz="0" w:space="0" w:color="auto"/>
                    <w:bottom w:val="none" w:sz="0" w:space="0" w:color="auto"/>
                    <w:right w:val="none" w:sz="0" w:space="0" w:color="auto"/>
                  </w:divBdr>
                  <w:divsChild>
                    <w:div w:id="859003790">
                      <w:marLeft w:val="0"/>
                      <w:marRight w:val="0"/>
                      <w:marTop w:val="0"/>
                      <w:marBottom w:val="0"/>
                      <w:divBdr>
                        <w:top w:val="none" w:sz="0" w:space="0" w:color="auto"/>
                        <w:left w:val="none" w:sz="0" w:space="0" w:color="auto"/>
                        <w:bottom w:val="none" w:sz="0" w:space="0" w:color="auto"/>
                        <w:right w:val="none" w:sz="0" w:space="0" w:color="auto"/>
                      </w:divBdr>
                    </w:div>
                  </w:divsChild>
                </w:div>
                <w:div w:id="1840004908">
                  <w:marLeft w:val="0"/>
                  <w:marRight w:val="0"/>
                  <w:marTop w:val="0"/>
                  <w:marBottom w:val="0"/>
                  <w:divBdr>
                    <w:top w:val="none" w:sz="0" w:space="0" w:color="auto"/>
                    <w:left w:val="none" w:sz="0" w:space="0" w:color="auto"/>
                    <w:bottom w:val="none" w:sz="0" w:space="0" w:color="auto"/>
                    <w:right w:val="none" w:sz="0" w:space="0" w:color="auto"/>
                  </w:divBdr>
                  <w:divsChild>
                    <w:div w:id="1390693357">
                      <w:marLeft w:val="0"/>
                      <w:marRight w:val="0"/>
                      <w:marTop w:val="0"/>
                      <w:marBottom w:val="0"/>
                      <w:divBdr>
                        <w:top w:val="none" w:sz="0" w:space="0" w:color="auto"/>
                        <w:left w:val="none" w:sz="0" w:space="0" w:color="auto"/>
                        <w:bottom w:val="none" w:sz="0" w:space="0" w:color="auto"/>
                        <w:right w:val="none" w:sz="0" w:space="0" w:color="auto"/>
                      </w:divBdr>
                    </w:div>
                  </w:divsChild>
                </w:div>
                <w:div w:id="1853761660">
                  <w:marLeft w:val="0"/>
                  <w:marRight w:val="0"/>
                  <w:marTop w:val="0"/>
                  <w:marBottom w:val="0"/>
                  <w:divBdr>
                    <w:top w:val="none" w:sz="0" w:space="0" w:color="auto"/>
                    <w:left w:val="none" w:sz="0" w:space="0" w:color="auto"/>
                    <w:bottom w:val="none" w:sz="0" w:space="0" w:color="auto"/>
                    <w:right w:val="none" w:sz="0" w:space="0" w:color="auto"/>
                  </w:divBdr>
                  <w:divsChild>
                    <w:div w:id="1747190774">
                      <w:marLeft w:val="0"/>
                      <w:marRight w:val="0"/>
                      <w:marTop w:val="0"/>
                      <w:marBottom w:val="0"/>
                      <w:divBdr>
                        <w:top w:val="none" w:sz="0" w:space="0" w:color="auto"/>
                        <w:left w:val="none" w:sz="0" w:space="0" w:color="auto"/>
                        <w:bottom w:val="none" w:sz="0" w:space="0" w:color="auto"/>
                        <w:right w:val="none" w:sz="0" w:space="0" w:color="auto"/>
                      </w:divBdr>
                    </w:div>
                  </w:divsChild>
                </w:div>
                <w:div w:id="1857189640">
                  <w:marLeft w:val="0"/>
                  <w:marRight w:val="0"/>
                  <w:marTop w:val="0"/>
                  <w:marBottom w:val="0"/>
                  <w:divBdr>
                    <w:top w:val="none" w:sz="0" w:space="0" w:color="auto"/>
                    <w:left w:val="none" w:sz="0" w:space="0" w:color="auto"/>
                    <w:bottom w:val="none" w:sz="0" w:space="0" w:color="auto"/>
                    <w:right w:val="none" w:sz="0" w:space="0" w:color="auto"/>
                  </w:divBdr>
                  <w:divsChild>
                    <w:div w:id="1604148714">
                      <w:marLeft w:val="0"/>
                      <w:marRight w:val="0"/>
                      <w:marTop w:val="0"/>
                      <w:marBottom w:val="0"/>
                      <w:divBdr>
                        <w:top w:val="none" w:sz="0" w:space="0" w:color="auto"/>
                        <w:left w:val="none" w:sz="0" w:space="0" w:color="auto"/>
                        <w:bottom w:val="none" w:sz="0" w:space="0" w:color="auto"/>
                        <w:right w:val="none" w:sz="0" w:space="0" w:color="auto"/>
                      </w:divBdr>
                    </w:div>
                  </w:divsChild>
                </w:div>
                <w:div w:id="1909219935">
                  <w:marLeft w:val="0"/>
                  <w:marRight w:val="0"/>
                  <w:marTop w:val="0"/>
                  <w:marBottom w:val="0"/>
                  <w:divBdr>
                    <w:top w:val="none" w:sz="0" w:space="0" w:color="auto"/>
                    <w:left w:val="none" w:sz="0" w:space="0" w:color="auto"/>
                    <w:bottom w:val="none" w:sz="0" w:space="0" w:color="auto"/>
                    <w:right w:val="none" w:sz="0" w:space="0" w:color="auto"/>
                  </w:divBdr>
                  <w:divsChild>
                    <w:div w:id="605619487">
                      <w:marLeft w:val="0"/>
                      <w:marRight w:val="0"/>
                      <w:marTop w:val="0"/>
                      <w:marBottom w:val="0"/>
                      <w:divBdr>
                        <w:top w:val="none" w:sz="0" w:space="0" w:color="auto"/>
                        <w:left w:val="none" w:sz="0" w:space="0" w:color="auto"/>
                        <w:bottom w:val="none" w:sz="0" w:space="0" w:color="auto"/>
                        <w:right w:val="none" w:sz="0" w:space="0" w:color="auto"/>
                      </w:divBdr>
                    </w:div>
                  </w:divsChild>
                </w:div>
                <w:div w:id="1936474528">
                  <w:marLeft w:val="0"/>
                  <w:marRight w:val="0"/>
                  <w:marTop w:val="0"/>
                  <w:marBottom w:val="0"/>
                  <w:divBdr>
                    <w:top w:val="none" w:sz="0" w:space="0" w:color="auto"/>
                    <w:left w:val="none" w:sz="0" w:space="0" w:color="auto"/>
                    <w:bottom w:val="none" w:sz="0" w:space="0" w:color="auto"/>
                    <w:right w:val="none" w:sz="0" w:space="0" w:color="auto"/>
                  </w:divBdr>
                  <w:divsChild>
                    <w:div w:id="531461621">
                      <w:marLeft w:val="0"/>
                      <w:marRight w:val="0"/>
                      <w:marTop w:val="0"/>
                      <w:marBottom w:val="0"/>
                      <w:divBdr>
                        <w:top w:val="none" w:sz="0" w:space="0" w:color="auto"/>
                        <w:left w:val="none" w:sz="0" w:space="0" w:color="auto"/>
                        <w:bottom w:val="none" w:sz="0" w:space="0" w:color="auto"/>
                        <w:right w:val="none" w:sz="0" w:space="0" w:color="auto"/>
                      </w:divBdr>
                    </w:div>
                  </w:divsChild>
                </w:div>
                <w:div w:id="2041124256">
                  <w:marLeft w:val="0"/>
                  <w:marRight w:val="0"/>
                  <w:marTop w:val="0"/>
                  <w:marBottom w:val="0"/>
                  <w:divBdr>
                    <w:top w:val="none" w:sz="0" w:space="0" w:color="auto"/>
                    <w:left w:val="none" w:sz="0" w:space="0" w:color="auto"/>
                    <w:bottom w:val="none" w:sz="0" w:space="0" w:color="auto"/>
                    <w:right w:val="none" w:sz="0" w:space="0" w:color="auto"/>
                  </w:divBdr>
                  <w:divsChild>
                    <w:div w:id="317463687">
                      <w:marLeft w:val="0"/>
                      <w:marRight w:val="0"/>
                      <w:marTop w:val="0"/>
                      <w:marBottom w:val="0"/>
                      <w:divBdr>
                        <w:top w:val="none" w:sz="0" w:space="0" w:color="auto"/>
                        <w:left w:val="none" w:sz="0" w:space="0" w:color="auto"/>
                        <w:bottom w:val="none" w:sz="0" w:space="0" w:color="auto"/>
                        <w:right w:val="none" w:sz="0" w:space="0" w:color="auto"/>
                      </w:divBdr>
                    </w:div>
                  </w:divsChild>
                </w:div>
                <w:div w:id="2043703324">
                  <w:marLeft w:val="0"/>
                  <w:marRight w:val="0"/>
                  <w:marTop w:val="0"/>
                  <w:marBottom w:val="0"/>
                  <w:divBdr>
                    <w:top w:val="none" w:sz="0" w:space="0" w:color="auto"/>
                    <w:left w:val="none" w:sz="0" w:space="0" w:color="auto"/>
                    <w:bottom w:val="none" w:sz="0" w:space="0" w:color="auto"/>
                    <w:right w:val="none" w:sz="0" w:space="0" w:color="auto"/>
                  </w:divBdr>
                  <w:divsChild>
                    <w:div w:id="623117989">
                      <w:marLeft w:val="0"/>
                      <w:marRight w:val="0"/>
                      <w:marTop w:val="0"/>
                      <w:marBottom w:val="0"/>
                      <w:divBdr>
                        <w:top w:val="none" w:sz="0" w:space="0" w:color="auto"/>
                        <w:left w:val="none" w:sz="0" w:space="0" w:color="auto"/>
                        <w:bottom w:val="none" w:sz="0" w:space="0" w:color="auto"/>
                        <w:right w:val="none" w:sz="0" w:space="0" w:color="auto"/>
                      </w:divBdr>
                    </w:div>
                  </w:divsChild>
                </w:div>
                <w:div w:id="2095085357">
                  <w:marLeft w:val="0"/>
                  <w:marRight w:val="0"/>
                  <w:marTop w:val="0"/>
                  <w:marBottom w:val="0"/>
                  <w:divBdr>
                    <w:top w:val="none" w:sz="0" w:space="0" w:color="auto"/>
                    <w:left w:val="none" w:sz="0" w:space="0" w:color="auto"/>
                    <w:bottom w:val="none" w:sz="0" w:space="0" w:color="auto"/>
                    <w:right w:val="none" w:sz="0" w:space="0" w:color="auto"/>
                  </w:divBdr>
                  <w:divsChild>
                    <w:div w:id="451677875">
                      <w:marLeft w:val="0"/>
                      <w:marRight w:val="0"/>
                      <w:marTop w:val="0"/>
                      <w:marBottom w:val="0"/>
                      <w:divBdr>
                        <w:top w:val="none" w:sz="0" w:space="0" w:color="auto"/>
                        <w:left w:val="none" w:sz="0" w:space="0" w:color="auto"/>
                        <w:bottom w:val="none" w:sz="0" w:space="0" w:color="auto"/>
                        <w:right w:val="none" w:sz="0" w:space="0" w:color="auto"/>
                      </w:divBdr>
                    </w:div>
                  </w:divsChild>
                </w:div>
                <w:div w:id="2115977764">
                  <w:marLeft w:val="0"/>
                  <w:marRight w:val="0"/>
                  <w:marTop w:val="0"/>
                  <w:marBottom w:val="0"/>
                  <w:divBdr>
                    <w:top w:val="none" w:sz="0" w:space="0" w:color="auto"/>
                    <w:left w:val="none" w:sz="0" w:space="0" w:color="auto"/>
                    <w:bottom w:val="none" w:sz="0" w:space="0" w:color="auto"/>
                    <w:right w:val="none" w:sz="0" w:space="0" w:color="auto"/>
                  </w:divBdr>
                  <w:divsChild>
                    <w:div w:id="3447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18635">
          <w:marLeft w:val="0"/>
          <w:marRight w:val="0"/>
          <w:marTop w:val="0"/>
          <w:marBottom w:val="0"/>
          <w:divBdr>
            <w:top w:val="none" w:sz="0" w:space="0" w:color="auto"/>
            <w:left w:val="none" w:sz="0" w:space="0" w:color="auto"/>
            <w:bottom w:val="none" w:sz="0" w:space="0" w:color="auto"/>
            <w:right w:val="none" w:sz="0" w:space="0" w:color="auto"/>
          </w:divBdr>
        </w:div>
        <w:div w:id="1268343661">
          <w:marLeft w:val="0"/>
          <w:marRight w:val="0"/>
          <w:marTop w:val="0"/>
          <w:marBottom w:val="0"/>
          <w:divBdr>
            <w:top w:val="none" w:sz="0" w:space="0" w:color="auto"/>
            <w:left w:val="none" w:sz="0" w:space="0" w:color="auto"/>
            <w:bottom w:val="none" w:sz="0" w:space="0" w:color="auto"/>
            <w:right w:val="none" w:sz="0" w:space="0" w:color="auto"/>
          </w:divBdr>
          <w:divsChild>
            <w:div w:id="49545605">
              <w:marLeft w:val="0"/>
              <w:marRight w:val="0"/>
              <w:marTop w:val="0"/>
              <w:marBottom w:val="0"/>
              <w:divBdr>
                <w:top w:val="none" w:sz="0" w:space="0" w:color="auto"/>
                <w:left w:val="none" w:sz="0" w:space="0" w:color="auto"/>
                <w:bottom w:val="none" w:sz="0" w:space="0" w:color="auto"/>
                <w:right w:val="none" w:sz="0" w:space="0" w:color="auto"/>
              </w:divBdr>
            </w:div>
            <w:div w:id="695812721">
              <w:marLeft w:val="0"/>
              <w:marRight w:val="0"/>
              <w:marTop w:val="0"/>
              <w:marBottom w:val="0"/>
              <w:divBdr>
                <w:top w:val="none" w:sz="0" w:space="0" w:color="auto"/>
                <w:left w:val="none" w:sz="0" w:space="0" w:color="auto"/>
                <w:bottom w:val="none" w:sz="0" w:space="0" w:color="auto"/>
                <w:right w:val="none" w:sz="0" w:space="0" w:color="auto"/>
              </w:divBdr>
            </w:div>
            <w:div w:id="1349602872">
              <w:marLeft w:val="0"/>
              <w:marRight w:val="0"/>
              <w:marTop w:val="0"/>
              <w:marBottom w:val="0"/>
              <w:divBdr>
                <w:top w:val="none" w:sz="0" w:space="0" w:color="auto"/>
                <w:left w:val="none" w:sz="0" w:space="0" w:color="auto"/>
                <w:bottom w:val="none" w:sz="0" w:space="0" w:color="auto"/>
                <w:right w:val="none" w:sz="0" w:space="0" w:color="auto"/>
              </w:divBdr>
            </w:div>
          </w:divsChild>
        </w:div>
        <w:div w:id="1304702286">
          <w:marLeft w:val="0"/>
          <w:marRight w:val="0"/>
          <w:marTop w:val="0"/>
          <w:marBottom w:val="0"/>
          <w:divBdr>
            <w:top w:val="none" w:sz="0" w:space="0" w:color="auto"/>
            <w:left w:val="none" w:sz="0" w:space="0" w:color="auto"/>
            <w:bottom w:val="none" w:sz="0" w:space="0" w:color="auto"/>
            <w:right w:val="none" w:sz="0" w:space="0" w:color="auto"/>
          </w:divBdr>
          <w:divsChild>
            <w:div w:id="72895728">
              <w:marLeft w:val="0"/>
              <w:marRight w:val="0"/>
              <w:marTop w:val="0"/>
              <w:marBottom w:val="0"/>
              <w:divBdr>
                <w:top w:val="none" w:sz="0" w:space="0" w:color="auto"/>
                <w:left w:val="none" w:sz="0" w:space="0" w:color="auto"/>
                <w:bottom w:val="none" w:sz="0" w:space="0" w:color="auto"/>
                <w:right w:val="none" w:sz="0" w:space="0" w:color="auto"/>
              </w:divBdr>
            </w:div>
            <w:div w:id="690837129">
              <w:marLeft w:val="0"/>
              <w:marRight w:val="0"/>
              <w:marTop w:val="0"/>
              <w:marBottom w:val="0"/>
              <w:divBdr>
                <w:top w:val="none" w:sz="0" w:space="0" w:color="auto"/>
                <w:left w:val="none" w:sz="0" w:space="0" w:color="auto"/>
                <w:bottom w:val="none" w:sz="0" w:space="0" w:color="auto"/>
                <w:right w:val="none" w:sz="0" w:space="0" w:color="auto"/>
              </w:divBdr>
              <w:divsChild>
                <w:div w:id="1295022583">
                  <w:marLeft w:val="-75"/>
                  <w:marRight w:val="0"/>
                  <w:marTop w:val="30"/>
                  <w:marBottom w:val="30"/>
                  <w:divBdr>
                    <w:top w:val="none" w:sz="0" w:space="0" w:color="auto"/>
                    <w:left w:val="none" w:sz="0" w:space="0" w:color="auto"/>
                    <w:bottom w:val="none" w:sz="0" w:space="0" w:color="auto"/>
                    <w:right w:val="none" w:sz="0" w:space="0" w:color="auto"/>
                  </w:divBdr>
                  <w:divsChild>
                    <w:div w:id="101148208">
                      <w:marLeft w:val="0"/>
                      <w:marRight w:val="0"/>
                      <w:marTop w:val="0"/>
                      <w:marBottom w:val="0"/>
                      <w:divBdr>
                        <w:top w:val="none" w:sz="0" w:space="0" w:color="auto"/>
                        <w:left w:val="none" w:sz="0" w:space="0" w:color="auto"/>
                        <w:bottom w:val="none" w:sz="0" w:space="0" w:color="auto"/>
                        <w:right w:val="none" w:sz="0" w:space="0" w:color="auto"/>
                      </w:divBdr>
                      <w:divsChild>
                        <w:div w:id="1251160588">
                          <w:marLeft w:val="0"/>
                          <w:marRight w:val="0"/>
                          <w:marTop w:val="0"/>
                          <w:marBottom w:val="0"/>
                          <w:divBdr>
                            <w:top w:val="none" w:sz="0" w:space="0" w:color="auto"/>
                            <w:left w:val="none" w:sz="0" w:space="0" w:color="auto"/>
                            <w:bottom w:val="none" w:sz="0" w:space="0" w:color="auto"/>
                            <w:right w:val="none" w:sz="0" w:space="0" w:color="auto"/>
                          </w:divBdr>
                        </w:div>
                      </w:divsChild>
                    </w:div>
                    <w:div w:id="217983762">
                      <w:marLeft w:val="0"/>
                      <w:marRight w:val="0"/>
                      <w:marTop w:val="0"/>
                      <w:marBottom w:val="0"/>
                      <w:divBdr>
                        <w:top w:val="none" w:sz="0" w:space="0" w:color="auto"/>
                        <w:left w:val="none" w:sz="0" w:space="0" w:color="auto"/>
                        <w:bottom w:val="none" w:sz="0" w:space="0" w:color="auto"/>
                        <w:right w:val="none" w:sz="0" w:space="0" w:color="auto"/>
                      </w:divBdr>
                      <w:divsChild>
                        <w:div w:id="1187254567">
                          <w:marLeft w:val="0"/>
                          <w:marRight w:val="0"/>
                          <w:marTop w:val="0"/>
                          <w:marBottom w:val="0"/>
                          <w:divBdr>
                            <w:top w:val="none" w:sz="0" w:space="0" w:color="auto"/>
                            <w:left w:val="none" w:sz="0" w:space="0" w:color="auto"/>
                            <w:bottom w:val="none" w:sz="0" w:space="0" w:color="auto"/>
                            <w:right w:val="none" w:sz="0" w:space="0" w:color="auto"/>
                          </w:divBdr>
                        </w:div>
                      </w:divsChild>
                    </w:div>
                    <w:div w:id="283272843">
                      <w:marLeft w:val="0"/>
                      <w:marRight w:val="0"/>
                      <w:marTop w:val="0"/>
                      <w:marBottom w:val="0"/>
                      <w:divBdr>
                        <w:top w:val="none" w:sz="0" w:space="0" w:color="auto"/>
                        <w:left w:val="none" w:sz="0" w:space="0" w:color="auto"/>
                        <w:bottom w:val="none" w:sz="0" w:space="0" w:color="auto"/>
                        <w:right w:val="none" w:sz="0" w:space="0" w:color="auto"/>
                      </w:divBdr>
                      <w:divsChild>
                        <w:div w:id="1753354695">
                          <w:marLeft w:val="0"/>
                          <w:marRight w:val="0"/>
                          <w:marTop w:val="0"/>
                          <w:marBottom w:val="0"/>
                          <w:divBdr>
                            <w:top w:val="none" w:sz="0" w:space="0" w:color="auto"/>
                            <w:left w:val="none" w:sz="0" w:space="0" w:color="auto"/>
                            <w:bottom w:val="none" w:sz="0" w:space="0" w:color="auto"/>
                            <w:right w:val="none" w:sz="0" w:space="0" w:color="auto"/>
                          </w:divBdr>
                        </w:div>
                      </w:divsChild>
                    </w:div>
                    <w:div w:id="298535593">
                      <w:marLeft w:val="0"/>
                      <w:marRight w:val="0"/>
                      <w:marTop w:val="0"/>
                      <w:marBottom w:val="0"/>
                      <w:divBdr>
                        <w:top w:val="none" w:sz="0" w:space="0" w:color="auto"/>
                        <w:left w:val="none" w:sz="0" w:space="0" w:color="auto"/>
                        <w:bottom w:val="none" w:sz="0" w:space="0" w:color="auto"/>
                        <w:right w:val="none" w:sz="0" w:space="0" w:color="auto"/>
                      </w:divBdr>
                      <w:divsChild>
                        <w:div w:id="841116987">
                          <w:marLeft w:val="0"/>
                          <w:marRight w:val="0"/>
                          <w:marTop w:val="0"/>
                          <w:marBottom w:val="0"/>
                          <w:divBdr>
                            <w:top w:val="none" w:sz="0" w:space="0" w:color="auto"/>
                            <w:left w:val="none" w:sz="0" w:space="0" w:color="auto"/>
                            <w:bottom w:val="none" w:sz="0" w:space="0" w:color="auto"/>
                            <w:right w:val="none" w:sz="0" w:space="0" w:color="auto"/>
                          </w:divBdr>
                        </w:div>
                      </w:divsChild>
                    </w:div>
                    <w:div w:id="327170764">
                      <w:marLeft w:val="0"/>
                      <w:marRight w:val="0"/>
                      <w:marTop w:val="0"/>
                      <w:marBottom w:val="0"/>
                      <w:divBdr>
                        <w:top w:val="none" w:sz="0" w:space="0" w:color="auto"/>
                        <w:left w:val="none" w:sz="0" w:space="0" w:color="auto"/>
                        <w:bottom w:val="none" w:sz="0" w:space="0" w:color="auto"/>
                        <w:right w:val="none" w:sz="0" w:space="0" w:color="auto"/>
                      </w:divBdr>
                      <w:divsChild>
                        <w:div w:id="761996988">
                          <w:marLeft w:val="0"/>
                          <w:marRight w:val="0"/>
                          <w:marTop w:val="0"/>
                          <w:marBottom w:val="0"/>
                          <w:divBdr>
                            <w:top w:val="none" w:sz="0" w:space="0" w:color="auto"/>
                            <w:left w:val="none" w:sz="0" w:space="0" w:color="auto"/>
                            <w:bottom w:val="none" w:sz="0" w:space="0" w:color="auto"/>
                            <w:right w:val="none" w:sz="0" w:space="0" w:color="auto"/>
                          </w:divBdr>
                        </w:div>
                      </w:divsChild>
                    </w:div>
                    <w:div w:id="377123470">
                      <w:marLeft w:val="0"/>
                      <w:marRight w:val="0"/>
                      <w:marTop w:val="0"/>
                      <w:marBottom w:val="0"/>
                      <w:divBdr>
                        <w:top w:val="none" w:sz="0" w:space="0" w:color="auto"/>
                        <w:left w:val="none" w:sz="0" w:space="0" w:color="auto"/>
                        <w:bottom w:val="none" w:sz="0" w:space="0" w:color="auto"/>
                        <w:right w:val="none" w:sz="0" w:space="0" w:color="auto"/>
                      </w:divBdr>
                      <w:divsChild>
                        <w:div w:id="1245382417">
                          <w:marLeft w:val="0"/>
                          <w:marRight w:val="0"/>
                          <w:marTop w:val="0"/>
                          <w:marBottom w:val="0"/>
                          <w:divBdr>
                            <w:top w:val="none" w:sz="0" w:space="0" w:color="auto"/>
                            <w:left w:val="none" w:sz="0" w:space="0" w:color="auto"/>
                            <w:bottom w:val="none" w:sz="0" w:space="0" w:color="auto"/>
                            <w:right w:val="none" w:sz="0" w:space="0" w:color="auto"/>
                          </w:divBdr>
                        </w:div>
                      </w:divsChild>
                    </w:div>
                    <w:div w:id="443043279">
                      <w:marLeft w:val="0"/>
                      <w:marRight w:val="0"/>
                      <w:marTop w:val="0"/>
                      <w:marBottom w:val="0"/>
                      <w:divBdr>
                        <w:top w:val="none" w:sz="0" w:space="0" w:color="auto"/>
                        <w:left w:val="none" w:sz="0" w:space="0" w:color="auto"/>
                        <w:bottom w:val="none" w:sz="0" w:space="0" w:color="auto"/>
                        <w:right w:val="none" w:sz="0" w:space="0" w:color="auto"/>
                      </w:divBdr>
                      <w:divsChild>
                        <w:div w:id="1289772943">
                          <w:marLeft w:val="0"/>
                          <w:marRight w:val="0"/>
                          <w:marTop w:val="0"/>
                          <w:marBottom w:val="0"/>
                          <w:divBdr>
                            <w:top w:val="none" w:sz="0" w:space="0" w:color="auto"/>
                            <w:left w:val="none" w:sz="0" w:space="0" w:color="auto"/>
                            <w:bottom w:val="none" w:sz="0" w:space="0" w:color="auto"/>
                            <w:right w:val="none" w:sz="0" w:space="0" w:color="auto"/>
                          </w:divBdr>
                        </w:div>
                      </w:divsChild>
                    </w:div>
                    <w:div w:id="462890714">
                      <w:marLeft w:val="0"/>
                      <w:marRight w:val="0"/>
                      <w:marTop w:val="0"/>
                      <w:marBottom w:val="0"/>
                      <w:divBdr>
                        <w:top w:val="none" w:sz="0" w:space="0" w:color="auto"/>
                        <w:left w:val="none" w:sz="0" w:space="0" w:color="auto"/>
                        <w:bottom w:val="none" w:sz="0" w:space="0" w:color="auto"/>
                        <w:right w:val="none" w:sz="0" w:space="0" w:color="auto"/>
                      </w:divBdr>
                      <w:divsChild>
                        <w:div w:id="1520124349">
                          <w:marLeft w:val="0"/>
                          <w:marRight w:val="0"/>
                          <w:marTop w:val="0"/>
                          <w:marBottom w:val="0"/>
                          <w:divBdr>
                            <w:top w:val="none" w:sz="0" w:space="0" w:color="auto"/>
                            <w:left w:val="none" w:sz="0" w:space="0" w:color="auto"/>
                            <w:bottom w:val="none" w:sz="0" w:space="0" w:color="auto"/>
                            <w:right w:val="none" w:sz="0" w:space="0" w:color="auto"/>
                          </w:divBdr>
                        </w:div>
                      </w:divsChild>
                    </w:div>
                    <w:div w:id="590160977">
                      <w:marLeft w:val="0"/>
                      <w:marRight w:val="0"/>
                      <w:marTop w:val="0"/>
                      <w:marBottom w:val="0"/>
                      <w:divBdr>
                        <w:top w:val="none" w:sz="0" w:space="0" w:color="auto"/>
                        <w:left w:val="none" w:sz="0" w:space="0" w:color="auto"/>
                        <w:bottom w:val="none" w:sz="0" w:space="0" w:color="auto"/>
                        <w:right w:val="none" w:sz="0" w:space="0" w:color="auto"/>
                      </w:divBdr>
                      <w:divsChild>
                        <w:div w:id="2094089395">
                          <w:marLeft w:val="0"/>
                          <w:marRight w:val="0"/>
                          <w:marTop w:val="0"/>
                          <w:marBottom w:val="0"/>
                          <w:divBdr>
                            <w:top w:val="none" w:sz="0" w:space="0" w:color="auto"/>
                            <w:left w:val="none" w:sz="0" w:space="0" w:color="auto"/>
                            <w:bottom w:val="none" w:sz="0" w:space="0" w:color="auto"/>
                            <w:right w:val="none" w:sz="0" w:space="0" w:color="auto"/>
                          </w:divBdr>
                        </w:div>
                      </w:divsChild>
                    </w:div>
                    <w:div w:id="592203994">
                      <w:marLeft w:val="0"/>
                      <w:marRight w:val="0"/>
                      <w:marTop w:val="0"/>
                      <w:marBottom w:val="0"/>
                      <w:divBdr>
                        <w:top w:val="none" w:sz="0" w:space="0" w:color="auto"/>
                        <w:left w:val="none" w:sz="0" w:space="0" w:color="auto"/>
                        <w:bottom w:val="none" w:sz="0" w:space="0" w:color="auto"/>
                        <w:right w:val="none" w:sz="0" w:space="0" w:color="auto"/>
                      </w:divBdr>
                      <w:divsChild>
                        <w:div w:id="2055811870">
                          <w:marLeft w:val="0"/>
                          <w:marRight w:val="0"/>
                          <w:marTop w:val="0"/>
                          <w:marBottom w:val="0"/>
                          <w:divBdr>
                            <w:top w:val="none" w:sz="0" w:space="0" w:color="auto"/>
                            <w:left w:val="none" w:sz="0" w:space="0" w:color="auto"/>
                            <w:bottom w:val="none" w:sz="0" w:space="0" w:color="auto"/>
                            <w:right w:val="none" w:sz="0" w:space="0" w:color="auto"/>
                          </w:divBdr>
                        </w:div>
                      </w:divsChild>
                    </w:div>
                    <w:div w:id="616527930">
                      <w:marLeft w:val="0"/>
                      <w:marRight w:val="0"/>
                      <w:marTop w:val="0"/>
                      <w:marBottom w:val="0"/>
                      <w:divBdr>
                        <w:top w:val="none" w:sz="0" w:space="0" w:color="auto"/>
                        <w:left w:val="none" w:sz="0" w:space="0" w:color="auto"/>
                        <w:bottom w:val="none" w:sz="0" w:space="0" w:color="auto"/>
                        <w:right w:val="none" w:sz="0" w:space="0" w:color="auto"/>
                      </w:divBdr>
                      <w:divsChild>
                        <w:div w:id="1888446472">
                          <w:marLeft w:val="0"/>
                          <w:marRight w:val="0"/>
                          <w:marTop w:val="0"/>
                          <w:marBottom w:val="0"/>
                          <w:divBdr>
                            <w:top w:val="none" w:sz="0" w:space="0" w:color="auto"/>
                            <w:left w:val="none" w:sz="0" w:space="0" w:color="auto"/>
                            <w:bottom w:val="none" w:sz="0" w:space="0" w:color="auto"/>
                            <w:right w:val="none" w:sz="0" w:space="0" w:color="auto"/>
                          </w:divBdr>
                        </w:div>
                      </w:divsChild>
                    </w:div>
                    <w:div w:id="638339604">
                      <w:marLeft w:val="0"/>
                      <w:marRight w:val="0"/>
                      <w:marTop w:val="0"/>
                      <w:marBottom w:val="0"/>
                      <w:divBdr>
                        <w:top w:val="none" w:sz="0" w:space="0" w:color="auto"/>
                        <w:left w:val="none" w:sz="0" w:space="0" w:color="auto"/>
                        <w:bottom w:val="none" w:sz="0" w:space="0" w:color="auto"/>
                        <w:right w:val="none" w:sz="0" w:space="0" w:color="auto"/>
                      </w:divBdr>
                      <w:divsChild>
                        <w:div w:id="2124303343">
                          <w:marLeft w:val="0"/>
                          <w:marRight w:val="0"/>
                          <w:marTop w:val="0"/>
                          <w:marBottom w:val="0"/>
                          <w:divBdr>
                            <w:top w:val="none" w:sz="0" w:space="0" w:color="auto"/>
                            <w:left w:val="none" w:sz="0" w:space="0" w:color="auto"/>
                            <w:bottom w:val="none" w:sz="0" w:space="0" w:color="auto"/>
                            <w:right w:val="none" w:sz="0" w:space="0" w:color="auto"/>
                          </w:divBdr>
                        </w:div>
                      </w:divsChild>
                    </w:div>
                    <w:div w:id="706879539">
                      <w:marLeft w:val="0"/>
                      <w:marRight w:val="0"/>
                      <w:marTop w:val="0"/>
                      <w:marBottom w:val="0"/>
                      <w:divBdr>
                        <w:top w:val="none" w:sz="0" w:space="0" w:color="auto"/>
                        <w:left w:val="none" w:sz="0" w:space="0" w:color="auto"/>
                        <w:bottom w:val="none" w:sz="0" w:space="0" w:color="auto"/>
                        <w:right w:val="none" w:sz="0" w:space="0" w:color="auto"/>
                      </w:divBdr>
                      <w:divsChild>
                        <w:div w:id="531919044">
                          <w:marLeft w:val="0"/>
                          <w:marRight w:val="0"/>
                          <w:marTop w:val="0"/>
                          <w:marBottom w:val="0"/>
                          <w:divBdr>
                            <w:top w:val="none" w:sz="0" w:space="0" w:color="auto"/>
                            <w:left w:val="none" w:sz="0" w:space="0" w:color="auto"/>
                            <w:bottom w:val="none" w:sz="0" w:space="0" w:color="auto"/>
                            <w:right w:val="none" w:sz="0" w:space="0" w:color="auto"/>
                          </w:divBdr>
                        </w:div>
                      </w:divsChild>
                    </w:div>
                    <w:div w:id="986128513">
                      <w:marLeft w:val="0"/>
                      <w:marRight w:val="0"/>
                      <w:marTop w:val="0"/>
                      <w:marBottom w:val="0"/>
                      <w:divBdr>
                        <w:top w:val="none" w:sz="0" w:space="0" w:color="auto"/>
                        <w:left w:val="none" w:sz="0" w:space="0" w:color="auto"/>
                        <w:bottom w:val="none" w:sz="0" w:space="0" w:color="auto"/>
                        <w:right w:val="none" w:sz="0" w:space="0" w:color="auto"/>
                      </w:divBdr>
                      <w:divsChild>
                        <w:div w:id="621306448">
                          <w:marLeft w:val="0"/>
                          <w:marRight w:val="0"/>
                          <w:marTop w:val="0"/>
                          <w:marBottom w:val="0"/>
                          <w:divBdr>
                            <w:top w:val="none" w:sz="0" w:space="0" w:color="auto"/>
                            <w:left w:val="none" w:sz="0" w:space="0" w:color="auto"/>
                            <w:bottom w:val="none" w:sz="0" w:space="0" w:color="auto"/>
                            <w:right w:val="none" w:sz="0" w:space="0" w:color="auto"/>
                          </w:divBdr>
                        </w:div>
                      </w:divsChild>
                    </w:div>
                    <w:div w:id="1022586862">
                      <w:marLeft w:val="0"/>
                      <w:marRight w:val="0"/>
                      <w:marTop w:val="0"/>
                      <w:marBottom w:val="0"/>
                      <w:divBdr>
                        <w:top w:val="none" w:sz="0" w:space="0" w:color="auto"/>
                        <w:left w:val="none" w:sz="0" w:space="0" w:color="auto"/>
                        <w:bottom w:val="none" w:sz="0" w:space="0" w:color="auto"/>
                        <w:right w:val="none" w:sz="0" w:space="0" w:color="auto"/>
                      </w:divBdr>
                      <w:divsChild>
                        <w:div w:id="18167757">
                          <w:marLeft w:val="0"/>
                          <w:marRight w:val="0"/>
                          <w:marTop w:val="0"/>
                          <w:marBottom w:val="0"/>
                          <w:divBdr>
                            <w:top w:val="none" w:sz="0" w:space="0" w:color="auto"/>
                            <w:left w:val="none" w:sz="0" w:space="0" w:color="auto"/>
                            <w:bottom w:val="none" w:sz="0" w:space="0" w:color="auto"/>
                            <w:right w:val="none" w:sz="0" w:space="0" w:color="auto"/>
                          </w:divBdr>
                        </w:div>
                      </w:divsChild>
                    </w:div>
                    <w:div w:id="1114331053">
                      <w:marLeft w:val="0"/>
                      <w:marRight w:val="0"/>
                      <w:marTop w:val="0"/>
                      <w:marBottom w:val="0"/>
                      <w:divBdr>
                        <w:top w:val="none" w:sz="0" w:space="0" w:color="auto"/>
                        <w:left w:val="none" w:sz="0" w:space="0" w:color="auto"/>
                        <w:bottom w:val="none" w:sz="0" w:space="0" w:color="auto"/>
                        <w:right w:val="none" w:sz="0" w:space="0" w:color="auto"/>
                      </w:divBdr>
                      <w:divsChild>
                        <w:div w:id="915625485">
                          <w:marLeft w:val="0"/>
                          <w:marRight w:val="0"/>
                          <w:marTop w:val="0"/>
                          <w:marBottom w:val="0"/>
                          <w:divBdr>
                            <w:top w:val="none" w:sz="0" w:space="0" w:color="auto"/>
                            <w:left w:val="none" w:sz="0" w:space="0" w:color="auto"/>
                            <w:bottom w:val="none" w:sz="0" w:space="0" w:color="auto"/>
                            <w:right w:val="none" w:sz="0" w:space="0" w:color="auto"/>
                          </w:divBdr>
                        </w:div>
                      </w:divsChild>
                    </w:div>
                    <w:div w:id="1196384159">
                      <w:marLeft w:val="0"/>
                      <w:marRight w:val="0"/>
                      <w:marTop w:val="0"/>
                      <w:marBottom w:val="0"/>
                      <w:divBdr>
                        <w:top w:val="none" w:sz="0" w:space="0" w:color="auto"/>
                        <w:left w:val="none" w:sz="0" w:space="0" w:color="auto"/>
                        <w:bottom w:val="none" w:sz="0" w:space="0" w:color="auto"/>
                        <w:right w:val="none" w:sz="0" w:space="0" w:color="auto"/>
                      </w:divBdr>
                      <w:divsChild>
                        <w:div w:id="1174151866">
                          <w:marLeft w:val="0"/>
                          <w:marRight w:val="0"/>
                          <w:marTop w:val="0"/>
                          <w:marBottom w:val="0"/>
                          <w:divBdr>
                            <w:top w:val="none" w:sz="0" w:space="0" w:color="auto"/>
                            <w:left w:val="none" w:sz="0" w:space="0" w:color="auto"/>
                            <w:bottom w:val="none" w:sz="0" w:space="0" w:color="auto"/>
                            <w:right w:val="none" w:sz="0" w:space="0" w:color="auto"/>
                          </w:divBdr>
                        </w:div>
                      </w:divsChild>
                    </w:div>
                    <w:div w:id="1211500321">
                      <w:marLeft w:val="0"/>
                      <w:marRight w:val="0"/>
                      <w:marTop w:val="0"/>
                      <w:marBottom w:val="0"/>
                      <w:divBdr>
                        <w:top w:val="none" w:sz="0" w:space="0" w:color="auto"/>
                        <w:left w:val="none" w:sz="0" w:space="0" w:color="auto"/>
                        <w:bottom w:val="none" w:sz="0" w:space="0" w:color="auto"/>
                        <w:right w:val="none" w:sz="0" w:space="0" w:color="auto"/>
                      </w:divBdr>
                      <w:divsChild>
                        <w:div w:id="1947077214">
                          <w:marLeft w:val="0"/>
                          <w:marRight w:val="0"/>
                          <w:marTop w:val="0"/>
                          <w:marBottom w:val="0"/>
                          <w:divBdr>
                            <w:top w:val="none" w:sz="0" w:space="0" w:color="auto"/>
                            <w:left w:val="none" w:sz="0" w:space="0" w:color="auto"/>
                            <w:bottom w:val="none" w:sz="0" w:space="0" w:color="auto"/>
                            <w:right w:val="none" w:sz="0" w:space="0" w:color="auto"/>
                          </w:divBdr>
                        </w:div>
                      </w:divsChild>
                    </w:div>
                    <w:div w:id="1440447617">
                      <w:marLeft w:val="0"/>
                      <w:marRight w:val="0"/>
                      <w:marTop w:val="0"/>
                      <w:marBottom w:val="0"/>
                      <w:divBdr>
                        <w:top w:val="none" w:sz="0" w:space="0" w:color="auto"/>
                        <w:left w:val="none" w:sz="0" w:space="0" w:color="auto"/>
                        <w:bottom w:val="none" w:sz="0" w:space="0" w:color="auto"/>
                        <w:right w:val="none" w:sz="0" w:space="0" w:color="auto"/>
                      </w:divBdr>
                      <w:divsChild>
                        <w:div w:id="1565949753">
                          <w:marLeft w:val="0"/>
                          <w:marRight w:val="0"/>
                          <w:marTop w:val="0"/>
                          <w:marBottom w:val="0"/>
                          <w:divBdr>
                            <w:top w:val="none" w:sz="0" w:space="0" w:color="auto"/>
                            <w:left w:val="none" w:sz="0" w:space="0" w:color="auto"/>
                            <w:bottom w:val="none" w:sz="0" w:space="0" w:color="auto"/>
                            <w:right w:val="none" w:sz="0" w:space="0" w:color="auto"/>
                          </w:divBdr>
                        </w:div>
                      </w:divsChild>
                    </w:div>
                    <w:div w:id="1462653889">
                      <w:marLeft w:val="0"/>
                      <w:marRight w:val="0"/>
                      <w:marTop w:val="0"/>
                      <w:marBottom w:val="0"/>
                      <w:divBdr>
                        <w:top w:val="none" w:sz="0" w:space="0" w:color="auto"/>
                        <w:left w:val="none" w:sz="0" w:space="0" w:color="auto"/>
                        <w:bottom w:val="none" w:sz="0" w:space="0" w:color="auto"/>
                        <w:right w:val="none" w:sz="0" w:space="0" w:color="auto"/>
                      </w:divBdr>
                      <w:divsChild>
                        <w:div w:id="1323851565">
                          <w:marLeft w:val="0"/>
                          <w:marRight w:val="0"/>
                          <w:marTop w:val="0"/>
                          <w:marBottom w:val="0"/>
                          <w:divBdr>
                            <w:top w:val="none" w:sz="0" w:space="0" w:color="auto"/>
                            <w:left w:val="none" w:sz="0" w:space="0" w:color="auto"/>
                            <w:bottom w:val="none" w:sz="0" w:space="0" w:color="auto"/>
                            <w:right w:val="none" w:sz="0" w:space="0" w:color="auto"/>
                          </w:divBdr>
                        </w:div>
                      </w:divsChild>
                    </w:div>
                    <w:div w:id="1514029398">
                      <w:marLeft w:val="0"/>
                      <w:marRight w:val="0"/>
                      <w:marTop w:val="0"/>
                      <w:marBottom w:val="0"/>
                      <w:divBdr>
                        <w:top w:val="none" w:sz="0" w:space="0" w:color="auto"/>
                        <w:left w:val="none" w:sz="0" w:space="0" w:color="auto"/>
                        <w:bottom w:val="none" w:sz="0" w:space="0" w:color="auto"/>
                        <w:right w:val="none" w:sz="0" w:space="0" w:color="auto"/>
                      </w:divBdr>
                      <w:divsChild>
                        <w:div w:id="638267664">
                          <w:marLeft w:val="0"/>
                          <w:marRight w:val="0"/>
                          <w:marTop w:val="0"/>
                          <w:marBottom w:val="0"/>
                          <w:divBdr>
                            <w:top w:val="none" w:sz="0" w:space="0" w:color="auto"/>
                            <w:left w:val="none" w:sz="0" w:space="0" w:color="auto"/>
                            <w:bottom w:val="none" w:sz="0" w:space="0" w:color="auto"/>
                            <w:right w:val="none" w:sz="0" w:space="0" w:color="auto"/>
                          </w:divBdr>
                        </w:div>
                      </w:divsChild>
                    </w:div>
                    <w:div w:id="1675495460">
                      <w:marLeft w:val="0"/>
                      <w:marRight w:val="0"/>
                      <w:marTop w:val="0"/>
                      <w:marBottom w:val="0"/>
                      <w:divBdr>
                        <w:top w:val="none" w:sz="0" w:space="0" w:color="auto"/>
                        <w:left w:val="none" w:sz="0" w:space="0" w:color="auto"/>
                        <w:bottom w:val="none" w:sz="0" w:space="0" w:color="auto"/>
                        <w:right w:val="none" w:sz="0" w:space="0" w:color="auto"/>
                      </w:divBdr>
                      <w:divsChild>
                        <w:div w:id="125513260">
                          <w:marLeft w:val="0"/>
                          <w:marRight w:val="0"/>
                          <w:marTop w:val="0"/>
                          <w:marBottom w:val="0"/>
                          <w:divBdr>
                            <w:top w:val="none" w:sz="0" w:space="0" w:color="auto"/>
                            <w:left w:val="none" w:sz="0" w:space="0" w:color="auto"/>
                            <w:bottom w:val="none" w:sz="0" w:space="0" w:color="auto"/>
                            <w:right w:val="none" w:sz="0" w:space="0" w:color="auto"/>
                          </w:divBdr>
                        </w:div>
                      </w:divsChild>
                    </w:div>
                    <w:div w:id="1687050658">
                      <w:marLeft w:val="0"/>
                      <w:marRight w:val="0"/>
                      <w:marTop w:val="0"/>
                      <w:marBottom w:val="0"/>
                      <w:divBdr>
                        <w:top w:val="none" w:sz="0" w:space="0" w:color="auto"/>
                        <w:left w:val="none" w:sz="0" w:space="0" w:color="auto"/>
                        <w:bottom w:val="none" w:sz="0" w:space="0" w:color="auto"/>
                        <w:right w:val="none" w:sz="0" w:space="0" w:color="auto"/>
                      </w:divBdr>
                      <w:divsChild>
                        <w:div w:id="488911151">
                          <w:marLeft w:val="0"/>
                          <w:marRight w:val="0"/>
                          <w:marTop w:val="0"/>
                          <w:marBottom w:val="0"/>
                          <w:divBdr>
                            <w:top w:val="none" w:sz="0" w:space="0" w:color="auto"/>
                            <w:left w:val="none" w:sz="0" w:space="0" w:color="auto"/>
                            <w:bottom w:val="none" w:sz="0" w:space="0" w:color="auto"/>
                            <w:right w:val="none" w:sz="0" w:space="0" w:color="auto"/>
                          </w:divBdr>
                        </w:div>
                      </w:divsChild>
                    </w:div>
                    <w:div w:id="1695695171">
                      <w:marLeft w:val="0"/>
                      <w:marRight w:val="0"/>
                      <w:marTop w:val="0"/>
                      <w:marBottom w:val="0"/>
                      <w:divBdr>
                        <w:top w:val="none" w:sz="0" w:space="0" w:color="auto"/>
                        <w:left w:val="none" w:sz="0" w:space="0" w:color="auto"/>
                        <w:bottom w:val="none" w:sz="0" w:space="0" w:color="auto"/>
                        <w:right w:val="none" w:sz="0" w:space="0" w:color="auto"/>
                      </w:divBdr>
                      <w:divsChild>
                        <w:div w:id="519978821">
                          <w:marLeft w:val="0"/>
                          <w:marRight w:val="0"/>
                          <w:marTop w:val="0"/>
                          <w:marBottom w:val="0"/>
                          <w:divBdr>
                            <w:top w:val="none" w:sz="0" w:space="0" w:color="auto"/>
                            <w:left w:val="none" w:sz="0" w:space="0" w:color="auto"/>
                            <w:bottom w:val="none" w:sz="0" w:space="0" w:color="auto"/>
                            <w:right w:val="none" w:sz="0" w:space="0" w:color="auto"/>
                          </w:divBdr>
                        </w:div>
                      </w:divsChild>
                    </w:div>
                    <w:div w:id="1796219944">
                      <w:marLeft w:val="0"/>
                      <w:marRight w:val="0"/>
                      <w:marTop w:val="0"/>
                      <w:marBottom w:val="0"/>
                      <w:divBdr>
                        <w:top w:val="none" w:sz="0" w:space="0" w:color="auto"/>
                        <w:left w:val="none" w:sz="0" w:space="0" w:color="auto"/>
                        <w:bottom w:val="none" w:sz="0" w:space="0" w:color="auto"/>
                        <w:right w:val="none" w:sz="0" w:space="0" w:color="auto"/>
                      </w:divBdr>
                      <w:divsChild>
                        <w:div w:id="297490971">
                          <w:marLeft w:val="0"/>
                          <w:marRight w:val="0"/>
                          <w:marTop w:val="0"/>
                          <w:marBottom w:val="0"/>
                          <w:divBdr>
                            <w:top w:val="none" w:sz="0" w:space="0" w:color="auto"/>
                            <w:left w:val="none" w:sz="0" w:space="0" w:color="auto"/>
                            <w:bottom w:val="none" w:sz="0" w:space="0" w:color="auto"/>
                            <w:right w:val="none" w:sz="0" w:space="0" w:color="auto"/>
                          </w:divBdr>
                        </w:div>
                      </w:divsChild>
                    </w:div>
                    <w:div w:id="1811164191">
                      <w:marLeft w:val="0"/>
                      <w:marRight w:val="0"/>
                      <w:marTop w:val="0"/>
                      <w:marBottom w:val="0"/>
                      <w:divBdr>
                        <w:top w:val="none" w:sz="0" w:space="0" w:color="auto"/>
                        <w:left w:val="none" w:sz="0" w:space="0" w:color="auto"/>
                        <w:bottom w:val="none" w:sz="0" w:space="0" w:color="auto"/>
                        <w:right w:val="none" w:sz="0" w:space="0" w:color="auto"/>
                      </w:divBdr>
                      <w:divsChild>
                        <w:div w:id="1980841287">
                          <w:marLeft w:val="0"/>
                          <w:marRight w:val="0"/>
                          <w:marTop w:val="0"/>
                          <w:marBottom w:val="0"/>
                          <w:divBdr>
                            <w:top w:val="none" w:sz="0" w:space="0" w:color="auto"/>
                            <w:left w:val="none" w:sz="0" w:space="0" w:color="auto"/>
                            <w:bottom w:val="none" w:sz="0" w:space="0" w:color="auto"/>
                            <w:right w:val="none" w:sz="0" w:space="0" w:color="auto"/>
                          </w:divBdr>
                        </w:div>
                      </w:divsChild>
                    </w:div>
                    <w:div w:id="1890721491">
                      <w:marLeft w:val="0"/>
                      <w:marRight w:val="0"/>
                      <w:marTop w:val="0"/>
                      <w:marBottom w:val="0"/>
                      <w:divBdr>
                        <w:top w:val="none" w:sz="0" w:space="0" w:color="auto"/>
                        <w:left w:val="none" w:sz="0" w:space="0" w:color="auto"/>
                        <w:bottom w:val="none" w:sz="0" w:space="0" w:color="auto"/>
                        <w:right w:val="none" w:sz="0" w:space="0" w:color="auto"/>
                      </w:divBdr>
                      <w:divsChild>
                        <w:div w:id="1811359810">
                          <w:marLeft w:val="0"/>
                          <w:marRight w:val="0"/>
                          <w:marTop w:val="0"/>
                          <w:marBottom w:val="0"/>
                          <w:divBdr>
                            <w:top w:val="none" w:sz="0" w:space="0" w:color="auto"/>
                            <w:left w:val="none" w:sz="0" w:space="0" w:color="auto"/>
                            <w:bottom w:val="none" w:sz="0" w:space="0" w:color="auto"/>
                            <w:right w:val="none" w:sz="0" w:space="0" w:color="auto"/>
                          </w:divBdr>
                        </w:div>
                      </w:divsChild>
                    </w:div>
                    <w:div w:id="2131626813">
                      <w:marLeft w:val="0"/>
                      <w:marRight w:val="0"/>
                      <w:marTop w:val="0"/>
                      <w:marBottom w:val="0"/>
                      <w:divBdr>
                        <w:top w:val="none" w:sz="0" w:space="0" w:color="auto"/>
                        <w:left w:val="none" w:sz="0" w:space="0" w:color="auto"/>
                        <w:bottom w:val="none" w:sz="0" w:space="0" w:color="auto"/>
                        <w:right w:val="none" w:sz="0" w:space="0" w:color="auto"/>
                      </w:divBdr>
                      <w:divsChild>
                        <w:div w:id="5015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9728">
              <w:marLeft w:val="0"/>
              <w:marRight w:val="0"/>
              <w:marTop w:val="0"/>
              <w:marBottom w:val="0"/>
              <w:divBdr>
                <w:top w:val="none" w:sz="0" w:space="0" w:color="auto"/>
                <w:left w:val="none" w:sz="0" w:space="0" w:color="auto"/>
                <w:bottom w:val="none" w:sz="0" w:space="0" w:color="auto"/>
                <w:right w:val="none" w:sz="0" w:space="0" w:color="auto"/>
              </w:divBdr>
            </w:div>
            <w:div w:id="1075932449">
              <w:marLeft w:val="0"/>
              <w:marRight w:val="0"/>
              <w:marTop w:val="0"/>
              <w:marBottom w:val="0"/>
              <w:divBdr>
                <w:top w:val="none" w:sz="0" w:space="0" w:color="auto"/>
                <w:left w:val="none" w:sz="0" w:space="0" w:color="auto"/>
                <w:bottom w:val="none" w:sz="0" w:space="0" w:color="auto"/>
                <w:right w:val="none" w:sz="0" w:space="0" w:color="auto"/>
              </w:divBdr>
            </w:div>
            <w:div w:id="1544636670">
              <w:marLeft w:val="0"/>
              <w:marRight w:val="0"/>
              <w:marTop w:val="0"/>
              <w:marBottom w:val="0"/>
              <w:divBdr>
                <w:top w:val="none" w:sz="0" w:space="0" w:color="auto"/>
                <w:left w:val="none" w:sz="0" w:space="0" w:color="auto"/>
                <w:bottom w:val="none" w:sz="0" w:space="0" w:color="auto"/>
                <w:right w:val="none" w:sz="0" w:space="0" w:color="auto"/>
              </w:divBdr>
            </w:div>
          </w:divsChild>
        </w:div>
        <w:div w:id="1328754040">
          <w:marLeft w:val="0"/>
          <w:marRight w:val="0"/>
          <w:marTop w:val="0"/>
          <w:marBottom w:val="0"/>
          <w:divBdr>
            <w:top w:val="none" w:sz="0" w:space="0" w:color="auto"/>
            <w:left w:val="none" w:sz="0" w:space="0" w:color="auto"/>
            <w:bottom w:val="none" w:sz="0" w:space="0" w:color="auto"/>
            <w:right w:val="none" w:sz="0" w:space="0" w:color="auto"/>
          </w:divBdr>
          <w:divsChild>
            <w:div w:id="501968418">
              <w:marLeft w:val="0"/>
              <w:marRight w:val="0"/>
              <w:marTop w:val="0"/>
              <w:marBottom w:val="0"/>
              <w:divBdr>
                <w:top w:val="none" w:sz="0" w:space="0" w:color="auto"/>
                <w:left w:val="none" w:sz="0" w:space="0" w:color="auto"/>
                <w:bottom w:val="none" w:sz="0" w:space="0" w:color="auto"/>
                <w:right w:val="none" w:sz="0" w:space="0" w:color="auto"/>
              </w:divBdr>
            </w:div>
            <w:div w:id="868102615">
              <w:marLeft w:val="0"/>
              <w:marRight w:val="0"/>
              <w:marTop w:val="0"/>
              <w:marBottom w:val="0"/>
              <w:divBdr>
                <w:top w:val="none" w:sz="0" w:space="0" w:color="auto"/>
                <w:left w:val="none" w:sz="0" w:space="0" w:color="auto"/>
                <w:bottom w:val="none" w:sz="0" w:space="0" w:color="auto"/>
                <w:right w:val="none" w:sz="0" w:space="0" w:color="auto"/>
              </w:divBdr>
            </w:div>
            <w:div w:id="1187719788">
              <w:marLeft w:val="0"/>
              <w:marRight w:val="0"/>
              <w:marTop w:val="0"/>
              <w:marBottom w:val="0"/>
              <w:divBdr>
                <w:top w:val="none" w:sz="0" w:space="0" w:color="auto"/>
                <w:left w:val="none" w:sz="0" w:space="0" w:color="auto"/>
                <w:bottom w:val="none" w:sz="0" w:space="0" w:color="auto"/>
                <w:right w:val="none" w:sz="0" w:space="0" w:color="auto"/>
              </w:divBdr>
            </w:div>
            <w:div w:id="1607494559">
              <w:marLeft w:val="0"/>
              <w:marRight w:val="0"/>
              <w:marTop w:val="0"/>
              <w:marBottom w:val="0"/>
              <w:divBdr>
                <w:top w:val="none" w:sz="0" w:space="0" w:color="auto"/>
                <w:left w:val="none" w:sz="0" w:space="0" w:color="auto"/>
                <w:bottom w:val="none" w:sz="0" w:space="0" w:color="auto"/>
                <w:right w:val="none" w:sz="0" w:space="0" w:color="auto"/>
              </w:divBdr>
            </w:div>
          </w:divsChild>
        </w:div>
        <w:div w:id="1365204564">
          <w:marLeft w:val="0"/>
          <w:marRight w:val="0"/>
          <w:marTop w:val="0"/>
          <w:marBottom w:val="0"/>
          <w:divBdr>
            <w:top w:val="none" w:sz="0" w:space="0" w:color="auto"/>
            <w:left w:val="none" w:sz="0" w:space="0" w:color="auto"/>
            <w:bottom w:val="none" w:sz="0" w:space="0" w:color="auto"/>
            <w:right w:val="none" w:sz="0" w:space="0" w:color="auto"/>
          </w:divBdr>
          <w:divsChild>
            <w:div w:id="769743680">
              <w:marLeft w:val="-75"/>
              <w:marRight w:val="0"/>
              <w:marTop w:val="30"/>
              <w:marBottom w:val="30"/>
              <w:divBdr>
                <w:top w:val="none" w:sz="0" w:space="0" w:color="auto"/>
                <w:left w:val="none" w:sz="0" w:space="0" w:color="auto"/>
                <w:bottom w:val="none" w:sz="0" w:space="0" w:color="auto"/>
                <w:right w:val="none" w:sz="0" w:space="0" w:color="auto"/>
              </w:divBdr>
              <w:divsChild>
                <w:div w:id="80881730">
                  <w:marLeft w:val="0"/>
                  <w:marRight w:val="0"/>
                  <w:marTop w:val="0"/>
                  <w:marBottom w:val="0"/>
                  <w:divBdr>
                    <w:top w:val="none" w:sz="0" w:space="0" w:color="auto"/>
                    <w:left w:val="none" w:sz="0" w:space="0" w:color="auto"/>
                    <w:bottom w:val="none" w:sz="0" w:space="0" w:color="auto"/>
                    <w:right w:val="none" w:sz="0" w:space="0" w:color="auto"/>
                  </w:divBdr>
                  <w:divsChild>
                    <w:div w:id="1793666161">
                      <w:marLeft w:val="0"/>
                      <w:marRight w:val="0"/>
                      <w:marTop w:val="0"/>
                      <w:marBottom w:val="0"/>
                      <w:divBdr>
                        <w:top w:val="none" w:sz="0" w:space="0" w:color="auto"/>
                        <w:left w:val="none" w:sz="0" w:space="0" w:color="auto"/>
                        <w:bottom w:val="none" w:sz="0" w:space="0" w:color="auto"/>
                        <w:right w:val="none" w:sz="0" w:space="0" w:color="auto"/>
                      </w:divBdr>
                    </w:div>
                  </w:divsChild>
                </w:div>
                <w:div w:id="150290189">
                  <w:marLeft w:val="0"/>
                  <w:marRight w:val="0"/>
                  <w:marTop w:val="0"/>
                  <w:marBottom w:val="0"/>
                  <w:divBdr>
                    <w:top w:val="none" w:sz="0" w:space="0" w:color="auto"/>
                    <w:left w:val="none" w:sz="0" w:space="0" w:color="auto"/>
                    <w:bottom w:val="none" w:sz="0" w:space="0" w:color="auto"/>
                    <w:right w:val="none" w:sz="0" w:space="0" w:color="auto"/>
                  </w:divBdr>
                  <w:divsChild>
                    <w:div w:id="1564363494">
                      <w:marLeft w:val="0"/>
                      <w:marRight w:val="0"/>
                      <w:marTop w:val="0"/>
                      <w:marBottom w:val="0"/>
                      <w:divBdr>
                        <w:top w:val="none" w:sz="0" w:space="0" w:color="auto"/>
                        <w:left w:val="none" w:sz="0" w:space="0" w:color="auto"/>
                        <w:bottom w:val="none" w:sz="0" w:space="0" w:color="auto"/>
                        <w:right w:val="none" w:sz="0" w:space="0" w:color="auto"/>
                      </w:divBdr>
                    </w:div>
                  </w:divsChild>
                </w:div>
                <w:div w:id="196432446">
                  <w:marLeft w:val="0"/>
                  <w:marRight w:val="0"/>
                  <w:marTop w:val="0"/>
                  <w:marBottom w:val="0"/>
                  <w:divBdr>
                    <w:top w:val="none" w:sz="0" w:space="0" w:color="auto"/>
                    <w:left w:val="none" w:sz="0" w:space="0" w:color="auto"/>
                    <w:bottom w:val="none" w:sz="0" w:space="0" w:color="auto"/>
                    <w:right w:val="none" w:sz="0" w:space="0" w:color="auto"/>
                  </w:divBdr>
                  <w:divsChild>
                    <w:div w:id="2016419108">
                      <w:marLeft w:val="0"/>
                      <w:marRight w:val="0"/>
                      <w:marTop w:val="0"/>
                      <w:marBottom w:val="0"/>
                      <w:divBdr>
                        <w:top w:val="none" w:sz="0" w:space="0" w:color="auto"/>
                        <w:left w:val="none" w:sz="0" w:space="0" w:color="auto"/>
                        <w:bottom w:val="none" w:sz="0" w:space="0" w:color="auto"/>
                        <w:right w:val="none" w:sz="0" w:space="0" w:color="auto"/>
                      </w:divBdr>
                    </w:div>
                  </w:divsChild>
                </w:div>
                <w:div w:id="199560113">
                  <w:marLeft w:val="0"/>
                  <w:marRight w:val="0"/>
                  <w:marTop w:val="0"/>
                  <w:marBottom w:val="0"/>
                  <w:divBdr>
                    <w:top w:val="none" w:sz="0" w:space="0" w:color="auto"/>
                    <w:left w:val="none" w:sz="0" w:space="0" w:color="auto"/>
                    <w:bottom w:val="none" w:sz="0" w:space="0" w:color="auto"/>
                    <w:right w:val="none" w:sz="0" w:space="0" w:color="auto"/>
                  </w:divBdr>
                  <w:divsChild>
                    <w:div w:id="449594433">
                      <w:marLeft w:val="0"/>
                      <w:marRight w:val="0"/>
                      <w:marTop w:val="0"/>
                      <w:marBottom w:val="0"/>
                      <w:divBdr>
                        <w:top w:val="none" w:sz="0" w:space="0" w:color="auto"/>
                        <w:left w:val="none" w:sz="0" w:space="0" w:color="auto"/>
                        <w:bottom w:val="none" w:sz="0" w:space="0" w:color="auto"/>
                        <w:right w:val="none" w:sz="0" w:space="0" w:color="auto"/>
                      </w:divBdr>
                    </w:div>
                  </w:divsChild>
                </w:div>
                <w:div w:id="238830046">
                  <w:marLeft w:val="0"/>
                  <w:marRight w:val="0"/>
                  <w:marTop w:val="0"/>
                  <w:marBottom w:val="0"/>
                  <w:divBdr>
                    <w:top w:val="none" w:sz="0" w:space="0" w:color="auto"/>
                    <w:left w:val="none" w:sz="0" w:space="0" w:color="auto"/>
                    <w:bottom w:val="none" w:sz="0" w:space="0" w:color="auto"/>
                    <w:right w:val="none" w:sz="0" w:space="0" w:color="auto"/>
                  </w:divBdr>
                  <w:divsChild>
                    <w:div w:id="1670139409">
                      <w:marLeft w:val="0"/>
                      <w:marRight w:val="0"/>
                      <w:marTop w:val="0"/>
                      <w:marBottom w:val="0"/>
                      <w:divBdr>
                        <w:top w:val="none" w:sz="0" w:space="0" w:color="auto"/>
                        <w:left w:val="none" w:sz="0" w:space="0" w:color="auto"/>
                        <w:bottom w:val="none" w:sz="0" w:space="0" w:color="auto"/>
                        <w:right w:val="none" w:sz="0" w:space="0" w:color="auto"/>
                      </w:divBdr>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1777678313">
                      <w:marLeft w:val="0"/>
                      <w:marRight w:val="0"/>
                      <w:marTop w:val="0"/>
                      <w:marBottom w:val="0"/>
                      <w:divBdr>
                        <w:top w:val="none" w:sz="0" w:space="0" w:color="auto"/>
                        <w:left w:val="none" w:sz="0" w:space="0" w:color="auto"/>
                        <w:bottom w:val="none" w:sz="0" w:space="0" w:color="auto"/>
                        <w:right w:val="none" w:sz="0" w:space="0" w:color="auto"/>
                      </w:divBdr>
                    </w:div>
                  </w:divsChild>
                </w:div>
                <w:div w:id="299380677">
                  <w:marLeft w:val="0"/>
                  <w:marRight w:val="0"/>
                  <w:marTop w:val="0"/>
                  <w:marBottom w:val="0"/>
                  <w:divBdr>
                    <w:top w:val="none" w:sz="0" w:space="0" w:color="auto"/>
                    <w:left w:val="none" w:sz="0" w:space="0" w:color="auto"/>
                    <w:bottom w:val="none" w:sz="0" w:space="0" w:color="auto"/>
                    <w:right w:val="none" w:sz="0" w:space="0" w:color="auto"/>
                  </w:divBdr>
                  <w:divsChild>
                    <w:div w:id="40401759">
                      <w:marLeft w:val="0"/>
                      <w:marRight w:val="0"/>
                      <w:marTop w:val="0"/>
                      <w:marBottom w:val="0"/>
                      <w:divBdr>
                        <w:top w:val="none" w:sz="0" w:space="0" w:color="auto"/>
                        <w:left w:val="none" w:sz="0" w:space="0" w:color="auto"/>
                        <w:bottom w:val="none" w:sz="0" w:space="0" w:color="auto"/>
                        <w:right w:val="none" w:sz="0" w:space="0" w:color="auto"/>
                      </w:divBdr>
                    </w:div>
                  </w:divsChild>
                </w:div>
                <w:div w:id="390735195">
                  <w:marLeft w:val="0"/>
                  <w:marRight w:val="0"/>
                  <w:marTop w:val="0"/>
                  <w:marBottom w:val="0"/>
                  <w:divBdr>
                    <w:top w:val="none" w:sz="0" w:space="0" w:color="auto"/>
                    <w:left w:val="none" w:sz="0" w:space="0" w:color="auto"/>
                    <w:bottom w:val="none" w:sz="0" w:space="0" w:color="auto"/>
                    <w:right w:val="none" w:sz="0" w:space="0" w:color="auto"/>
                  </w:divBdr>
                  <w:divsChild>
                    <w:div w:id="1121147811">
                      <w:marLeft w:val="0"/>
                      <w:marRight w:val="0"/>
                      <w:marTop w:val="0"/>
                      <w:marBottom w:val="0"/>
                      <w:divBdr>
                        <w:top w:val="none" w:sz="0" w:space="0" w:color="auto"/>
                        <w:left w:val="none" w:sz="0" w:space="0" w:color="auto"/>
                        <w:bottom w:val="none" w:sz="0" w:space="0" w:color="auto"/>
                        <w:right w:val="none" w:sz="0" w:space="0" w:color="auto"/>
                      </w:divBdr>
                    </w:div>
                  </w:divsChild>
                </w:div>
                <w:div w:id="457652092">
                  <w:marLeft w:val="0"/>
                  <w:marRight w:val="0"/>
                  <w:marTop w:val="0"/>
                  <w:marBottom w:val="0"/>
                  <w:divBdr>
                    <w:top w:val="none" w:sz="0" w:space="0" w:color="auto"/>
                    <w:left w:val="none" w:sz="0" w:space="0" w:color="auto"/>
                    <w:bottom w:val="none" w:sz="0" w:space="0" w:color="auto"/>
                    <w:right w:val="none" w:sz="0" w:space="0" w:color="auto"/>
                  </w:divBdr>
                  <w:divsChild>
                    <w:div w:id="1989938881">
                      <w:marLeft w:val="0"/>
                      <w:marRight w:val="0"/>
                      <w:marTop w:val="0"/>
                      <w:marBottom w:val="0"/>
                      <w:divBdr>
                        <w:top w:val="none" w:sz="0" w:space="0" w:color="auto"/>
                        <w:left w:val="none" w:sz="0" w:space="0" w:color="auto"/>
                        <w:bottom w:val="none" w:sz="0" w:space="0" w:color="auto"/>
                        <w:right w:val="none" w:sz="0" w:space="0" w:color="auto"/>
                      </w:divBdr>
                    </w:div>
                  </w:divsChild>
                </w:div>
                <w:div w:id="471484568">
                  <w:marLeft w:val="0"/>
                  <w:marRight w:val="0"/>
                  <w:marTop w:val="0"/>
                  <w:marBottom w:val="0"/>
                  <w:divBdr>
                    <w:top w:val="none" w:sz="0" w:space="0" w:color="auto"/>
                    <w:left w:val="none" w:sz="0" w:space="0" w:color="auto"/>
                    <w:bottom w:val="none" w:sz="0" w:space="0" w:color="auto"/>
                    <w:right w:val="none" w:sz="0" w:space="0" w:color="auto"/>
                  </w:divBdr>
                  <w:divsChild>
                    <w:div w:id="201748038">
                      <w:marLeft w:val="0"/>
                      <w:marRight w:val="0"/>
                      <w:marTop w:val="0"/>
                      <w:marBottom w:val="0"/>
                      <w:divBdr>
                        <w:top w:val="none" w:sz="0" w:space="0" w:color="auto"/>
                        <w:left w:val="none" w:sz="0" w:space="0" w:color="auto"/>
                        <w:bottom w:val="none" w:sz="0" w:space="0" w:color="auto"/>
                        <w:right w:val="none" w:sz="0" w:space="0" w:color="auto"/>
                      </w:divBdr>
                    </w:div>
                  </w:divsChild>
                </w:div>
                <w:div w:id="500774974">
                  <w:marLeft w:val="0"/>
                  <w:marRight w:val="0"/>
                  <w:marTop w:val="0"/>
                  <w:marBottom w:val="0"/>
                  <w:divBdr>
                    <w:top w:val="none" w:sz="0" w:space="0" w:color="auto"/>
                    <w:left w:val="none" w:sz="0" w:space="0" w:color="auto"/>
                    <w:bottom w:val="none" w:sz="0" w:space="0" w:color="auto"/>
                    <w:right w:val="none" w:sz="0" w:space="0" w:color="auto"/>
                  </w:divBdr>
                  <w:divsChild>
                    <w:div w:id="67315655">
                      <w:marLeft w:val="0"/>
                      <w:marRight w:val="0"/>
                      <w:marTop w:val="0"/>
                      <w:marBottom w:val="0"/>
                      <w:divBdr>
                        <w:top w:val="none" w:sz="0" w:space="0" w:color="auto"/>
                        <w:left w:val="none" w:sz="0" w:space="0" w:color="auto"/>
                        <w:bottom w:val="none" w:sz="0" w:space="0" w:color="auto"/>
                        <w:right w:val="none" w:sz="0" w:space="0" w:color="auto"/>
                      </w:divBdr>
                    </w:div>
                  </w:divsChild>
                </w:div>
                <w:div w:id="615796341">
                  <w:marLeft w:val="0"/>
                  <w:marRight w:val="0"/>
                  <w:marTop w:val="0"/>
                  <w:marBottom w:val="0"/>
                  <w:divBdr>
                    <w:top w:val="none" w:sz="0" w:space="0" w:color="auto"/>
                    <w:left w:val="none" w:sz="0" w:space="0" w:color="auto"/>
                    <w:bottom w:val="none" w:sz="0" w:space="0" w:color="auto"/>
                    <w:right w:val="none" w:sz="0" w:space="0" w:color="auto"/>
                  </w:divBdr>
                  <w:divsChild>
                    <w:div w:id="191919390">
                      <w:marLeft w:val="0"/>
                      <w:marRight w:val="0"/>
                      <w:marTop w:val="0"/>
                      <w:marBottom w:val="0"/>
                      <w:divBdr>
                        <w:top w:val="none" w:sz="0" w:space="0" w:color="auto"/>
                        <w:left w:val="none" w:sz="0" w:space="0" w:color="auto"/>
                        <w:bottom w:val="none" w:sz="0" w:space="0" w:color="auto"/>
                        <w:right w:val="none" w:sz="0" w:space="0" w:color="auto"/>
                      </w:divBdr>
                    </w:div>
                  </w:divsChild>
                </w:div>
                <w:div w:id="627205627">
                  <w:marLeft w:val="0"/>
                  <w:marRight w:val="0"/>
                  <w:marTop w:val="0"/>
                  <w:marBottom w:val="0"/>
                  <w:divBdr>
                    <w:top w:val="none" w:sz="0" w:space="0" w:color="auto"/>
                    <w:left w:val="none" w:sz="0" w:space="0" w:color="auto"/>
                    <w:bottom w:val="none" w:sz="0" w:space="0" w:color="auto"/>
                    <w:right w:val="none" w:sz="0" w:space="0" w:color="auto"/>
                  </w:divBdr>
                  <w:divsChild>
                    <w:div w:id="29114784">
                      <w:marLeft w:val="0"/>
                      <w:marRight w:val="0"/>
                      <w:marTop w:val="0"/>
                      <w:marBottom w:val="0"/>
                      <w:divBdr>
                        <w:top w:val="none" w:sz="0" w:space="0" w:color="auto"/>
                        <w:left w:val="none" w:sz="0" w:space="0" w:color="auto"/>
                        <w:bottom w:val="none" w:sz="0" w:space="0" w:color="auto"/>
                        <w:right w:val="none" w:sz="0" w:space="0" w:color="auto"/>
                      </w:divBdr>
                    </w:div>
                  </w:divsChild>
                </w:div>
                <w:div w:id="637615684">
                  <w:marLeft w:val="0"/>
                  <w:marRight w:val="0"/>
                  <w:marTop w:val="0"/>
                  <w:marBottom w:val="0"/>
                  <w:divBdr>
                    <w:top w:val="none" w:sz="0" w:space="0" w:color="auto"/>
                    <w:left w:val="none" w:sz="0" w:space="0" w:color="auto"/>
                    <w:bottom w:val="none" w:sz="0" w:space="0" w:color="auto"/>
                    <w:right w:val="none" w:sz="0" w:space="0" w:color="auto"/>
                  </w:divBdr>
                  <w:divsChild>
                    <w:div w:id="649481863">
                      <w:marLeft w:val="0"/>
                      <w:marRight w:val="0"/>
                      <w:marTop w:val="0"/>
                      <w:marBottom w:val="0"/>
                      <w:divBdr>
                        <w:top w:val="none" w:sz="0" w:space="0" w:color="auto"/>
                        <w:left w:val="none" w:sz="0" w:space="0" w:color="auto"/>
                        <w:bottom w:val="none" w:sz="0" w:space="0" w:color="auto"/>
                        <w:right w:val="none" w:sz="0" w:space="0" w:color="auto"/>
                      </w:divBdr>
                    </w:div>
                  </w:divsChild>
                </w:div>
                <w:div w:id="643588826">
                  <w:marLeft w:val="0"/>
                  <w:marRight w:val="0"/>
                  <w:marTop w:val="0"/>
                  <w:marBottom w:val="0"/>
                  <w:divBdr>
                    <w:top w:val="none" w:sz="0" w:space="0" w:color="auto"/>
                    <w:left w:val="none" w:sz="0" w:space="0" w:color="auto"/>
                    <w:bottom w:val="none" w:sz="0" w:space="0" w:color="auto"/>
                    <w:right w:val="none" w:sz="0" w:space="0" w:color="auto"/>
                  </w:divBdr>
                  <w:divsChild>
                    <w:div w:id="1253584109">
                      <w:marLeft w:val="0"/>
                      <w:marRight w:val="0"/>
                      <w:marTop w:val="0"/>
                      <w:marBottom w:val="0"/>
                      <w:divBdr>
                        <w:top w:val="none" w:sz="0" w:space="0" w:color="auto"/>
                        <w:left w:val="none" w:sz="0" w:space="0" w:color="auto"/>
                        <w:bottom w:val="none" w:sz="0" w:space="0" w:color="auto"/>
                        <w:right w:val="none" w:sz="0" w:space="0" w:color="auto"/>
                      </w:divBdr>
                    </w:div>
                  </w:divsChild>
                </w:div>
                <w:div w:id="670329472">
                  <w:marLeft w:val="0"/>
                  <w:marRight w:val="0"/>
                  <w:marTop w:val="0"/>
                  <w:marBottom w:val="0"/>
                  <w:divBdr>
                    <w:top w:val="none" w:sz="0" w:space="0" w:color="auto"/>
                    <w:left w:val="none" w:sz="0" w:space="0" w:color="auto"/>
                    <w:bottom w:val="none" w:sz="0" w:space="0" w:color="auto"/>
                    <w:right w:val="none" w:sz="0" w:space="0" w:color="auto"/>
                  </w:divBdr>
                  <w:divsChild>
                    <w:div w:id="1018702752">
                      <w:marLeft w:val="0"/>
                      <w:marRight w:val="0"/>
                      <w:marTop w:val="0"/>
                      <w:marBottom w:val="0"/>
                      <w:divBdr>
                        <w:top w:val="none" w:sz="0" w:space="0" w:color="auto"/>
                        <w:left w:val="none" w:sz="0" w:space="0" w:color="auto"/>
                        <w:bottom w:val="none" w:sz="0" w:space="0" w:color="auto"/>
                        <w:right w:val="none" w:sz="0" w:space="0" w:color="auto"/>
                      </w:divBdr>
                    </w:div>
                  </w:divsChild>
                </w:div>
                <w:div w:id="676154121">
                  <w:marLeft w:val="0"/>
                  <w:marRight w:val="0"/>
                  <w:marTop w:val="0"/>
                  <w:marBottom w:val="0"/>
                  <w:divBdr>
                    <w:top w:val="none" w:sz="0" w:space="0" w:color="auto"/>
                    <w:left w:val="none" w:sz="0" w:space="0" w:color="auto"/>
                    <w:bottom w:val="none" w:sz="0" w:space="0" w:color="auto"/>
                    <w:right w:val="none" w:sz="0" w:space="0" w:color="auto"/>
                  </w:divBdr>
                  <w:divsChild>
                    <w:div w:id="1258516048">
                      <w:marLeft w:val="0"/>
                      <w:marRight w:val="0"/>
                      <w:marTop w:val="0"/>
                      <w:marBottom w:val="0"/>
                      <w:divBdr>
                        <w:top w:val="none" w:sz="0" w:space="0" w:color="auto"/>
                        <w:left w:val="none" w:sz="0" w:space="0" w:color="auto"/>
                        <w:bottom w:val="none" w:sz="0" w:space="0" w:color="auto"/>
                        <w:right w:val="none" w:sz="0" w:space="0" w:color="auto"/>
                      </w:divBdr>
                    </w:div>
                  </w:divsChild>
                </w:div>
                <w:div w:id="684524860">
                  <w:marLeft w:val="0"/>
                  <w:marRight w:val="0"/>
                  <w:marTop w:val="0"/>
                  <w:marBottom w:val="0"/>
                  <w:divBdr>
                    <w:top w:val="none" w:sz="0" w:space="0" w:color="auto"/>
                    <w:left w:val="none" w:sz="0" w:space="0" w:color="auto"/>
                    <w:bottom w:val="none" w:sz="0" w:space="0" w:color="auto"/>
                    <w:right w:val="none" w:sz="0" w:space="0" w:color="auto"/>
                  </w:divBdr>
                  <w:divsChild>
                    <w:div w:id="1397631584">
                      <w:marLeft w:val="0"/>
                      <w:marRight w:val="0"/>
                      <w:marTop w:val="0"/>
                      <w:marBottom w:val="0"/>
                      <w:divBdr>
                        <w:top w:val="none" w:sz="0" w:space="0" w:color="auto"/>
                        <w:left w:val="none" w:sz="0" w:space="0" w:color="auto"/>
                        <w:bottom w:val="none" w:sz="0" w:space="0" w:color="auto"/>
                        <w:right w:val="none" w:sz="0" w:space="0" w:color="auto"/>
                      </w:divBdr>
                    </w:div>
                  </w:divsChild>
                </w:div>
                <w:div w:id="686559232">
                  <w:marLeft w:val="0"/>
                  <w:marRight w:val="0"/>
                  <w:marTop w:val="0"/>
                  <w:marBottom w:val="0"/>
                  <w:divBdr>
                    <w:top w:val="none" w:sz="0" w:space="0" w:color="auto"/>
                    <w:left w:val="none" w:sz="0" w:space="0" w:color="auto"/>
                    <w:bottom w:val="none" w:sz="0" w:space="0" w:color="auto"/>
                    <w:right w:val="none" w:sz="0" w:space="0" w:color="auto"/>
                  </w:divBdr>
                  <w:divsChild>
                    <w:div w:id="574318277">
                      <w:marLeft w:val="0"/>
                      <w:marRight w:val="0"/>
                      <w:marTop w:val="0"/>
                      <w:marBottom w:val="0"/>
                      <w:divBdr>
                        <w:top w:val="none" w:sz="0" w:space="0" w:color="auto"/>
                        <w:left w:val="none" w:sz="0" w:space="0" w:color="auto"/>
                        <w:bottom w:val="none" w:sz="0" w:space="0" w:color="auto"/>
                        <w:right w:val="none" w:sz="0" w:space="0" w:color="auto"/>
                      </w:divBdr>
                    </w:div>
                  </w:divsChild>
                </w:div>
                <w:div w:id="696810986">
                  <w:marLeft w:val="0"/>
                  <w:marRight w:val="0"/>
                  <w:marTop w:val="0"/>
                  <w:marBottom w:val="0"/>
                  <w:divBdr>
                    <w:top w:val="none" w:sz="0" w:space="0" w:color="auto"/>
                    <w:left w:val="none" w:sz="0" w:space="0" w:color="auto"/>
                    <w:bottom w:val="none" w:sz="0" w:space="0" w:color="auto"/>
                    <w:right w:val="none" w:sz="0" w:space="0" w:color="auto"/>
                  </w:divBdr>
                  <w:divsChild>
                    <w:div w:id="2039156771">
                      <w:marLeft w:val="0"/>
                      <w:marRight w:val="0"/>
                      <w:marTop w:val="0"/>
                      <w:marBottom w:val="0"/>
                      <w:divBdr>
                        <w:top w:val="none" w:sz="0" w:space="0" w:color="auto"/>
                        <w:left w:val="none" w:sz="0" w:space="0" w:color="auto"/>
                        <w:bottom w:val="none" w:sz="0" w:space="0" w:color="auto"/>
                        <w:right w:val="none" w:sz="0" w:space="0" w:color="auto"/>
                      </w:divBdr>
                    </w:div>
                  </w:divsChild>
                </w:div>
                <w:div w:id="781412684">
                  <w:marLeft w:val="0"/>
                  <w:marRight w:val="0"/>
                  <w:marTop w:val="0"/>
                  <w:marBottom w:val="0"/>
                  <w:divBdr>
                    <w:top w:val="none" w:sz="0" w:space="0" w:color="auto"/>
                    <w:left w:val="none" w:sz="0" w:space="0" w:color="auto"/>
                    <w:bottom w:val="none" w:sz="0" w:space="0" w:color="auto"/>
                    <w:right w:val="none" w:sz="0" w:space="0" w:color="auto"/>
                  </w:divBdr>
                  <w:divsChild>
                    <w:div w:id="1594507189">
                      <w:marLeft w:val="0"/>
                      <w:marRight w:val="0"/>
                      <w:marTop w:val="0"/>
                      <w:marBottom w:val="0"/>
                      <w:divBdr>
                        <w:top w:val="none" w:sz="0" w:space="0" w:color="auto"/>
                        <w:left w:val="none" w:sz="0" w:space="0" w:color="auto"/>
                        <w:bottom w:val="none" w:sz="0" w:space="0" w:color="auto"/>
                        <w:right w:val="none" w:sz="0" w:space="0" w:color="auto"/>
                      </w:divBdr>
                    </w:div>
                  </w:divsChild>
                </w:div>
                <w:div w:id="805126915">
                  <w:marLeft w:val="0"/>
                  <w:marRight w:val="0"/>
                  <w:marTop w:val="0"/>
                  <w:marBottom w:val="0"/>
                  <w:divBdr>
                    <w:top w:val="none" w:sz="0" w:space="0" w:color="auto"/>
                    <w:left w:val="none" w:sz="0" w:space="0" w:color="auto"/>
                    <w:bottom w:val="none" w:sz="0" w:space="0" w:color="auto"/>
                    <w:right w:val="none" w:sz="0" w:space="0" w:color="auto"/>
                  </w:divBdr>
                  <w:divsChild>
                    <w:div w:id="1644851329">
                      <w:marLeft w:val="0"/>
                      <w:marRight w:val="0"/>
                      <w:marTop w:val="0"/>
                      <w:marBottom w:val="0"/>
                      <w:divBdr>
                        <w:top w:val="none" w:sz="0" w:space="0" w:color="auto"/>
                        <w:left w:val="none" w:sz="0" w:space="0" w:color="auto"/>
                        <w:bottom w:val="none" w:sz="0" w:space="0" w:color="auto"/>
                        <w:right w:val="none" w:sz="0" w:space="0" w:color="auto"/>
                      </w:divBdr>
                    </w:div>
                  </w:divsChild>
                </w:div>
                <w:div w:id="818771546">
                  <w:marLeft w:val="0"/>
                  <w:marRight w:val="0"/>
                  <w:marTop w:val="0"/>
                  <w:marBottom w:val="0"/>
                  <w:divBdr>
                    <w:top w:val="none" w:sz="0" w:space="0" w:color="auto"/>
                    <w:left w:val="none" w:sz="0" w:space="0" w:color="auto"/>
                    <w:bottom w:val="none" w:sz="0" w:space="0" w:color="auto"/>
                    <w:right w:val="none" w:sz="0" w:space="0" w:color="auto"/>
                  </w:divBdr>
                  <w:divsChild>
                    <w:div w:id="1825118665">
                      <w:marLeft w:val="0"/>
                      <w:marRight w:val="0"/>
                      <w:marTop w:val="0"/>
                      <w:marBottom w:val="0"/>
                      <w:divBdr>
                        <w:top w:val="none" w:sz="0" w:space="0" w:color="auto"/>
                        <w:left w:val="none" w:sz="0" w:space="0" w:color="auto"/>
                        <w:bottom w:val="none" w:sz="0" w:space="0" w:color="auto"/>
                        <w:right w:val="none" w:sz="0" w:space="0" w:color="auto"/>
                      </w:divBdr>
                    </w:div>
                  </w:divsChild>
                </w:div>
                <w:div w:id="892278035">
                  <w:marLeft w:val="0"/>
                  <w:marRight w:val="0"/>
                  <w:marTop w:val="0"/>
                  <w:marBottom w:val="0"/>
                  <w:divBdr>
                    <w:top w:val="none" w:sz="0" w:space="0" w:color="auto"/>
                    <w:left w:val="none" w:sz="0" w:space="0" w:color="auto"/>
                    <w:bottom w:val="none" w:sz="0" w:space="0" w:color="auto"/>
                    <w:right w:val="none" w:sz="0" w:space="0" w:color="auto"/>
                  </w:divBdr>
                  <w:divsChild>
                    <w:div w:id="503282117">
                      <w:marLeft w:val="0"/>
                      <w:marRight w:val="0"/>
                      <w:marTop w:val="0"/>
                      <w:marBottom w:val="0"/>
                      <w:divBdr>
                        <w:top w:val="none" w:sz="0" w:space="0" w:color="auto"/>
                        <w:left w:val="none" w:sz="0" w:space="0" w:color="auto"/>
                        <w:bottom w:val="none" w:sz="0" w:space="0" w:color="auto"/>
                        <w:right w:val="none" w:sz="0" w:space="0" w:color="auto"/>
                      </w:divBdr>
                    </w:div>
                  </w:divsChild>
                </w:div>
                <w:div w:id="1036078352">
                  <w:marLeft w:val="0"/>
                  <w:marRight w:val="0"/>
                  <w:marTop w:val="0"/>
                  <w:marBottom w:val="0"/>
                  <w:divBdr>
                    <w:top w:val="none" w:sz="0" w:space="0" w:color="auto"/>
                    <w:left w:val="none" w:sz="0" w:space="0" w:color="auto"/>
                    <w:bottom w:val="none" w:sz="0" w:space="0" w:color="auto"/>
                    <w:right w:val="none" w:sz="0" w:space="0" w:color="auto"/>
                  </w:divBdr>
                  <w:divsChild>
                    <w:div w:id="2112578819">
                      <w:marLeft w:val="0"/>
                      <w:marRight w:val="0"/>
                      <w:marTop w:val="0"/>
                      <w:marBottom w:val="0"/>
                      <w:divBdr>
                        <w:top w:val="none" w:sz="0" w:space="0" w:color="auto"/>
                        <w:left w:val="none" w:sz="0" w:space="0" w:color="auto"/>
                        <w:bottom w:val="none" w:sz="0" w:space="0" w:color="auto"/>
                        <w:right w:val="none" w:sz="0" w:space="0" w:color="auto"/>
                      </w:divBdr>
                    </w:div>
                  </w:divsChild>
                </w:div>
                <w:div w:id="1127428525">
                  <w:marLeft w:val="0"/>
                  <w:marRight w:val="0"/>
                  <w:marTop w:val="0"/>
                  <w:marBottom w:val="0"/>
                  <w:divBdr>
                    <w:top w:val="none" w:sz="0" w:space="0" w:color="auto"/>
                    <w:left w:val="none" w:sz="0" w:space="0" w:color="auto"/>
                    <w:bottom w:val="none" w:sz="0" w:space="0" w:color="auto"/>
                    <w:right w:val="none" w:sz="0" w:space="0" w:color="auto"/>
                  </w:divBdr>
                  <w:divsChild>
                    <w:div w:id="1746415087">
                      <w:marLeft w:val="0"/>
                      <w:marRight w:val="0"/>
                      <w:marTop w:val="0"/>
                      <w:marBottom w:val="0"/>
                      <w:divBdr>
                        <w:top w:val="none" w:sz="0" w:space="0" w:color="auto"/>
                        <w:left w:val="none" w:sz="0" w:space="0" w:color="auto"/>
                        <w:bottom w:val="none" w:sz="0" w:space="0" w:color="auto"/>
                        <w:right w:val="none" w:sz="0" w:space="0" w:color="auto"/>
                      </w:divBdr>
                    </w:div>
                  </w:divsChild>
                </w:div>
                <w:div w:id="1153836485">
                  <w:marLeft w:val="0"/>
                  <w:marRight w:val="0"/>
                  <w:marTop w:val="0"/>
                  <w:marBottom w:val="0"/>
                  <w:divBdr>
                    <w:top w:val="none" w:sz="0" w:space="0" w:color="auto"/>
                    <w:left w:val="none" w:sz="0" w:space="0" w:color="auto"/>
                    <w:bottom w:val="none" w:sz="0" w:space="0" w:color="auto"/>
                    <w:right w:val="none" w:sz="0" w:space="0" w:color="auto"/>
                  </w:divBdr>
                  <w:divsChild>
                    <w:div w:id="449740033">
                      <w:marLeft w:val="0"/>
                      <w:marRight w:val="0"/>
                      <w:marTop w:val="0"/>
                      <w:marBottom w:val="0"/>
                      <w:divBdr>
                        <w:top w:val="none" w:sz="0" w:space="0" w:color="auto"/>
                        <w:left w:val="none" w:sz="0" w:space="0" w:color="auto"/>
                        <w:bottom w:val="none" w:sz="0" w:space="0" w:color="auto"/>
                        <w:right w:val="none" w:sz="0" w:space="0" w:color="auto"/>
                      </w:divBdr>
                    </w:div>
                  </w:divsChild>
                </w:div>
                <w:div w:id="1162894251">
                  <w:marLeft w:val="0"/>
                  <w:marRight w:val="0"/>
                  <w:marTop w:val="0"/>
                  <w:marBottom w:val="0"/>
                  <w:divBdr>
                    <w:top w:val="none" w:sz="0" w:space="0" w:color="auto"/>
                    <w:left w:val="none" w:sz="0" w:space="0" w:color="auto"/>
                    <w:bottom w:val="none" w:sz="0" w:space="0" w:color="auto"/>
                    <w:right w:val="none" w:sz="0" w:space="0" w:color="auto"/>
                  </w:divBdr>
                  <w:divsChild>
                    <w:div w:id="977304516">
                      <w:marLeft w:val="0"/>
                      <w:marRight w:val="0"/>
                      <w:marTop w:val="0"/>
                      <w:marBottom w:val="0"/>
                      <w:divBdr>
                        <w:top w:val="none" w:sz="0" w:space="0" w:color="auto"/>
                        <w:left w:val="none" w:sz="0" w:space="0" w:color="auto"/>
                        <w:bottom w:val="none" w:sz="0" w:space="0" w:color="auto"/>
                        <w:right w:val="none" w:sz="0" w:space="0" w:color="auto"/>
                      </w:divBdr>
                    </w:div>
                  </w:divsChild>
                </w:div>
                <w:div w:id="1234779808">
                  <w:marLeft w:val="0"/>
                  <w:marRight w:val="0"/>
                  <w:marTop w:val="0"/>
                  <w:marBottom w:val="0"/>
                  <w:divBdr>
                    <w:top w:val="none" w:sz="0" w:space="0" w:color="auto"/>
                    <w:left w:val="none" w:sz="0" w:space="0" w:color="auto"/>
                    <w:bottom w:val="none" w:sz="0" w:space="0" w:color="auto"/>
                    <w:right w:val="none" w:sz="0" w:space="0" w:color="auto"/>
                  </w:divBdr>
                  <w:divsChild>
                    <w:div w:id="1033726722">
                      <w:marLeft w:val="0"/>
                      <w:marRight w:val="0"/>
                      <w:marTop w:val="0"/>
                      <w:marBottom w:val="0"/>
                      <w:divBdr>
                        <w:top w:val="none" w:sz="0" w:space="0" w:color="auto"/>
                        <w:left w:val="none" w:sz="0" w:space="0" w:color="auto"/>
                        <w:bottom w:val="none" w:sz="0" w:space="0" w:color="auto"/>
                        <w:right w:val="none" w:sz="0" w:space="0" w:color="auto"/>
                      </w:divBdr>
                    </w:div>
                  </w:divsChild>
                </w:div>
                <w:div w:id="1247307462">
                  <w:marLeft w:val="0"/>
                  <w:marRight w:val="0"/>
                  <w:marTop w:val="0"/>
                  <w:marBottom w:val="0"/>
                  <w:divBdr>
                    <w:top w:val="none" w:sz="0" w:space="0" w:color="auto"/>
                    <w:left w:val="none" w:sz="0" w:space="0" w:color="auto"/>
                    <w:bottom w:val="none" w:sz="0" w:space="0" w:color="auto"/>
                    <w:right w:val="none" w:sz="0" w:space="0" w:color="auto"/>
                  </w:divBdr>
                  <w:divsChild>
                    <w:div w:id="1697583467">
                      <w:marLeft w:val="0"/>
                      <w:marRight w:val="0"/>
                      <w:marTop w:val="0"/>
                      <w:marBottom w:val="0"/>
                      <w:divBdr>
                        <w:top w:val="none" w:sz="0" w:space="0" w:color="auto"/>
                        <w:left w:val="none" w:sz="0" w:space="0" w:color="auto"/>
                        <w:bottom w:val="none" w:sz="0" w:space="0" w:color="auto"/>
                        <w:right w:val="none" w:sz="0" w:space="0" w:color="auto"/>
                      </w:divBdr>
                    </w:div>
                  </w:divsChild>
                </w:div>
                <w:div w:id="1281185681">
                  <w:marLeft w:val="0"/>
                  <w:marRight w:val="0"/>
                  <w:marTop w:val="0"/>
                  <w:marBottom w:val="0"/>
                  <w:divBdr>
                    <w:top w:val="none" w:sz="0" w:space="0" w:color="auto"/>
                    <w:left w:val="none" w:sz="0" w:space="0" w:color="auto"/>
                    <w:bottom w:val="none" w:sz="0" w:space="0" w:color="auto"/>
                    <w:right w:val="none" w:sz="0" w:space="0" w:color="auto"/>
                  </w:divBdr>
                  <w:divsChild>
                    <w:div w:id="1700542987">
                      <w:marLeft w:val="0"/>
                      <w:marRight w:val="0"/>
                      <w:marTop w:val="0"/>
                      <w:marBottom w:val="0"/>
                      <w:divBdr>
                        <w:top w:val="none" w:sz="0" w:space="0" w:color="auto"/>
                        <w:left w:val="none" w:sz="0" w:space="0" w:color="auto"/>
                        <w:bottom w:val="none" w:sz="0" w:space="0" w:color="auto"/>
                        <w:right w:val="none" w:sz="0" w:space="0" w:color="auto"/>
                      </w:divBdr>
                    </w:div>
                  </w:divsChild>
                </w:div>
                <w:div w:id="1306159154">
                  <w:marLeft w:val="0"/>
                  <w:marRight w:val="0"/>
                  <w:marTop w:val="0"/>
                  <w:marBottom w:val="0"/>
                  <w:divBdr>
                    <w:top w:val="none" w:sz="0" w:space="0" w:color="auto"/>
                    <w:left w:val="none" w:sz="0" w:space="0" w:color="auto"/>
                    <w:bottom w:val="none" w:sz="0" w:space="0" w:color="auto"/>
                    <w:right w:val="none" w:sz="0" w:space="0" w:color="auto"/>
                  </w:divBdr>
                  <w:divsChild>
                    <w:div w:id="442386652">
                      <w:marLeft w:val="0"/>
                      <w:marRight w:val="0"/>
                      <w:marTop w:val="0"/>
                      <w:marBottom w:val="0"/>
                      <w:divBdr>
                        <w:top w:val="none" w:sz="0" w:space="0" w:color="auto"/>
                        <w:left w:val="none" w:sz="0" w:space="0" w:color="auto"/>
                        <w:bottom w:val="none" w:sz="0" w:space="0" w:color="auto"/>
                        <w:right w:val="none" w:sz="0" w:space="0" w:color="auto"/>
                      </w:divBdr>
                    </w:div>
                  </w:divsChild>
                </w:div>
                <w:div w:id="1309675185">
                  <w:marLeft w:val="0"/>
                  <w:marRight w:val="0"/>
                  <w:marTop w:val="0"/>
                  <w:marBottom w:val="0"/>
                  <w:divBdr>
                    <w:top w:val="none" w:sz="0" w:space="0" w:color="auto"/>
                    <w:left w:val="none" w:sz="0" w:space="0" w:color="auto"/>
                    <w:bottom w:val="none" w:sz="0" w:space="0" w:color="auto"/>
                    <w:right w:val="none" w:sz="0" w:space="0" w:color="auto"/>
                  </w:divBdr>
                  <w:divsChild>
                    <w:div w:id="2145148860">
                      <w:marLeft w:val="0"/>
                      <w:marRight w:val="0"/>
                      <w:marTop w:val="0"/>
                      <w:marBottom w:val="0"/>
                      <w:divBdr>
                        <w:top w:val="none" w:sz="0" w:space="0" w:color="auto"/>
                        <w:left w:val="none" w:sz="0" w:space="0" w:color="auto"/>
                        <w:bottom w:val="none" w:sz="0" w:space="0" w:color="auto"/>
                        <w:right w:val="none" w:sz="0" w:space="0" w:color="auto"/>
                      </w:divBdr>
                    </w:div>
                  </w:divsChild>
                </w:div>
                <w:div w:id="1334996055">
                  <w:marLeft w:val="0"/>
                  <w:marRight w:val="0"/>
                  <w:marTop w:val="0"/>
                  <w:marBottom w:val="0"/>
                  <w:divBdr>
                    <w:top w:val="none" w:sz="0" w:space="0" w:color="auto"/>
                    <w:left w:val="none" w:sz="0" w:space="0" w:color="auto"/>
                    <w:bottom w:val="none" w:sz="0" w:space="0" w:color="auto"/>
                    <w:right w:val="none" w:sz="0" w:space="0" w:color="auto"/>
                  </w:divBdr>
                  <w:divsChild>
                    <w:div w:id="1244604754">
                      <w:marLeft w:val="0"/>
                      <w:marRight w:val="0"/>
                      <w:marTop w:val="0"/>
                      <w:marBottom w:val="0"/>
                      <w:divBdr>
                        <w:top w:val="none" w:sz="0" w:space="0" w:color="auto"/>
                        <w:left w:val="none" w:sz="0" w:space="0" w:color="auto"/>
                        <w:bottom w:val="none" w:sz="0" w:space="0" w:color="auto"/>
                        <w:right w:val="none" w:sz="0" w:space="0" w:color="auto"/>
                      </w:divBdr>
                    </w:div>
                  </w:divsChild>
                </w:div>
                <w:div w:id="1352300512">
                  <w:marLeft w:val="0"/>
                  <w:marRight w:val="0"/>
                  <w:marTop w:val="0"/>
                  <w:marBottom w:val="0"/>
                  <w:divBdr>
                    <w:top w:val="none" w:sz="0" w:space="0" w:color="auto"/>
                    <w:left w:val="none" w:sz="0" w:space="0" w:color="auto"/>
                    <w:bottom w:val="none" w:sz="0" w:space="0" w:color="auto"/>
                    <w:right w:val="none" w:sz="0" w:space="0" w:color="auto"/>
                  </w:divBdr>
                  <w:divsChild>
                    <w:div w:id="84376413">
                      <w:marLeft w:val="0"/>
                      <w:marRight w:val="0"/>
                      <w:marTop w:val="0"/>
                      <w:marBottom w:val="0"/>
                      <w:divBdr>
                        <w:top w:val="none" w:sz="0" w:space="0" w:color="auto"/>
                        <w:left w:val="none" w:sz="0" w:space="0" w:color="auto"/>
                        <w:bottom w:val="none" w:sz="0" w:space="0" w:color="auto"/>
                        <w:right w:val="none" w:sz="0" w:space="0" w:color="auto"/>
                      </w:divBdr>
                    </w:div>
                  </w:divsChild>
                </w:div>
                <w:div w:id="1407915968">
                  <w:marLeft w:val="0"/>
                  <w:marRight w:val="0"/>
                  <w:marTop w:val="0"/>
                  <w:marBottom w:val="0"/>
                  <w:divBdr>
                    <w:top w:val="none" w:sz="0" w:space="0" w:color="auto"/>
                    <w:left w:val="none" w:sz="0" w:space="0" w:color="auto"/>
                    <w:bottom w:val="none" w:sz="0" w:space="0" w:color="auto"/>
                    <w:right w:val="none" w:sz="0" w:space="0" w:color="auto"/>
                  </w:divBdr>
                  <w:divsChild>
                    <w:div w:id="92673114">
                      <w:marLeft w:val="0"/>
                      <w:marRight w:val="0"/>
                      <w:marTop w:val="0"/>
                      <w:marBottom w:val="0"/>
                      <w:divBdr>
                        <w:top w:val="none" w:sz="0" w:space="0" w:color="auto"/>
                        <w:left w:val="none" w:sz="0" w:space="0" w:color="auto"/>
                        <w:bottom w:val="none" w:sz="0" w:space="0" w:color="auto"/>
                        <w:right w:val="none" w:sz="0" w:space="0" w:color="auto"/>
                      </w:divBdr>
                    </w:div>
                  </w:divsChild>
                </w:div>
                <w:div w:id="1441679269">
                  <w:marLeft w:val="0"/>
                  <w:marRight w:val="0"/>
                  <w:marTop w:val="0"/>
                  <w:marBottom w:val="0"/>
                  <w:divBdr>
                    <w:top w:val="none" w:sz="0" w:space="0" w:color="auto"/>
                    <w:left w:val="none" w:sz="0" w:space="0" w:color="auto"/>
                    <w:bottom w:val="none" w:sz="0" w:space="0" w:color="auto"/>
                    <w:right w:val="none" w:sz="0" w:space="0" w:color="auto"/>
                  </w:divBdr>
                  <w:divsChild>
                    <w:div w:id="1586526125">
                      <w:marLeft w:val="0"/>
                      <w:marRight w:val="0"/>
                      <w:marTop w:val="0"/>
                      <w:marBottom w:val="0"/>
                      <w:divBdr>
                        <w:top w:val="none" w:sz="0" w:space="0" w:color="auto"/>
                        <w:left w:val="none" w:sz="0" w:space="0" w:color="auto"/>
                        <w:bottom w:val="none" w:sz="0" w:space="0" w:color="auto"/>
                        <w:right w:val="none" w:sz="0" w:space="0" w:color="auto"/>
                      </w:divBdr>
                    </w:div>
                  </w:divsChild>
                </w:div>
                <w:div w:id="1444685964">
                  <w:marLeft w:val="0"/>
                  <w:marRight w:val="0"/>
                  <w:marTop w:val="0"/>
                  <w:marBottom w:val="0"/>
                  <w:divBdr>
                    <w:top w:val="none" w:sz="0" w:space="0" w:color="auto"/>
                    <w:left w:val="none" w:sz="0" w:space="0" w:color="auto"/>
                    <w:bottom w:val="none" w:sz="0" w:space="0" w:color="auto"/>
                    <w:right w:val="none" w:sz="0" w:space="0" w:color="auto"/>
                  </w:divBdr>
                  <w:divsChild>
                    <w:div w:id="1990555398">
                      <w:marLeft w:val="0"/>
                      <w:marRight w:val="0"/>
                      <w:marTop w:val="0"/>
                      <w:marBottom w:val="0"/>
                      <w:divBdr>
                        <w:top w:val="none" w:sz="0" w:space="0" w:color="auto"/>
                        <w:left w:val="none" w:sz="0" w:space="0" w:color="auto"/>
                        <w:bottom w:val="none" w:sz="0" w:space="0" w:color="auto"/>
                        <w:right w:val="none" w:sz="0" w:space="0" w:color="auto"/>
                      </w:divBdr>
                    </w:div>
                  </w:divsChild>
                </w:div>
                <w:div w:id="1474253756">
                  <w:marLeft w:val="0"/>
                  <w:marRight w:val="0"/>
                  <w:marTop w:val="0"/>
                  <w:marBottom w:val="0"/>
                  <w:divBdr>
                    <w:top w:val="none" w:sz="0" w:space="0" w:color="auto"/>
                    <w:left w:val="none" w:sz="0" w:space="0" w:color="auto"/>
                    <w:bottom w:val="none" w:sz="0" w:space="0" w:color="auto"/>
                    <w:right w:val="none" w:sz="0" w:space="0" w:color="auto"/>
                  </w:divBdr>
                  <w:divsChild>
                    <w:div w:id="1123573722">
                      <w:marLeft w:val="0"/>
                      <w:marRight w:val="0"/>
                      <w:marTop w:val="0"/>
                      <w:marBottom w:val="0"/>
                      <w:divBdr>
                        <w:top w:val="none" w:sz="0" w:space="0" w:color="auto"/>
                        <w:left w:val="none" w:sz="0" w:space="0" w:color="auto"/>
                        <w:bottom w:val="none" w:sz="0" w:space="0" w:color="auto"/>
                        <w:right w:val="none" w:sz="0" w:space="0" w:color="auto"/>
                      </w:divBdr>
                    </w:div>
                  </w:divsChild>
                </w:div>
                <w:div w:id="1479492705">
                  <w:marLeft w:val="0"/>
                  <w:marRight w:val="0"/>
                  <w:marTop w:val="0"/>
                  <w:marBottom w:val="0"/>
                  <w:divBdr>
                    <w:top w:val="none" w:sz="0" w:space="0" w:color="auto"/>
                    <w:left w:val="none" w:sz="0" w:space="0" w:color="auto"/>
                    <w:bottom w:val="none" w:sz="0" w:space="0" w:color="auto"/>
                    <w:right w:val="none" w:sz="0" w:space="0" w:color="auto"/>
                  </w:divBdr>
                  <w:divsChild>
                    <w:div w:id="788158322">
                      <w:marLeft w:val="0"/>
                      <w:marRight w:val="0"/>
                      <w:marTop w:val="0"/>
                      <w:marBottom w:val="0"/>
                      <w:divBdr>
                        <w:top w:val="none" w:sz="0" w:space="0" w:color="auto"/>
                        <w:left w:val="none" w:sz="0" w:space="0" w:color="auto"/>
                        <w:bottom w:val="none" w:sz="0" w:space="0" w:color="auto"/>
                        <w:right w:val="none" w:sz="0" w:space="0" w:color="auto"/>
                      </w:divBdr>
                    </w:div>
                  </w:divsChild>
                </w:div>
                <w:div w:id="1579361592">
                  <w:marLeft w:val="0"/>
                  <w:marRight w:val="0"/>
                  <w:marTop w:val="0"/>
                  <w:marBottom w:val="0"/>
                  <w:divBdr>
                    <w:top w:val="none" w:sz="0" w:space="0" w:color="auto"/>
                    <w:left w:val="none" w:sz="0" w:space="0" w:color="auto"/>
                    <w:bottom w:val="none" w:sz="0" w:space="0" w:color="auto"/>
                    <w:right w:val="none" w:sz="0" w:space="0" w:color="auto"/>
                  </w:divBdr>
                  <w:divsChild>
                    <w:div w:id="1101602674">
                      <w:marLeft w:val="0"/>
                      <w:marRight w:val="0"/>
                      <w:marTop w:val="0"/>
                      <w:marBottom w:val="0"/>
                      <w:divBdr>
                        <w:top w:val="none" w:sz="0" w:space="0" w:color="auto"/>
                        <w:left w:val="none" w:sz="0" w:space="0" w:color="auto"/>
                        <w:bottom w:val="none" w:sz="0" w:space="0" w:color="auto"/>
                        <w:right w:val="none" w:sz="0" w:space="0" w:color="auto"/>
                      </w:divBdr>
                    </w:div>
                  </w:divsChild>
                </w:div>
                <w:div w:id="1671639544">
                  <w:marLeft w:val="0"/>
                  <w:marRight w:val="0"/>
                  <w:marTop w:val="0"/>
                  <w:marBottom w:val="0"/>
                  <w:divBdr>
                    <w:top w:val="none" w:sz="0" w:space="0" w:color="auto"/>
                    <w:left w:val="none" w:sz="0" w:space="0" w:color="auto"/>
                    <w:bottom w:val="none" w:sz="0" w:space="0" w:color="auto"/>
                    <w:right w:val="none" w:sz="0" w:space="0" w:color="auto"/>
                  </w:divBdr>
                  <w:divsChild>
                    <w:div w:id="866677907">
                      <w:marLeft w:val="0"/>
                      <w:marRight w:val="0"/>
                      <w:marTop w:val="0"/>
                      <w:marBottom w:val="0"/>
                      <w:divBdr>
                        <w:top w:val="none" w:sz="0" w:space="0" w:color="auto"/>
                        <w:left w:val="none" w:sz="0" w:space="0" w:color="auto"/>
                        <w:bottom w:val="none" w:sz="0" w:space="0" w:color="auto"/>
                        <w:right w:val="none" w:sz="0" w:space="0" w:color="auto"/>
                      </w:divBdr>
                    </w:div>
                  </w:divsChild>
                </w:div>
                <w:div w:id="1704476067">
                  <w:marLeft w:val="0"/>
                  <w:marRight w:val="0"/>
                  <w:marTop w:val="0"/>
                  <w:marBottom w:val="0"/>
                  <w:divBdr>
                    <w:top w:val="none" w:sz="0" w:space="0" w:color="auto"/>
                    <w:left w:val="none" w:sz="0" w:space="0" w:color="auto"/>
                    <w:bottom w:val="none" w:sz="0" w:space="0" w:color="auto"/>
                    <w:right w:val="none" w:sz="0" w:space="0" w:color="auto"/>
                  </w:divBdr>
                  <w:divsChild>
                    <w:div w:id="1865899968">
                      <w:marLeft w:val="0"/>
                      <w:marRight w:val="0"/>
                      <w:marTop w:val="0"/>
                      <w:marBottom w:val="0"/>
                      <w:divBdr>
                        <w:top w:val="none" w:sz="0" w:space="0" w:color="auto"/>
                        <w:left w:val="none" w:sz="0" w:space="0" w:color="auto"/>
                        <w:bottom w:val="none" w:sz="0" w:space="0" w:color="auto"/>
                        <w:right w:val="none" w:sz="0" w:space="0" w:color="auto"/>
                      </w:divBdr>
                    </w:div>
                  </w:divsChild>
                </w:div>
                <w:div w:id="1714691475">
                  <w:marLeft w:val="0"/>
                  <w:marRight w:val="0"/>
                  <w:marTop w:val="0"/>
                  <w:marBottom w:val="0"/>
                  <w:divBdr>
                    <w:top w:val="none" w:sz="0" w:space="0" w:color="auto"/>
                    <w:left w:val="none" w:sz="0" w:space="0" w:color="auto"/>
                    <w:bottom w:val="none" w:sz="0" w:space="0" w:color="auto"/>
                    <w:right w:val="none" w:sz="0" w:space="0" w:color="auto"/>
                  </w:divBdr>
                  <w:divsChild>
                    <w:div w:id="1424108917">
                      <w:marLeft w:val="0"/>
                      <w:marRight w:val="0"/>
                      <w:marTop w:val="0"/>
                      <w:marBottom w:val="0"/>
                      <w:divBdr>
                        <w:top w:val="none" w:sz="0" w:space="0" w:color="auto"/>
                        <w:left w:val="none" w:sz="0" w:space="0" w:color="auto"/>
                        <w:bottom w:val="none" w:sz="0" w:space="0" w:color="auto"/>
                        <w:right w:val="none" w:sz="0" w:space="0" w:color="auto"/>
                      </w:divBdr>
                    </w:div>
                  </w:divsChild>
                </w:div>
                <w:div w:id="1740203539">
                  <w:marLeft w:val="0"/>
                  <w:marRight w:val="0"/>
                  <w:marTop w:val="0"/>
                  <w:marBottom w:val="0"/>
                  <w:divBdr>
                    <w:top w:val="none" w:sz="0" w:space="0" w:color="auto"/>
                    <w:left w:val="none" w:sz="0" w:space="0" w:color="auto"/>
                    <w:bottom w:val="none" w:sz="0" w:space="0" w:color="auto"/>
                    <w:right w:val="none" w:sz="0" w:space="0" w:color="auto"/>
                  </w:divBdr>
                  <w:divsChild>
                    <w:div w:id="2136243161">
                      <w:marLeft w:val="0"/>
                      <w:marRight w:val="0"/>
                      <w:marTop w:val="0"/>
                      <w:marBottom w:val="0"/>
                      <w:divBdr>
                        <w:top w:val="none" w:sz="0" w:space="0" w:color="auto"/>
                        <w:left w:val="none" w:sz="0" w:space="0" w:color="auto"/>
                        <w:bottom w:val="none" w:sz="0" w:space="0" w:color="auto"/>
                        <w:right w:val="none" w:sz="0" w:space="0" w:color="auto"/>
                      </w:divBdr>
                    </w:div>
                  </w:divsChild>
                </w:div>
                <w:div w:id="1746534716">
                  <w:marLeft w:val="0"/>
                  <w:marRight w:val="0"/>
                  <w:marTop w:val="0"/>
                  <w:marBottom w:val="0"/>
                  <w:divBdr>
                    <w:top w:val="none" w:sz="0" w:space="0" w:color="auto"/>
                    <w:left w:val="none" w:sz="0" w:space="0" w:color="auto"/>
                    <w:bottom w:val="none" w:sz="0" w:space="0" w:color="auto"/>
                    <w:right w:val="none" w:sz="0" w:space="0" w:color="auto"/>
                  </w:divBdr>
                  <w:divsChild>
                    <w:div w:id="400710892">
                      <w:marLeft w:val="0"/>
                      <w:marRight w:val="0"/>
                      <w:marTop w:val="0"/>
                      <w:marBottom w:val="0"/>
                      <w:divBdr>
                        <w:top w:val="none" w:sz="0" w:space="0" w:color="auto"/>
                        <w:left w:val="none" w:sz="0" w:space="0" w:color="auto"/>
                        <w:bottom w:val="none" w:sz="0" w:space="0" w:color="auto"/>
                        <w:right w:val="none" w:sz="0" w:space="0" w:color="auto"/>
                      </w:divBdr>
                    </w:div>
                  </w:divsChild>
                </w:div>
                <w:div w:id="1758944815">
                  <w:marLeft w:val="0"/>
                  <w:marRight w:val="0"/>
                  <w:marTop w:val="0"/>
                  <w:marBottom w:val="0"/>
                  <w:divBdr>
                    <w:top w:val="none" w:sz="0" w:space="0" w:color="auto"/>
                    <w:left w:val="none" w:sz="0" w:space="0" w:color="auto"/>
                    <w:bottom w:val="none" w:sz="0" w:space="0" w:color="auto"/>
                    <w:right w:val="none" w:sz="0" w:space="0" w:color="auto"/>
                  </w:divBdr>
                  <w:divsChild>
                    <w:div w:id="682099241">
                      <w:marLeft w:val="0"/>
                      <w:marRight w:val="0"/>
                      <w:marTop w:val="0"/>
                      <w:marBottom w:val="0"/>
                      <w:divBdr>
                        <w:top w:val="none" w:sz="0" w:space="0" w:color="auto"/>
                        <w:left w:val="none" w:sz="0" w:space="0" w:color="auto"/>
                        <w:bottom w:val="none" w:sz="0" w:space="0" w:color="auto"/>
                        <w:right w:val="none" w:sz="0" w:space="0" w:color="auto"/>
                      </w:divBdr>
                    </w:div>
                  </w:divsChild>
                </w:div>
                <w:div w:id="1768773581">
                  <w:marLeft w:val="0"/>
                  <w:marRight w:val="0"/>
                  <w:marTop w:val="0"/>
                  <w:marBottom w:val="0"/>
                  <w:divBdr>
                    <w:top w:val="none" w:sz="0" w:space="0" w:color="auto"/>
                    <w:left w:val="none" w:sz="0" w:space="0" w:color="auto"/>
                    <w:bottom w:val="none" w:sz="0" w:space="0" w:color="auto"/>
                    <w:right w:val="none" w:sz="0" w:space="0" w:color="auto"/>
                  </w:divBdr>
                  <w:divsChild>
                    <w:div w:id="532228705">
                      <w:marLeft w:val="0"/>
                      <w:marRight w:val="0"/>
                      <w:marTop w:val="0"/>
                      <w:marBottom w:val="0"/>
                      <w:divBdr>
                        <w:top w:val="none" w:sz="0" w:space="0" w:color="auto"/>
                        <w:left w:val="none" w:sz="0" w:space="0" w:color="auto"/>
                        <w:bottom w:val="none" w:sz="0" w:space="0" w:color="auto"/>
                        <w:right w:val="none" w:sz="0" w:space="0" w:color="auto"/>
                      </w:divBdr>
                    </w:div>
                  </w:divsChild>
                </w:div>
                <w:div w:id="1888833954">
                  <w:marLeft w:val="0"/>
                  <w:marRight w:val="0"/>
                  <w:marTop w:val="0"/>
                  <w:marBottom w:val="0"/>
                  <w:divBdr>
                    <w:top w:val="none" w:sz="0" w:space="0" w:color="auto"/>
                    <w:left w:val="none" w:sz="0" w:space="0" w:color="auto"/>
                    <w:bottom w:val="none" w:sz="0" w:space="0" w:color="auto"/>
                    <w:right w:val="none" w:sz="0" w:space="0" w:color="auto"/>
                  </w:divBdr>
                  <w:divsChild>
                    <w:div w:id="927498175">
                      <w:marLeft w:val="0"/>
                      <w:marRight w:val="0"/>
                      <w:marTop w:val="0"/>
                      <w:marBottom w:val="0"/>
                      <w:divBdr>
                        <w:top w:val="none" w:sz="0" w:space="0" w:color="auto"/>
                        <w:left w:val="none" w:sz="0" w:space="0" w:color="auto"/>
                        <w:bottom w:val="none" w:sz="0" w:space="0" w:color="auto"/>
                        <w:right w:val="none" w:sz="0" w:space="0" w:color="auto"/>
                      </w:divBdr>
                    </w:div>
                  </w:divsChild>
                </w:div>
                <w:div w:id="1954824670">
                  <w:marLeft w:val="0"/>
                  <w:marRight w:val="0"/>
                  <w:marTop w:val="0"/>
                  <w:marBottom w:val="0"/>
                  <w:divBdr>
                    <w:top w:val="none" w:sz="0" w:space="0" w:color="auto"/>
                    <w:left w:val="none" w:sz="0" w:space="0" w:color="auto"/>
                    <w:bottom w:val="none" w:sz="0" w:space="0" w:color="auto"/>
                    <w:right w:val="none" w:sz="0" w:space="0" w:color="auto"/>
                  </w:divBdr>
                  <w:divsChild>
                    <w:div w:id="2109808105">
                      <w:marLeft w:val="0"/>
                      <w:marRight w:val="0"/>
                      <w:marTop w:val="0"/>
                      <w:marBottom w:val="0"/>
                      <w:divBdr>
                        <w:top w:val="none" w:sz="0" w:space="0" w:color="auto"/>
                        <w:left w:val="none" w:sz="0" w:space="0" w:color="auto"/>
                        <w:bottom w:val="none" w:sz="0" w:space="0" w:color="auto"/>
                        <w:right w:val="none" w:sz="0" w:space="0" w:color="auto"/>
                      </w:divBdr>
                    </w:div>
                  </w:divsChild>
                </w:div>
                <w:div w:id="1959337464">
                  <w:marLeft w:val="0"/>
                  <w:marRight w:val="0"/>
                  <w:marTop w:val="0"/>
                  <w:marBottom w:val="0"/>
                  <w:divBdr>
                    <w:top w:val="none" w:sz="0" w:space="0" w:color="auto"/>
                    <w:left w:val="none" w:sz="0" w:space="0" w:color="auto"/>
                    <w:bottom w:val="none" w:sz="0" w:space="0" w:color="auto"/>
                    <w:right w:val="none" w:sz="0" w:space="0" w:color="auto"/>
                  </w:divBdr>
                  <w:divsChild>
                    <w:div w:id="1748379497">
                      <w:marLeft w:val="0"/>
                      <w:marRight w:val="0"/>
                      <w:marTop w:val="0"/>
                      <w:marBottom w:val="0"/>
                      <w:divBdr>
                        <w:top w:val="none" w:sz="0" w:space="0" w:color="auto"/>
                        <w:left w:val="none" w:sz="0" w:space="0" w:color="auto"/>
                        <w:bottom w:val="none" w:sz="0" w:space="0" w:color="auto"/>
                        <w:right w:val="none" w:sz="0" w:space="0" w:color="auto"/>
                      </w:divBdr>
                    </w:div>
                  </w:divsChild>
                </w:div>
                <w:div w:id="1995719116">
                  <w:marLeft w:val="0"/>
                  <w:marRight w:val="0"/>
                  <w:marTop w:val="0"/>
                  <w:marBottom w:val="0"/>
                  <w:divBdr>
                    <w:top w:val="none" w:sz="0" w:space="0" w:color="auto"/>
                    <w:left w:val="none" w:sz="0" w:space="0" w:color="auto"/>
                    <w:bottom w:val="none" w:sz="0" w:space="0" w:color="auto"/>
                    <w:right w:val="none" w:sz="0" w:space="0" w:color="auto"/>
                  </w:divBdr>
                  <w:divsChild>
                    <w:div w:id="1937907801">
                      <w:marLeft w:val="0"/>
                      <w:marRight w:val="0"/>
                      <w:marTop w:val="0"/>
                      <w:marBottom w:val="0"/>
                      <w:divBdr>
                        <w:top w:val="none" w:sz="0" w:space="0" w:color="auto"/>
                        <w:left w:val="none" w:sz="0" w:space="0" w:color="auto"/>
                        <w:bottom w:val="none" w:sz="0" w:space="0" w:color="auto"/>
                        <w:right w:val="none" w:sz="0" w:space="0" w:color="auto"/>
                      </w:divBdr>
                    </w:div>
                  </w:divsChild>
                </w:div>
                <w:div w:id="2033533278">
                  <w:marLeft w:val="0"/>
                  <w:marRight w:val="0"/>
                  <w:marTop w:val="0"/>
                  <w:marBottom w:val="0"/>
                  <w:divBdr>
                    <w:top w:val="none" w:sz="0" w:space="0" w:color="auto"/>
                    <w:left w:val="none" w:sz="0" w:space="0" w:color="auto"/>
                    <w:bottom w:val="none" w:sz="0" w:space="0" w:color="auto"/>
                    <w:right w:val="none" w:sz="0" w:space="0" w:color="auto"/>
                  </w:divBdr>
                  <w:divsChild>
                    <w:div w:id="1877423087">
                      <w:marLeft w:val="0"/>
                      <w:marRight w:val="0"/>
                      <w:marTop w:val="0"/>
                      <w:marBottom w:val="0"/>
                      <w:divBdr>
                        <w:top w:val="none" w:sz="0" w:space="0" w:color="auto"/>
                        <w:left w:val="none" w:sz="0" w:space="0" w:color="auto"/>
                        <w:bottom w:val="none" w:sz="0" w:space="0" w:color="auto"/>
                        <w:right w:val="none" w:sz="0" w:space="0" w:color="auto"/>
                      </w:divBdr>
                    </w:div>
                  </w:divsChild>
                </w:div>
                <w:div w:id="2063282197">
                  <w:marLeft w:val="0"/>
                  <w:marRight w:val="0"/>
                  <w:marTop w:val="0"/>
                  <w:marBottom w:val="0"/>
                  <w:divBdr>
                    <w:top w:val="none" w:sz="0" w:space="0" w:color="auto"/>
                    <w:left w:val="none" w:sz="0" w:space="0" w:color="auto"/>
                    <w:bottom w:val="none" w:sz="0" w:space="0" w:color="auto"/>
                    <w:right w:val="none" w:sz="0" w:space="0" w:color="auto"/>
                  </w:divBdr>
                  <w:divsChild>
                    <w:div w:id="1064066328">
                      <w:marLeft w:val="0"/>
                      <w:marRight w:val="0"/>
                      <w:marTop w:val="0"/>
                      <w:marBottom w:val="0"/>
                      <w:divBdr>
                        <w:top w:val="none" w:sz="0" w:space="0" w:color="auto"/>
                        <w:left w:val="none" w:sz="0" w:space="0" w:color="auto"/>
                        <w:bottom w:val="none" w:sz="0" w:space="0" w:color="auto"/>
                        <w:right w:val="none" w:sz="0" w:space="0" w:color="auto"/>
                      </w:divBdr>
                    </w:div>
                  </w:divsChild>
                </w:div>
                <w:div w:id="2128812491">
                  <w:marLeft w:val="0"/>
                  <w:marRight w:val="0"/>
                  <w:marTop w:val="0"/>
                  <w:marBottom w:val="0"/>
                  <w:divBdr>
                    <w:top w:val="none" w:sz="0" w:space="0" w:color="auto"/>
                    <w:left w:val="none" w:sz="0" w:space="0" w:color="auto"/>
                    <w:bottom w:val="none" w:sz="0" w:space="0" w:color="auto"/>
                    <w:right w:val="none" w:sz="0" w:space="0" w:color="auto"/>
                  </w:divBdr>
                  <w:divsChild>
                    <w:div w:id="1963657193">
                      <w:marLeft w:val="0"/>
                      <w:marRight w:val="0"/>
                      <w:marTop w:val="0"/>
                      <w:marBottom w:val="0"/>
                      <w:divBdr>
                        <w:top w:val="none" w:sz="0" w:space="0" w:color="auto"/>
                        <w:left w:val="none" w:sz="0" w:space="0" w:color="auto"/>
                        <w:bottom w:val="none" w:sz="0" w:space="0" w:color="auto"/>
                        <w:right w:val="none" w:sz="0" w:space="0" w:color="auto"/>
                      </w:divBdr>
                    </w:div>
                  </w:divsChild>
                </w:div>
                <w:div w:id="2146307924">
                  <w:marLeft w:val="0"/>
                  <w:marRight w:val="0"/>
                  <w:marTop w:val="0"/>
                  <w:marBottom w:val="0"/>
                  <w:divBdr>
                    <w:top w:val="none" w:sz="0" w:space="0" w:color="auto"/>
                    <w:left w:val="none" w:sz="0" w:space="0" w:color="auto"/>
                    <w:bottom w:val="none" w:sz="0" w:space="0" w:color="auto"/>
                    <w:right w:val="none" w:sz="0" w:space="0" w:color="auto"/>
                  </w:divBdr>
                  <w:divsChild>
                    <w:div w:id="8920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1980">
          <w:marLeft w:val="0"/>
          <w:marRight w:val="0"/>
          <w:marTop w:val="0"/>
          <w:marBottom w:val="0"/>
          <w:divBdr>
            <w:top w:val="none" w:sz="0" w:space="0" w:color="auto"/>
            <w:left w:val="none" w:sz="0" w:space="0" w:color="auto"/>
            <w:bottom w:val="none" w:sz="0" w:space="0" w:color="auto"/>
            <w:right w:val="none" w:sz="0" w:space="0" w:color="auto"/>
          </w:divBdr>
          <w:divsChild>
            <w:div w:id="275672973">
              <w:marLeft w:val="0"/>
              <w:marRight w:val="0"/>
              <w:marTop w:val="0"/>
              <w:marBottom w:val="0"/>
              <w:divBdr>
                <w:top w:val="none" w:sz="0" w:space="0" w:color="auto"/>
                <w:left w:val="none" w:sz="0" w:space="0" w:color="auto"/>
                <w:bottom w:val="none" w:sz="0" w:space="0" w:color="auto"/>
                <w:right w:val="none" w:sz="0" w:space="0" w:color="auto"/>
              </w:divBdr>
            </w:div>
            <w:div w:id="381174771">
              <w:marLeft w:val="0"/>
              <w:marRight w:val="0"/>
              <w:marTop w:val="0"/>
              <w:marBottom w:val="0"/>
              <w:divBdr>
                <w:top w:val="none" w:sz="0" w:space="0" w:color="auto"/>
                <w:left w:val="none" w:sz="0" w:space="0" w:color="auto"/>
                <w:bottom w:val="none" w:sz="0" w:space="0" w:color="auto"/>
                <w:right w:val="none" w:sz="0" w:space="0" w:color="auto"/>
              </w:divBdr>
            </w:div>
            <w:div w:id="442041091">
              <w:marLeft w:val="0"/>
              <w:marRight w:val="0"/>
              <w:marTop w:val="0"/>
              <w:marBottom w:val="0"/>
              <w:divBdr>
                <w:top w:val="none" w:sz="0" w:space="0" w:color="auto"/>
                <w:left w:val="none" w:sz="0" w:space="0" w:color="auto"/>
                <w:bottom w:val="none" w:sz="0" w:space="0" w:color="auto"/>
                <w:right w:val="none" w:sz="0" w:space="0" w:color="auto"/>
              </w:divBdr>
            </w:div>
            <w:div w:id="630331056">
              <w:marLeft w:val="0"/>
              <w:marRight w:val="0"/>
              <w:marTop w:val="0"/>
              <w:marBottom w:val="0"/>
              <w:divBdr>
                <w:top w:val="none" w:sz="0" w:space="0" w:color="auto"/>
                <w:left w:val="none" w:sz="0" w:space="0" w:color="auto"/>
                <w:bottom w:val="none" w:sz="0" w:space="0" w:color="auto"/>
                <w:right w:val="none" w:sz="0" w:space="0" w:color="auto"/>
              </w:divBdr>
            </w:div>
            <w:div w:id="1077282632">
              <w:marLeft w:val="0"/>
              <w:marRight w:val="0"/>
              <w:marTop w:val="0"/>
              <w:marBottom w:val="0"/>
              <w:divBdr>
                <w:top w:val="none" w:sz="0" w:space="0" w:color="auto"/>
                <w:left w:val="none" w:sz="0" w:space="0" w:color="auto"/>
                <w:bottom w:val="none" w:sz="0" w:space="0" w:color="auto"/>
                <w:right w:val="none" w:sz="0" w:space="0" w:color="auto"/>
              </w:divBdr>
            </w:div>
            <w:div w:id="1567254619">
              <w:marLeft w:val="0"/>
              <w:marRight w:val="0"/>
              <w:marTop w:val="0"/>
              <w:marBottom w:val="0"/>
              <w:divBdr>
                <w:top w:val="none" w:sz="0" w:space="0" w:color="auto"/>
                <w:left w:val="none" w:sz="0" w:space="0" w:color="auto"/>
                <w:bottom w:val="none" w:sz="0" w:space="0" w:color="auto"/>
                <w:right w:val="none" w:sz="0" w:space="0" w:color="auto"/>
              </w:divBdr>
            </w:div>
            <w:div w:id="1601376137">
              <w:marLeft w:val="0"/>
              <w:marRight w:val="0"/>
              <w:marTop w:val="0"/>
              <w:marBottom w:val="0"/>
              <w:divBdr>
                <w:top w:val="none" w:sz="0" w:space="0" w:color="auto"/>
                <w:left w:val="none" w:sz="0" w:space="0" w:color="auto"/>
                <w:bottom w:val="none" w:sz="0" w:space="0" w:color="auto"/>
                <w:right w:val="none" w:sz="0" w:space="0" w:color="auto"/>
              </w:divBdr>
              <w:divsChild>
                <w:div w:id="1875773233">
                  <w:marLeft w:val="-75"/>
                  <w:marRight w:val="0"/>
                  <w:marTop w:val="30"/>
                  <w:marBottom w:val="30"/>
                  <w:divBdr>
                    <w:top w:val="none" w:sz="0" w:space="0" w:color="auto"/>
                    <w:left w:val="none" w:sz="0" w:space="0" w:color="auto"/>
                    <w:bottom w:val="none" w:sz="0" w:space="0" w:color="auto"/>
                    <w:right w:val="none" w:sz="0" w:space="0" w:color="auto"/>
                  </w:divBdr>
                  <w:divsChild>
                    <w:div w:id="19472206">
                      <w:marLeft w:val="0"/>
                      <w:marRight w:val="0"/>
                      <w:marTop w:val="0"/>
                      <w:marBottom w:val="0"/>
                      <w:divBdr>
                        <w:top w:val="none" w:sz="0" w:space="0" w:color="auto"/>
                        <w:left w:val="none" w:sz="0" w:space="0" w:color="auto"/>
                        <w:bottom w:val="none" w:sz="0" w:space="0" w:color="auto"/>
                        <w:right w:val="none" w:sz="0" w:space="0" w:color="auto"/>
                      </w:divBdr>
                      <w:divsChild>
                        <w:div w:id="1261330539">
                          <w:marLeft w:val="0"/>
                          <w:marRight w:val="0"/>
                          <w:marTop w:val="0"/>
                          <w:marBottom w:val="0"/>
                          <w:divBdr>
                            <w:top w:val="none" w:sz="0" w:space="0" w:color="auto"/>
                            <w:left w:val="none" w:sz="0" w:space="0" w:color="auto"/>
                            <w:bottom w:val="none" w:sz="0" w:space="0" w:color="auto"/>
                            <w:right w:val="none" w:sz="0" w:space="0" w:color="auto"/>
                          </w:divBdr>
                        </w:div>
                      </w:divsChild>
                    </w:div>
                    <w:div w:id="31417847">
                      <w:marLeft w:val="0"/>
                      <w:marRight w:val="0"/>
                      <w:marTop w:val="0"/>
                      <w:marBottom w:val="0"/>
                      <w:divBdr>
                        <w:top w:val="none" w:sz="0" w:space="0" w:color="auto"/>
                        <w:left w:val="none" w:sz="0" w:space="0" w:color="auto"/>
                        <w:bottom w:val="none" w:sz="0" w:space="0" w:color="auto"/>
                        <w:right w:val="none" w:sz="0" w:space="0" w:color="auto"/>
                      </w:divBdr>
                      <w:divsChild>
                        <w:div w:id="1272471919">
                          <w:marLeft w:val="0"/>
                          <w:marRight w:val="0"/>
                          <w:marTop w:val="0"/>
                          <w:marBottom w:val="0"/>
                          <w:divBdr>
                            <w:top w:val="none" w:sz="0" w:space="0" w:color="auto"/>
                            <w:left w:val="none" w:sz="0" w:space="0" w:color="auto"/>
                            <w:bottom w:val="none" w:sz="0" w:space="0" w:color="auto"/>
                            <w:right w:val="none" w:sz="0" w:space="0" w:color="auto"/>
                          </w:divBdr>
                        </w:div>
                      </w:divsChild>
                    </w:div>
                    <w:div w:id="39718324">
                      <w:marLeft w:val="0"/>
                      <w:marRight w:val="0"/>
                      <w:marTop w:val="0"/>
                      <w:marBottom w:val="0"/>
                      <w:divBdr>
                        <w:top w:val="none" w:sz="0" w:space="0" w:color="auto"/>
                        <w:left w:val="none" w:sz="0" w:space="0" w:color="auto"/>
                        <w:bottom w:val="none" w:sz="0" w:space="0" w:color="auto"/>
                        <w:right w:val="none" w:sz="0" w:space="0" w:color="auto"/>
                      </w:divBdr>
                      <w:divsChild>
                        <w:div w:id="1654024096">
                          <w:marLeft w:val="0"/>
                          <w:marRight w:val="0"/>
                          <w:marTop w:val="0"/>
                          <w:marBottom w:val="0"/>
                          <w:divBdr>
                            <w:top w:val="none" w:sz="0" w:space="0" w:color="auto"/>
                            <w:left w:val="none" w:sz="0" w:space="0" w:color="auto"/>
                            <w:bottom w:val="none" w:sz="0" w:space="0" w:color="auto"/>
                            <w:right w:val="none" w:sz="0" w:space="0" w:color="auto"/>
                          </w:divBdr>
                        </w:div>
                      </w:divsChild>
                    </w:div>
                    <w:div w:id="139003552">
                      <w:marLeft w:val="0"/>
                      <w:marRight w:val="0"/>
                      <w:marTop w:val="0"/>
                      <w:marBottom w:val="0"/>
                      <w:divBdr>
                        <w:top w:val="none" w:sz="0" w:space="0" w:color="auto"/>
                        <w:left w:val="none" w:sz="0" w:space="0" w:color="auto"/>
                        <w:bottom w:val="none" w:sz="0" w:space="0" w:color="auto"/>
                        <w:right w:val="none" w:sz="0" w:space="0" w:color="auto"/>
                      </w:divBdr>
                      <w:divsChild>
                        <w:div w:id="371348196">
                          <w:marLeft w:val="0"/>
                          <w:marRight w:val="0"/>
                          <w:marTop w:val="0"/>
                          <w:marBottom w:val="0"/>
                          <w:divBdr>
                            <w:top w:val="none" w:sz="0" w:space="0" w:color="auto"/>
                            <w:left w:val="none" w:sz="0" w:space="0" w:color="auto"/>
                            <w:bottom w:val="none" w:sz="0" w:space="0" w:color="auto"/>
                            <w:right w:val="none" w:sz="0" w:space="0" w:color="auto"/>
                          </w:divBdr>
                        </w:div>
                      </w:divsChild>
                    </w:div>
                    <w:div w:id="198398913">
                      <w:marLeft w:val="0"/>
                      <w:marRight w:val="0"/>
                      <w:marTop w:val="0"/>
                      <w:marBottom w:val="0"/>
                      <w:divBdr>
                        <w:top w:val="none" w:sz="0" w:space="0" w:color="auto"/>
                        <w:left w:val="none" w:sz="0" w:space="0" w:color="auto"/>
                        <w:bottom w:val="none" w:sz="0" w:space="0" w:color="auto"/>
                        <w:right w:val="none" w:sz="0" w:space="0" w:color="auto"/>
                      </w:divBdr>
                      <w:divsChild>
                        <w:div w:id="266037205">
                          <w:marLeft w:val="0"/>
                          <w:marRight w:val="0"/>
                          <w:marTop w:val="0"/>
                          <w:marBottom w:val="0"/>
                          <w:divBdr>
                            <w:top w:val="none" w:sz="0" w:space="0" w:color="auto"/>
                            <w:left w:val="none" w:sz="0" w:space="0" w:color="auto"/>
                            <w:bottom w:val="none" w:sz="0" w:space="0" w:color="auto"/>
                            <w:right w:val="none" w:sz="0" w:space="0" w:color="auto"/>
                          </w:divBdr>
                        </w:div>
                      </w:divsChild>
                    </w:div>
                    <w:div w:id="274099195">
                      <w:marLeft w:val="0"/>
                      <w:marRight w:val="0"/>
                      <w:marTop w:val="0"/>
                      <w:marBottom w:val="0"/>
                      <w:divBdr>
                        <w:top w:val="none" w:sz="0" w:space="0" w:color="auto"/>
                        <w:left w:val="none" w:sz="0" w:space="0" w:color="auto"/>
                        <w:bottom w:val="none" w:sz="0" w:space="0" w:color="auto"/>
                        <w:right w:val="none" w:sz="0" w:space="0" w:color="auto"/>
                      </w:divBdr>
                      <w:divsChild>
                        <w:div w:id="594751335">
                          <w:marLeft w:val="0"/>
                          <w:marRight w:val="0"/>
                          <w:marTop w:val="0"/>
                          <w:marBottom w:val="0"/>
                          <w:divBdr>
                            <w:top w:val="none" w:sz="0" w:space="0" w:color="auto"/>
                            <w:left w:val="none" w:sz="0" w:space="0" w:color="auto"/>
                            <w:bottom w:val="none" w:sz="0" w:space="0" w:color="auto"/>
                            <w:right w:val="none" w:sz="0" w:space="0" w:color="auto"/>
                          </w:divBdr>
                        </w:div>
                      </w:divsChild>
                    </w:div>
                    <w:div w:id="299386751">
                      <w:marLeft w:val="0"/>
                      <w:marRight w:val="0"/>
                      <w:marTop w:val="0"/>
                      <w:marBottom w:val="0"/>
                      <w:divBdr>
                        <w:top w:val="none" w:sz="0" w:space="0" w:color="auto"/>
                        <w:left w:val="none" w:sz="0" w:space="0" w:color="auto"/>
                        <w:bottom w:val="none" w:sz="0" w:space="0" w:color="auto"/>
                        <w:right w:val="none" w:sz="0" w:space="0" w:color="auto"/>
                      </w:divBdr>
                      <w:divsChild>
                        <w:div w:id="668754424">
                          <w:marLeft w:val="0"/>
                          <w:marRight w:val="0"/>
                          <w:marTop w:val="0"/>
                          <w:marBottom w:val="0"/>
                          <w:divBdr>
                            <w:top w:val="none" w:sz="0" w:space="0" w:color="auto"/>
                            <w:left w:val="none" w:sz="0" w:space="0" w:color="auto"/>
                            <w:bottom w:val="none" w:sz="0" w:space="0" w:color="auto"/>
                            <w:right w:val="none" w:sz="0" w:space="0" w:color="auto"/>
                          </w:divBdr>
                        </w:div>
                      </w:divsChild>
                    </w:div>
                    <w:div w:id="301815839">
                      <w:marLeft w:val="0"/>
                      <w:marRight w:val="0"/>
                      <w:marTop w:val="0"/>
                      <w:marBottom w:val="0"/>
                      <w:divBdr>
                        <w:top w:val="none" w:sz="0" w:space="0" w:color="auto"/>
                        <w:left w:val="none" w:sz="0" w:space="0" w:color="auto"/>
                        <w:bottom w:val="none" w:sz="0" w:space="0" w:color="auto"/>
                        <w:right w:val="none" w:sz="0" w:space="0" w:color="auto"/>
                      </w:divBdr>
                      <w:divsChild>
                        <w:div w:id="2090149204">
                          <w:marLeft w:val="0"/>
                          <w:marRight w:val="0"/>
                          <w:marTop w:val="0"/>
                          <w:marBottom w:val="0"/>
                          <w:divBdr>
                            <w:top w:val="none" w:sz="0" w:space="0" w:color="auto"/>
                            <w:left w:val="none" w:sz="0" w:space="0" w:color="auto"/>
                            <w:bottom w:val="none" w:sz="0" w:space="0" w:color="auto"/>
                            <w:right w:val="none" w:sz="0" w:space="0" w:color="auto"/>
                          </w:divBdr>
                        </w:div>
                      </w:divsChild>
                    </w:div>
                    <w:div w:id="347874996">
                      <w:marLeft w:val="0"/>
                      <w:marRight w:val="0"/>
                      <w:marTop w:val="0"/>
                      <w:marBottom w:val="0"/>
                      <w:divBdr>
                        <w:top w:val="none" w:sz="0" w:space="0" w:color="auto"/>
                        <w:left w:val="none" w:sz="0" w:space="0" w:color="auto"/>
                        <w:bottom w:val="none" w:sz="0" w:space="0" w:color="auto"/>
                        <w:right w:val="none" w:sz="0" w:space="0" w:color="auto"/>
                      </w:divBdr>
                      <w:divsChild>
                        <w:div w:id="1217545448">
                          <w:marLeft w:val="0"/>
                          <w:marRight w:val="0"/>
                          <w:marTop w:val="0"/>
                          <w:marBottom w:val="0"/>
                          <w:divBdr>
                            <w:top w:val="none" w:sz="0" w:space="0" w:color="auto"/>
                            <w:left w:val="none" w:sz="0" w:space="0" w:color="auto"/>
                            <w:bottom w:val="none" w:sz="0" w:space="0" w:color="auto"/>
                            <w:right w:val="none" w:sz="0" w:space="0" w:color="auto"/>
                          </w:divBdr>
                        </w:div>
                      </w:divsChild>
                    </w:div>
                    <w:div w:id="361901119">
                      <w:marLeft w:val="0"/>
                      <w:marRight w:val="0"/>
                      <w:marTop w:val="0"/>
                      <w:marBottom w:val="0"/>
                      <w:divBdr>
                        <w:top w:val="none" w:sz="0" w:space="0" w:color="auto"/>
                        <w:left w:val="none" w:sz="0" w:space="0" w:color="auto"/>
                        <w:bottom w:val="none" w:sz="0" w:space="0" w:color="auto"/>
                        <w:right w:val="none" w:sz="0" w:space="0" w:color="auto"/>
                      </w:divBdr>
                      <w:divsChild>
                        <w:div w:id="1535920814">
                          <w:marLeft w:val="0"/>
                          <w:marRight w:val="0"/>
                          <w:marTop w:val="0"/>
                          <w:marBottom w:val="0"/>
                          <w:divBdr>
                            <w:top w:val="none" w:sz="0" w:space="0" w:color="auto"/>
                            <w:left w:val="none" w:sz="0" w:space="0" w:color="auto"/>
                            <w:bottom w:val="none" w:sz="0" w:space="0" w:color="auto"/>
                            <w:right w:val="none" w:sz="0" w:space="0" w:color="auto"/>
                          </w:divBdr>
                        </w:div>
                      </w:divsChild>
                    </w:div>
                    <w:div w:id="648900718">
                      <w:marLeft w:val="0"/>
                      <w:marRight w:val="0"/>
                      <w:marTop w:val="0"/>
                      <w:marBottom w:val="0"/>
                      <w:divBdr>
                        <w:top w:val="none" w:sz="0" w:space="0" w:color="auto"/>
                        <w:left w:val="none" w:sz="0" w:space="0" w:color="auto"/>
                        <w:bottom w:val="none" w:sz="0" w:space="0" w:color="auto"/>
                        <w:right w:val="none" w:sz="0" w:space="0" w:color="auto"/>
                      </w:divBdr>
                      <w:divsChild>
                        <w:div w:id="655572133">
                          <w:marLeft w:val="0"/>
                          <w:marRight w:val="0"/>
                          <w:marTop w:val="0"/>
                          <w:marBottom w:val="0"/>
                          <w:divBdr>
                            <w:top w:val="none" w:sz="0" w:space="0" w:color="auto"/>
                            <w:left w:val="none" w:sz="0" w:space="0" w:color="auto"/>
                            <w:bottom w:val="none" w:sz="0" w:space="0" w:color="auto"/>
                            <w:right w:val="none" w:sz="0" w:space="0" w:color="auto"/>
                          </w:divBdr>
                        </w:div>
                      </w:divsChild>
                    </w:div>
                    <w:div w:id="685136002">
                      <w:marLeft w:val="0"/>
                      <w:marRight w:val="0"/>
                      <w:marTop w:val="0"/>
                      <w:marBottom w:val="0"/>
                      <w:divBdr>
                        <w:top w:val="none" w:sz="0" w:space="0" w:color="auto"/>
                        <w:left w:val="none" w:sz="0" w:space="0" w:color="auto"/>
                        <w:bottom w:val="none" w:sz="0" w:space="0" w:color="auto"/>
                        <w:right w:val="none" w:sz="0" w:space="0" w:color="auto"/>
                      </w:divBdr>
                      <w:divsChild>
                        <w:div w:id="1490632549">
                          <w:marLeft w:val="0"/>
                          <w:marRight w:val="0"/>
                          <w:marTop w:val="0"/>
                          <w:marBottom w:val="0"/>
                          <w:divBdr>
                            <w:top w:val="none" w:sz="0" w:space="0" w:color="auto"/>
                            <w:left w:val="none" w:sz="0" w:space="0" w:color="auto"/>
                            <w:bottom w:val="none" w:sz="0" w:space="0" w:color="auto"/>
                            <w:right w:val="none" w:sz="0" w:space="0" w:color="auto"/>
                          </w:divBdr>
                        </w:div>
                      </w:divsChild>
                    </w:div>
                    <w:div w:id="721096564">
                      <w:marLeft w:val="0"/>
                      <w:marRight w:val="0"/>
                      <w:marTop w:val="0"/>
                      <w:marBottom w:val="0"/>
                      <w:divBdr>
                        <w:top w:val="none" w:sz="0" w:space="0" w:color="auto"/>
                        <w:left w:val="none" w:sz="0" w:space="0" w:color="auto"/>
                        <w:bottom w:val="none" w:sz="0" w:space="0" w:color="auto"/>
                        <w:right w:val="none" w:sz="0" w:space="0" w:color="auto"/>
                      </w:divBdr>
                      <w:divsChild>
                        <w:div w:id="112094257">
                          <w:marLeft w:val="0"/>
                          <w:marRight w:val="0"/>
                          <w:marTop w:val="0"/>
                          <w:marBottom w:val="0"/>
                          <w:divBdr>
                            <w:top w:val="none" w:sz="0" w:space="0" w:color="auto"/>
                            <w:left w:val="none" w:sz="0" w:space="0" w:color="auto"/>
                            <w:bottom w:val="none" w:sz="0" w:space="0" w:color="auto"/>
                            <w:right w:val="none" w:sz="0" w:space="0" w:color="auto"/>
                          </w:divBdr>
                        </w:div>
                      </w:divsChild>
                    </w:div>
                    <w:div w:id="768236209">
                      <w:marLeft w:val="0"/>
                      <w:marRight w:val="0"/>
                      <w:marTop w:val="0"/>
                      <w:marBottom w:val="0"/>
                      <w:divBdr>
                        <w:top w:val="none" w:sz="0" w:space="0" w:color="auto"/>
                        <w:left w:val="none" w:sz="0" w:space="0" w:color="auto"/>
                        <w:bottom w:val="none" w:sz="0" w:space="0" w:color="auto"/>
                        <w:right w:val="none" w:sz="0" w:space="0" w:color="auto"/>
                      </w:divBdr>
                      <w:divsChild>
                        <w:div w:id="1829712333">
                          <w:marLeft w:val="0"/>
                          <w:marRight w:val="0"/>
                          <w:marTop w:val="0"/>
                          <w:marBottom w:val="0"/>
                          <w:divBdr>
                            <w:top w:val="none" w:sz="0" w:space="0" w:color="auto"/>
                            <w:left w:val="none" w:sz="0" w:space="0" w:color="auto"/>
                            <w:bottom w:val="none" w:sz="0" w:space="0" w:color="auto"/>
                            <w:right w:val="none" w:sz="0" w:space="0" w:color="auto"/>
                          </w:divBdr>
                        </w:div>
                      </w:divsChild>
                    </w:div>
                    <w:div w:id="852575744">
                      <w:marLeft w:val="0"/>
                      <w:marRight w:val="0"/>
                      <w:marTop w:val="0"/>
                      <w:marBottom w:val="0"/>
                      <w:divBdr>
                        <w:top w:val="none" w:sz="0" w:space="0" w:color="auto"/>
                        <w:left w:val="none" w:sz="0" w:space="0" w:color="auto"/>
                        <w:bottom w:val="none" w:sz="0" w:space="0" w:color="auto"/>
                        <w:right w:val="none" w:sz="0" w:space="0" w:color="auto"/>
                      </w:divBdr>
                      <w:divsChild>
                        <w:div w:id="98834612">
                          <w:marLeft w:val="0"/>
                          <w:marRight w:val="0"/>
                          <w:marTop w:val="0"/>
                          <w:marBottom w:val="0"/>
                          <w:divBdr>
                            <w:top w:val="none" w:sz="0" w:space="0" w:color="auto"/>
                            <w:left w:val="none" w:sz="0" w:space="0" w:color="auto"/>
                            <w:bottom w:val="none" w:sz="0" w:space="0" w:color="auto"/>
                            <w:right w:val="none" w:sz="0" w:space="0" w:color="auto"/>
                          </w:divBdr>
                        </w:div>
                      </w:divsChild>
                    </w:div>
                    <w:div w:id="869031646">
                      <w:marLeft w:val="0"/>
                      <w:marRight w:val="0"/>
                      <w:marTop w:val="0"/>
                      <w:marBottom w:val="0"/>
                      <w:divBdr>
                        <w:top w:val="none" w:sz="0" w:space="0" w:color="auto"/>
                        <w:left w:val="none" w:sz="0" w:space="0" w:color="auto"/>
                        <w:bottom w:val="none" w:sz="0" w:space="0" w:color="auto"/>
                        <w:right w:val="none" w:sz="0" w:space="0" w:color="auto"/>
                      </w:divBdr>
                      <w:divsChild>
                        <w:div w:id="1284382096">
                          <w:marLeft w:val="0"/>
                          <w:marRight w:val="0"/>
                          <w:marTop w:val="0"/>
                          <w:marBottom w:val="0"/>
                          <w:divBdr>
                            <w:top w:val="none" w:sz="0" w:space="0" w:color="auto"/>
                            <w:left w:val="none" w:sz="0" w:space="0" w:color="auto"/>
                            <w:bottom w:val="none" w:sz="0" w:space="0" w:color="auto"/>
                            <w:right w:val="none" w:sz="0" w:space="0" w:color="auto"/>
                          </w:divBdr>
                        </w:div>
                      </w:divsChild>
                    </w:div>
                    <w:div w:id="886644295">
                      <w:marLeft w:val="0"/>
                      <w:marRight w:val="0"/>
                      <w:marTop w:val="0"/>
                      <w:marBottom w:val="0"/>
                      <w:divBdr>
                        <w:top w:val="none" w:sz="0" w:space="0" w:color="auto"/>
                        <w:left w:val="none" w:sz="0" w:space="0" w:color="auto"/>
                        <w:bottom w:val="none" w:sz="0" w:space="0" w:color="auto"/>
                        <w:right w:val="none" w:sz="0" w:space="0" w:color="auto"/>
                      </w:divBdr>
                      <w:divsChild>
                        <w:div w:id="1735740082">
                          <w:marLeft w:val="0"/>
                          <w:marRight w:val="0"/>
                          <w:marTop w:val="0"/>
                          <w:marBottom w:val="0"/>
                          <w:divBdr>
                            <w:top w:val="none" w:sz="0" w:space="0" w:color="auto"/>
                            <w:left w:val="none" w:sz="0" w:space="0" w:color="auto"/>
                            <w:bottom w:val="none" w:sz="0" w:space="0" w:color="auto"/>
                            <w:right w:val="none" w:sz="0" w:space="0" w:color="auto"/>
                          </w:divBdr>
                        </w:div>
                      </w:divsChild>
                    </w:div>
                    <w:div w:id="894586346">
                      <w:marLeft w:val="0"/>
                      <w:marRight w:val="0"/>
                      <w:marTop w:val="0"/>
                      <w:marBottom w:val="0"/>
                      <w:divBdr>
                        <w:top w:val="none" w:sz="0" w:space="0" w:color="auto"/>
                        <w:left w:val="none" w:sz="0" w:space="0" w:color="auto"/>
                        <w:bottom w:val="none" w:sz="0" w:space="0" w:color="auto"/>
                        <w:right w:val="none" w:sz="0" w:space="0" w:color="auto"/>
                      </w:divBdr>
                      <w:divsChild>
                        <w:div w:id="887033191">
                          <w:marLeft w:val="0"/>
                          <w:marRight w:val="0"/>
                          <w:marTop w:val="0"/>
                          <w:marBottom w:val="0"/>
                          <w:divBdr>
                            <w:top w:val="none" w:sz="0" w:space="0" w:color="auto"/>
                            <w:left w:val="none" w:sz="0" w:space="0" w:color="auto"/>
                            <w:bottom w:val="none" w:sz="0" w:space="0" w:color="auto"/>
                            <w:right w:val="none" w:sz="0" w:space="0" w:color="auto"/>
                          </w:divBdr>
                        </w:div>
                      </w:divsChild>
                    </w:div>
                    <w:div w:id="910239251">
                      <w:marLeft w:val="0"/>
                      <w:marRight w:val="0"/>
                      <w:marTop w:val="0"/>
                      <w:marBottom w:val="0"/>
                      <w:divBdr>
                        <w:top w:val="none" w:sz="0" w:space="0" w:color="auto"/>
                        <w:left w:val="none" w:sz="0" w:space="0" w:color="auto"/>
                        <w:bottom w:val="none" w:sz="0" w:space="0" w:color="auto"/>
                        <w:right w:val="none" w:sz="0" w:space="0" w:color="auto"/>
                      </w:divBdr>
                      <w:divsChild>
                        <w:div w:id="183712547">
                          <w:marLeft w:val="0"/>
                          <w:marRight w:val="0"/>
                          <w:marTop w:val="0"/>
                          <w:marBottom w:val="0"/>
                          <w:divBdr>
                            <w:top w:val="none" w:sz="0" w:space="0" w:color="auto"/>
                            <w:left w:val="none" w:sz="0" w:space="0" w:color="auto"/>
                            <w:bottom w:val="none" w:sz="0" w:space="0" w:color="auto"/>
                            <w:right w:val="none" w:sz="0" w:space="0" w:color="auto"/>
                          </w:divBdr>
                        </w:div>
                      </w:divsChild>
                    </w:div>
                    <w:div w:id="952828243">
                      <w:marLeft w:val="0"/>
                      <w:marRight w:val="0"/>
                      <w:marTop w:val="0"/>
                      <w:marBottom w:val="0"/>
                      <w:divBdr>
                        <w:top w:val="none" w:sz="0" w:space="0" w:color="auto"/>
                        <w:left w:val="none" w:sz="0" w:space="0" w:color="auto"/>
                        <w:bottom w:val="none" w:sz="0" w:space="0" w:color="auto"/>
                        <w:right w:val="none" w:sz="0" w:space="0" w:color="auto"/>
                      </w:divBdr>
                      <w:divsChild>
                        <w:div w:id="1821115544">
                          <w:marLeft w:val="0"/>
                          <w:marRight w:val="0"/>
                          <w:marTop w:val="0"/>
                          <w:marBottom w:val="0"/>
                          <w:divBdr>
                            <w:top w:val="none" w:sz="0" w:space="0" w:color="auto"/>
                            <w:left w:val="none" w:sz="0" w:space="0" w:color="auto"/>
                            <w:bottom w:val="none" w:sz="0" w:space="0" w:color="auto"/>
                            <w:right w:val="none" w:sz="0" w:space="0" w:color="auto"/>
                          </w:divBdr>
                        </w:div>
                      </w:divsChild>
                    </w:div>
                    <w:div w:id="988050406">
                      <w:marLeft w:val="0"/>
                      <w:marRight w:val="0"/>
                      <w:marTop w:val="0"/>
                      <w:marBottom w:val="0"/>
                      <w:divBdr>
                        <w:top w:val="none" w:sz="0" w:space="0" w:color="auto"/>
                        <w:left w:val="none" w:sz="0" w:space="0" w:color="auto"/>
                        <w:bottom w:val="none" w:sz="0" w:space="0" w:color="auto"/>
                        <w:right w:val="none" w:sz="0" w:space="0" w:color="auto"/>
                      </w:divBdr>
                      <w:divsChild>
                        <w:div w:id="1753815600">
                          <w:marLeft w:val="0"/>
                          <w:marRight w:val="0"/>
                          <w:marTop w:val="0"/>
                          <w:marBottom w:val="0"/>
                          <w:divBdr>
                            <w:top w:val="none" w:sz="0" w:space="0" w:color="auto"/>
                            <w:left w:val="none" w:sz="0" w:space="0" w:color="auto"/>
                            <w:bottom w:val="none" w:sz="0" w:space="0" w:color="auto"/>
                            <w:right w:val="none" w:sz="0" w:space="0" w:color="auto"/>
                          </w:divBdr>
                        </w:div>
                      </w:divsChild>
                    </w:div>
                    <w:div w:id="1048456431">
                      <w:marLeft w:val="0"/>
                      <w:marRight w:val="0"/>
                      <w:marTop w:val="0"/>
                      <w:marBottom w:val="0"/>
                      <w:divBdr>
                        <w:top w:val="none" w:sz="0" w:space="0" w:color="auto"/>
                        <w:left w:val="none" w:sz="0" w:space="0" w:color="auto"/>
                        <w:bottom w:val="none" w:sz="0" w:space="0" w:color="auto"/>
                        <w:right w:val="none" w:sz="0" w:space="0" w:color="auto"/>
                      </w:divBdr>
                      <w:divsChild>
                        <w:div w:id="2108768012">
                          <w:marLeft w:val="0"/>
                          <w:marRight w:val="0"/>
                          <w:marTop w:val="0"/>
                          <w:marBottom w:val="0"/>
                          <w:divBdr>
                            <w:top w:val="none" w:sz="0" w:space="0" w:color="auto"/>
                            <w:left w:val="none" w:sz="0" w:space="0" w:color="auto"/>
                            <w:bottom w:val="none" w:sz="0" w:space="0" w:color="auto"/>
                            <w:right w:val="none" w:sz="0" w:space="0" w:color="auto"/>
                          </w:divBdr>
                        </w:div>
                      </w:divsChild>
                    </w:div>
                    <w:div w:id="1050035780">
                      <w:marLeft w:val="0"/>
                      <w:marRight w:val="0"/>
                      <w:marTop w:val="0"/>
                      <w:marBottom w:val="0"/>
                      <w:divBdr>
                        <w:top w:val="none" w:sz="0" w:space="0" w:color="auto"/>
                        <w:left w:val="none" w:sz="0" w:space="0" w:color="auto"/>
                        <w:bottom w:val="none" w:sz="0" w:space="0" w:color="auto"/>
                        <w:right w:val="none" w:sz="0" w:space="0" w:color="auto"/>
                      </w:divBdr>
                      <w:divsChild>
                        <w:div w:id="87045492">
                          <w:marLeft w:val="0"/>
                          <w:marRight w:val="0"/>
                          <w:marTop w:val="0"/>
                          <w:marBottom w:val="0"/>
                          <w:divBdr>
                            <w:top w:val="none" w:sz="0" w:space="0" w:color="auto"/>
                            <w:left w:val="none" w:sz="0" w:space="0" w:color="auto"/>
                            <w:bottom w:val="none" w:sz="0" w:space="0" w:color="auto"/>
                            <w:right w:val="none" w:sz="0" w:space="0" w:color="auto"/>
                          </w:divBdr>
                        </w:div>
                      </w:divsChild>
                    </w:div>
                    <w:div w:id="1152988489">
                      <w:marLeft w:val="0"/>
                      <w:marRight w:val="0"/>
                      <w:marTop w:val="0"/>
                      <w:marBottom w:val="0"/>
                      <w:divBdr>
                        <w:top w:val="none" w:sz="0" w:space="0" w:color="auto"/>
                        <w:left w:val="none" w:sz="0" w:space="0" w:color="auto"/>
                        <w:bottom w:val="none" w:sz="0" w:space="0" w:color="auto"/>
                        <w:right w:val="none" w:sz="0" w:space="0" w:color="auto"/>
                      </w:divBdr>
                      <w:divsChild>
                        <w:div w:id="755512872">
                          <w:marLeft w:val="0"/>
                          <w:marRight w:val="0"/>
                          <w:marTop w:val="0"/>
                          <w:marBottom w:val="0"/>
                          <w:divBdr>
                            <w:top w:val="none" w:sz="0" w:space="0" w:color="auto"/>
                            <w:left w:val="none" w:sz="0" w:space="0" w:color="auto"/>
                            <w:bottom w:val="none" w:sz="0" w:space="0" w:color="auto"/>
                            <w:right w:val="none" w:sz="0" w:space="0" w:color="auto"/>
                          </w:divBdr>
                        </w:div>
                      </w:divsChild>
                    </w:div>
                    <w:div w:id="1159614202">
                      <w:marLeft w:val="0"/>
                      <w:marRight w:val="0"/>
                      <w:marTop w:val="0"/>
                      <w:marBottom w:val="0"/>
                      <w:divBdr>
                        <w:top w:val="none" w:sz="0" w:space="0" w:color="auto"/>
                        <w:left w:val="none" w:sz="0" w:space="0" w:color="auto"/>
                        <w:bottom w:val="none" w:sz="0" w:space="0" w:color="auto"/>
                        <w:right w:val="none" w:sz="0" w:space="0" w:color="auto"/>
                      </w:divBdr>
                      <w:divsChild>
                        <w:div w:id="1088501819">
                          <w:marLeft w:val="0"/>
                          <w:marRight w:val="0"/>
                          <w:marTop w:val="0"/>
                          <w:marBottom w:val="0"/>
                          <w:divBdr>
                            <w:top w:val="none" w:sz="0" w:space="0" w:color="auto"/>
                            <w:left w:val="none" w:sz="0" w:space="0" w:color="auto"/>
                            <w:bottom w:val="none" w:sz="0" w:space="0" w:color="auto"/>
                            <w:right w:val="none" w:sz="0" w:space="0" w:color="auto"/>
                          </w:divBdr>
                        </w:div>
                      </w:divsChild>
                    </w:div>
                    <w:div w:id="1201819897">
                      <w:marLeft w:val="0"/>
                      <w:marRight w:val="0"/>
                      <w:marTop w:val="0"/>
                      <w:marBottom w:val="0"/>
                      <w:divBdr>
                        <w:top w:val="none" w:sz="0" w:space="0" w:color="auto"/>
                        <w:left w:val="none" w:sz="0" w:space="0" w:color="auto"/>
                        <w:bottom w:val="none" w:sz="0" w:space="0" w:color="auto"/>
                        <w:right w:val="none" w:sz="0" w:space="0" w:color="auto"/>
                      </w:divBdr>
                      <w:divsChild>
                        <w:div w:id="1325284648">
                          <w:marLeft w:val="0"/>
                          <w:marRight w:val="0"/>
                          <w:marTop w:val="0"/>
                          <w:marBottom w:val="0"/>
                          <w:divBdr>
                            <w:top w:val="none" w:sz="0" w:space="0" w:color="auto"/>
                            <w:left w:val="none" w:sz="0" w:space="0" w:color="auto"/>
                            <w:bottom w:val="none" w:sz="0" w:space="0" w:color="auto"/>
                            <w:right w:val="none" w:sz="0" w:space="0" w:color="auto"/>
                          </w:divBdr>
                        </w:div>
                      </w:divsChild>
                    </w:div>
                    <w:div w:id="1330714893">
                      <w:marLeft w:val="0"/>
                      <w:marRight w:val="0"/>
                      <w:marTop w:val="0"/>
                      <w:marBottom w:val="0"/>
                      <w:divBdr>
                        <w:top w:val="none" w:sz="0" w:space="0" w:color="auto"/>
                        <w:left w:val="none" w:sz="0" w:space="0" w:color="auto"/>
                        <w:bottom w:val="none" w:sz="0" w:space="0" w:color="auto"/>
                        <w:right w:val="none" w:sz="0" w:space="0" w:color="auto"/>
                      </w:divBdr>
                      <w:divsChild>
                        <w:div w:id="238639549">
                          <w:marLeft w:val="0"/>
                          <w:marRight w:val="0"/>
                          <w:marTop w:val="0"/>
                          <w:marBottom w:val="0"/>
                          <w:divBdr>
                            <w:top w:val="none" w:sz="0" w:space="0" w:color="auto"/>
                            <w:left w:val="none" w:sz="0" w:space="0" w:color="auto"/>
                            <w:bottom w:val="none" w:sz="0" w:space="0" w:color="auto"/>
                            <w:right w:val="none" w:sz="0" w:space="0" w:color="auto"/>
                          </w:divBdr>
                        </w:div>
                      </w:divsChild>
                    </w:div>
                    <w:div w:id="1348368030">
                      <w:marLeft w:val="0"/>
                      <w:marRight w:val="0"/>
                      <w:marTop w:val="0"/>
                      <w:marBottom w:val="0"/>
                      <w:divBdr>
                        <w:top w:val="none" w:sz="0" w:space="0" w:color="auto"/>
                        <w:left w:val="none" w:sz="0" w:space="0" w:color="auto"/>
                        <w:bottom w:val="none" w:sz="0" w:space="0" w:color="auto"/>
                        <w:right w:val="none" w:sz="0" w:space="0" w:color="auto"/>
                      </w:divBdr>
                      <w:divsChild>
                        <w:div w:id="235480596">
                          <w:marLeft w:val="0"/>
                          <w:marRight w:val="0"/>
                          <w:marTop w:val="0"/>
                          <w:marBottom w:val="0"/>
                          <w:divBdr>
                            <w:top w:val="none" w:sz="0" w:space="0" w:color="auto"/>
                            <w:left w:val="none" w:sz="0" w:space="0" w:color="auto"/>
                            <w:bottom w:val="none" w:sz="0" w:space="0" w:color="auto"/>
                            <w:right w:val="none" w:sz="0" w:space="0" w:color="auto"/>
                          </w:divBdr>
                        </w:div>
                      </w:divsChild>
                    </w:div>
                    <w:div w:id="1407219330">
                      <w:marLeft w:val="0"/>
                      <w:marRight w:val="0"/>
                      <w:marTop w:val="0"/>
                      <w:marBottom w:val="0"/>
                      <w:divBdr>
                        <w:top w:val="none" w:sz="0" w:space="0" w:color="auto"/>
                        <w:left w:val="none" w:sz="0" w:space="0" w:color="auto"/>
                        <w:bottom w:val="none" w:sz="0" w:space="0" w:color="auto"/>
                        <w:right w:val="none" w:sz="0" w:space="0" w:color="auto"/>
                      </w:divBdr>
                      <w:divsChild>
                        <w:div w:id="874731899">
                          <w:marLeft w:val="0"/>
                          <w:marRight w:val="0"/>
                          <w:marTop w:val="0"/>
                          <w:marBottom w:val="0"/>
                          <w:divBdr>
                            <w:top w:val="none" w:sz="0" w:space="0" w:color="auto"/>
                            <w:left w:val="none" w:sz="0" w:space="0" w:color="auto"/>
                            <w:bottom w:val="none" w:sz="0" w:space="0" w:color="auto"/>
                            <w:right w:val="none" w:sz="0" w:space="0" w:color="auto"/>
                          </w:divBdr>
                        </w:div>
                      </w:divsChild>
                    </w:div>
                    <w:div w:id="1534343315">
                      <w:marLeft w:val="0"/>
                      <w:marRight w:val="0"/>
                      <w:marTop w:val="0"/>
                      <w:marBottom w:val="0"/>
                      <w:divBdr>
                        <w:top w:val="none" w:sz="0" w:space="0" w:color="auto"/>
                        <w:left w:val="none" w:sz="0" w:space="0" w:color="auto"/>
                        <w:bottom w:val="none" w:sz="0" w:space="0" w:color="auto"/>
                        <w:right w:val="none" w:sz="0" w:space="0" w:color="auto"/>
                      </w:divBdr>
                      <w:divsChild>
                        <w:div w:id="249319939">
                          <w:marLeft w:val="0"/>
                          <w:marRight w:val="0"/>
                          <w:marTop w:val="0"/>
                          <w:marBottom w:val="0"/>
                          <w:divBdr>
                            <w:top w:val="none" w:sz="0" w:space="0" w:color="auto"/>
                            <w:left w:val="none" w:sz="0" w:space="0" w:color="auto"/>
                            <w:bottom w:val="none" w:sz="0" w:space="0" w:color="auto"/>
                            <w:right w:val="none" w:sz="0" w:space="0" w:color="auto"/>
                          </w:divBdr>
                        </w:div>
                      </w:divsChild>
                    </w:div>
                    <w:div w:id="1552884122">
                      <w:marLeft w:val="0"/>
                      <w:marRight w:val="0"/>
                      <w:marTop w:val="0"/>
                      <w:marBottom w:val="0"/>
                      <w:divBdr>
                        <w:top w:val="none" w:sz="0" w:space="0" w:color="auto"/>
                        <w:left w:val="none" w:sz="0" w:space="0" w:color="auto"/>
                        <w:bottom w:val="none" w:sz="0" w:space="0" w:color="auto"/>
                        <w:right w:val="none" w:sz="0" w:space="0" w:color="auto"/>
                      </w:divBdr>
                      <w:divsChild>
                        <w:div w:id="622153936">
                          <w:marLeft w:val="0"/>
                          <w:marRight w:val="0"/>
                          <w:marTop w:val="0"/>
                          <w:marBottom w:val="0"/>
                          <w:divBdr>
                            <w:top w:val="none" w:sz="0" w:space="0" w:color="auto"/>
                            <w:left w:val="none" w:sz="0" w:space="0" w:color="auto"/>
                            <w:bottom w:val="none" w:sz="0" w:space="0" w:color="auto"/>
                            <w:right w:val="none" w:sz="0" w:space="0" w:color="auto"/>
                          </w:divBdr>
                        </w:div>
                      </w:divsChild>
                    </w:div>
                    <w:div w:id="1602034188">
                      <w:marLeft w:val="0"/>
                      <w:marRight w:val="0"/>
                      <w:marTop w:val="0"/>
                      <w:marBottom w:val="0"/>
                      <w:divBdr>
                        <w:top w:val="none" w:sz="0" w:space="0" w:color="auto"/>
                        <w:left w:val="none" w:sz="0" w:space="0" w:color="auto"/>
                        <w:bottom w:val="none" w:sz="0" w:space="0" w:color="auto"/>
                        <w:right w:val="none" w:sz="0" w:space="0" w:color="auto"/>
                      </w:divBdr>
                      <w:divsChild>
                        <w:div w:id="131602970">
                          <w:marLeft w:val="0"/>
                          <w:marRight w:val="0"/>
                          <w:marTop w:val="0"/>
                          <w:marBottom w:val="0"/>
                          <w:divBdr>
                            <w:top w:val="none" w:sz="0" w:space="0" w:color="auto"/>
                            <w:left w:val="none" w:sz="0" w:space="0" w:color="auto"/>
                            <w:bottom w:val="none" w:sz="0" w:space="0" w:color="auto"/>
                            <w:right w:val="none" w:sz="0" w:space="0" w:color="auto"/>
                          </w:divBdr>
                        </w:div>
                      </w:divsChild>
                    </w:div>
                    <w:div w:id="1611663979">
                      <w:marLeft w:val="0"/>
                      <w:marRight w:val="0"/>
                      <w:marTop w:val="0"/>
                      <w:marBottom w:val="0"/>
                      <w:divBdr>
                        <w:top w:val="none" w:sz="0" w:space="0" w:color="auto"/>
                        <w:left w:val="none" w:sz="0" w:space="0" w:color="auto"/>
                        <w:bottom w:val="none" w:sz="0" w:space="0" w:color="auto"/>
                        <w:right w:val="none" w:sz="0" w:space="0" w:color="auto"/>
                      </w:divBdr>
                      <w:divsChild>
                        <w:div w:id="1637569057">
                          <w:marLeft w:val="0"/>
                          <w:marRight w:val="0"/>
                          <w:marTop w:val="0"/>
                          <w:marBottom w:val="0"/>
                          <w:divBdr>
                            <w:top w:val="none" w:sz="0" w:space="0" w:color="auto"/>
                            <w:left w:val="none" w:sz="0" w:space="0" w:color="auto"/>
                            <w:bottom w:val="none" w:sz="0" w:space="0" w:color="auto"/>
                            <w:right w:val="none" w:sz="0" w:space="0" w:color="auto"/>
                          </w:divBdr>
                        </w:div>
                      </w:divsChild>
                    </w:div>
                    <w:div w:id="1624996845">
                      <w:marLeft w:val="0"/>
                      <w:marRight w:val="0"/>
                      <w:marTop w:val="0"/>
                      <w:marBottom w:val="0"/>
                      <w:divBdr>
                        <w:top w:val="none" w:sz="0" w:space="0" w:color="auto"/>
                        <w:left w:val="none" w:sz="0" w:space="0" w:color="auto"/>
                        <w:bottom w:val="none" w:sz="0" w:space="0" w:color="auto"/>
                        <w:right w:val="none" w:sz="0" w:space="0" w:color="auto"/>
                      </w:divBdr>
                      <w:divsChild>
                        <w:div w:id="1529757960">
                          <w:marLeft w:val="0"/>
                          <w:marRight w:val="0"/>
                          <w:marTop w:val="0"/>
                          <w:marBottom w:val="0"/>
                          <w:divBdr>
                            <w:top w:val="none" w:sz="0" w:space="0" w:color="auto"/>
                            <w:left w:val="none" w:sz="0" w:space="0" w:color="auto"/>
                            <w:bottom w:val="none" w:sz="0" w:space="0" w:color="auto"/>
                            <w:right w:val="none" w:sz="0" w:space="0" w:color="auto"/>
                          </w:divBdr>
                        </w:div>
                      </w:divsChild>
                    </w:div>
                    <w:div w:id="1639645731">
                      <w:marLeft w:val="0"/>
                      <w:marRight w:val="0"/>
                      <w:marTop w:val="0"/>
                      <w:marBottom w:val="0"/>
                      <w:divBdr>
                        <w:top w:val="none" w:sz="0" w:space="0" w:color="auto"/>
                        <w:left w:val="none" w:sz="0" w:space="0" w:color="auto"/>
                        <w:bottom w:val="none" w:sz="0" w:space="0" w:color="auto"/>
                        <w:right w:val="none" w:sz="0" w:space="0" w:color="auto"/>
                      </w:divBdr>
                      <w:divsChild>
                        <w:div w:id="1410078257">
                          <w:marLeft w:val="0"/>
                          <w:marRight w:val="0"/>
                          <w:marTop w:val="0"/>
                          <w:marBottom w:val="0"/>
                          <w:divBdr>
                            <w:top w:val="none" w:sz="0" w:space="0" w:color="auto"/>
                            <w:left w:val="none" w:sz="0" w:space="0" w:color="auto"/>
                            <w:bottom w:val="none" w:sz="0" w:space="0" w:color="auto"/>
                            <w:right w:val="none" w:sz="0" w:space="0" w:color="auto"/>
                          </w:divBdr>
                        </w:div>
                      </w:divsChild>
                    </w:div>
                    <w:div w:id="1681270676">
                      <w:marLeft w:val="0"/>
                      <w:marRight w:val="0"/>
                      <w:marTop w:val="0"/>
                      <w:marBottom w:val="0"/>
                      <w:divBdr>
                        <w:top w:val="none" w:sz="0" w:space="0" w:color="auto"/>
                        <w:left w:val="none" w:sz="0" w:space="0" w:color="auto"/>
                        <w:bottom w:val="none" w:sz="0" w:space="0" w:color="auto"/>
                        <w:right w:val="none" w:sz="0" w:space="0" w:color="auto"/>
                      </w:divBdr>
                      <w:divsChild>
                        <w:div w:id="1890722394">
                          <w:marLeft w:val="0"/>
                          <w:marRight w:val="0"/>
                          <w:marTop w:val="0"/>
                          <w:marBottom w:val="0"/>
                          <w:divBdr>
                            <w:top w:val="none" w:sz="0" w:space="0" w:color="auto"/>
                            <w:left w:val="none" w:sz="0" w:space="0" w:color="auto"/>
                            <w:bottom w:val="none" w:sz="0" w:space="0" w:color="auto"/>
                            <w:right w:val="none" w:sz="0" w:space="0" w:color="auto"/>
                          </w:divBdr>
                        </w:div>
                      </w:divsChild>
                    </w:div>
                    <w:div w:id="1701010872">
                      <w:marLeft w:val="0"/>
                      <w:marRight w:val="0"/>
                      <w:marTop w:val="0"/>
                      <w:marBottom w:val="0"/>
                      <w:divBdr>
                        <w:top w:val="none" w:sz="0" w:space="0" w:color="auto"/>
                        <w:left w:val="none" w:sz="0" w:space="0" w:color="auto"/>
                        <w:bottom w:val="none" w:sz="0" w:space="0" w:color="auto"/>
                        <w:right w:val="none" w:sz="0" w:space="0" w:color="auto"/>
                      </w:divBdr>
                      <w:divsChild>
                        <w:div w:id="1795055405">
                          <w:marLeft w:val="0"/>
                          <w:marRight w:val="0"/>
                          <w:marTop w:val="0"/>
                          <w:marBottom w:val="0"/>
                          <w:divBdr>
                            <w:top w:val="none" w:sz="0" w:space="0" w:color="auto"/>
                            <w:left w:val="none" w:sz="0" w:space="0" w:color="auto"/>
                            <w:bottom w:val="none" w:sz="0" w:space="0" w:color="auto"/>
                            <w:right w:val="none" w:sz="0" w:space="0" w:color="auto"/>
                          </w:divBdr>
                        </w:div>
                      </w:divsChild>
                    </w:div>
                    <w:div w:id="1739935015">
                      <w:marLeft w:val="0"/>
                      <w:marRight w:val="0"/>
                      <w:marTop w:val="0"/>
                      <w:marBottom w:val="0"/>
                      <w:divBdr>
                        <w:top w:val="none" w:sz="0" w:space="0" w:color="auto"/>
                        <w:left w:val="none" w:sz="0" w:space="0" w:color="auto"/>
                        <w:bottom w:val="none" w:sz="0" w:space="0" w:color="auto"/>
                        <w:right w:val="none" w:sz="0" w:space="0" w:color="auto"/>
                      </w:divBdr>
                      <w:divsChild>
                        <w:div w:id="1668289190">
                          <w:marLeft w:val="0"/>
                          <w:marRight w:val="0"/>
                          <w:marTop w:val="0"/>
                          <w:marBottom w:val="0"/>
                          <w:divBdr>
                            <w:top w:val="none" w:sz="0" w:space="0" w:color="auto"/>
                            <w:left w:val="none" w:sz="0" w:space="0" w:color="auto"/>
                            <w:bottom w:val="none" w:sz="0" w:space="0" w:color="auto"/>
                            <w:right w:val="none" w:sz="0" w:space="0" w:color="auto"/>
                          </w:divBdr>
                        </w:div>
                      </w:divsChild>
                    </w:div>
                    <w:div w:id="1782527779">
                      <w:marLeft w:val="0"/>
                      <w:marRight w:val="0"/>
                      <w:marTop w:val="0"/>
                      <w:marBottom w:val="0"/>
                      <w:divBdr>
                        <w:top w:val="none" w:sz="0" w:space="0" w:color="auto"/>
                        <w:left w:val="none" w:sz="0" w:space="0" w:color="auto"/>
                        <w:bottom w:val="none" w:sz="0" w:space="0" w:color="auto"/>
                        <w:right w:val="none" w:sz="0" w:space="0" w:color="auto"/>
                      </w:divBdr>
                      <w:divsChild>
                        <w:div w:id="856576769">
                          <w:marLeft w:val="0"/>
                          <w:marRight w:val="0"/>
                          <w:marTop w:val="0"/>
                          <w:marBottom w:val="0"/>
                          <w:divBdr>
                            <w:top w:val="none" w:sz="0" w:space="0" w:color="auto"/>
                            <w:left w:val="none" w:sz="0" w:space="0" w:color="auto"/>
                            <w:bottom w:val="none" w:sz="0" w:space="0" w:color="auto"/>
                            <w:right w:val="none" w:sz="0" w:space="0" w:color="auto"/>
                          </w:divBdr>
                        </w:div>
                      </w:divsChild>
                    </w:div>
                    <w:div w:id="1801730668">
                      <w:marLeft w:val="0"/>
                      <w:marRight w:val="0"/>
                      <w:marTop w:val="0"/>
                      <w:marBottom w:val="0"/>
                      <w:divBdr>
                        <w:top w:val="none" w:sz="0" w:space="0" w:color="auto"/>
                        <w:left w:val="none" w:sz="0" w:space="0" w:color="auto"/>
                        <w:bottom w:val="none" w:sz="0" w:space="0" w:color="auto"/>
                        <w:right w:val="none" w:sz="0" w:space="0" w:color="auto"/>
                      </w:divBdr>
                      <w:divsChild>
                        <w:div w:id="1236208660">
                          <w:marLeft w:val="0"/>
                          <w:marRight w:val="0"/>
                          <w:marTop w:val="0"/>
                          <w:marBottom w:val="0"/>
                          <w:divBdr>
                            <w:top w:val="none" w:sz="0" w:space="0" w:color="auto"/>
                            <w:left w:val="none" w:sz="0" w:space="0" w:color="auto"/>
                            <w:bottom w:val="none" w:sz="0" w:space="0" w:color="auto"/>
                            <w:right w:val="none" w:sz="0" w:space="0" w:color="auto"/>
                          </w:divBdr>
                        </w:div>
                      </w:divsChild>
                    </w:div>
                    <w:div w:id="2003970868">
                      <w:marLeft w:val="0"/>
                      <w:marRight w:val="0"/>
                      <w:marTop w:val="0"/>
                      <w:marBottom w:val="0"/>
                      <w:divBdr>
                        <w:top w:val="none" w:sz="0" w:space="0" w:color="auto"/>
                        <w:left w:val="none" w:sz="0" w:space="0" w:color="auto"/>
                        <w:bottom w:val="none" w:sz="0" w:space="0" w:color="auto"/>
                        <w:right w:val="none" w:sz="0" w:space="0" w:color="auto"/>
                      </w:divBdr>
                      <w:divsChild>
                        <w:div w:id="1835104414">
                          <w:marLeft w:val="0"/>
                          <w:marRight w:val="0"/>
                          <w:marTop w:val="0"/>
                          <w:marBottom w:val="0"/>
                          <w:divBdr>
                            <w:top w:val="none" w:sz="0" w:space="0" w:color="auto"/>
                            <w:left w:val="none" w:sz="0" w:space="0" w:color="auto"/>
                            <w:bottom w:val="none" w:sz="0" w:space="0" w:color="auto"/>
                            <w:right w:val="none" w:sz="0" w:space="0" w:color="auto"/>
                          </w:divBdr>
                        </w:div>
                      </w:divsChild>
                    </w:div>
                    <w:div w:id="2111007983">
                      <w:marLeft w:val="0"/>
                      <w:marRight w:val="0"/>
                      <w:marTop w:val="0"/>
                      <w:marBottom w:val="0"/>
                      <w:divBdr>
                        <w:top w:val="none" w:sz="0" w:space="0" w:color="auto"/>
                        <w:left w:val="none" w:sz="0" w:space="0" w:color="auto"/>
                        <w:bottom w:val="none" w:sz="0" w:space="0" w:color="auto"/>
                        <w:right w:val="none" w:sz="0" w:space="0" w:color="auto"/>
                      </w:divBdr>
                      <w:divsChild>
                        <w:div w:id="517473330">
                          <w:marLeft w:val="0"/>
                          <w:marRight w:val="0"/>
                          <w:marTop w:val="0"/>
                          <w:marBottom w:val="0"/>
                          <w:divBdr>
                            <w:top w:val="none" w:sz="0" w:space="0" w:color="auto"/>
                            <w:left w:val="none" w:sz="0" w:space="0" w:color="auto"/>
                            <w:bottom w:val="none" w:sz="0" w:space="0" w:color="auto"/>
                            <w:right w:val="none" w:sz="0" w:space="0" w:color="auto"/>
                          </w:divBdr>
                        </w:div>
                      </w:divsChild>
                    </w:div>
                    <w:div w:id="2119980523">
                      <w:marLeft w:val="0"/>
                      <w:marRight w:val="0"/>
                      <w:marTop w:val="0"/>
                      <w:marBottom w:val="0"/>
                      <w:divBdr>
                        <w:top w:val="none" w:sz="0" w:space="0" w:color="auto"/>
                        <w:left w:val="none" w:sz="0" w:space="0" w:color="auto"/>
                        <w:bottom w:val="none" w:sz="0" w:space="0" w:color="auto"/>
                        <w:right w:val="none" w:sz="0" w:space="0" w:color="auto"/>
                      </w:divBdr>
                      <w:divsChild>
                        <w:div w:id="957684304">
                          <w:marLeft w:val="0"/>
                          <w:marRight w:val="0"/>
                          <w:marTop w:val="0"/>
                          <w:marBottom w:val="0"/>
                          <w:divBdr>
                            <w:top w:val="none" w:sz="0" w:space="0" w:color="auto"/>
                            <w:left w:val="none" w:sz="0" w:space="0" w:color="auto"/>
                            <w:bottom w:val="none" w:sz="0" w:space="0" w:color="auto"/>
                            <w:right w:val="none" w:sz="0" w:space="0" w:color="auto"/>
                          </w:divBdr>
                        </w:div>
                      </w:divsChild>
                    </w:div>
                    <w:div w:id="2133161914">
                      <w:marLeft w:val="0"/>
                      <w:marRight w:val="0"/>
                      <w:marTop w:val="0"/>
                      <w:marBottom w:val="0"/>
                      <w:divBdr>
                        <w:top w:val="none" w:sz="0" w:space="0" w:color="auto"/>
                        <w:left w:val="none" w:sz="0" w:space="0" w:color="auto"/>
                        <w:bottom w:val="none" w:sz="0" w:space="0" w:color="auto"/>
                        <w:right w:val="none" w:sz="0" w:space="0" w:color="auto"/>
                      </w:divBdr>
                      <w:divsChild>
                        <w:div w:id="901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3967">
              <w:marLeft w:val="0"/>
              <w:marRight w:val="0"/>
              <w:marTop w:val="0"/>
              <w:marBottom w:val="0"/>
              <w:divBdr>
                <w:top w:val="none" w:sz="0" w:space="0" w:color="auto"/>
                <w:left w:val="none" w:sz="0" w:space="0" w:color="auto"/>
                <w:bottom w:val="none" w:sz="0" w:space="0" w:color="auto"/>
                <w:right w:val="none" w:sz="0" w:space="0" w:color="auto"/>
              </w:divBdr>
            </w:div>
            <w:div w:id="1850412951">
              <w:marLeft w:val="0"/>
              <w:marRight w:val="0"/>
              <w:marTop w:val="0"/>
              <w:marBottom w:val="0"/>
              <w:divBdr>
                <w:top w:val="none" w:sz="0" w:space="0" w:color="auto"/>
                <w:left w:val="none" w:sz="0" w:space="0" w:color="auto"/>
                <w:bottom w:val="none" w:sz="0" w:space="0" w:color="auto"/>
                <w:right w:val="none" w:sz="0" w:space="0" w:color="auto"/>
              </w:divBdr>
            </w:div>
            <w:div w:id="1953781551">
              <w:marLeft w:val="0"/>
              <w:marRight w:val="0"/>
              <w:marTop w:val="0"/>
              <w:marBottom w:val="0"/>
              <w:divBdr>
                <w:top w:val="none" w:sz="0" w:space="0" w:color="auto"/>
                <w:left w:val="none" w:sz="0" w:space="0" w:color="auto"/>
                <w:bottom w:val="none" w:sz="0" w:space="0" w:color="auto"/>
                <w:right w:val="none" w:sz="0" w:space="0" w:color="auto"/>
              </w:divBdr>
            </w:div>
          </w:divsChild>
        </w:div>
        <w:div w:id="1408962690">
          <w:marLeft w:val="0"/>
          <w:marRight w:val="0"/>
          <w:marTop w:val="0"/>
          <w:marBottom w:val="0"/>
          <w:divBdr>
            <w:top w:val="none" w:sz="0" w:space="0" w:color="auto"/>
            <w:left w:val="none" w:sz="0" w:space="0" w:color="auto"/>
            <w:bottom w:val="none" w:sz="0" w:space="0" w:color="auto"/>
            <w:right w:val="none" w:sz="0" w:space="0" w:color="auto"/>
          </w:divBdr>
        </w:div>
        <w:div w:id="1445463394">
          <w:marLeft w:val="0"/>
          <w:marRight w:val="0"/>
          <w:marTop w:val="0"/>
          <w:marBottom w:val="0"/>
          <w:divBdr>
            <w:top w:val="none" w:sz="0" w:space="0" w:color="auto"/>
            <w:left w:val="none" w:sz="0" w:space="0" w:color="auto"/>
            <w:bottom w:val="none" w:sz="0" w:space="0" w:color="auto"/>
            <w:right w:val="none" w:sz="0" w:space="0" w:color="auto"/>
          </w:divBdr>
          <w:divsChild>
            <w:div w:id="101926943">
              <w:marLeft w:val="0"/>
              <w:marRight w:val="0"/>
              <w:marTop w:val="0"/>
              <w:marBottom w:val="0"/>
              <w:divBdr>
                <w:top w:val="none" w:sz="0" w:space="0" w:color="auto"/>
                <w:left w:val="none" w:sz="0" w:space="0" w:color="auto"/>
                <w:bottom w:val="none" w:sz="0" w:space="0" w:color="auto"/>
                <w:right w:val="none" w:sz="0" w:space="0" w:color="auto"/>
              </w:divBdr>
            </w:div>
            <w:div w:id="481039915">
              <w:marLeft w:val="0"/>
              <w:marRight w:val="0"/>
              <w:marTop w:val="0"/>
              <w:marBottom w:val="0"/>
              <w:divBdr>
                <w:top w:val="none" w:sz="0" w:space="0" w:color="auto"/>
                <w:left w:val="none" w:sz="0" w:space="0" w:color="auto"/>
                <w:bottom w:val="none" w:sz="0" w:space="0" w:color="auto"/>
                <w:right w:val="none" w:sz="0" w:space="0" w:color="auto"/>
              </w:divBdr>
            </w:div>
            <w:div w:id="723988549">
              <w:marLeft w:val="0"/>
              <w:marRight w:val="0"/>
              <w:marTop w:val="0"/>
              <w:marBottom w:val="0"/>
              <w:divBdr>
                <w:top w:val="none" w:sz="0" w:space="0" w:color="auto"/>
                <w:left w:val="none" w:sz="0" w:space="0" w:color="auto"/>
                <w:bottom w:val="none" w:sz="0" w:space="0" w:color="auto"/>
                <w:right w:val="none" w:sz="0" w:space="0" w:color="auto"/>
              </w:divBdr>
            </w:div>
            <w:div w:id="1091318078">
              <w:marLeft w:val="0"/>
              <w:marRight w:val="0"/>
              <w:marTop w:val="0"/>
              <w:marBottom w:val="0"/>
              <w:divBdr>
                <w:top w:val="none" w:sz="0" w:space="0" w:color="auto"/>
                <w:left w:val="none" w:sz="0" w:space="0" w:color="auto"/>
                <w:bottom w:val="none" w:sz="0" w:space="0" w:color="auto"/>
                <w:right w:val="none" w:sz="0" w:space="0" w:color="auto"/>
              </w:divBdr>
            </w:div>
          </w:divsChild>
        </w:div>
        <w:div w:id="1447575644">
          <w:marLeft w:val="0"/>
          <w:marRight w:val="0"/>
          <w:marTop w:val="0"/>
          <w:marBottom w:val="0"/>
          <w:divBdr>
            <w:top w:val="none" w:sz="0" w:space="0" w:color="auto"/>
            <w:left w:val="none" w:sz="0" w:space="0" w:color="auto"/>
            <w:bottom w:val="none" w:sz="0" w:space="0" w:color="auto"/>
            <w:right w:val="none" w:sz="0" w:space="0" w:color="auto"/>
          </w:divBdr>
        </w:div>
        <w:div w:id="1459646939">
          <w:marLeft w:val="0"/>
          <w:marRight w:val="0"/>
          <w:marTop w:val="0"/>
          <w:marBottom w:val="0"/>
          <w:divBdr>
            <w:top w:val="none" w:sz="0" w:space="0" w:color="auto"/>
            <w:left w:val="none" w:sz="0" w:space="0" w:color="auto"/>
            <w:bottom w:val="none" w:sz="0" w:space="0" w:color="auto"/>
            <w:right w:val="none" w:sz="0" w:space="0" w:color="auto"/>
          </w:divBdr>
        </w:div>
        <w:div w:id="1472674070">
          <w:marLeft w:val="0"/>
          <w:marRight w:val="0"/>
          <w:marTop w:val="0"/>
          <w:marBottom w:val="0"/>
          <w:divBdr>
            <w:top w:val="none" w:sz="0" w:space="0" w:color="auto"/>
            <w:left w:val="none" w:sz="0" w:space="0" w:color="auto"/>
            <w:bottom w:val="none" w:sz="0" w:space="0" w:color="auto"/>
            <w:right w:val="none" w:sz="0" w:space="0" w:color="auto"/>
          </w:divBdr>
        </w:div>
        <w:div w:id="1478762031">
          <w:marLeft w:val="0"/>
          <w:marRight w:val="0"/>
          <w:marTop w:val="0"/>
          <w:marBottom w:val="0"/>
          <w:divBdr>
            <w:top w:val="none" w:sz="0" w:space="0" w:color="auto"/>
            <w:left w:val="none" w:sz="0" w:space="0" w:color="auto"/>
            <w:bottom w:val="none" w:sz="0" w:space="0" w:color="auto"/>
            <w:right w:val="none" w:sz="0" w:space="0" w:color="auto"/>
          </w:divBdr>
          <w:divsChild>
            <w:div w:id="943734687">
              <w:marLeft w:val="-75"/>
              <w:marRight w:val="0"/>
              <w:marTop w:val="30"/>
              <w:marBottom w:val="30"/>
              <w:divBdr>
                <w:top w:val="none" w:sz="0" w:space="0" w:color="auto"/>
                <w:left w:val="none" w:sz="0" w:space="0" w:color="auto"/>
                <w:bottom w:val="none" w:sz="0" w:space="0" w:color="auto"/>
                <w:right w:val="none" w:sz="0" w:space="0" w:color="auto"/>
              </w:divBdr>
              <w:divsChild>
                <w:div w:id="57166495">
                  <w:marLeft w:val="0"/>
                  <w:marRight w:val="0"/>
                  <w:marTop w:val="0"/>
                  <w:marBottom w:val="0"/>
                  <w:divBdr>
                    <w:top w:val="none" w:sz="0" w:space="0" w:color="auto"/>
                    <w:left w:val="none" w:sz="0" w:space="0" w:color="auto"/>
                    <w:bottom w:val="none" w:sz="0" w:space="0" w:color="auto"/>
                    <w:right w:val="none" w:sz="0" w:space="0" w:color="auto"/>
                  </w:divBdr>
                  <w:divsChild>
                    <w:div w:id="1236433718">
                      <w:marLeft w:val="0"/>
                      <w:marRight w:val="0"/>
                      <w:marTop w:val="0"/>
                      <w:marBottom w:val="0"/>
                      <w:divBdr>
                        <w:top w:val="none" w:sz="0" w:space="0" w:color="auto"/>
                        <w:left w:val="none" w:sz="0" w:space="0" w:color="auto"/>
                        <w:bottom w:val="none" w:sz="0" w:space="0" w:color="auto"/>
                        <w:right w:val="none" w:sz="0" w:space="0" w:color="auto"/>
                      </w:divBdr>
                    </w:div>
                  </w:divsChild>
                </w:div>
                <w:div w:id="218252293">
                  <w:marLeft w:val="0"/>
                  <w:marRight w:val="0"/>
                  <w:marTop w:val="0"/>
                  <w:marBottom w:val="0"/>
                  <w:divBdr>
                    <w:top w:val="none" w:sz="0" w:space="0" w:color="auto"/>
                    <w:left w:val="none" w:sz="0" w:space="0" w:color="auto"/>
                    <w:bottom w:val="none" w:sz="0" w:space="0" w:color="auto"/>
                    <w:right w:val="none" w:sz="0" w:space="0" w:color="auto"/>
                  </w:divBdr>
                  <w:divsChild>
                    <w:div w:id="1875540774">
                      <w:marLeft w:val="0"/>
                      <w:marRight w:val="0"/>
                      <w:marTop w:val="0"/>
                      <w:marBottom w:val="0"/>
                      <w:divBdr>
                        <w:top w:val="none" w:sz="0" w:space="0" w:color="auto"/>
                        <w:left w:val="none" w:sz="0" w:space="0" w:color="auto"/>
                        <w:bottom w:val="none" w:sz="0" w:space="0" w:color="auto"/>
                        <w:right w:val="none" w:sz="0" w:space="0" w:color="auto"/>
                      </w:divBdr>
                    </w:div>
                  </w:divsChild>
                </w:div>
                <w:div w:id="258217384">
                  <w:marLeft w:val="0"/>
                  <w:marRight w:val="0"/>
                  <w:marTop w:val="0"/>
                  <w:marBottom w:val="0"/>
                  <w:divBdr>
                    <w:top w:val="none" w:sz="0" w:space="0" w:color="auto"/>
                    <w:left w:val="none" w:sz="0" w:space="0" w:color="auto"/>
                    <w:bottom w:val="none" w:sz="0" w:space="0" w:color="auto"/>
                    <w:right w:val="none" w:sz="0" w:space="0" w:color="auto"/>
                  </w:divBdr>
                  <w:divsChild>
                    <w:div w:id="44911305">
                      <w:marLeft w:val="0"/>
                      <w:marRight w:val="0"/>
                      <w:marTop w:val="0"/>
                      <w:marBottom w:val="0"/>
                      <w:divBdr>
                        <w:top w:val="none" w:sz="0" w:space="0" w:color="auto"/>
                        <w:left w:val="none" w:sz="0" w:space="0" w:color="auto"/>
                        <w:bottom w:val="none" w:sz="0" w:space="0" w:color="auto"/>
                        <w:right w:val="none" w:sz="0" w:space="0" w:color="auto"/>
                      </w:divBdr>
                    </w:div>
                  </w:divsChild>
                </w:div>
                <w:div w:id="385026972">
                  <w:marLeft w:val="0"/>
                  <w:marRight w:val="0"/>
                  <w:marTop w:val="0"/>
                  <w:marBottom w:val="0"/>
                  <w:divBdr>
                    <w:top w:val="none" w:sz="0" w:space="0" w:color="auto"/>
                    <w:left w:val="none" w:sz="0" w:space="0" w:color="auto"/>
                    <w:bottom w:val="none" w:sz="0" w:space="0" w:color="auto"/>
                    <w:right w:val="none" w:sz="0" w:space="0" w:color="auto"/>
                  </w:divBdr>
                  <w:divsChild>
                    <w:div w:id="467209791">
                      <w:marLeft w:val="0"/>
                      <w:marRight w:val="0"/>
                      <w:marTop w:val="0"/>
                      <w:marBottom w:val="0"/>
                      <w:divBdr>
                        <w:top w:val="none" w:sz="0" w:space="0" w:color="auto"/>
                        <w:left w:val="none" w:sz="0" w:space="0" w:color="auto"/>
                        <w:bottom w:val="none" w:sz="0" w:space="0" w:color="auto"/>
                        <w:right w:val="none" w:sz="0" w:space="0" w:color="auto"/>
                      </w:divBdr>
                    </w:div>
                  </w:divsChild>
                </w:div>
                <w:div w:id="409666726">
                  <w:marLeft w:val="0"/>
                  <w:marRight w:val="0"/>
                  <w:marTop w:val="0"/>
                  <w:marBottom w:val="0"/>
                  <w:divBdr>
                    <w:top w:val="none" w:sz="0" w:space="0" w:color="auto"/>
                    <w:left w:val="none" w:sz="0" w:space="0" w:color="auto"/>
                    <w:bottom w:val="none" w:sz="0" w:space="0" w:color="auto"/>
                    <w:right w:val="none" w:sz="0" w:space="0" w:color="auto"/>
                  </w:divBdr>
                  <w:divsChild>
                    <w:div w:id="1478954646">
                      <w:marLeft w:val="0"/>
                      <w:marRight w:val="0"/>
                      <w:marTop w:val="0"/>
                      <w:marBottom w:val="0"/>
                      <w:divBdr>
                        <w:top w:val="none" w:sz="0" w:space="0" w:color="auto"/>
                        <w:left w:val="none" w:sz="0" w:space="0" w:color="auto"/>
                        <w:bottom w:val="none" w:sz="0" w:space="0" w:color="auto"/>
                        <w:right w:val="none" w:sz="0" w:space="0" w:color="auto"/>
                      </w:divBdr>
                    </w:div>
                  </w:divsChild>
                </w:div>
                <w:div w:id="819031952">
                  <w:marLeft w:val="0"/>
                  <w:marRight w:val="0"/>
                  <w:marTop w:val="0"/>
                  <w:marBottom w:val="0"/>
                  <w:divBdr>
                    <w:top w:val="none" w:sz="0" w:space="0" w:color="auto"/>
                    <w:left w:val="none" w:sz="0" w:space="0" w:color="auto"/>
                    <w:bottom w:val="none" w:sz="0" w:space="0" w:color="auto"/>
                    <w:right w:val="none" w:sz="0" w:space="0" w:color="auto"/>
                  </w:divBdr>
                  <w:divsChild>
                    <w:div w:id="91292366">
                      <w:marLeft w:val="0"/>
                      <w:marRight w:val="0"/>
                      <w:marTop w:val="0"/>
                      <w:marBottom w:val="0"/>
                      <w:divBdr>
                        <w:top w:val="none" w:sz="0" w:space="0" w:color="auto"/>
                        <w:left w:val="none" w:sz="0" w:space="0" w:color="auto"/>
                        <w:bottom w:val="none" w:sz="0" w:space="0" w:color="auto"/>
                        <w:right w:val="none" w:sz="0" w:space="0" w:color="auto"/>
                      </w:divBdr>
                    </w:div>
                  </w:divsChild>
                </w:div>
                <w:div w:id="859397675">
                  <w:marLeft w:val="0"/>
                  <w:marRight w:val="0"/>
                  <w:marTop w:val="0"/>
                  <w:marBottom w:val="0"/>
                  <w:divBdr>
                    <w:top w:val="none" w:sz="0" w:space="0" w:color="auto"/>
                    <w:left w:val="none" w:sz="0" w:space="0" w:color="auto"/>
                    <w:bottom w:val="none" w:sz="0" w:space="0" w:color="auto"/>
                    <w:right w:val="none" w:sz="0" w:space="0" w:color="auto"/>
                  </w:divBdr>
                  <w:divsChild>
                    <w:div w:id="1222406100">
                      <w:marLeft w:val="0"/>
                      <w:marRight w:val="0"/>
                      <w:marTop w:val="0"/>
                      <w:marBottom w:val="0"/>
                      <w:divBdr>
                        <w:top w:val="none" w:sz="0" w:space="0" w:color="auto"/>
                        <w:left w:val="none" w:sz="0" w:space="0" w:color="auto"/>
                        <w:bottom w:val="none" w:sz="0" w:space="0" w:color="auto"/>
                        <w:right w:val="none" w:sz="0" w:space="0" w:color="auto"/>
                      </w:divBdr>
                    </w:div>
                  </w:divsChild>
                </w:div>
                <w:div w:id="869218752">
                  <w:marLeft w:val="0"/>
                  <w:marRight w:val="0"/>
                  <w:marTop w:val="0"/>
                  <w:marBottom w:val="0"/>
                  <w:divBdr>
                    <w:top w:val="none" w:sz="0" w:space="0" w:color="auto"/>
                    <w:left w:val="none" w:sz="0" w:space="0" w:color="auto"/>
                    <w:bottom w:val="none" w:sz="0" w:space="0" w:color="auto"/>
                    <w:right w:val="none" w:sz="0" w:space="0" w:color="auto"/>
                  </w:divBdr>
                  <w:divsChild>
                    <w:div w:id="690255565">
                      <w:marLeft w:val="0"/>
                      <w:marRight w:val="0"/>
                      <w:marTop w:val="0"/>
                      <w:marBottom w:val="0"/>
                      <w:divBdr>
                        <w:top w:val="none" w:sz="0" w:space="0" w:color="auto"/>
                        <w:left w:val="none" w:sz="0" w:space="0" w:color="auto"/>
                        <w:bottom w:val="none" w:sz="0" w:space="0" w:color="auto"/>
                        <w:right w:val="none" w:sz="0" w:space="0" w:color="auto"/>
                      </w:divBdr>
                    </w:div>
                  </w:divsChild>
                </w:div>
                <w:div w:id="1057895044">
                  <w:marLeft w:val="0"/>
                  <w:marRight w:val="0"/>
                  <w:marTop w:val="0"/>
                  <w:marBottom w:val="0"/>
                  <w:divBdr>
                    <w:top w:val="none" w:sz="0" w:space="0" w:color="auto"/>
                    <w:left w:val="none" w:sz="0" w:space="0" w:color="auto"/>
                    <w:bottom w:val="none" w:sz="0" w:space="0" w:color="auto"/>
                    <w:right w:val="none" w:sz="0" w:space="0" w:color="auto"/>
                  </w:divBdr>
                  <w:divsChild>
                    <w:div w:id="879704450">
                      <w:marLeft w:val="0"/>
                      <w:marRight w:val="0"/>
                      <w:marTop w:val="0"/>
                      <w:marBottom w:val="0"/>
                      <w:divBdr>
                        <w:top w:val="none" w:sz="0" w:space="0" w:color="auto"/>
                        <w:left w:val="none" w:sz="0" w:space="0" w:color="auto"/>
                        <w:bottom w:val="none" w:sz="0" w:space="0" w:color="auto"/>
                        <w:right w:val="none" w:sz="0" w:space="0" w:color="auto"/>
                      </w:divBdr>
                    </w:div>
                  </w:divsChild>
                </w:div>
                <w:div w:id="1081679563">
                  <w:marLeft w:val="0"/>
                  <w:marRight w:val="0"/>
                  <w:marTop w:val="0"/>
                  <w:marBottom w:val="0"/>
                  <w:divBdr>
                    <w:top w:val="none" w:sz="0" w:space="0" w:color="auto"/>
                    <w:left w:val="none" w:sz="0" w:space="0" w:color="auto"/>
                    <w:bottom w:val="none" w:sz="0" w:space="0" w:color="auto"/>
                    <w:right w:val="none" w:sz="0" w:space="0" w:color="auto"/>
                  </w:divBdr>
                  <w:divsChild>
                    <w:div w:id="1172598153">
                      <w:marLeft w:val="0"/>
                      <w:marRight w:val="0"/>
                      <w:marTop w:val="0"/>
                      <w:marBottom w:val="0"/>
                      <w:divBdr>
                        <w:top w:val="none" w:sz="0" w:space="0" w:color="auto"/>
                        <w:left w:val="none" w:sz="0" w:space="0" w:color="auto"/>
                        <w:bottom w:val="none" w:sz="0" w:space="0" w:color="auto"/>
                        <w:right w:val="none" w:sz="0" w:space="0" w:color="auto"/>
                      </w:divBdr>
                    </w:div>
                  </w:divsChild>
                </w:div>
                <w:div w:id="1153715634">
                  <w:marLeft w:val="0"/>
                  <w:marRight w:val="0"/>
                  <w:marTop w:val="0"/>
                  <w:marBottom w:val="0"/>
                  <w:divBdr>
                    <w:top w:val="none" w:sz="0" w:space="0" w:color="auto"/>
                    <w:left w:val="none" w:sz="0" w:space="0" w:color="auto"/>
                    <w:bottom w:val="none" w:sz="0" w:space="0" w:color="auto"/>
                    <w:right w:val="none" w:sz="0" w:space="0" w:color="auto"/>
                  </w:divBdr>
                  <w:divsChild>
                    <w:div w:id="1629167213">
                      <w:marLeft w:val="0"/>
                      <w:marRight w:val="0"/>
                      <w:marTop w:val="0"/>
                      <w:marBottom w:val="0"/>
                      <w:divBdr>
                        <w:top w:val="none" w:sz="0" w:space="0" w:color="auto"/>
                        <w:left w:val="none" w:sz="0" w:space="0" w:color="auto"/>
                        <w:bottom w:val="none" w:sz="0" w:space="0" w:color="auto"/>
                        <w:right w:val="none" w:sz="0" w:space="0" w:color="auto"/>
                      </w:divBdr>
                    </w:div>
                  </w:divsChild>
                </w:div>
                <w:div w:id="1608349960">
                  <w:marLeft w:val="0"/>
                  <w:marRight w:val="0"/>
                  <w:marTop w:val="0"/>
                  <w:marBottom w:val="0"/>
                  <w:divBdr>
                    <w:top w:val="none" w:sz="0" w:space="0" w:color="auto"/>
                    <w:left w:val="none" w:sz="0" w:space="0" w:color="auto"/>
                    <w:bottom w:val="none" w:sz="0" w:space="0" w:color="auto"/>
                    <w:right w:val="none" w:sz="0" w:space="0" w:color="auto"/>
                  </w:divBdr>
                  <w:divsChild>
                    <w:div w:id="1860197648">
                      <w:marLeft w:val="0"/>
                      <w:marRight w:val="0"/>
                      <w:marTop w:val="0"/>
                      <w:marBottom w:val="0"/>
                      <w:divBdr>
                        <w:top w:val="none" w:sz="0" w:space="0" w:color="auto"/>
                        <w:left w:val="none" w:sz="0" w:space="0" w:color="auto"/>
                        <w:bottom w:val="none" w:sz="0" w:space="0" w:color="auto"/>
                        <w:right w:val="none" w:sz="0" w:space="0" w:color="auto"/>
                      </w:divBdr>
                    </w:div>
                  </w:divsChild>
                </w:div>
                <w:div w:id="1845322586">
                  <w:marLeft w:val="0"/>
                  <w:marRight w:val="0"/>
                  <w:marTop w:val="0"/>
                  <w:marBottom w:val="0"/>
                  <w:divBdr>
                    <w:top w:val="none" w:sz="0" w:space="0" w:color="auto"/>
                    <w:left w:val="none" w:sz="0" w:space="0" w:color="auto"/>
                    <w:bottom w:val="none" w:sz="0" w:space="0" w:color="auto"/>
                    <w:right w:val="none" w:sz="0" w:space="0" w:color="auto"/>
                  </w:divBdr>
                  <w:divsChild>
                    <w:div w:id="1976524990">
                      <w:marLeft w:val="0"/>
                      <w:marRight w:val="0"/>
                      <w:marTop w:val="0"/>
                      <w:marBottom w:val="0"/>
                      <w:divBdr>
                        <w:top w:val="none" w:sz="0" w:space="0" w:color="auto"/>
                        <w:left w:val="none" w:sz="0" w:space="0" w:color="auto"/>
                        <w:bottom w:val="none" w:sz="0" w:space="0" w:color="auto"/>
                        <w:right w:val="none" w:sz="0" w:space="0" w:color="auto"/>
                      </w:divBdr>
                    </w:div>
                  </w:divsChild>
                </w:div>
                <w:div w:id="1864514639">
                  <w:marLeft w:val="0"/>
                  <w:marRight w:val="0"/>
                  <w:marTop w:val="0"/>
                  <w:marBottom w:val="0"/>
                  <w:divBdr>
                    <w:top w:val="none" w:sz="0" w:space="0" w:color="auto"/>
                    <w:left w:val="none" w:sz="0" w:space="0" w:color="auto"/>
                    <w:bottom w:val="none" w:sz="0" w:space="0" w:color="auto"/>
                    <w:right w:val="none" w:sz="0" w:space="0" w:color="auto"/>
                  </w:divBdr>
                  <w:divsChild>
                    <w:div w:id="5441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9109">
          <w:marLeft w:val="0"/>
          <w:marRight w:val="0"/>
          <w:marTop w:val="0"/>
          <w:marBottom w:val="0"/>
          <w:divBdr>
            <w:top w:val="none" w:sz="0" w:space="0" w:color="auto"/>
            <w:left w:val="none" w:sz="0" w:space="0" w:color="auto"/>
            <w:bottom w:val="none" w:sz="0" w:space="0" w:color="auto"/>
            <w:right w:val="none" w:sz="0" w:space="0" w:color="auto"/>
          </w:divBdr>
        </w:div>
        <w:div w:id="1498883144">
          <w:marLeft w:val="0"/>
          <w:marRight w:val="0"/>
          <w:marTop w:val="0"/>
          <w:marBottom w:val="0"/>
          <w:divBdr>
            <w:top w:val="none" w:sz="0" w:space="0" w:color="auto"/>
            <w:left w:val="none" w:sz="0" w:space="0" w:color="auto"/>
            <w:bottom w:val="none" w:sz="0" w:space="0" w:color="auto"/>
            <w:right w:val="none" w:sz="0" w:space="0" w:color="auto"/>
          </w:divBdr>
          <w:divsChild>
            <w:div w:id="1446462932">
              <w:marLeft w:val="0"/>
              <w:marRight w:val="0"/>
              <w:marTop w:val="0"/>
              <w:marBottom w:val="0"/>
              <w:divBdr>
                <w:top w:val="none" w:sz="0" w:space="0" w:color="auto"/>
                <w:left w:val="none" w:sz="0" w:space="0" w:color="auto"/>
                <w:bottom w:val="none" w:sz="0" w:space="0" w:color="auto"/>
                <w:right w:val="none" w:sz="0" w:space="0" w:color="auto"/>
              </w:divBdr>
            </w:div>
            <w:div w:id="1958177488">
              <w:marLeft w:val="0"/>
              <w:marRight w:val="0"/>
              <w:marTop w:val="0"/>
              <w:marBottom w:val="0"/>
              <w:divBdr>
                <w:top w:val="none" w:sz="0" w:space="0" w:color="auto"/>
                <w:left w:val="none" w:sz="0" w:space="0" w:color="auto"/>
                <w:bottom w:val="none" w:sz="0" w:space="0" w:color="auto"/>
                <w:right w:val="none" w:sz="0" w:space="0" w:color="auto"/>
              </w:divBdr>
            </w:div>
          </w:divsChild>
        </w:div>
        <w:div w:id="1520505789">
          <w:marLeft w:val="0"/>
          <w:marRight w:val="0"/>
          <w:marTop w:val="0"/>
          <w:marBottom w:val="0"/>
          <w:divBdr>
            <w:top w:val="none" w:sz="0" w:space="0" w:color="auto"/>
            <w:left w:val="none" w:sz="0" w:space="0" w:color="auto"/>
            <w:bottom w:val="none" w:sz="0" w:space="0" w:color="auto"/>
            <w:right w:val="none" w:sz="0" w:space="0" w:color="auto"/>
          </w:divBdr>
          <w:divsChild>
            <w:div w:id="789319025">
              <w:marLeft w:val="0"/>
              <w:marRight w:val="0"/>
              <w:marTop w:val="0"/>
              <w:marBottom w:val="0"/>
              <w:divBdr>
                <w:top w:val="none" w:sz="0" w:space="0" w:color="auto"/>
                <w:left w:val="none" w:sz="0" w:space="0" w:color="auto"/>
                <w:bottom w:val="none" w:sz="0" w:space="0" w:color="auto"/>
                <w:right w:val="none" w:sz="0" w:space="0" w:color="auto"/>
              </w:divBdr>
            </w:div>
            <w:div w:id="979699207">
              <w:marLeft w:val="0"/>
              <w:marRight w:val="0"/>
              <w:marTop w:val="0"/>
              <w:marBottom w:val="0"/>
              <w:divBdr>
                <w:top w:val="none" w:sz="0" w:space="0" w:color="auto"/>
                <w:left w:val="none" w:sz="0" w:space="0" w:color="auto"/>
                <w:bottom w:val="none" w:sz="0" w:space="0" w:color="auto"/>
                <w:right w:val="none" w:sz="0" w:space="0" w:color="auto"/>
              </w:divBdr>
            </w:div>
            <w:div w:id="1038821472">
              <w:marLeft w:val="0"/>
              <w:marRight w:val="0"/>
              <w:marTop w:val="0"/>
              <w:marBottom w:val="0"/>
              <w:divBdr>
                <w:top w:val="none" w:sz="0" w:space="0" w:color="auto"/>
                <w:left w:val="none" w:sz="0" w:space="0" w:color="auto"/>
                <w:bottom w:val="none" w:sz="0" w:space="0" w:color="auto"/>
                <w:right w:val="none" w:sz="0" w:space="0" w:color="auto"/>
              </w:divBdr>
            </w:div>
            <w:div w:id="1645960815">
              <w:marLeft w:val="0"/>
              <w:marRight w:val="0"/>
              <w:marTop w:val="0"/>
              <w:marBottom w:val="0"/>
              <w:divBdr>
                <w:top w:val="none" w:sz="0" w:space="0" w:color="auto"/>
                <w:left w:val="none" w:sz="0" w:space="0" w:color="auto"/>
                <w:bottom w:val="none" w:sz="0" w:space="0" w:color="auto"/>
                <w:right w:val="none" w:sz="0" w:space="0" w:color="auto"/>
              </w:divBdr>
            </w:div>
            <w:div w:id="1916167276">
              <w:marLeft w:val="0"/>
              <w:marRight w:val="0"/>
              <w:marTop w:val="0"/>
              <w:marBottom w:val="0"/>
              <w:divBdr>
                <w:top w:val="none" w:sz="0" w:space="0" w:color="auto"/>
                <w:left w:val="none" w:sz="0" w:space="0" w:color="auto"/>
                <w:bottom w:val="none" w:sz="0" w:space="0" w:color="auto"/>
                <w:right w:val="none" w:sz="0" w:space="0" w:color="auto"/>
              </w:divBdr>
            </w:div>
          </w:divsChild>
        </w:div>
        <w:div w:id="1521355204">
          <w:marLeft w:val="0"/>
          <w:marRight w:val="0"/>
          <w:marTop w:val="0"/>
          <w:marBottom w:val="0"/>
          <w:divBdr>
            <w:top w:val="none" w:sz="0" w:space="0" w:color="auto"/>
            <w:left w:val="none" w:sz="0" w:space="0" w:color="auto"/>
            <w:bottom w:val="none" w:sz="0" w:space="0" w:color="auto"/>
            <w:right w:val="none" w:sz="0" w:space="0" w:color="auto"/>
          </w:divBdr>
        </w:div>
        <w:div w:id="1607149736">
          <w:marLeft w:val="0"/>
          <w:marRight w:val="0"/>
          <w:marTop w:val="0"/>
          <w:marBottom w:val="0"/>
          <w:divBdr>
            <w:top w:val="none" w:sz="0" w:space="0" w:color="auto"/>
            <w:left w:val="none" w:sz="0" w:space="0" w:color="auto"/>
            <w:bottom w:val="none" w:sz="0" w:space="0" w:color="auto"/>
            <w:right w:val="none" w:sz="0" w:space="0" w:color="auto"/>
          </w:divBdr>
        </w:div>
        <w:div w:id="1636443707">
          <w:marLeft w:val="0"/>
          <w:marRight w:val="0"/>
          <w:marTop w:val="0"/>
          <w:marBottom w:val="0"/>
          <w:divBdr>
            <w:top w:val="none" w:sz="0" w:space="0" w:color="auto"/>
            <w:left w:val="none" w:sz="0" w:space="0" w:color="auto"/>
            <w:bottom w:val="none" w:sz="0" w:space="0" w:color="auto"/>
            <w:right w:val="none" w:sz="0" w:space="0" w:color="auto"/>
          </w:divBdr>
        </w:div>
        <w:div w:id="1701085119">
          <w:marLeft w:val="0"/>
          <w:marRight w:val="0"/>
          <w:marTop w:val="0"/>
          <w:marBottom w:val="0"/>
          <w:divBdr>
            <w:top w:val="none" w:sz="0" w:space="0" w:color="auto"/>
            <w:left w:val="none" w:sz="0" w:space="0" w:color="auto"/>
            <w:bottom w:val="none" w:sz="0" w:space="0" w:color="auto"/>
            <w:right w:val="none" w:sz="0" w:space="0" w:color="auto"/>
          </w:divBdr>
        </w:div>
        <w:div w:id="1701280350">
          <w:marLeft w:val="0"/>
          <w:marRight w:val="0"/>
          <w:marTop w:val="0"/>
          <w:marBottom w:val="0"/>
          <w:divBdr>
            <w:top w:val="none" w:sz="0" w:space="0" w:color="auto"/>
            <w:left w:val="none" w:sz="0" w:space="0" w:color="auto"/>
            <w:bottom w:val="none" w:sz="0" w:space="0" w:color="auto"/>
            <w:right w:val="none" w:sz="0" w:space="0" w:color="auto"/>
          </w:divBdr>
        </w:div>
        <w:div w:id="1702198810">
          <w:marLeft w:val="0"/>
          <w:marRight w:val="0"/>
          <w:marTop w:val="0"/>
          <w:marBottom w:val="0"/>
          <w:divBdr>
            <w:top w:val="none" w:sz="0" w:space="0" w:color="auto"/>
            <w:left w:val="none" w:sz="0" w:space="0" w:color="auto"/>
            <w:bottom w:val="none" w:sz="0" w:space="0" w:color="auto"/>
            <w:right w:val="none" w:sz="0" w:space="0" w:color="auto"/>
          </w:divBdr>
        </w:div>
        <w:div w:id="1735852355">
          <w:marLeft w:val="0"/>
          <w:marRight w:val="0"/>
          <w:marTop w:val="0"/>
          <w:marBottom w:val="0"/>
          <w:divBdr>
            <w:top w:val="none" w:sz="0" w:space="0" w:color="auto"/>
            <w:left w:val="none" w:sz="0" w:space="0" w:color="auto"/>
            <w:bottom w:val="none" w:sz="0" w:space="0" w:color="auto"/>
            <w:right w:val="none" w:sz="0" w:space="0" w:color="auto"/>
          </w:divBdr>
          <w:divsChild>
            <w:div w:id="83498058">
              <w:marLeft w:val="-75"/>
              <w:marRight w:val="0"/>
              <w:marTop w:val="30"/>
              <w:marBottom w:val="30"/>
              <w:divBdr>
                <w:top w:val="none" w:sz="0" w:space="0" w:color="auto"/>
                <w:left w:val="none" w:sz="0" w:space="0" w:color="auto"/>
                <w:bottom w:val="none" w:sz="0" w:space="0" w:color="auto"/>
                <w:right w:val="none" w:sz="0" w:space="0" w:color="auto"/>
              </w:divBdr>
              <w:divsChild>
                <w:div w:id="22248611">
                  <w:marLeft w:val="0"/>
                  <w:marRight w:val="0"/>
                  <w:marTop w:val="0"/>
                  <w:marBottom w:val="0"/>
                  <w:divBdr>
                    <w:top w:val="none" w:sz="0" w:space="0" w:color="auto"/>
                    <w:left w:val="none" w:sz="0" w:space="0" w:color="auto"/>
                    <w:bottom w:val="none" w:sz="0" w:space="0" w:color="auto"/>
                    <w:right w:val="none" w:sz="0" w:space="0" w:color="auto"/>
                  </w:divBdr>
                  <w:divsChild>
                    <w:div w:id="8456730">
                      <w:marLeft w:val="0"/>
                      <w:marRight w:val="0"/>
                      <w:marTop w:val="0"/>
                      <w:marBottom w:val="0"/>
                      <w:divBdr>
                        <w:top w:val="none" w:sz="0" w:space="0" w:color="auto"/>
                        <w:left w:val="none" w:sz="0" w:space="0" w:color="auto"/>
                        <w:bottom w:val="none" w:sz="0" w:space="0" w:color="auto"/>
                        <w:right w:val="none" w:sz="0" w:space="0" w:color="auto"/>
                      </w:divBdr>
                    </w:div>
                  </w:divsChild>
                </w:div>
                <w:div w:id="26178514">
                  <w:marLeft w:val="0"/>
                  <w:marRight w:val="0"/>
                  <w:marTop w:val="0"/>
                  <w:marBottom w:val="0"/>
                  <w:divBdr>
                    <w:top w:val="none" w:sz="0" w:space="0" w:color="auto"/>
                    <w:left w:val="none" w:sz="0" w:space="0" w:color="auto"/>
                    <w:bottom w:val="none" w:sz="0" w:space="0" w:color="auto"/>
                    <w:right w:val="none" w:sz="0" w:space="0" w:color="auto"/>
                  </w:divBdr>
                  <w:divsChild>
                    <w:div w:id="757824851">
                      <w:marLeft w:val="0"/>
                      <w:marRight w:val="0"/>
                      <w:marTop w:val="0"/>
                      <w:marBottom w:val="0"/>
                      <w:divBdr>
                        <w:top w:val="none" w:sz="0" w:space="0" w:color="auto"/>
                        <w:left w:val="none" w:sz="0" w:space="0" w:color="auto"/>
                        <w:bottom w:val="none" w:sz="0" w:space="0" w:color="auto"/>
                        <w:right w:val="none" w:sz="0" w:space="0" w:color="auto"/>
                      </w:divBdr>
                    </w:div>
                  </w:divsChild>
                </w:div>
                <w:div w:id="37976952">
                  <w:marLeft w:val="0"/>
                  <w:marRight w:val="0"/>
                  <w:marTop w:val="0"/>
                  <w:marBottom w:val="0"/>
                  <w:divBdr>
                    <w:top w:val="none" w:sz="0" w:space="0" w:color="auto"/>
                    <w:left w:val="none" w:sz="0" w:space="0" w:color="auto"/>
                    <w:bottom w:val="none" w:sz="0" w:space="0" w:color="auto"/>
                    <w:right w:val="none" w:sz="0" w:space="0" w:color="auto"/>
                  </w:divBdr>
                  <w:divsChild>
                    <w:div w:id="1187644750">
                      <w:marLeft w:val="0"/>
                      <w:marRight w:val="0"/>
                      <w:marTop w:val="0"/>
                      <w:marBottom w:val="0"/>
                      <w:divBdr>
                        <w:top w:val="none" w:sz="0" w:space="0" w:color="auto"/>
                        <w:left w:val="none" w:sz="0" w:space="0" w:color="auto"/>
                        <w:bottom w:val="none" w:sz="0" w:space="0" w:color="auto"/>
                        <w:right w:val="none" w:sz="0" w:space="0" w:color="auto"/>
                      </w:divBdr>
                    </w:div>
                  </w:divsChild>
                </w:div>
                <w:div w:id="129444980">
                  <w:marLeft w:val="0"/>
                  <w:marRight w:val="0"/>
                  <w:marTop w:val="0"/>
                  <w:marBottom w:val="0"/>
                  <w:divBdr>
                    <w:top w:val="none" w:sz="0" w:space="0" w:color="auto"/>
                    <w:left w:val="none" w:sz="0" w:space="0" w:color="auto"/>
                    <w:bottom w:val="none" w:sz="0" w:space="0" w:color="auto"/>
                    <w:right w:val="none" w:sz="0" w:space="0" w:color="auto"/>
                  </w:divBdr>
                  <w:divsChild>
                    <w:div w:id="36048223">
                      <w:marLeft w:val="0"/>
                      <w:marRight w:val="0"/>
                      <w:marTop w:val="0"/>
                      <w:marBottom w:val="0"/>
                      <w:divBdr>
                        <w:top w:val="none" w:sz="0" w:space="0" w:color="auto"/>
                        <w:left w:val="none" w:sz="0" w:space="0" w:color="auto"/>
                        <w:bottom w:val="none" w:sz="0" w:space="0" w:color="auto"/>
                        <w:right w:val="none" w:sz="0" w:space="0" w:color="auto"/>
                      </w:divBdr>
                    </w:div>
                  </w:divsChild>
                </w:div>
                <w:div w:id="148178178">
                  <w:marLeft w:val="0"/>
                  <w:marRight w:val="0"/>
                  <w:marTop w:val="0"/>
                  <w:marBottom w:val="0"/>
                  <w:divBdr>
                    <w:top w:val="none" w:sz="0" w:space="0" w:color="auto"/>
                    <w:left w:val="none" w:sz="0" w:space="0" w:color="auto"/>
                    <w:bottom w:val="none" w:sz="0" w:space="0" w:color="auto"/>
                    <w:right w:val="none" w:sz="0" w:space="0" w:color="auto"/>
                  </w:divBdr>
                  <w:divsChild>
                    <w:div w:id="1620454660">
                      <w:marLeft w:val="0"/>
                      <w:marRight w:val="0"/>
                      <w:marTop w:val="0"/>
                      <w:marBottom w:val="0"/>
                      <w:divBdr>
                        <w:top w:val="none" w:sz="0" w:space="0" w:color="auto"/>
                        <w:left w:val="none" w:sz="0" w:space="0" w:color="auto"/>
                        <w:bottom w:val="none" w:sz="0" w:space="0" w:color="auto"/>
                        <w:right w:val="none" w:sz="0" w:space="0" w:color="auto"/>
                      </w:divBdr>
                    </w:div>
                  </w:divsChild>
                </w:div>
                <w:div w:id="148907036">
                  <w:marLeft w:val="0"/>
                  <w:marRight w:val="0"/>
                  <w:marTop w:val="0"/>
                  <w:marBottom w:val="0"/>
                  <w:divBdr>
                    <w:top w:val="none" w:sz="0" w:space="0" w:color="auto"/>
                    <w:left w:val="none" w:sz="0" w:space="0" w:color="auto"/>
                    <w:bottom w:val="none" w:sz="0" w:space="0" w:color="auto"/>
                    <w:right w:val="none" w:sz="0" w:space="0" w:color="auto"/>
                  </w:divBdr>
                  <w:divsChild>
                    <w:div w:id="1618635166">
                      <w:marLeft w:val="0"/>
                      <w:marRight w:val="0"/>
                      <w:marTop w:val="0"/>
                      <w:marBottom w:val="0"/>
                      <w:divBdr>
                        <w:top w:val="none" w:sz="0" w:space="0" w:color="auto"/>
                        <w:left w:val="none" w:sz="0" w:space="0" w:color="auto"/>
                        <w:bottom w:val="none" w:sz="0" w:space="0" w:color="auto"/>
                        <w:right w:val="none" w:sz="0" w:space="0" w:color="auto"/>
                      </w:divBdr>
                    </w:div>
                  </w:divsChild>
                </w:div>
                <w:div w:id="149056624">
                  <w:marLeft w:val="0"/>
                  <w:marRight w:val="0"/>
                  <w:marTop w:val="0"/>
                  <w:marBottom w:val="0"/>
                  <w:divBdr>
                    <w:top w:val="none" w:sz="0" w:space="0" w:color="auto"/>
                    <w:left w:val="none" w:sz="0" w:space="0" w:color="auto"/>
                    <w:bottom w:val="none" w:sz="0" w:space="0" w:color="auto"/>
                    <w:right w:val="none" w:sz="0" w:space="0" w:color="auto"/>
                  </w:divBdr>
                  <w:divsChild>
                    <w:div w:id="1838229297">
                      <w:marLeft w:val="0"/>
                      <w:marRight w:val="0"/>
                      <w:marTop w:val="0"/>
                      <w:marBottom w:val="0"/>
                      <w:divBdr>
                        <w:top w:val="none" w:sz="0" w:space="0" w:color="auto"/>
                        <w:left w:val="none" w:sz="0" w:space="0" w:color="auto"/>
                        <w:bottom w:val="none" w:sz="0" w:space="0" w:color="auto"/>
                        <w:right w:val="none" w:sz="0" w:space="0" w:color="auto"/>
                      </w:divBdr>
                    </w:div>
                  </w:divsChild>
                </w:div>
                <w:div w:id="228463109">
                  <w:marLeft w:val="0"/>
                  <w:marRight w:val="0"/>
                  <w:marTop w:val="0"/>
                  <w:marBottom w:val="0"/>
                  <w:divBdr>
                    <w:top w:val="none" w:sz="0" w:space="0" w:color="auto"/>
                    <w:left w:val="none" w:sz="0" w:space="0" w:color="auto"/>
                    <w:bottom w:val="none" w:sz="0" w:space="0" w:color="auto"/>
                    <w:right w:val="none" w:sz="0" w:space="0" w:color="auto"/>
                  </w:divBdr>
                  <w:divsChild>
                    <w:div w:id="320735860">
                      <w:marLeft w:val="0"/>
                      <w:marRight w:val="0"/>
                      <w:marTop w:val="0"/>
                      <w:marBottom w:val="0"/>
                      <w:divBdr>
                        <w:top w:val="none" w:sz="0" w:space="0" w:color="auto"/>
                        <w:left w:val="none" w:sz="0" w:space="0" w:color="auto"/>
                        <w:bottom w:val="none" w:sz="0" w:space="0" w:color="auto"/>
                        <w:right w:val="none" w:sz="0" w:space="0" w:color="auto"/>
                      </w:divBdr>
                    </w:div>
                  </w:divsChild>
                </w:div>
                <w:div w:id="240602605">
                  <w:marLeft w:val="0"/>
                  <w:marRight w:val="0"/>
                  <w:marTop w:val="0"/>
                  <w:marBottom w:val="0"/>
                  <w:divBdr>
                    <w:top w:val="none" w:sz="0" w:space="0" w:color="auto"/>
                    <w:left w:val="none" w:sz="0" w:space="0" w:color="auto"/>
                    <w:bottom w:val="none" w:sz="0" w:space="0" w:color="auto"/>
                    <w:right w:val="none" w:sz="0" w:space="0" w:color="auto"/>
                  </w:divBdr>
                  <w:divsChild>
                    <w:div w:id="870150235">
                      <w:marLeft w:val="0"/>
                      <w:marRight w:val="0"/>
                      <w:marTop w:val="0"/>
                      <w:marBottom w:val="0"/>
                      <w:divBdr>
                        <w:top w:val="none" w:sz="0" w:space="0" w:color="auto"/>
                        <w:left w:val="none" w:sz="0" w:space="0" w:color="auto"/>
                        <w:bottom w:val="none" w:sz="0" w:space="0" w:color="auto"/>
                        <w:right w:val="none" w:sz="0" w:space="0" w:color="auto"/>
                      </w:divBdr>
                    </w:div>
                  </w:divsChild>
                </w:div>
                <w:div w:id="242884381">
                  <w:marLeft w:val="0"/>
                  <w:marRight w:val="0"/>
                  <w:marTop w:val="0"/>
                  <w:marBottom w:val="0"/>
                  <w:divBdr>
                    <w:top w:val="none" w:sz="0" w:space="0" w:color="auto"/>
                    <w:left w:val="none" w:sz="0" w:space="0" w:color="auto"/>
                    <w:bottom w:val="none" w:sz="0" w:space="0" w:color="auto"/>
                    <w:right w:val="none" w:sz="0" w:space="0" w:color="auto"/>
                  </w:divBdr>
                  <w:divsChild>
                    <w:div w:id="1013802188">
                      <w:marLeft w:val="0"/>
                      <w:marRight w:val="0"/>
                      <w:marTop w:val="0"/>
                      <w:marBottom w:val="0"/>
                      <w:divBdr>
                        <w:top w:val="none" w:sz="0" w:space="0" w:color="auto"/>
                        <w:left w:val="none" w:sz="0" w:space="0" w:color="auto"/>
                        <w:bottom w:val="none" w:sz="0" w:space="0" w:color="auto"/>
                        <w:right w:val="none" w:sz="0" w:space="0" w:color="auto"/>
                      </w:divBdr>
                    </w:div>
                  </w:divsChild>
                </w:div>
                <w:div w:id="295641924">
                  <w:marLeft w:val="0"/>
                  <w:marRight w:val="0"/>
                  <w:marTop w:val="0"/>
                  <w:marBottom w:val="0"/>
                  <w:divBdr>
                    <w:top w:val="none" w:sz="0" w:space="0" w:color="auto"/>
                    <w:left w:val="none" w:sz="0" w:space="0" w:color="auto"/>
                    <w:bottom w:val="none" w:sz="0" w:space="0" w:color="auto"/>
                    <w:right w:val="none" w:sz="0" w:space="0" w:color="auto"/>
                  </w:divBdr>
                  <w:divsChild>
                    <w:div w:id="554663642">
                      <w:marLeft w:val="0"/>
                      <w:marRight w:val="0"/>
                      <w:marTop w:val="0"/>
                      <w:marBottom w:val="0"/>
                      <w:divBdr>
                        <w:top w:val="none" w:sz="0" w:space="0" w:color="auto"/>
                        <w:left w:val="none" w:sz="0" w:space="0" w:color="auto"/>
                        <w:bottom w:val="none" w:sz="0" w:space="0" w:color="auto"/>
                        <w:right w:val="none" w:sz="0" w:space="0" w:color="auto"/>
                      </w:divBdr>
                    </w:div>
                  </w:divsChild>
                </w:div>
                <w:div w:id="299579068">
                  <w:marLeft w:val="0"/>
                  <w:marRight w:val="0"/>
                  <w:marTop w:val="0"/>
                  <w:marBottom w:val="0"/>
                  <w:divBdr>
                    <w:top w:val="none" w:sz="0" w:space="0" w:color="auto"/>
                    <w:left w:val="none" w:sz="0" w:space="0" w:color="auto"/>
                    <w:bottom w:val="none" w:sz="0" w:space="0" w:color="auto"/>
                    <w:right w:val="none" w:sz="0" w:space="0" w:color="auto"/>
                  </w:divBdr>
                  <w:divsChild>
                    <w:div w:id="814956936">
                      <w:marLeft w:val="0"/>
                      <w:marRight w:val="0"/>
                      <w:marTop w:val="0"/>
                      <w:marBottom w:val="0"/>
                      <w:divBdr>
                        <w:top w:val="none" w:sz="0" w:space="0" w:color="auto"/>
                        <w:left w:val="none" w:sz="0" w:space="0" w:color="auto"/>
                        <w:bottom w:val="none" w:sz="0" w:space="0" w:color="auto"/>
                        <w:right w:val="none" w:sz="0" w:space="0" w:color="auto"/>
                      </w:divBdr>
                    </w:div>
                  </w:divsChild>
                </w:div>
                <w:div w:id="316500444">
                  <w:marLeft w:val="0"/>
                  <w:marRight w:val="0"/>
                  <w:marTop w:val="0"/>
                  <w:marBottom w:val="0"/>
                  <w:divBdr>
                    <w:top w:val="none" w:sz="0" w:space="0" w:color="auto"/>
                    <w:left w:val="none" w:sz="0" w:space="0" w:color="auto"/>
                    <w:bottom w:val="none" w:sz="0" w:space="0" w:color="auto"/>
                    <w:right w:val="none" w:sz="0" w:space="0" w:color="auto"/>
                  </w:divBdr>
                  <w:divsChild>
                    <w:div w:id="1782413137">
                      <w:marLeft w:val="0"/>
                      <w:marRight w:val="0"/>
                      <w:marTop w:val="0"/>
                      <w:marBottom w:val="0"/>
                      <w:divBdr>
                        <w:top w:val="none" w:sz="0" w:space="0" w:color="auto"/>
                        <w:left w:val="none" w:sz="0" w:space="0" w:color="auto"/>
                        <w:bottom w:val="none" w:sz="0" w:space="0" w:color="auto"/>
                        <w:right w:val="none" w:sz="0" w:space="0" w:color="auto"/>
                      </w:divBdr>
                    </w:div>
                  </w:divsChild>
                </w:div>
                <w:div w:id="350181302">
                  <w:marLeft w:val="0"/>
                  <w:marRight w:val="0"/>
                  <w:marTop w:val="0"/>
                  <w:marBottom w:val="0"/>
                  <w:divBdr>
                    <w:top w:val="none" w:sz="0" w:space="0" w:color="auto"/>
                    <w:left w:val="none" w:sz="0" w:space="0" w:color="auto"/>
                    <w:bottom w:val="none" w:sz="0" w:space="0" w:color="auto"/>
                    <w:right w:val="none" w:sz="0" w:space="0" w:color="auto"/>
                  </w:divBdr>
                  <w:divsChild>
                    <w:div w:id="1907186478">
                      <w:marLeft w:val="0"/>
                      <w:marRight w:val="0"/>
                      <w:marTop w:val="0"/>
                      <w:marBottom w:val="0"/>
                      <w:divBdr>
                        <w:top w:val="none" w:sz="0" w:space="0" w:color="auto"/>
                        <w:left w:val="none" w:sz="0" w:space="0" w:color="auto"/>
                        <w:bottom w:val="none" w:sz="0" w:space="0" w:color="auto"/>
                        <w:right w:val="none" w:sz="0" w:space="0" w:color="auto"/>
                      </w:divBdr>
                    </w:div>
                  </w:divsChild>
                </w:div>
                <w:div w:id="353312905">
                  <w:marLeft w:val="0"/>
                  <w:marRight w:val="0"/>
                  <w:marTop w:val="0"/>
                  <w:marBottom w:val="0"/>
                  <w:divBdr>
                    <w:top w:val="none" w:sz="0" w:space="0" w:color="auto"/>
                    <w:left w:val="none" w:sz="0" w:space="0" w:color="auto"/>
                    <w:bottom w:val="none" w:sz="0" w:space="0" w:color="auto"/>
                    <w:right w:val="none" w:sz="0" w:space="0" w:color="auto"/>
                  </w:divBdr>
                  <w:divsChild>
                    <w:div w:id="1447919278">
                      <w:marLeft w:val="0"/>
                      <w:marRight w:val="0"/>
                      <w:marTop w:val="0"/>
                      <w:marBottom w:val="0"/>
                      <w:divBdr>
                        <w:top w:val="none" w:sz="0" w:space="0" w:color="auto"/>
                        <w:left w:val="none" w:sz="0" w:space="0" w:color="auto"/>
                        <w:bottom w:val="none" w:sz="0" w:space="0" w:color="auto"/>
                        <w:right w:val="none" w:sz="0" w:space="0" w:color="auto"/>
                      </w:divBdr>
                    </w:div>
                  </w:divsChild>
                </w:div>
                <w:div w:id="358898944">
                  <w:marLeft w:val="0"/>
                  <w:marRight w:val="0"/>
                  <w:marTop w:val="0"/>
                  <w:marBottom w:val="0"/>
                  <w:divBdr>
                    <w:top w:val="none" w:sz="0" w:space="0" w:color="auto"/>
                    <w:left w:val="none" w:sz="0" w:space="0" w:color="auto"/>
                    <w:bottom w:val="none" w:sz="0" w:space="0" w:color="auto"/>
                    <w:right w:val="none" w:sz="0" w:space="0" w:color="auto"/>
                  </w:divBdr>
                  <w:divsChild>
                    <w:div w:id="2049261873">
                      <w:marLeft w:val="0"/>
                      <w:marRight w:val="0"/>
                      <w:marTop w:val="0"/>
                      <w:marBottom w:val="0"/>
                      <w:divBdr>
                        <w:top w:val="none" w:sz="0" w:space="0" w:color="auto"/>
                        <w:left w:val="none" w:sz="0" w:space="0" w:color="auto"/>
                        <w:bottom w:val="none" w:sz="0" w:space="0" w:color="auto"/>
                        <w:right w:val="none" w:sz="0" w:space="0" w:color="auto"/>
                      </w:divBdr>
                    </w:div>
                  </w:divsChild>
                </w:div>
                <w:div w:id="361827125">
                  <w:marLeft w:val="0"/>
                  <w:marRight w:val="0"/>
                  <w:marTop w:val="0"/>
                  <w:marBottom w:val="0"/>
                  <w:divBdr>
                    <w:top w:val="none" w:sz="0" w:space="0" w:color="auto"/>
                    <w:left w:val="none" w:sz="0" w:space="0" w:color="auto"/>
                    <w:bottom w:val="none" w:sz="0" w:space="0" w:color="auto"/>
                    <w:right w:val="none" w:sz="0" w:space="0" w:color="auto"/>
                  </w:divBdr>
                  <w:divsChild>
                    <w:div w:id="1924803928">
                      <w:marLeft w:val="0"/>
                      <w:marRight w:val="0"/>
                      <w:marTop w:val="0"/>
                      <w:marBottom w:val="0"/>
                      <w:divBdr>
                        <w:top w:val="none" w:sz="0" w:space="0" w:color="auto"/>
                        <w:left w:val="none" w:sz="0" w:space="0" w:color="auto"/>
                        <w:bottom w:val="none" w:sz="0" w:space="0" w:color="auto"/>
                        <w:right w:val="none" w:sz="0" w:space="0" w:color="auto"/>
                      </w:divBdr>
                    </w:div>
                  </w:divsChild>
                </w:div>
                <w:div w:id="366566070">
                  <w:marLeft w:val="0"/>
                  <w:marRight w:val="0"/>
                  <w:marTop w:val="0"/>
                  <w:marBottom w:val="0"/>
                  <w:divBdr>
                    <w:top w:val="none" w:sz="0" w:space="0" w:color="auto"/>
                    <w:left w:val="none" w:sz="0" w:space="0" w:color="auto"/>
                    <w:bottom w:val="none" w:sz="0" w:space="0" w:color="auto"/>
                    <w:right w:val="none" w:sz="0" w:space="0" w:color="auto"/>
                  </w:divBdr>
                  <w:divsChild>
                    <w:div w:id="350107035">
                      <w:marLeft w:val="0"/>
                      <w:marRight w:val="0"/>
                      <w:marTop w:val="0"/>
                      <w:marBottom w:val="0"/>
                      <w:divBdr>
                        <w:top w:val="none" w:sz="0" w:space="0" w:color="auto"/>
                        <w:left w:val="none" w:sz="0" w:space="0" w:color="auto"/>
                        <w:bottom w:val="none" w:sz="0" w:space="0" w:color="auto"/>
                        <w:right w:val="none" w:sz="0" w:space="0" w:color="auto"/>
                      </w:divBdr>
                    </w:div>
                  </w:divsChild>
                </w:div>
                <w:div w:id="408625563">
                  <w:marLeft w:val="0"/>
                  <w:marRight w:val="0"/>
                  <w:marTop w:val="0"/>
                  <w:marBottom w:val="0"/>
                  <w:divBdr>
                    <w:top w:val="none" w:sz="0" w:space="0" w:color="auto"/>
                    <w:left w:val="none" w:sz="0" w:space="0" w:color="auto"/>
                    <w:bottom w:val="none" w:sz="0" w:space="0" w:color="auto"/>
                    <w:right w:val="none" w:sz="0" w:space="0" w:color="auto"/>
                  </w:divBdr>
                  <w:divsChild>
                    <w:div w:id="511530147">
                      <w:marLeft w:val="0"/>
                      <w:marRight w:val="0"/>
                      <w:marTop w:val="0"/>
                      <w:marBottom w:val="0"/>
                      <w:divBdr>
                        <w:top w:val="none" w:sz="0" w:space="0" w:color="auto"/>
                        <w:left w:val="none" w:sz="0" w:space="0" w:color="auto"/>
                        <w:bottom w:val="none" w:sz="0" w:space="0" w:color="auto"/>
                        <w:right w:val="none" w:sz="0" w:space="0" w:color="auto"/>
                      </w:divBdr>
                    </w:div>
                  </w:divsChild>
                </w:div>
                <w:div w:id="435293346">
                  <w:marLeft w:val="0"/>
                  <w:marRight w:val="0"/>
                  <w:marTop w:val="0"/>
                  <w:marBottom w:val="0"/>
                  <w:divBdr>
                    <w:top w:val="none" w:sz="0" w:space="0" w:color="auto"/>
                    <w:left w:val="none" w:sz="0" w:space="0" w:color="auto"/>
                    <w:bottom w:val="none" w:sz="0" w:space="0" w:color="auto"/>
                    <w:right w:val="none" w:sz="0" w:space="0" w:color="auto"/>
                  </w:divBdr>
                  <w:divsChild>
                    <w:div w:id="793018017">
                      <w:marLeft w:val="0"/>
                      <w:marRight w:val="0"/>
                      <w:marTop w:val="0"/>
                      <w:marBottom w:val="0"/>
                      <w:divBdr>
                        <w:top w:val="none" w:sz="0" w:space="0" w:color="auto"/>
                        <w:left w:val="none" w:sz="0" w:space="0" w:color="auto"/>
                        <w:bottom w:val="none" w:sz="0" w:space="0" w:color="auto"/>
                        <w:right w:val="none" w:sz="0" w:space="0" w:color="auto"/>
                      </w:divBdr>
                    </w:div>
                  </w:divsChild>
                </w:div>
                <w:div w:id="451554635">
                  <w:marLeft w:val="0"/>
                  <w:marRight w:val="0"/>
                  <w:marTop w:val="0"/>
                  <w:marBottom w:val="0"/>
                  <w:divBdr>
                    <w:top w:val="none" w:sz="0" w:space="0" w:color="auto"/>
                    <w:left w:val="none" w:sz="0" w:space="0" w:color="auto"/>
                    <w:bottom w:val="none" w:sz="0" w:space="0" w:color="auto"/>
                    <w:right w:val="none" w:sz="0" w:space="0" w:color="auto"/>
                  </w:divBdr>
                  <w:divsChild>
                    <w:div w:id="1035741307">
                      <w:marLeft w:val="0"/>
                      <w:marRight w:val="0"/>
                      <w:marTop w:val="0"/>
                      <w:marBottom w:val="0"/>
                      <w:divBdr>
                        <w:top w:val="none" w:sz="0" w:space="0" w:color="auto"/>
                        <w:left w:val="none" w:sz="0" w:space="0" w:color="auto"/>
                        <w:bottom w:val="none" w:sz="0" w:space="0" w:color="auto"/>
                        <w:right w:val="none" w:sz="0" w:space="0" w:color="auto"/>
                      </w:divBdr>
                    </w:div>
                  </w:divsChild>
                </w:div>
                <w:div w:id="460461574">
                  <w:marLeft w:val="0"/>
                  <w:marRight w:val="0"/>
                  <w:marTop w:val="0"/>
                  <w:marBottom w:val="0"/>
                  <w:divBdr>
                    <w:top w:val="none" w:sz="0" w:space="0" w:color="auto"/>
                    <w:left w:val="none" w:sz="0" w:space="0" w:color="auto"/>
                    <w:bottom w:val="none" w:sz="0" w:space="0" w:color="auto"/>
                    <w:right w:val="none" w:sz="0" w:space="0" w:color="auto"/>
                  </w:divBdr>
                  <w:divsChild>
                    <w:div w:id="996031493">
                      <w:marLeft w:val="0"/>
                      <w:marRight w:val="0"/>
                      <w:marTop w:val="0"/>
                      <w:marBottom w:val="0"/>
                      <w:divBdr>
                        <w:top w:val="none" w:sz="0" w:space="0" w:color="auto"/>
                        <w:left w:val="none" w:sz="0" w:space="0" w:color="auto"/>
                        <w:bottom w:val="none" w:sz="0" w:space="0" w:color="auto"/>
                        <w:right w:val="none" w:sz="0" w:space="0" w:color="auto"/>
                      </w:divBdr>
                    </w:div>
                  </w:divsChild>
                </w:div>
                <w:div w:id="466626641">
                  <w:marLeft w:val="0"/>
                  <w:marRight w:val="0"/>
                  <w:marTop w:val="0"/>
                  <w:marBottom w:val="0"/>
                  <w:divBdr>
                    <w:top w:val="none" w:sz="0" w:space="0" w:color="auto"/>
                    <w:left w:val="none" w:sz="0" w:space="0" w:color="auto"/>
                    <w:bottom w:val="none" w:sz="0" w:space="0" w:color="auto"/>
                    <w:right w:val="none" w:sz="0" w:space="0" w:color="auto"/>
                  </w:divBdr>
                  <w:divsChild>
                    <w:div w:id="1516574612">
                      <w:marLeft w:val="0"/>
                      <w:marRight w:val="0"/>
                      <w:marTop w:val="0"/>
                      <w:marBottom w:val="0"/>
                      <w:divBdr>
                        <w:top w:val="none" w:sz="0" w:space="0" w:color="auto"/>
                        <w:left w:val="none" w:sz="0" w:space="0" w:color="auto"/>
                        <w:bottom w:val="none" w:sz="0" w:space="0" w:color="auto"/>
                        <w:right w:val="none" w:sz="0" w:space="0" w:color="auto"/>
                      </w:divBdr>
                    </w:div>
                  </w:divsChild>
                </w:div>
                <w:div w:id="473722139">
                  <w:marLeft w:val="0"/>
                  <w:marRight w:val="0"/>
                  <w:marTop w:val="0"/>
                  <w:marBottom w:val="0"/>
                  <w:divBdr>
                    <w:top w:val="none" w:sz="0" w:space="0" w:color="auto"/>
                    <w:left w:val="none" w:sz="0" w:space="0" w:color="auto"/>
                    <w:bottom w:val="none" w:sz="0" w:space="0" w:color="auto"/>
                    <w:right w:val="none" w:sz="0" w:space="0" w:color="auto"/>
                  </w:divBdr>
                  <w:divsChild>
                    <w:div w:id="1722554157">
                      <w:marLeft w:val="0"/>
                      <w:marRight w:val="0"/>
                      <w:marTop w:val="0"/>
                      <w:marBottom w:val="0"/>
                      <w:divBdr>
                        <w:top w:val="none" w:sz="0" w:space="0" w:color="auto"/>
                        <w:left w:val="none" w:sz="0" w:space="0" w:color="auto"/>
                        <w:bottom w:val="none" w:sz="0" w:space="0" w:color="auto"/>
                        <w:right w:val="none" w:sz="0" w:space="0" w:color="auto"/>
                      </w:divBdr>
                    </w:div>
                  </w:divsChild>
                </w:div>
                <w:div w:id="482502002">
                  <w:marLeft w:val="0"/>
                  <w:marRight w:val="0"/>
                  <w:marTop w:val="0"/>
                  <w:marBottom w:val="0"/>
                  <w:divBdr>
                    <w:top w:val="none" w:sz="0" w:space="0" w:color="auto"/>
                    <w:left w:val="none" w:sz="0" w:space="0" w:color="auto"/>
                    <w:bottom w:val="none" w:sz="0" w:space="0" w:color="auto"/>
                    <w:right w:val="none" w:sz="0" w:space="0" w:color="auto"/>
                  </w:divBdr>
                  <w:divsChild>
                    <w:div w:id="653027449">
                      <w:marLeft w:val="0"/>
                      <w:marRight w:val="0"/>
                      <w:marTop w:val="0"/>
                      <w:marBottom w:val="0"/>
                      <w:divBdr>
                        <w:top w:val="none" w:sz="0" w:space="0" w:color="auto"/>
                        <w:left w:val="none" w:sz="0" w:space="0" w:color="auto"/>
                        <w:bottom w:val="none" w:sz="0" w:space="0" w:color="auto"/>
                        <w:right w:val="none" w:sz="0" w:space="0" w:color="auto"/>
                      </w:divBdr>
                    </w:div>
                  </w:divsChild>
                </w:div>
                <w:div w:id="485172605">
                  <w:marLeft w:val="0"/>
                  <w:marRight w:val="0"/>
                  <w:marTop w:val="0"/>
                  <w:marBottom w:val="0"/>
                  <w:divBdr>
                    <w:top w:val="none" w:sz="0" w:space="0" w:color="auto"/>
                    <w:left w:val="none" w:sz="0" w:space="0" w:color="auto"/>
                    <w:bottom w:val="none" w:sz="0" w:space="0" w:color="auto"/>
                    <w:right w:val="none" w:sz="0" w:space="0" w:color="auto"/>
                  </w:divBdr>
                  <w:divsChild>
                    <w:div w:id="1070230573">
                      <w:marLeft w:val="0"/>
                      <w:marRight w:val="0"/>
                      <w:marTop w:val="0"/>
                      <w:marBottom w:val="0"/>
                      <w:divBdr>
                        <w:top w:val="none" w:sz="0" w:space="0" w:color="auto"/>
                        <w:left w:val="none" w:sz="0" w:space="0" w:color="auto"/>
                        <w:bottom w:val="none" w:sz="0" w:space="0" w:color="auto"/>
                        <w:right w:val="none" w:sz="0" w:space="0" w:color="auto"/>
                      </w:divBdr>
                    </w:div>
                  </w:divsChild>
                </w:div>
                <w:div w:id="487326591">
                  <w:marLeft w:val="0"/>
                  <w:marRight w:val="0"/>
                  <w:marTop w:val="0"/>
                  <w:marBottom w:val="0"/>
                  <w:divBdr>
                    <w:top w:val="none" w:sz="0" w:space="0" w:color="auto"/>
                    <w:left w:val="none" w:sz="0" w:space="0" w:color="auto"/>
                    <w:bottom w:val="none" w:sz="0" w:space="0" w:color="auto"/>
                    <w:right w:val="none" w:sz="0" w:space="0" w:color="auto"/>
                  </w:divBdr>
                  <w:divsChild>
                    <w:div w:id="200897998">
                      <w:marLeft w:val="0"/>
                      <w:marRight w:val="0"/>
                      <w:marTop w:val="0"/>
                      <w:marBottom w:val="0"/>
                      <w:divBdr>
                        <w:top w:val="none" w:sz="0" w:space="0" w:color="auto"/>
                        <w:left w:val="none" w:sz="0" w:space="0" w:color="auto"/>
                        <w:bottom w:val="none" w:sz="0" w:space="0" w:color="auto"/>
                        <w:right w:val="none" w:sz="0" w:space="0" w:color="auto"/>
                      </w:divBdr>
                    </w:div>
                  </w:divsChild>
                </w:div>
                <w:div w:id="503982470">
                  <w:marLeft w:val="0"/>
                  <w:marRight w:val="0"/>
                  <w:marTop w:val="0"/>
                  <w:marBottom w:val="0"/>
                  <w:divBdr>
                    <w:top w:val="none" w:sz="0" w:space="0" w:color="auto"/>
                    <w:left w:val="none" w:sz="0" w:space="0" w:color="auto"/>
                    <w:bottom w:val="none" w:sz="0" w:space="0" w:color="auto"/>
                    <w:right w:val="none" w:sz="0" w:space="0" w:color="auto"/>
                  </w:divBdr>
                  <w:divsChild>
                    <w:div w:id="348289550">
                      <w:marLeft w:val="0"/>
                      <w:marRight w:val="0"/>
                      <w:marTop w:val="0"/>
                      <w:marBottom w:val="0"/>
                      <w:divBdr>
                        <w:top w:val="none" w:sz="0" w:space="0" w:color="auto"/>
                        <w:left w:val="none" w:sz="0" w:space="0" w:color="auto"/>
                        <w:bottom w:val="none" w:sz="0" w:space="0" w:color="auto"/>
                        <w:right w:val="none" w:sz="0" w:space="0" w:color="auto"/>
                      </w:divBdr>
                    </w:div>
                  </w:divsChild>
                </w:div>
                <w:div w:id="559749530">
                  <w:marLeft w:val="0"/>
                  <w:marRight w:val="0"/>
                  <w:marTop w:val="0"/>
                  <w:marBottom w:val="0"/>
                  <w:divBdr>
                    <w:top w:val="none" w:sz="0" w:space="0" w:color="auto"/>
                    <w:left w:val="none" w:sz="0" w:space="0" w:color="auto"/>
                    <w:bottom w:val="none" w:sz="0" w:space="0" w:color="auto"/>
                    <w:right w:val="none" w:sz="0" w:space="0" w:color="auto"/>
                  </w:divBdr>
                  <w:divsChild>
                    <w:div w:id="363944093">
                      <w:marLeft w:val="0"/>
                      <w:marRight w:val="0"/>
                      <w:marTop w:val="0"/>
                      <w:marBottom w:val="0"/>
                      <w:divBdr>
                        <w:top w:val="none" w:sz="0" w:space="0" w:color="auto"/>
                        <w:left w:val="none" w:sz="0" w:space="0" w:color="auto"/>
                        <w:bottom w:val="none" w:sz="0" w:space="0" w:color="auto"/>
                        <w:right w:val="none" w:sz="0" w:space="0" w:color="auto"/>
                      </w:divBdr>
                    </w:div>
                  </w:divsChild>
                </w:div>
                <w:div w:id="570116421">
                  <w:marLeft w:val="0"/>
                  <w:marRight w:val="0"/>
                  <w:marTop w:val="0"/>
                  <w:marBottom w:val="0"/>
                  <w:divBdr>
                    <w:top w:val="none" w:sz="0" w:space="0" w:color="auto"/>
                    <w:left w:val="none" w:sz="0" w:space="0" w:color="auto"/>
                    <w:bottom w:val="none" w:sz="0" w:space="0" w:color="auto"/>
                    <w:right w:val="none" w:sz="0" w:space="0" w:color="auto"/>
                  </w:divBdr>
                  <w:divsChild>
                    <w:div w:id="1818259922">
                      <w:marLeft w:val="0"/>
                      <w:marRight w:val="0"/>
                      <w:marTop w:val="0"/>
                      <w:marBottom w:val="0"/>
                      <w:divBdr>
                        <w:top w:val="none" w:sz="0" w:space="0" w:color="auto"/>
                        <w:left w:val="none" w:sz="0" w:space="0" w:color="auto"/>
                        <w:bottom w:val="none" w:sz="0" w:space="0" w:color="auto"/>
                        <w:right w:val="none" w:sz="0" w:space="0" w:color="auto"/>
                      </w:divBdr>
                    </w:div>
                  </w:divsChild>
                </w:div>
                <w:div w:id="580867858">
                  <w:marLeft w:val="0"/>
                  <w:marRight w:val="0"/>
                  <w:marTop w:val="0"/>
                  <w:marBottom w:val="0"/>
                  <w:divBdr>
                    <w:top w:val="none" w:sz="0" w:space="0" w:color="auto"/>
                    <w:left w:val="none" w:sz="0" w:space="0" w:color="auto"/>
                    <w:bottom w:val="none" w:sz="0" w:space="0" w:color="auto"/>
                    <w:right w:val="none" w:sz="0" w:space="0" w:color="auto"/>
                  </w:divBdr>
                  <w:divsChild>
                    <w:div w:id="1434714997">
                      <w:marLeft w:val="0"/>
                      <w:marRight w:val="0"/>
                      <w:marTop w:val="0"/>
                      <w:marBottom w:val="0"/>
                      <w:divBdr>
                        <w:top w:val="none" w:sz="0" w:space="0" w:color="auto"/>
                        <w:left w:val="none" w:sz="0" w:space="0" w:color="auto"/>
                        <w:bottom w:val="none" w:sz="0" w:space="0" w:color="auto"/>
                        <w:right w:val="none" w:sz="0" w:space="0" w:color="auto"/>
                      </w:divBdr>
                    </w:div>
                  </w:divsChild>
                </w:div>
                <w:div w:id="589824109">
                  <w:marLeft w:val="0"/>
                  <w:marRight w:val="0"/>
                  <w:marTop w:val="0"/>
                  <w:marBottom w:val="0"/>
                  <w:divBdr>
                    <w:top w:val="none" w:sz="0" w:space="0" w:color="auto"/>
                    <w:left w:val="none" w:sz="0" w:space="0" w:color="auto"/>
                    <w:bottom w:val="none" w:sz="0" w:space="0" w:color="auto"/>
                    <w:right w:val="none" w:sz="0" w:space="0" w:color="auto"/>
                  </w:divBdr>
                  <w:divsChild>
                    <w:div w:id="824472572">
                      <w:marLeft w:val="0"/>
                      <w:marRight w:val="0"/>
                      <w:marTop w:val="0"/>
                      <w:marBottom w:val="0"/>
                      <w:divBdr>
                        <w:top w:val="none" w:sz="0" w:space="0" w:color="auto"/>
                        <w:left w:val="none" w:sz="0" w:space="0" w:color="auto"/>
                        <w:bottom w:val="none" w:sz="0" w:space="0" w:color="auto"/>
                        <w:right w:val="none" w:sz="0" w:space="0" w:color="auto"/>
                      </w:divBdr>
                    </w:div>
                  </w:divsChild>
                </w:div>
                <w:div w:id="637148570">
                  <w:marLeft w:val="0"/>
                  <w:marRight w:val="0"/>
                  <w:marTop w:val="0"/>
                  <w:marBottom w:val="0"/>
                  <w:divBdr>
                    <w:top w:val="none" w:sz="0" w:space="0" w:color="auto"/>
                    <w:left w:val="none" w:sz="0" w:space="0" w:color="auto"/>
                    <w:bottom w:val="none" w:sz="0" w:space="0" w:color="auto"/>
                    <w:right w:val="none" w:sz="0" w:space="0" w:color="auto"/>
                  </w:divBdr>
                  <w:divsChild>
                    <w:div w:id="1335262511">
                      <w:marLeft w:val="0"/>
                      <w:marRight w:val="0"/>
                      <w:marTop w:val="0"/>
                      <w:marBottom w:val="0"/>
                      <w:divBdr>
                        <w:top w:val="none" w:sz="0" w:space="0" w:color="auto"/>
                        <w:left w:val="none" w:sz="0" w:space="0" w:color="auto"/>
                        <w:bottom w:val="none" w:sz="0" w:space="0" w:color="auto"/>
                        <w:right w:val="none" w:sz="0" w:space="0" w:color="auto"/>
                      </w:divBdr>
                    </w:div>
                  </w:divsChild>
                </w:div>
                <w:div w:id="671377014">
                  <w:marLeft w:val="0"/>
                  <w:marRight w:val="0"/>
                  <w:marTop w:val="0"/>
                  <w:marBottom w:val="0"/>
                  <w:divBdr>
                    <w:top w:val="none" w:sz="0" w:space="0" w:color="auto"/>
                    <w:left w:val="none" w:sz="0" w:space="0" w:color="auto"/>
                    <w:bottom w:val="none" w:sz="0" w:space="0" w:color="auto"/>
                    <w:right w:val="none" w:sz="0" w:space="0" w:color="auto"/>
                  </w:divBdr>
                  <w:divsChild>
                    <w:div w:id="687099287">
                      <w:marLeft w:val="0"/>
                      <w:marRight w:val="0"/>
                      <w:marTop w:val="0"/>
                      <w:marBottom w:val="0"/>
                      <w:divBdr>
                        <w:top w:val="none" w:sz="0" w:space="0" w:color="auto"/>
                        <w:left w:val="none" w:sz="0" w:space="0" w:color="auto"/>
                        <w:bottom w:val="none" w:sz="0" w:space="0" w:color="auto"/>
                        <w:right w:val="none" w:sz="0" w:space="0" w:color="auto"/>
                      </w:divBdr>
                    </w:div>
                  </w:divsChild>
                </w:div>
                <w:div w:id="690377823">
                  <w:marLeft w:val="0"/>
                  <w:marRight w:val="0"/>
                  <w:marTop w:val="0"/>
                  <w:marBottom w:val="0"/>
                  <w:divBdr>
                    <w:top w:val="none" w:sz="0" w:space="0" w:color="auto"/>
                    <w:left w:val="none" w:sz="0" w:space="0" w:color="auto"/>
                    <w:bottom w:val="none" w:sz="0" w:space="0" w:color="auto"/>
                    <w:right w:val="none" w:sz="0" w:space="0" w:color="auto"/>
                  </w:divBdr>
                  <w:divsChild>
                    <w:div w:id="626205900">
                      <w:marLeft w:val="0"/>
                      <w:marRight w:val="0"/>
                      <w:marTop w:val="0"/>
                      <w:marBottom w:val="0"/>
                      <w:divBdr>
                        <w:top w:val="none" w:sz="0" w:space="0" w:color="auto"/>
                        <w:left w:val="none" w:sz="0" w:space="0" w:color="auto"/>
                        <w:bottom w:val="none" w:sz="0" w:space="0" w:color="auto"/>
                        <w:right w:val="none" w:sz="0" w:space="0" w:color="auto"/>
                      </w:divBdr>
                    </w:div>
                  </w:divsChild>
                </w:div>
                <w:div w:id="705519042">
                  <w:marLeft w:val="0"/>
                  <w:marRight w:val="0"/>
                  <w:marTop w:val="0"/>
                  <w:marBottom w:val="0"/>
                  <w:divBdr>
                    <w:top w:val="none" w:sz="0" w:space="0" w:color="auto"/>
                    <w:left w:val="none" w:sz="0" w:space="0" w:color="auto"/>
                    <w:bottom w:val="none" w:sz="0" w:space="0" w:color="auto"/>
                    <w:right w:val="none" w:sz="0" w:space="0" w:color="auto"/>
                  </w:divBdr>
                  <w:divsChild>
                    <w:div w:id="1099983894">
                      <w:marLeft w:val="0"/>
                      <w:marRight w:val="0"/>
                      <w:marTop w:val="0"/>
                      <w:marBottom w:val="0"/>
                      <w:divBdr>
                        <w:top w:val="none" w:sz="0" w:space="0" w:color="auto"/>
                        <w:left w:val="none" w:sz="0" w:space="0" w:color="auto"/>
                        <w:bottom w:val="none" w:sz="0" w:space="0" w:color="auto"/>
                        <w:right w:val="none" w:sz="0" w:space="0" w:color="auto"/>
                      </w:divBdr>
                    </w:div>
                  </w:divsChild>
                </w:div>
                <w:div w:id="833179895">
                  <w:marLeft w:val="0"/>
                  <w:marRight w:val="0"/>
                  <w:marTop w:val="0"/>
                  <w:marBottom w:val="0"/>
                  <w:divBdr>
                    <w:top w:val="none" w:sz="0" w:space="0" w:color="auto"/>
                    <w:left w:val="none" w:sz="0" w:space="0" w:color="auto"/>
                    <w:bottom w:val="none" w:sz="0" w:space="0" w:color="auto"/>
                    <w:right w:val="none" w:sz="0" w:space="0" w:color="auto"/>
                  </w:divBdr>
                  <w:divsChild>
                    <w:div w:id="1887060881">
                      <w:marLeft w:val="0"/>
                      <w:marRight w:val="0"/>
                      <w:marTop w:val="0"/>
                      <w:marBottom w:val="0"/>
                      <w:divBdr>
                        <w:top w:val="none" w:sz="0" w:space="0" w:color="auto"/>
                        <w:left w:val="none" w:sz="0" w:space="0" w:color="auto"/>
                        <w:bottom w:val="none" w:sz="0" w:space="0" w:color="auto"/>
                        <w:right w:val="none" w:sz="0" w:space="0" w:color="auto"/>
                      </w:divBdr>
                    </w:div>
                  </w:divsChild>
                </w:div>
                <w:div w:id="880556828">
                  <w:marLeft w:val="0"/>
                  <w:marRight w:val="0"/>
                  <w:marTop w:val="0"/>
                  <w:marBottom w:val="0"/>
                  <w:divBdr>
                    <w:top w:val="none" w:sz="0" w:space="0" w:color="auto"/>
                    <w:left w:val="none" w:sz="0" w:space="0" w:color="auto"/>
                    <w:bottom w:val="none" w:sz="0" w:space="0" w:color="auto"/>
                    <w:right w:val="none" w:sz="0" w:space="0" w:color="auto"/>
                  </w:divBdr>
                  <w:divsChild>
                    <w:div w:id="284582476">
                      <w:marLeft w:val="0"/>
                      <w:marRight w:val="0"/>
                      <w:marTop w:val="0"/>
                      <w:marBottom w:val="0"/>
                      <w:divBdr>
                        <w:top w:val="none" w:sz="0" w:space="0" w:color="auto"/>
                        <w:left w:val="none" w:sz="0" w:space="0" w:color="auto"/>
                        <w:bottom w:val="none" w:sz="0" w:space="0" w:color="auto"/>
                        <w:right w:val="none" w:sz="0" w:space="0" w:color="auto"/>
                      </w:divBdr>
                    </w:div>
                  </w:divsChild>
                </w:div>
                <w:div w:id="886719223">
                  <w:marLeft w:val="0"/>
                  <w:marRight w:val="0"/>
                  <w:marTop w:val="0"/>
                  <w:marBottom w:val="0"/>
                  <w:divBdr>
                    <w:top w:val="none" w:sz="0" w:space="0" w:color="auto"/>
                    <w:left w:val="none" w:sz="0" w:space="0" w:color="auto"/>
                    <w:bottom w:val="none" w:sz="0" w:space="0" w:color="auto"/>
                    <w:right w:val="none" w:sz="0" w:space="0" w:color="auto"/>
                  </w:divBdr>
                  <w:divsChild>
                    <w:div w:id="599878958">
                      <w:marLeft w:val="0"/>
                      <w:marRight w:val="0"/>
                      <w:marTop w:val="0"/>
                      <w:marBottom w:val="0"/>
                      <w:divBdr>
                        <w:top w:val="none" w:sz="0" w:space="0" w:color="auto"/>
                        <w:left w:val="none" w:sz="0" w:space="0" w:color="auto"/>
                        <w:bottom w:val="none" w:sz="0" w:space="0" w:color="auto"/>
                        <w:right w:val="none" w:sz="0" w:space="0" w:color="auto"/>
                      </w:divBdr>
                    </w:div>
                  </w:divsChild>
                </w:div>
                <w:div w:id="893659359">
                  <w:marLeft w:val="0"/>
                  <w:marRight w:val="0"/>
                  <w:marTop w:val="0"/>
                  <w:marBottom w:val="0"/>
                  <w:divBdr>
                    <w:top w:val="none" w:sz="0" w:space="0" w:color="auto"/>
                    <w:left w:val="none" w:sz="0" w:space="0" w:color="auto"/>
                    <w:bottom w:val="none" w:sz="0" w:space="0" w:color="auto"/>
                    <w:right w:val="none" w:sz="0" w:space="0" w:color="auto"/>
                  </w:divBdr>
                  <w:divsChild>
                    <w:div w:id="1900362517">
                      <w:marLeft w:val="0"/>
                      <w:marRight w:val="0"/>
                      <w:marTop w:val="0"/>
                      <w:marBottom w:val="0"/>
                      <w:divBdr>
                        <w:top w:val="none" w:sz="0" w:space="0" w:color="auto"/>
                        <w:left w:val="none" w:sz="0" w:space="0" w:color="auto"/>
                        <w:bottom w:val="none" w:sz="0" w:space="0" w:color="auto"/>
                        <w:right w:val="none" w:sz="0" w:space="0" w:color="auto"/>
                      </w:divBdr>
                    </w:div>
                  </w:divsChild>
                </w:div>
                <w:div w:id="920870389">
                  <w:marLeft w:val="0"/>
                  <w:marRight w:val="0"/>
                  <w:marTop w:val="0"/>
                  <w:marBottom w:val="0"/>
                  <w:divBdr>
                    <w:top w:val="none" w:sz="0" w:space="0" w:color="auto"/>
                    <w:left w:val="none" w:sz="0" w:space="0" w:color="auto"/>
                    <w:bottom w:val="none" w:sz="0" w:space="0" w:color="auto"/>
                    <w:right w:val="none" w:sz="0" w:space="0" w:color="auto"/>
                  </w:divBdr>
                  <w:divsChild>
                    <w:div w:id="1353804372">
                      <w:marLeft w:val="0"/>
                      <w:marRight w:val="0"/>
                      <w:marTop w:val="0"/>
                      <w:marBottom w:val="0"/>
                      <w:divBdr>
                        <w:top w:val="none" w:sz="0" w:space="0" w:color="auto"/>
                        <w:left w:val="none" w:sz="0" w:space="0" w:color="auto"/>
                        <w:bottom w:val="none" w:sz="0" w:space="0" w:color="auto"/>
                        <w:right w:val="none" w:sz="0" w:space="0" w:color="auto"/>
                      </w:divBdr>
                    </w:div>
                  </w:divsChild>
                </w:div>
                <w:div w:id="932320811">
                  <w:marLeft w:val="0"/>
                  <w:marRight w:val="0"/>
                  <w:marTop w:val="0"/>
                  <w:marBottom w:val="0"/>
                  <w:divBdr>
                    <w:top w:val="none" w:sz="0" w:space="0" w:color="auto"/>
                    <w:left w:val="none" w:sz="0" w:space="0" w:color="auto"/>
                    <w:bottom w:val="none" w:sz="0" w:space="0" w:color="auto"/>
                    <w:right w:val="none" w:sz="0" w:space="0" w:color="auto"/>
                  </w:divBdr>
                  <w:divsChild>
                    <w:div w:id="290134006">
                      <w:marLeft w:val="0"/>
                      <w:marRight w:val="0"/>
                      <w:marTop w:val="0"/>
                      <w:marBottom w:val="0"/>
                      <w:divBdr>
                        <w:top w:val="none" w:sz="0" w:space="0" w:color="auto"/>
                        <w:left w:val="none" w:sz="0" w:space="0" w:color="auto"/>
                        <w:bottom w:val="none" w:sz="0" w:space="0" w:color="auto"/>
                        <w:right w:val="none" w:sz="0" w:space="0" w:color="auto"/>
                      </w:divBdr>
                    </w:div>
                  </w:divsChild>
                </w:div>
                <w:div w:id="940794365">
                  <w:marLeft w:val="0"/>
                  <w:marRight w:val="0"/>
                  <w:marTop w:val="0"/>
                  <w:marBottom w:val="0"/>
                  <w:divBdr>
                    <w:top w:val="none" w:sz="0" w:space="0" w:color="auto"/>
                    <w:left w:val="none" w:sz="0" w:space="0" w:color="auto"/>
                    <w:bottom w:val="none" w:sz="0" w:space="0" w:color="auto"/>
                    <w:right w:val="none" w:sz="0" w:space="0" w:color="auto"/>
                  </w:divBdr>
                  <w:divsChild>
                    <w:div w:id="193999443">
                      <w:marLeft w:val="0"/>
                      <w:marRight w:val="0"/>
                      <w:marTop w:val="0"/>
                      <w:marBottom w:val="0"/>
                      <w:divBdr>
                        <w:top w:val="none" w:sz="0" w:space="0" w:color="auto"/>
                        <w:left w:val="none" w:sz="0" w:space="0" w:color="auto"/>
                        <w:bottom w:val="none" w:sz="0" w:space="0" w:color="auto"/>
                        <w:right w:val="none" w:sz="0" w:space="0" w:color="auto"/>
                      </w:divBdr>
                    </w:div>
                  </w:divsChild>
                </w:div>
                <w:div w:id="944077130">
                  <w:marLeft w:val="0"/>
                  <w:marRight w:val="0"/>
                  <w:marTop w:val="0"/>
                  <w:marBottom w:val="0"/>
                  <w:divBdr>
                    <w:top w:val="none" w:sz="0" w:space="0" w:color="auto"/>
                    <w:left w:val="none" w:sz="0" w:space="0" w:color="auto"/>
                    <w:bottom w:val="none" w:sz="0" w:space="0" w:color="auto"/>
                    <w:right w:val="none" w:sz="0" w:space="0" w:color="auto"/>
                  </w:divBdr>
                  <w:divsChild>
                    <w:div w:id="1445925067">
                      <w:marLeft w:val="0"/>
                      <w:marRight w:val="0"/>
                      <w:marTop w:val="0"/>
                      <w:marBottom w:val="0"/>
                      <w:divBdr>
                        <w:top w:val="none" w:sz="0" w:space="0" w:color="auto"/>
                        <w:left w:val="none" w:sz="0" w:space="0" w:color="auto"/>
                        <w:bottom w:val="none" w:sz="0" w:space="0" w:color="auto"/>
                        <w:right w:val="none" w:sz="0" w:space="0" w:color="auto"/>
                      </w:divBdr>
                    </w:div>
                  </w:divsChild>
                </w:div>
                <w:div w:id="968514389">
                  <w:marLeft w:val="0"/>
                  <w:marRight w:val="0"/>
                  <w:marTop w:val="0"/>
                  <w:marBottom w:val="0"/>
                  <w:divBdr>
                    <w:top w:val="none" w:sz="0" w:space="0" w:color="auto"/>
                    <w:left w:val="none" w:sz="0" w:space="0" w:color="auto"/>
                    <w:bottom w:val="none" w:sz="0" w:space="0" w:color="auto"/>
                    <w:right w:val="none" w:sz="0" w:space="0" w:color="auto"/>
                  </w:divBdr>
                  <w:divsChild>
                    <w:div w:id="935287589">
                      <w:marLeft w:val="0"/>
                      <w:marRight w:val="0"/>
                      <w:marTop w:val="0"/>
                      <w:marBottom w:val="0"/>
                      <w:divBdr>
                        <w:top w:val="none" w:sz="0" w:space="0" w:color="auto"/>
                        <w:left w:val="none" w:sz="0" w:space="0" w:color="auto"/>
                        <w:bottom w:val="none" w:sz="0" w:space="0" w:color="auto"/>
                        <w:right w:val="none" w:sz="0" w:space="0" w:color="auto"/>
                      </w:divBdr>
                    </w:div>
                  </w:divsChild>
                </w:div>
                <w:div w:id="1051853970">
                  <w:marLeft w:val="0"/>
                  <w:marRight w:val="0"/>
                  <w:marTop w:val="0"/>
                  <w:marBottom w:val="0"/>
                  <w:divBdr>
                    <w:top w:val="none" w:sz="0" w:space="0" w:color="auto"/>
                    <w:left w:val="none" w:sz="0" w:space="0" w:color="auto"/>
                    <w:bottom w:val="none" w:sz="0" w:space="0" w:color="auto"/>
                    <w:right w:val="none" w:sz="0" w:space="0" w:color="auto"/>
                  </w:divBdr>
                  <w:divsChild>
                    <w:div w:id="1754083450">
                      <w:marLeft w:val="0"/>
                      <w:marRight w:val="0"/>
                      <w:marTop w:val="0"/>
                      <w:marBottom w:val="0"/>
                      <w:divBdr>
                        <w:top w:val="none" w:sz="0" w:space="0" w:color="auto"/>
                        <w:left w:val="none" w:sz="0" w:space="0" w:color="auto"/>
                        <w:bottom w:val="none" w:sz="0" w:space="0" w:color="auto"/>
                        <w:right w:val="none" w:sz="0" w:space="0" w:color="auto"/>
                      </w:divBdr>
                    </w:div>
                  </w:divsChild>
                </w:div>
                <w:div w:id="1114326890">
                  <w:marLeft w:val="0"/>
                  <w:marRight w:val="0"/>
                  <w:marTop w:val="0"/>
                  <w:marBottom w:val="0"/>
                  <w:divBdr>
                    <w:top w:val="none" w:sz="0" w:space="0" w:color="auto"/>
                    <w:left w:val="none" w:sz="0" w:space="0" w:color="auto"/>
                    <w:bottom w:val="none" w:sz="0" w:space="0" w:color="auto"/>
                    <w:right w:val="none" w:sz="0" w:space="0" w:color="auto"/>
                  </w:divBdr>
                  <w:divsChild>
                    <w:div w:id="1408764750">
                      <w:marLeft w:val="0"/>
                      <w:marRight w:val="0"/>
                      <w:marTop w:val="0"/>
                      <w:marBottom w:val="0"/>
                      <w:divBdr>
                        <w:top w:val="none" w:sz="0" w:space="0" w:color="auto"/>
                        <w:left w:val="none" w:sz="0" w:space="0" w:color="auto"/>
                        <w:bottom w:val="none" w:sz="0" w:space="0" w:color="auto"/>
                        <w:right w:val="none" w:sz="0" w:space="0" w:color="auto"/>
                      </w:divBdr>
                    </w:div>
                  </w:divsChild>
                </w:div>
                <w:div w:id="1155143411">
                  <w:marLeft w:val="0"/>
                  <w:marRight w:val="0"/>
                  <w:marTop w:val="0"/>
                  <w:marBottom w:val="0"/>
                  <w:divBdr>
                    <w:top w:val="none" w:sz="0" w:space="0" w:color="auto"/>
                    <w:left w:val="none" w:sz="0" w:space="0" w:color="auto"/>
                    <w:bottom w:val="none" w:sz="0" w:space="0" w:color="auto"/>
                    <w:right w:val="none" w:sz="0" w:space="0" w:color="auto"/>
                  </w:divBdr>
                  <w:divsChild>
                    <w:div w:id="108663741">
                      <w:marLeft w:val="0"/>
                      <w:marRight w:val="0"/>
                      <w:marTop w:val="0"/>
                      <w:marBottom w:val="0"/>
                      <w:divBdr>
                        <w:top w:val="none" w:sz="0" w:space="0" w:color="auto"/>
                        <w:left w:val="none" w:sz="0" w:space="0" w:color="auto"/>
                        <w:bottom w:val="none" w:sz="0" w:space="0" w:color="auto"/>
                        <w:right w:val="none" w:sz="0" w:space="0" w:color="auto"/>
                      </w:divBdr>
                    </w:div>
                  </w:divsChild>
                </w:div>
                <w:div w:id="1234656894">
                  <w:marLeft w:val="0"/>
                  <w:marRight w:val="0"/>
                  <w:marTop w:val="0"/>
                  <w:marBottom w:val="0"/>
                  <w:divBdr>
                    <w:top w:val="none" w:sz="0" w:space="0" w:color="auto"/>
                    <w:left w:val="none" w:sz="0" w:space="0" w:color="auto"/>
                    <w:bottom w:val="none" w:sz="0" w:space="0" w:color="auto"/>
                    <w:right w:val="none" w:sz="0" w:space="0" w:color="auto"/>
                  </w:divBdr>
                  <w:divsChild>
                    <w:div w:id="732046934">
                      <w:marLeft w:val="0"/>
                      <w:marRight w:val="0"/>
                      <w:marTop w:val="0"/>
                      <w:marBottom w:val="0"/>
                      <w:divBdr>
                        <w:top w:val="none" w:sz="0" w:space="0" w:color="auto"/>
                        <w:left w:val="none" w:sz="0" w:space="0" w:color="auto"/>
                        <w:bottom w:val="none" w:sz="0" w:space="0" w:color="auto"/>
                        <w:right w:val="none" w:sz="0" w:space="0" w:color="auto"/>
                      </w:divBdr>
                    </w:div>
                  </w:divsChild>
                </w:div>
                <w:div w:id="1246764302">
                  <w:marLeft w:val="0"/>
                  <w:marRight w:val="0"/>
                  <w:marTop w:val="0"/>
                  <w:marBottom w:val="0"/>
                  <w:divBdr>
                    <w:top w:val="none" w:sz="0" w:space="0" w:color="auto"/>
                    <w:left w:val="none" w:sz="0" w:space="0" w:color="auto"/>
                    <w:bottom w:val="none" w:sz="0" w:space="0" w:color="auto"/>
                    <w:right w:val="none" w:sz="0" w:space="0" w:color="auto"/>
                  </w:divBdr>
                  <w:divsChild>
                    <w:div w:id="1148012494">
                      <w:marLeft w:val="0"/>
                      <w:marRight w:val="0"/>
                      <w:marTop w:val="0"/>
                      <w:marBottom w:val="0"/>
                      <w:divBdr>
                        <w:top w:val="none" w:sz="0" w:space="0" w:color="auto"/>
                        <w:left w:val="none" w:sz="0" w:space="0" w:color="auto"/>
                        <w:bottom w:val="none" w:sz="0" w:space="0" w:color="auto"/>
                        <w:right w:val="none" w:sz="0" w:space="0" w:color="auto"/>
                      </w:divBdr>
                    </w:div>
                  </w:divsChild>
                </w:div>
                <w:div w:id="1267424425">
                  <w:marLeft w:val="0"/>
                  <w:marRight w:val="0"/>
                  <w:marTop w:val="0"/>
                  <w:marBottom w:val="0"/>
                  <w:divBdr>
                    <w:top w:val="none" w:sz="0" w:space="0" w:color="auto"/>
                    <w:left w:val="none" w:sz="0" w:space="0" w:color="auto"/>
                    <w:bottom w:val="none" w:sz="0" w:space="0" w:color="auto"/>
                    <w:right w:val="none" w:sz="0" w:space="0" w:color="auto"/>
                  </w:divBdr>
                  <w:divsChild>
                    <w:div w:id="1267037224">
                      <w:marLeft w:val="0"/>
                      <w:marRight w:val="0"/>
                      <w:marTop w:val="0"/>
                      <w:marBottom w:val="0"/>
                      <w:divBdr>
                        <w:top w:val="none" w:sz="0" w:space="0" w:color="auto"/>
                        <w:left w:val="none" w:sz="0" w:space="0" w:color="auto"/>
                        <w:bottom w:val="none" w:sz="0" w:space="0" w:color="auto"/>
                        <w:right w:val="none" w:sz="0" w:space="0" w:color="auto"/>
                      </w:divBdr>
                    </w:div>
                  </w:divsChild>
                </w:div>
                <w:div w:id="1307902411">
                  <w:marLeft w:val="0"/>
                  <w:marRight w:val="0"/>
                  <w:marTop w:val="0"/>
                  <w:marBottom w:val="0"/>
                  <w:divBdr>
                    <w:top w:val="none" w:sz="0" w:space="0" w:color="auto"/>
                    <w:left w:val="none" w:sz="0" w:space="0" w:color="auto"/>
                    <w:bottom w:val="none" w:sz="0" w:space="0" w:color="auto"/>
                    <w:right w:val="none" w:sz="0" w:space="0" w:color="auto"/>
                  </w:divBdr>
                  <w:divsChild>
                    <w:div w:id="2089109634">
                      <w:marLeft w:val="0"/>
                      <w:marRight w:val="0"/>
                      <w:marTop w:val="0"/>
                      <w:marBottom w:val="0"/>
                      <w:divBdr>
                        <w:top w:val="none" w:sz="0" w:space="0" w:color="auto"/>
                        <w:left w:val="none" w:sz="0" w:space="0" w:color="auto"/>
                        <w:bottom w:val="none" w:sz="0" w:space="0" w:color="auto"/>
                        <w:right w:val="none" w:sz="0" w:space="0" w:color="auto"/>
                      </w:divBdr>
                    </w:div>
                  </w:divsChild>
                </w:div>
                <w:div w:id="1317683932">
                  <w:marLeft w:val="0"/>
                  <w:marRight w:val="0"/>
                  <w:marTop w:val="0"/>
                  <w:marBottom w:val="0"/>
                  <w:divBdr>
                    <w:top w:val="none" w:sz="0" w:space="0" w:color="auto"/>
                    <w:left w:val="none" w:sz="0" w:space="0" w:color="auto"/>
                    <w:bottom w:val="none" w:sz="0" w:space="0" w:color="auto"/>
                    <w:right w:val="none" w:sz="0" w:space="0" w:color="auto"/>
                  </w:divBdr>
                  <w:divsChild>
                    <w:div w:id="719279589">
                      <w:marLeft w:val="0"/>
                      <w:marRight w:val="0"/>
                      <w:marTop w:val="0"/>
                      <w:marBottom w:val="0"/>
                      <w:divBdr>
                        <w:top w:val="none" w:sz="0" w:space="0" w:color="auto"/>
                        <w:left w:val="none" w:sz="0" w:space="0" w:color="auto"/>
                        <w:bottom w:val="none" w:sz="0" w:space="0" w:color="auto"/>
                        <w:right w:val="none" w:sz="0" w:space="0" w:color="auto"/>
                      </w:divBdr>
                    </w:div>
                  </w:divsChild>
                </w:div>
                <w:div w:id="1325935193">
                  <w:marLeft w:val="0"/>
                  <w:marRight w:val="0"/>
                  <w:marTop w:val="0"/>
                  <w:marBottom w:val="0"/>
                  <w:divBdr>
                    <w:top w:val="none" w:sz="0" w:space="0" w:color="auto"/>
                    <w:left w:val="none" w:sz="0" w:space="0" w:color="auto"/>
                    <w:bottom w:val="none" w:sz="0" w:space="0" w:color="auto"/>
                    <w:right w:val="none" w:sz="0" w:space="0" w:color="auto"/>
                  </w:divBdr>
                  <w:divsChild>
                    <w:div w:id="1108507859">
                      <w:marLeft w:val="0"/>
                      <w:marRight w:val="0"/>
                      <w:marTop w:val="0"/>
                      <w:marBottom w:val="0"/>
                      <w:divBdr>
                        <w:top w:val="none" w:sz="0" w:space="0" w:color="auto"/>
                        <w:left w:val="none" w:sz="0" w:space="0" w:color="auto"/>
                        <w:bottom w:val="none" w:sz="0" w:space="0" w:color="auto"/>
                        <w:right w:val="none" w:sz="0" w:space="0" w:color="auto"/>
                      </w:divBdr>
                    </w:div>
                  </w:divsChild>
                </w:div>
                <w:div w:id="1333605408">
                  <w:marLeft w:val="0"/>
                  <w:marRight w:val="0"/>
                  <w:marTop w:val="0"/>
                  <w:marBottom w:val="0"/>
                  <w:divBdr>
                    <w:top w:val="none" w:sz="0" w:space="0" w:color="auto"/>
                    <w:left w:val="none" w:sz="0" w:space="0" w:color="auto"/>
                    <w:bottom w:val="none" w:sz="0" w:space="0" w:color="auto"/>
                    <w:right w:val="none" w:sz="0" w:space="0" w:color="auto"/>
                  </w:divBdr>
                  <w:divsChild>
                    <w:div w:id="772625659">
                      <w:marLeft w:val="0"/>
                      <w:marRight w:val="0"/>
                      <w:marTop w:val="0"/>
                      <w:marBottom w:val="0"/>
                      <w:divBdr>
                        <w:top w:val="none" w:sz="0" w:space="0" w:color="auto"/>
                        <w:left w:val="none" w:sz="0" w:space="0" w:color="auto"/>
                        <w:bottom w:val="none" w:sz="0" w:space="0" w:color="auto"/>
                        <w:right w:val="none" w:sz="0" w:space="0" w:color="auto"/>
                      </w:divBdr>
                    </w:div>
                  </w:divsChild>
                </w:div>
                <w:div w:id="1335566428">
                  <w:marLeft w:val="0"/>
                  <w:marRight w:val="0"/>
                  <w:marTop w:val="0"/>
                  <w:marBottom w:val="0"/>
                  <w:divBdr>
                    <w:top w:val="none" w:sz="0" w:space="0" w:color="auto"/>
                    <w:left w:val="none" w:sz="0" w:space="0" w:color="auto"/>
                    <w:bottom w:val="none" w:sz="0" w:space="0" w:color="auto"/>
                    <w:right w:val="none" w:sz="0" w:space="0" w:color="auto"/>
                  </w:divBdr>
                  <w:divsChild>
                    <w:div w:id="1892615774">
                      <w:marLeft w:val="0"/>
                      <w:marRight w:val="0"/>
                      <w:marTop w:val="0"/>
                      <w:marBottom w:val="0"/>
                      <w:divBdr>
                        <w:top w:val="none" w:sz="0" w:space="0" w:color="auto"/>
                        <w:left w:val="none" w:sz="0" w:space="0" w:color="auto"/>
                        <w:bottom w:val="none" w:sz="0" w:space="0" w:color="auto"/>
                        <w:right w:val="none" w:sz="0" w:space="0" w:color="auto"/>
                      </w:divBdr>
                    </w:div>
                  </w:divsChild>
                </w:div>
                <w:div w:id="1449734001">
                  <w:marLeft w:val="0"/>
                  <w:marRight w:val="0"/>
                  <w:marTop w:val="0"/>
                  <w:marBottom w:val="0"/>
                  <w:divBdr>
                    <w:top w:val="none" w:sz="0" w:space="0" w:color="auto"/>
                    <w:left w:val="none" w:sz="0" w:space="0" w:color="auto"/>
                    <w:bottom w:val="none" w:sz="0" w:space="0" w:color="auto"/>
                    <w:right w:val="none" w:sz="0" w:space="0" w:color="auto"/>
                  </w:divBdr>
                  <w:divsChild>
                    <w:div w:id="1570185574">
                      <w:marLeft w:val="0"/>
                      <w:marRight w:val="0"/>
                      <w:marTop w:val="0"/>
                      <w:marBottom w:val="0"/>
                      <w:divBdr>
                        <w:top w:val="none" w:sz="0" w:space="0" w:color="auto"/>
                        <w:left w:val="none" w:sz="0" w:space="0" w:color="auto"/>
                        <w:bottom w:val="none" w:sz="0" w:space="0" w:color="auto"/>
                        <w:right w:val="none" w:sz="0" w:space="0" w:color="auto"/>
                      </w:divBdr>
                    </w:div>
                  </w:divsChild>
                </w:div>
                <w:div w:id="1510176277">
                  <w:marLeft w:val="0"/>
                  <w:marRight w:val="0"/>
                  <w:marTop w:val="0"/>
                  <w:marBottom w:val="0"/>
                  <w:divBdr>
                    <w:top w:val="none" w:sz="0" w:space="0" w:color="auto"/>
                    <w:left w:val="none" w:sz="0" w:space="0" w:color="auto"/>
                    <w:bottom w:val="none" w:sz="0" w:space="0" w:color="auto"/>
                    <w:right w:val="none" w:sz="0" w:space="0" w:color="auto"/>
                  </w:divBdr>
                  <w:divsChild>
                    <w:div w:id="1695880793">
                      <w:marLeft w:val="0"/>
                      <w:marRight w:val="0"/>
                      <w:marTop w:val="0"/>
                      <w:marBottom w:val="0"/>
                      <w:divBdr>
                        <w:top w:val="none" w:sz="0" w:space="0" w:color="auto"/>
                        <w:left w:val="none" w:sz="0" w:space="0" w:color="auto"/>
                        <w:bottom w:val="none" w:sz="0" w:space="0" w:color="auto"/>
                        <w:right w:val="none" w:sz="0" w:space="0" w:color="auto"/>
                      </w:divBdr>
                    </w:div>
                  </w:divsChild>
                </w:div>
                <w:div w:id="1518501505">
                  <w:marLeft w:val="0"/>
                  <w:marRight w:val="0"/>
                  <w:marTop w:val="0"/>
                  <w:marBottom w:val="0"/>
                  <w:divBdr>
                    <w:top w:val="none" w:sz="0" w:space="0" w:color="auto"/>
                    <w:left w:val="none" w:sz="0" w:space="0" w:color="auto"/>
                    <w:bottom w:val="none" w:sz="0" w:space="0" w:color="auto"/>
                    <w:right w:val="none" w:sz="0" w:space="0" w:color="auto"/>
                  </w:divBdr>
                  <w:divsChild>
                    <w:div w:id="1395272099">
                      <w:marLeft w:val="0"/>
                      <w:marRight w:val="0"/>
                      <w:marTop w:val="0"/>
                      <w:marBottom w:val="0"/>
                      <w:divBdr>
                        <w:top w:val="none" w:sz="0" w:space="0" w:color="auto"/>
                        <w:left w:val="none" w:sz="0" w:space="0" w:color="auto"/>
                        <w:bottom w:val="none" w:sz="0" w:space="0" w:color="auto"/>
                        <w:right w:val="none" w:sz="0" w:space="0" w:color="auto"/>
                      </w:divBdr>
                    </w:div>
                  </w:divsChild>
                </w:div>
                <w:div w:id="1588030726">
                  <w:marLeft w:val="0"/>
                  <w:marRight w:val="0"/>
                  <w:marTop w:val="0"/>
                  <w:marBottom w:val="0"/>
                  <w:divBdr>
                    <w:top w:val="none" w:sz="0" w:space="0" w:color="auto"/>
                    <w:left w:val="none" w:sz="0" w:space="0" w:color="auto"/>
                    <w:bottom w:val="none" w:sz="0" w:space="0" w:color="auto"/>
                    <w:right w:val="none" w:sz="0" w:space="0" w:color="auto"/>
                  </w:divBdr>
                  <w:divsChild>
                    <w:div w:id="380832117">
                      <w:marLeft w:val="0"/>
                      <w:marRight w:val="0"/>
                      <w:marTop w:val="0"/>
                      <w:marBottom w:val="0"/>
                      <w:divBdr>
                        <w:top w:val="none" w:sz="0" w:space="0" w:color="auto"/>
                        <w:left w:val="none" w:sz="0" w:space="0" w:color="auto"/>
                        <w:bottom w:val="none" w:sz="0" w:space="0" w:color="auto"/>
                        <w:right w:val="none" w:sz="0" w:space="0" w:color="auto"/>
                      </w:divBdr>
                    </w:div>
                  </w:divsChild>
                </w:div>
                <w:div w:id="1613053722">
                  <w:marLeft w:val="0"/>
                  <w:marRight w:val="0"/>
                  <w:marTop w:val="0"/>
                  <w:marBottom w:val="0"/>
                  <w:divBdr>
                    <w:top w:val="none" w:sz="0" w:space="0" w:color="auto"/>
                    <w:left w:val="none" w:sz="0" w:space="0" w:color="auto"/>
                    <w:bottom w:val="none" w:sz="0" w:space="0" w:color="auto"/>
                    <w:right w:val="none" w:sz="0" w:space="0" w:color="auto"/>
                  </w:divBdr>
                  <w:divsChild>
                    <w:div w:id="1872646546">
                      <w:marLeft w:val="0"/>
                      <w:marRight w:val="0"/>
                      <w:marTop w:val="0"/>
                      <w:marBottom w:val="0"/>
                      <w:divBdr>
                        <w:top w:val="none" w:sz="0" w:space="0" w:color="auto"/>
                        <w:left w:val="none" w:sz="0" w:space="0" w:color="auto"/>
                        <w:bottom w:val="none" w:sz="0" w:space="0" w:color="auto"/>
                        <w:right w:val="none" w:sz="0" w:space="0" w:color="auto"/>
                      </w:divBdr>
                    </w:div>
                  </w:divsChild>
                </w:div>
                <w:div w:id="1640304471">
                  <w:marLeft w:val="0"/>
                  <w:marRight w:val="0"/>
                  <w:marTop w:val="0"/>
                  <w:marBottom w:val="0"/>
                  <w:divBdr>
                    <w:top w:val="none" w:sz="0" w:space="0" w:color="auto"/>
                    <w:left w:val="none" w:sz="0" w:space="0" w:color="auto"/>
                    <w:bottom w:val="none" w:sz="0" w:space="0" w:color="auto"/>
                    <w:right w:val="none" w:sz="0" w:space="0" w:color="auto"/>
                  </w:divBdr>
                  <w:divsChild>
                    <w:div w:id="1103577038">
                      <w:marLeft w:val="0"/>
                      <w:marRight w:val="0"/>
                      <w:marTop w:val="0"/>
                      <w:marBottom w:val="0"/>
                      <w:divBdr>
                        <w:top w:val="none" w:sz="0" w:space="0" w:color="auto"/>
                        <w:left w:val="none" w:sz="0" w:space="0" w:color="auto"/>
                        <w:bottom w:val="none" w:sz="0" w:space="0" w:color="auto"/>
                        <w:right w:val="none" w:sz="0" w:space="0" w:color="auto"/>
                      </w:divBdr>
                    </w:div>
                  </w:divsChild>
                </w:div>
                <w:div w:id="1642686642">
                  <w:marLeft w:val="0"/>
                  <w:marRight w:val="0"/>
                  <w:marTop w:val="0"/>
                  <w:marBottom w:val="0"/>
                  <w:divBdr>
                    <w:top w:val="none" w:sz="0" w:space="0" w:color="auto"/>
                    <w:left w:val="none" w:sz="0" w:space="0" w:color="auto"/>
                    <w:bottom w:val="none" w:sz="0" w:space="0" w:color="auto"/>
                    <w:right w:val="none" w:sz="0" w:space="0" w:color="auto"/>
                  </w:divBdr>
                  <w:divsChild>
                    <w:div w:id="1191380358">
                      <w:marLeft w:val="0"/>
                      <w:marRight w:val="0"/>
                      <w:marTop w:val="0"/>
                      <w:marBottom w:val="0"/>
                      <w:divBdr>
                        <w:top w:val="none" w:sz="0" w:space="0" w:color="auto"/>
                        <w:left w:val="none" w:sz="0" w:space="0" w:color="auto"/>
                        <w:bottom w:val="none" w:sz="0" w:space="0" w:color="auto"/>
                        <w:right w:val="none" w:sz="0" w:space="0" w:color="auto"/>
                      </w:divBdr>
                    </w:div>
                  </w:divsChild>
                </w:div>
                <w:div w:id="1677729923">
                  <w:marLeft w:val="0"/>
                  <w:marRight w:val="0"/>
                  <w:marTop w:val="0"/>
                  <w:marBottom w:val="0"/>
                  <w:divBdr>
                    <w:top w:val="none" w:sz="0" w:space="0" w:color="auto"/>
                    <w:left w:val="none" w:sz="0" w:space="0" w:color="auto"/>
                    <w:bottom w:val="none" w:sz="0" w:space="0" w:color="auto"/>
                    <w:right w:val="none" w:sz="0" w:space="0" w:color="auto"/>
                  </w:divBdr>
                  <w:divsChild>
                    <w:div w:id="1891381331">
                      <w:marLeft w:val="0"/>
                      <w:marRight w:val="0"/>
                      <w:marTop w:val="0"/>
                      <w:marBottom w:val="0"/>
                      <w:divBdr>
                        <w:top w:val="none" w:sz="0" w:space="0" w:color="auto"/>
                        <w:left w:val="none" w:sz="0" w:space="0" w:color="auto"/>
                        <w:bottom w:val="none" w:sz="0" w:space="0" w:color="auto"/>
                        <w:right w:val="none" w:sz="0" w:space="0" w:color="auto"/>
                      </w:divBdr>
                    </w:div>
                  </w:divsChild>
                </w:div>
                <w:div w:id="1685937566">
                  <w:marLeft w:val="0"/>
                  <w:marRight w:val="0"/>
                  <w:marTop w:val="0"/>
                  <w:marBottom w:val="0"/>
                  <w:divBdr>
                    <w:top w:val="none" w:sz="0" w:space="0" w:color="auto"/>
                    <w:left w:val="none" w:sz="0" w:space="0" w:color="auto"/>
                    <w:bottom w:val="none" w:sz="0" w:space="0" w:color="auto"/>
                    <w:right w:val="none" w:sz="0" w:space="0" w:color="auto"/>
                  </w:divBdr>
                  <w:divsChild>
                    <w:div w:id="1189560671">
                      <w:marLeft w:val="0"/>
                      <w:marRight w:val="0"/>
                      <w:marTop w:val="0"/>
                      <w:marBottom w:val="0"/>
                      <w:divBdr>
                        <w:top w:val="none" w:sz="0" w:space="0" w:color="auto"/>
                        <w:left w:val="none" w:sz="0" w:space="0" w:color="auto"/>
                        <w:bottom w:val="none" w:sz="0" w:space="0" w:color="auto"/>
                        <w:right w:val="none" w:sz="0" w:space="0" w:color="auto"/>
                      </w:divBdr>
                    </w:div>
                  </w:divsChild>
                </w:div>
                <w:div w:id="1691686268">
                  <w:marLeft w:val="0"/>
                  <w:marRight w:val="0"/>
                  <w:marTop w:val="0"/>
                  <w:marBottom w:val="0"/>
                  <w:divBdr>
                    <w:top w:val="none" w:sz="0" w:space="0" w:color="auto"/>
                    <w:left w:val="none" w:sz="0" w:space="0" w:color="auto"/>
                    <w:bottom w:val="none" w:sz="0" w:space="0" w:color="auto"/>
                    <w:right w:val="none" w:sz="0" w:space="0" w:color="auto"/>
                  </w:divBdr>
                  <w:divsChild>
                    <w:div w:id="1162816774">
                      <w:marLeft w:val="0"/>
                      <w:marRight w:val="0"/>
                      <w:marTop w:val="0"/>
                      <w:marBottom w:val="0"/>
                      <w:divBdr>
                        <w:top w:val="none" w:sz="0" w:space="0" w:color="auto"/>
                        <w:left w:val="none" w:sz="0" w:space="0" w:color="auto"/>
                        <w:bottom w:val="none" w:sz="0" w:space="0" w:color="auto"/>
                        <w:right w:val="none" w:sz="0" w:space="0" w:color="auto"/>
                      </w:divBdr>
                    </w:div>
                  </w:divsChild>
                </w:div>
                <w:div w:id="1702317246">
                  <w:marLeft w:val="0"/>
                  <w:marRight w:val="0"/>
                  <w:marTop w:val="0"/>
                  <w:marBottom w:val="0"/>
                  <w:divBdr>
                    <w:top w:val="none" w:sz="0" w:space="0" w:color="auto"/>
                    <w:left w:val="none" w:sz="0" w:space="0" w:color="auto"/>
                    <w:bottom w:val="none" w:sz="0" w:space="0" w:color="auto"/>
                    <w:right w:val="none" w:sz="0" w:space="0" w:color="auto"/>
                  </w:divBdr>
                  <w:divsChild>
                    <w:div w:id="964391683">
                      <w:marLeft w:val="0"/>
                      <w:marRight w:val="0"/>
                      <w:marTop w:val="0"/>
                      <w:marBottom w:val="0"/>
                      <w:divBdr>
                        <w:top w:val="none" w:sz="0" w:space="0" w:color="auto"/>
                        <w:left w:val="none" w:sz="0" w:space="0" w:color="auto"/>
                        <w:bottom w:val="none" w:sz="0" w:space="0" w:color="auto"/>
                        <w:right w:val="none" w:sz="0" w:space="0" w:color="auto"/>
                      </w:divBdr>
                    </w:div>
                  </w:divsChild>
                </w:div>
                <w:div w:id="1712261850">
                  <w:marLeft w:val="0"/>
                  <w:marRight w:val="0"/>
                  <w:marTop w:val="0"/>
                  <w:marBottom w:val="0"/>
                  <w:divBdr>
                    <w:top w:val="none" w:sz="0" w:space="0" w:color="auto"/>
                    <w:left w:val="none" w:sz="0" w:space="0" w:color="auto"/>
                    <w:bottom w:val="none" w:sz="0" w:space="0" w:color="auto"/>
                    <w:right w:val="none" w:sz="0" w:space="0" w:color="auto"/>
                  </w:divBdr>
                  <w:divsChild>
                    <w:div w:id="1163591696">
                      <w:marLeft w:val="0"/>
                      <w:marRight w:val="0"/>
                      <w:marTop w:val="0"/>
                      <w:marBottom w:val="0"/>
                      <w:divBdr>
                        <w:top w:val="none" w:sz="0" w:space="0" w:color="auto"/>
                        <w:left w:val="none" w:sz="0" w:space="0" w:color="auto"/>
                        <w:bottom w:val="none" w:sz="0" w:space="0" w:color="auto"/>
                        <w:right w:val="none" w:sz="0" w:space="0" w:color="auto"/>
                      </w:divBdr>
                    </w:div>
                  </w:divsChild>
                </w:div>
                <w:div w:id="1716545370">
                  <w:marLeft w:val="0"/>
                  <w:marRight w:val="0"/>
                  <w:marTop w:val="0"/>
                  <w:marBottom w:val="0"/>
                  <w:divBdr>
                    <w:top w:val="none" w:sz="0" w:space="0" w:color="auto"/>
                    <w:left w:val="none" w:sz="0" w:space="0" w:color="auto"/>
                    <w:bottom w:val="none" w:sz="0" w:space="0" w:color="auto"/>
                    <w:right w:val="none" w:sz="0" w:space="0" w:color="auto"/>
                  </w:divBdr>
                  <w:divsChild>
                    <w:div w:id="1551334631">
                      <w:marLeft w:val="0"/>
                      <w:marRight w:val="0"/>
                      <w:marTop w:val="0"/>
                      <w:marBottom w:val="0"/>
                      <w:divBdr>
                        <w:top w:val="none" w:sz="0" w:space="0" w:color="auto"/>
                        <w:left w:val="none" w:sz="0" w:space="0" w:color="auto"/>
                        <w:bottom w:val="none" w:sz="0" w:space="0" w:color="auto"/>
                        <w:right w:val="none" w:sz="0" w:space="0" w:color="auto"/>
                      </w:divBdr>
                    </w:div>
                  </w:divsChild>
                </w:div>
                <w:div w:id="1719084865">
                  <w:marLeft w:val="0"/>
                  <w:marRight w:val="0"/>
                  <w:marTop w:val="0"/>
                  <w:marBottom w:val="0"/>
                  <w:divBdr>
                    <w:top w:val="none" w:sz="0" w:space="0" w:color="auto"/>
                    <w:left w:val="none" w:sz="0" w:space="0" w:color="auto"/>
                    <w:bottom w:val="none" w:sz="0" w:space="0" w:color="auto"/>
                    <w:right w:val="none" w:sz="0" w:space="0" w:color="auto"/>
                  </w:divBdr>
                  <w:divsChild>
                    <w:div w:id="1520126163">
                      <w:marLeft w:val="0"/>
                      <w:marRight w:val="0"/>
                      <w:marTop w:val="0"/>
                      <w:marBottom w:val="0"/>
                      <w:divBdr>
                        <w:top w:val="none" w:sz="0" w:space="0" w:color="auto"/>
                        <w:left w:val="none" w:sz="0" w:space="0" w:color="auto"/>
                        <w:bottom w:val="none" w:sz="0" w:space="0" w:color="auto"/>
                        <w:right w:val="none" w:sz="0" w:space="0" w:color="auto"/>
                      </w:divBdr>
                    </w:div>
                  </w:divsChild>
                </w:div>
                <w:div w:id="1721172578">
                  <w:marLeft w:val="0"/>
                  <w:marRight w:val="0"/>
                  <w:marTop w:val="0"/>
                  <w:marBottom w:val="0"/>
                  <w:divBdr>
                    <w:top w:val="none" w:sz="0" w:space="0" w:color="auto"/>
                    <w:left w:val="none" w:sz="0" w:space="0" w:color="auto"/>
                    <w:bottom w:val="none" w:sz="0" w:space="0" w:color="auto"/>
                    <w:right w:val="none" w:sz="0" w:space="0" w:color="auto"/>
                  </w:divBdr>
                  <w:divsChild>
                    <w:div w:id="438184308">
                      <w:marLeft w:val="0"/>
                      <w:marRight w:val="0"/>
                      <w:marTop w:val="0"/>
                      <w:marBottom w:val="0"/>
                      <w:divBdr>
                        <w:top w:val="none" w:sz="0" w:space="0" w:color="auto"/>
                        <w:left w:val="none" w:sz="0" w:space="0" w:color="auto"/>
                        <w:bottom w:val="none" w:sz="0" w:space="0" w:color="auto"/>
                        <w:right w:val="none" w:sz="0" w:space="0" w:color="auto"/>
                      </w:divBdr>
                    </w:div>
                  </w:divsChild>
                </w:div>
                <w:div w:id="1726490045">
                  <w:marLeft w:val="0"/>
                  <w:marRight w:val="0"/>
                  <w:marTop w:val="0"/>
                  <w:marBottom w:val="0"/>
                  <w:divBdr>
                    <w:top w:val="none" w:sz="0" w:space="0" w:color="auto"/>
                    <w:left w:val="none" w:sz="0" w:space="0" w:color="auto"/>
                    <w:bottom w:val="none" w:sz="0" w:space="0" w:color="auto"/>
                    <w:right w:val="none" w:sz="0" w:space="0" w:color="auto"/>
                  </w:divBdr>
                  <w:divsChild>
                    <w:div w:id="508955034">
                      <w:marLeft w:val="0"/>
                      <w:marRight w:val="0"/>
                      <w:marTop w:val="0"/>
                      <w:marBottom w:val="0"/>
                      <w:divBdr>
                        <w:top w:val="none" w:sz="0" w:space="0" w:color="auto"/>
                        <w:left w:val="none" w:sz="0" w:space="0" w:color="auto"/>
                        <w:bottom w:val="none" w:sz="0" w:space="0" w:color="auto"/>
                        <w:right w:val="none" w:sz="0" w:space="0" w:color="auto"/>
                      </w:divBdr>
                    </w:div>
                  </w:divsChild>
                </w:div>
                <w:div w:id="1739552089">
                  <w:marLeft w:val="0"/>
                  <w:marRight w:val="0"/>
                  <w:marTop w:val="0"/>
                  <w:marBottom w:val="0"/>
                  <w:divBdr>
                    <w:top w:val="none" w:sz="0" w:space="0" w:color="auto"/>
                    <w:left w:val="none" w:sz="0" w:space="0" w:color="auto"/>
                    <w:bottom w:val="none" w:sz="0" w:space="0" w:color="auto"/>
                    <w:right w:val="none" w:sz="0" w:space="0" w:color="auto"/>
                  </w:divBdr>
                  <w:divsChild>
                    <w:div w:id="1818184835">
                      <w:marLeft w:val="0"/>
                      <w:marRight w:val="0"/>
                      <w:marTop w:val="0"/>
                      <w:marBottom w:val="0"/>
                      <w:divBdr>
                        <w:top w:val="none" w:sz="0" w:space="0" w:color="auto"/>
                        <w:left w:val="none" w:sz="0" w:space="0" w:color="auto"/>
                        <w:bottom w:val="none" w:sz="0" w:space="0" w:color="auto"/>
                        <w:right w:val="none" w:sz="0" w:space="0" w:color="auto"/>
                      </w:divBdr>
                    </w:div>
                  </w:divsChild>
                </w:div>
                <w:div w:id="1742748365">
                  <w:marLeft w:val="0"/>
                  <w:marRight w:val="0"/>
                  <w:marTop w:val="0"/>
                  <w:marBottom w:val="0"/>
                  <w:divBdr>
                    <w:top w:val="none" w:sz="0" w:space="0" w:color="auto"/>
                    <w:left w:val="none" w:sz="0" w:space="0" w:color="auto"/>
                    <w:bottom w:val="none" w:sz="0" w:space="0" w:color="auto"/>
                    <w:right w:val="none" w:sz="0" w:space="0" w:color="auto"/>
                  </w:divBdr>
                  <w:divsChild>
                    <w:div w:id="410351330">
                      <w:marLeft w:val="0"/>
                      <w:marRight w:val="0"/>
                      <w:marTop w:val="0"/>
                      <w:marBottom w:val="0"/>
                      <w:divBdr>
                        <w:top w:val="none" w:sz="0" w:space="0" w:color="auto"/>
                        <w:left w:val="none" w:sz="0" w:space="0" w:color="auto"/>
                        <w:bottom w:val="none" w:sz="0" w:space="0" w:color="auto"/>
                        <w:right w:val="none" w:sz="0" w:space="0" w:color="auto"/>
                      </w:divBdr>
                    </w:div>
                  </w:divsChild>
                </w:div>
                <w:div w:id="1790464894">
                  <w:marLeft w:val="0"/>
                  <w:marRight w:val="0"/>
                  <w:marTop w:val="0"/>
                  <w:marBottom w:val="0"/>
                  <w:divBdr>
                    <w:top w:val="none" w:sz="0" w:space="0" w:color="auto"/>
                    <w:left w:val="none" w:sz="0" w:space="0" w:color="auto"/>
                    <w:bottom w:val="none" w:sz="0" w:space="0" w:color="auto"/>
                    <w:right w:val="none" w:sz="0" w:space="0" w:color="auto"/>
                  </w:divBdr>
                  <w:divsChild>
                    <w:div w:id="1317997672">
                      <w:marLeft w:val="0"/>
                      <w:marRight w:val="0"/>
                      <w:marTop w:val="0"/>
                      <w:marBottom w:val="0"/>
                      <w:divBdr>
                        <w:top w:val="none" w:sz="0" w:space="0" w:color="auto"/>
                        <w:left w:val="none" w:sz="0" w:space="0" w:color="auto"/>
                        <w:bottom w:val="none" w:sz="0" w:space="0" w:color="auto"/>
                        <w:right w:val="none" w:sz="0" w:space="0" w:color="auto"/>
                      </w:divBdr>
                    </w:div>
                  </w:divsChild>
                </w:div>
                <w:div w:id="1792551477">
                  <w:marLeft w:val="0"/>
                  <w:marRight w:val="0"/>
                  <w:marTop w:val="0"/>
                  <w:marBottom w:val="0"/>
                  <w:divBdr>
                    <w:top w:val="none" w:sz="0" w:space="0" w:color="auto"/>
                    <w:left w:val="none" w:sz="0" w:space="0" w:color="auto"/>
                    <w:bottom w:val="none" w:sz="0" w:space="0" w:color="auto"/>
                    <w:right w:val="none" w:sz="0" w:space="0" w:color="auto"/>
                  </w:divBdr>
                  <w:divsChild>
                    <w:div w:id="1958372799">
                      <w:marLeft w:val="0"/>
                      <w:marRight w:val="0"/>
                      <w:marTop w:val="0"/>
                      <w:marBottom w:val="0"/>
                      <w:divBdr>
                        <w:top w:val="none" w:sz="0" w:space="0" w:color="auto"/>
                        <w:left w:val="none" w:sz="0" w:space="0" w:color="auto"/>
                        <w:bottom w:val="none" w:sz="0" w:space="0" w:color="auto"/>
                        <w:right w:val="none" w:sz="0" w:space="0" w:color="auto"/>
                      </w:divBdr>
                    </w:div>
                  </w:divsChild>
                </w:div>
                <w:div w:id="1942881922">
                  <w:marLeft w:val="0"/>
                  <w:marRight w:val="0"/>
                  <w:marTop w:val="0"/>
                  <w:marBottom w:val="0"/>
                  <w:divBdr>
                    <w:top w:val="none" w:sz="0" w:space="0" w:color="auto"/>
                    <w:left w:val="none" w:sz="0" w:space="0" w:color="auto"/>
                    <w:bottom w:val="none" w:sz="0" w:space="0" w:color="auto"/>
                    <w:right w:val="none" w:sz="0" w:space="0" w:color="auto"/>
                  </w:divBdr>
                  <w:divsChild>
                    <w:div w:id="182017934">
                      <w:marLeft w:val="0"/>
                      <w:marRight w:val="0"/>
                      <w:marTop w:val="0"/>
                      <w:marBottom w:val="0"/>
                      <w:divBdr>
                        <w:top w:val="none" w:sz="0" w:space="0" w:color="auto"/>
                        <w:left w:val="none" w:sz="0" w:space="0" w:color="auto"/>
                        <w:bottom w:val="none" w:sz="0" w:space="0" w:color="auto"/>
                        <w:right w:val="none" w:sz="0" w:space="0" w:color="auto"/>
                      </w:divBdr>
                    </w:div>
                  </w:divsChild>
                </w:div>
                <w:div w:id="1967079875">
                  <w:marLeft w:val="0"/>
                  <w:marRight w:val="0"/>
                  <w:marTop w:val="0"/>
                  <w:marBottom w:val="0"/>
                  <w:divBdr>
                    <w:top w:val="none" w:sz="0" w:space="0" w:color="auto"/>
                    <w:left w:val="none" w:sz="0" w:space="0" w:color="auto"/>
                    <w:bottom w:val="none" w:sz="0" w:space="0" w:color="auto"/>
                    <w:right w:val="none" w:sz="0" w:space="0" w:color="auto"/>
                  </w:divBdr>
                  <w:divsChild>
                    <w:div w:id="507403160">
                      <w:marLeft w:val="0"/>
                      <w:marRight w:val="0"/>
                      <w:marTop w:val="0"/>
                      <w:marBottom w:val="0"/>
                      <w:divBdr>
                        <w:top w:val="none" w:sz="0" w:space="0" w:color="auto"/>
                        <w:left w:val="none" w:sz="0" w:space="0" w:color="auto"/>
                        <w:bottom w:val="none" w:sz="0" w:space="0" w:color="auto"/>
                        <w:right w:val="none" w:sz="0" w:space="0" w:color="auto"/>
                      </w:divBdr>
                    </w:div>
                  </w:divsChild>
                </w:div>
                <w:div w:id="1968580251">
                  <w:marLeft w:val="0"/>
                  <w:marRight w:val="0"/>
                  <w:marTop w:val="0"/>
                  <w:marBottom w:val="0"/>
                  <w:divBdr>
                    <w:top w:val="none" w:sz="0" w:space="0" w:color="auto"/>
                    <w:left w:val="none" w:sz="0" w:space="0" w:color="auto"/>
                    <w:bottom w:val="none" w:sz="0" w:space="0" w:color="auto"/>
                    <w:right w:val="none" w:sz="0" w:space="0" w:color="auto"/>
                  </w:divBdr>
                  <w:divsChild>
                    <w:div w:id="924923891">
                      <w:marLeft w:val="0"/>
                      <w:marRight w:val="0"/>
                      <w:marTop w:val="0"/>
                      <w:marBottom w:val="0"/>
                      <w:divBdr>
                        <w:top w:val="none" w:sz="0" w:space="0" w:color="auto"/>
                        <w:left w:val="none" w:sz="0" w:space="0" w:color="auto"/>
                        <w:bottom w:val="none" w:sz="0" w:space="0" w:color="auto"/>
                        <w:right w:val="none" w:sz="0" w:space="0" w:color="auto"/>
                      </w:divBdr>
                    </w:div>
                  </w:divsChild>
                </w:div>
                <w:div w:id="1997101861">
                  <w:marLeft w:val="0"/>
                  <w:marRight w:val="0"/>
                  <w:marTop w:val="0"/>
                  <w:marBottom w:val="0"/>
                  <w:divBdr>
                    <w:top w:val="none" w:sz="0" w:space="0" w:color="auto"/>
                    <w:left w:val="none" w:sz="0" w:space="0" w:color="auto"/>
                    <w:bottom w:val="none" w:sz="0" w:space="0" w:color="auto"/>
                    <w:right w:val="none" w:sz="0" w:space="0" w:color="auto"/>
                  </w:divBdr>
                  <w:divsChild>
                    <w:div w:id="1829130138">
                      <w:marLeft w:val="0"/>
                      <w:marRight w:val="0"/>
                      <w:marTop w:val="0"/>
                      <w:marBottom w:val="0"/>
                      <w:divBdr>
                        <w:top w:val="none" w:sz="0" w:space="0" w:color="auto"/>
                        <w:left w:val="none" w:sz="0" w:space="0" w:color="auto"/>
                        <w:bottom w:val="none" w:sz="0" w:space="0" w:color="auto"/>
                        <w:right w:val="none" w:sz="0" w:space="0" w:color="auto"/>
                      </w:divBdr>
                    </w:div>
                  </w:divsChild>
                </w:div>
                <w:div w:id="2000301813">
                  <w:marLeft w:val="0"/>
                  <w:marRight w:val="0"/>
                  <w:marTop w:val="0"/>
                  <w:marBottom w:val="0"/>
                  <w:divBdr>
                    <w:top w:val="none" w:sz="0" w:space="0" w:color="auto"/>
                    <w:left w:val="none" w:sz="0" w:space="0" w:color="auto"/>
                    <w:bottom w:val="none" w:sz="0" w:space="0" w:color="auto"/>
                    <w:right w:val="none" w:sz="0" w:space="0" w:color="auto"/>
                  </w:divBdr>
                  <w:divsChild>
                    <w:div w:id="1793013513">
                      <w:marLeft w:val="0"/>
                      <w:marRight w:val="0"/>
                      <w:marTop w:val="0"/>
                      <w:marBottom w:val="0"/>
                      <w:divBdr>
                        <w:top w:val="none" w:sz="0" w:space="0" w:color="auto"/>
                        <w:left w:val="none" w:sz="0" w:space="0" w:color="auto"/>
                        <w:bottom w:val="none" w:sz="0" w:space="0" w:color="auto"/>
                        <w:right w:val="none" w:sz="0" w:space="0" w:color="auto"/>
                      </w:divBdr>
                    </w:div>
                  </w:divsChild>
                </w:div>
                <w:div w:id="2056655145">
                  <w:marLeft w:val="0"/>
                  <w:marRight w:val="0"/>
                  <w:marTop w:val="0"/>
                  <w:marBottom w:val="0"/>
                  <w:divBdr>
                    <w:top w:val="none" w:sz="0" w:space="0" w:color="auto"/>
                    <w:left w:val="none" w:sz="0" w:space="0" w:color="auto"/>
                    <w:bottom w:val="none" w:sz="0" w:space="0" w:color="auto"/>
                    <w:right w:val="none" w:sz="0" w:space="0" w:color="auto"/>
                  </w:divBdr>
                  <w:divsChild>
                    <w:div w:id="380251462">
                      <w:marLeft w:val="0"/>
                      <w:marRight w:val="0"/>
                      <w:marTop w:val="0"/>
                      <w:marBottom w:val="0"/>
                      <w:divBdr>
                        <w:top w:val="none" w:sz="0" w:space="0" w:color="auto"/>
                        <w:left w:val="none" w:sz="0" w:space="0" w:color="auto"/>
                        <w:bottom w:val="none" w:sz="0" w:space="0" w:color="auto"/>
                        <w:right w:val="none" w:sz="0" w:space="0" w:color="auto"/>
                      </w:divBdr>
                    </w:div>
                  </w:divsChild>
                </w:div>
                <w:div w:id="2097747640">
                  <w:marLeft w:val="0"/>
                  <w:marRight w:val="0"/>
                  <w:marTop w:val="0"/>
                  <w:marBottom w:val="0"/>
                  <w:divBdr>
                    <w:top w:val="none" w:sz="0" w:space="0" w:color="auto"/>
                    <w:left w:val="none" w:sz="0" w:space="0" w:color="auto"/>
                    <w:bottom w:val="none" w:sz="0" w:space="0" w:color="auto"/>
                    <w:right w:val="none" w:sz="0" w:space="0" w:color="auto"/>
                  </w:divBdr>
                  <w:divsChild>
                    <w:div w:id="523634515">
                      <w:marLeft w:val="0"/>
                      <w:marRight w:val="0"/>
                      <w:marTop w:val="0"/>
                      <w:marBottom w:val="0"/>
                      <w:divBdr>
                        <w:top w:val="none" w:sz="0" w:space="0" w:color="auto"/>
                        <w:left w:val="none" w:sz="0" w:space="0" w:color="auto"/>
                        <w:bottom w:val="none" w:sz="0" w:space="0" w:color="auto"/>
                        <w:right w:val="none" w:sz="0" w:space="0" w:color="auto"/>
                      </w:divBdr>
                    </w:div>
                  </w:divsChild>
                </w:div>
                <w:div w:id="2136873519">
                  <w:marLeft w:val="0"/>
                  <w:marRight w:val="0"/>
                  <w:marTop w:val="0"/>
                  <w:marBottom w:val="0"/>
                  <w:divBdr>
                    <w:top w:val="none" w:sz="0" w:space="0" w:color="auto"/>
                    <w:left w:val="none" w:sz="0" w:space="0" w:color="auto"/>
                    <w:bottom w:val="none" w:sz="0" w:space="0" w:color="auto"/>
                    <w:right w:val="none" w:sz="0" w:space="0" w:color="auto"/>
                  </w:divBdr>
                  <w:divsChild>
                    <w:div w:id="988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2592">
          <w:marLeft w:val="0"/>
          <w:marRight w:val="0"/>
          <w:marTop w:val="0"/>
          <w:marBottom w:val="0"/>
          <w:divBdr>
            <w:top w:val="none" w:sz="0" w:space="0" w:color="auto"/>
            <w:left w:val="none" w:sz="0" w:space="0" w:color="auto"/>
            <w:bottom w:val="none" w:sz="0" w:space="0" w:color="auto"/>
            <w:right w:val="none" w:sz="0" w:space="0" w:color="auto"/>
          </w:divBdr>
          <w:divsChild>
            <w:div w:id="1218275284">
              <w:marLeft w:val="0"/>
              <w:marRight w:val="0"/>
              <w:marTop w:val="0"/>
              <w:marBottom w:val="0"/>
              <w:divBdr>
                <w:top w:val="none" w:sz="0" w:space="0" w:color="auto"/>
                <w:left w:val="none" w:sz="0" w:space="0" w:color="auto"/>
                <w:bottom w:val="none" w:sz="0" w:space="0" w:color="auto"/>
                <w:right w:val="none" w:sz="0" w:space="0" w:color="auto"/>
              </w:divBdr>
            </w:div>
            <w:div w:id="1685131142">
              <w:marLeft w:val="0"/>
              <w:marRight w:val="0"/>
              <w:marTop w:val="0"/>
              <w:marBottom w:val="0"/>
              <w:divBdr>
                <w:top w:val="none" w:sz="0" w:space="0" w:color="auto"/>
                <w:left w:val="none" w:sz="0" w:space="0" w:color="auto"/>
                <w:bottom w:val="none" w:sz="0" w:space="0" w:color="auto"/>
                <w:right w:val="none" w:sz="0" w:space="0" w:color="auto"/>
              </w:divBdr>
            </w:div>
          </w:divsChild>
        </w:div>
        <w:div w:id="1813132413">
          <w:marLeft w:val="0"/>
          <w:marRight w:val="0"/>
          <w:marTop w:val="0"/>
          <w:marBottom w:val="0"/>
          <w:divBdr>
            <w:top w:val="none" w:sz="0" w:space="0" w:color="auto"/>
            <w:left w:val="none" w:sz="0" w:space="0" w:color="auto"/>
            <w:bottom w:val="none" w:sz="0" w:space="0" w:color="auto"/>
            <w:right w:val="none" w:sz="0" w:space="0" w:color="auto"/>
          </w:divBdr>
          <w:divsChild>
            <w:div w:id="6374801">
              <w:marLeft w:val="-75"/>
              <w:marRight w:val="0"/>
              <w:marTop w:val="30"/>
              <w:marBottom w:val="30"/>
              <w:divBdr>
                <w:top w:val="none" w:sz="0" w:space="0" w:color="auto"/>
                <w:left w:val="none" w:sz="0" w:space="0" w:color="auto"/>
                <w:bottom w:val="none" w:sz="0" w:space="0" w:color="auto"/>
                <w:right w:val="none" w:sz="0" w:space="0" w:color="auto"/>
              </w:divBdr>
              <w:divsChild>
                <w:div w:id="18239138">
                  <w:marLeft w:val="0"/>
                  <w:marRight w:val="0"/>
                  <w:marTop w:val="0"/>
                  <w:marBottom w:val="0"/>
                  <w:divBdr>
                    <w:top w:val="none" w:sz="0" w:space="0" w:color="auto"/>
                    <w:left w:val="none" w:sz="0" w:space="0" w:color="auto"/>
                    <w:bottom w:val="none" w:sz="0" w:space="0" w:color="auto"/>
                    <w:right w:val="none" w:sz="0" w:space="0" w:color="auto"/>
                  </w:divBdr>
                  <w:divsChild>
                    <w:div w:id="2137915712">
                      <w:marLeft w:val="0"/>
                      <w:marRight w:val="0"/>
                      <w:marTop w:val="0"/>
                      <w:marBottom w:val="0"/>
                      <w:divBdr>
                        <w:top w:val="none" w:sz="0" w:space="0" w:color="auto"/>
                        <w:left w:val="none" w:sz="0" w:space="0" w:color="auto"/>
                        <w:bottom w:val="none" w:sz="0" w:space="0" w:color="auto"/>
                        <w:right w:val="none" w:sz="0" w:space="0" w:color="auto"/>
                      </w:divBdr>
                    </w:div>
                  </w:divsChild>
                </w:div>
                <w:div w:id="29302816">
                  <w:marLeft w:val="0"/>
                  <w:marRight w:val="0"/>
                  <w:marTop w:val="0"/>
                  <w:marBottom w:val="0"/>
                  <w:divBdr>
                    <w:top w:val="none" w:sz="0" w:space="0" w:color="auto"/>
                    <w:left w:val="none" w:sz="0" w:space="0" w:color="auto"/>
                    <w:bottom w:val="none" w:sz="0" w:space="0" w:color="auto"/>
                    <w:right w:val="none" w:sz="0" w:space="0" w:color="auto"/>
                  </w:divBdr>
                  <w:divsChild>
                    <w:div w:id="769545489">
                      <w:marLeft w:val="0"/>
                      <w:marRight w:val="0"/>
                      <w:marTop w:val="0"/>
                      <w:marBottom w:val="0"/>
                      <w:divBdr>
                        <w:top w:val="none" w:sz="0" w:space="0" w:color="auto"/>
                        <w:left w:val="none" w:sz="0" w:space="0" w:color="auto"/>
                        <w:bottom w:val="none" w:sz="0" w:space="0" w:color="auto"/>
                        <w:right w:val="none" w:sz="0" w:space="0" w:color="auto"/>
                      </w:divBdr>
                    </w:div>
                  </w:divsChild>
                </w:div>
                <w:div w:id="217741940">
                  <w:marLeft w:val="0"/>
                  <w:marRight w:val="0"/>
                  <w:marTop w:val="0"/>
                  <w:marBottom w:val="0"/>
                  <w:divBdr>
                    <w:top w:val="none" w:sz="0" w:space="0" w:color="auto"/>
                    <w:left w:val="none" w:sz="0" w:space="0" w:color="auto"/>
                    <w:bottom w:val="none" w:sz="0" w:space="0" w:color="auto"/>
                    <w:right w:val="none" w:sz="0" w:space="0" w:color="auto"/>
                  </w:divBdr>
                  <w:divsChild>
                    <w:div w:id="1973094784">
                      <w:marLeft w:val="0"/>
                      <w:marRight w:val="0"/>
                      <w:marTop w:val="0"/>
                      <w:marBottom w:val="0"/>
                      <w:divBdr>
                        <w:top w:val="none" w:sz="0" w:space="0" w:color="auto"/>
                        <w:left w:val="none" w:sz="0" w:space="0" w:color="auto"/>
                        <w:bottom w:val="none" w:sz="0" w:space="0" w:color="auto"/>
                        <w:right w:val="none" w:sz="0" w:space="0" w:color="auto"/>
                      </w:divBdr>
                    </w:div>
                  </w:divsChild>
                </w:div>
                <w:div w:id="277612945">
                  <w:marLeft w:val="0"/>
                  <w:marRight w:val="0"/>
                  <w:marTop w:val="0"/>
                  <w:marBottom w:val="0"/>
                  <w:divBdr>
                    <w:top w:val="none" w:sz="0" w:space="0" w:color="auto"/>
                    <w:left w:val="none" w:sz="0" w:space="0" w:color="auto"/>
                    <w:bottom w:val="none" w:sz="0" w:space="0" w:color="auto"/>
                    <w:right w:val="none" w:sz="0" w:space="0" w:color="auto"/>
                  </w:divBdr>
                  <w:divsChild>
                    <w:div w:id="959528554">
                      <w:marLeft w:val="0"/>
                      <w:marRight w:val="0"/>
                      <w:marTop w:val="0"/>
                      <w:marBottom w:val="0"/>
                      <w:divBdr>
                        <w:top w:val="none" w:sz="0" w:space="0" w:color="auto"/>
                        <w:left w:val="none" w:sz="0" w:space="0" w:color="auto"/>
                        <w:bottom w:val="none" w:sz="0" w:space="0" w:color="auto"/>
                        <w:right w:val="none" w:sz="0" w:space="0" w:color="auto"/>
                      </w:divBdr>
                    </w:div>
                  </w:divsChild>
                </w:div>
                <w:div w:id="442502136">
                  <w:marLeft w:val="0"/>
                  <w:marRight w:val="0"/>
                  <w:marTop w:val="0"/>
                  <w:marBottom w:val="0"/>
                  <w:divBdr>
                    <w:top w:val="none" w:sz="0" w:space="0" w:color="auto"/>
                    <w:left w:val="none" w:sz="0" w:space="0" w:color="auto"/>
                    <w:bottom w:val="none" w:sz="0" w:space="0" w:color="auto"/>
                    <w:right w:val="none" w:sz="0" w:space="0" w:color="auto"/>
                  </w:divBdr>
                  <w:divsChild>
                    <w:div w:id="1407650297">
                      <w:marLeft w:val="0"/>
                      <w:marRight w:val="0"/>
                      <w:marTop w:val="0"/>
                      <w:marBottom w:val="0"/>
                      <w:divBdr>
                        <w:top w:val="none" w:sz="0" w:space="0" w:color="auto"/>
                        <w:left w:val="none" w:sz="0" w:space="0" w:color="auto"/>
                        <w:bottom w:val="none" w:sz="0" w:space="0" w:color="auto"/>
                        <w:right w:val="none" w:sz="0" w:space="0" w:color="auto"/>
                      </w:divBdr>
                    </w:div>
                  </w:divsChild>
                </w:div>
                <w:div w:id="461849425">
                  <w:marLeft w:val="0"/>
                  <w:marRight w:val="0"/>
                  <w:marTop w:val="0"/>
                  <w:marBottom w:val="0"/>
                  <w:divBdr>
                    <w:top w:val="none" w:sz="0" w:space="0" w:color="auto"/>
                    <w:left w:val="none" w:sz="0" w:space="0" w:color="auto"/>
                    <w:bottom w:val="none" w:sz="0" w:space="0" w:color="auto"/>
                    <w:right w:val="none" w:sz="0" w:space="0" w:color="auto"/>
                  </w:divBdr>
                  <w:divsChild>
                    <w:div w:id="90783068">
                      <w:marLeft w:val="0"/>
                      <w:marRight w:val="0"/>
                      <w:marTop w:val="0"/>
                      <w:marBottom w:val="0"/>
                      <w:divBdr>
                        <w:top w:val="none" w:sz="0" w:space="0" w:color="auto"/>
                        <w:left w:val="none" w:sz="0" w:space="0" w:color="auto"/>
                        <w:bottom w:val="none" w:sz="0" w:space="0" w:color="auto"/>
                        <w:right w:val="none" w:sz="0" w:space="0" w:color="auto"/>
                      </w:divBdr>
                    </w:div>
                  </w:divsChild>
                </w:div>
                <w:div w:id="563370699">
                  <w:marLeft w:val="0"/>
                  <w:marRight w:val="0"/>
                  <w:marTop w:val="0"/>
                  <w:marBottom w:val="0"/>
                  <w:divBdr>
                    <w:top w:val="none" w:sz="0" w:space="0" w:color="auto"/>
                    <w:left w:val="none" w:sz="0" w:space="0" w:color="auto"/>
                    <w:bottom w:val="none" w:sz="0" w:space="0" w:color="auto"/>
                    <w:right w:val="none" w:sz="0" w:space="0" w:color="auto"/>
                  </w:divBdr>
                  <w:divsChild>
                    <w:div w:id="2113475443">
                      <w:marLeft w:val="0"/>
                      <w:marRight w:val="0"/>
                      <w:marTop w:val="0"/>
                      <w:marBottom w:val="0"/>
                      <w:divBdr>
                        <w:top w:val="none" w:sz="0" w:space="0" w:color="auto"/>
                        <w:left w:val="none" w:sz="0" w:space="0" w:color="auto"/>
                        <w:bottom w:val="none" w:sz="0" w:space="0" w:color="auto"/>
                        <w:right w:val="none" w:sz="0" w:space="0" w:color="auto"/>
                      </w:divBdr>
                    </w:div>
                  </w:divsChild>
                </w:div>
                <w:div w:id="592519394">
                  <w:marLeft w:val="0"/>
                  <w:marRight w:val="0"/>
                  <w:marTop w:val="0"/>
                  <w:marBottom w:val="0"/>
                  <w:divBdr>
                    <w:top w:val="none" w:sz="0" w:space="0" w:color="auto"/>
                    <w:left w:val="none" w:sz="0" w:space="0" w:color="auto"/>
                    <w:bottom w:val="none" w:sz="0" w:space="0" w:color="auto"/>
                    <w:right w:val="none" w:sz="0" w:space="0" w:color="auto"/>
                  </w:divBdr>
                  <w:divsChild>
                    <w:div w:id="1766342534">
                      <w:marLeft w:val="0"/>
                      <w:marRight w:val="0"/>
                      <w:marTop w:val="0"/>
                      <w:marBottom w:val="0"/>
                      <w:divBdr>
                        <w:top w:val="none" w:sz="0" w:space="0" w:color="auto"/>
                        <w:left w:val="none" w:sz="0" w:space="0" w:color="auto"/>
                        <w:bottom w:val="none" w:sz="0" w:space="0" w:color="auto"/>
                        <w:right w:val="none" w:sz="0" w:space="0" w:color="auto"/>
                      </w:divBdr>
                    </w:div>
                  </w:divsChild>
                </w:div>
                <w:div w:id="944773201">
                  <w:marLeft w:val="0"/>
                  <w:marRight w:val="0"/>
                  <w:marTop w:val="0"/>
                  <w:marBottom w:val="0"/>
                  <w:divBdr>
                    <w:top w:val="none" w:sz="0" w:space="0" w:color="auto"/>
                    <w:left w:val="none" w:sz="0" w:space="0" w:color="auto"/>
                    <w:bottom w:val="none" w:sz="0" w:space="0" w:color="auto"/>
                    <w:right w:val="none" w:sz="0" w:space="0" w:color="auto"/>
                  </w:divBdr>
                  <w:divsChild>
                    <w:div w:id="154222431">
                      <w:marLeft w:val="0"/>
                      <w:marRight w:val="0"/>
                      <w:marTop w:val="0"/>
                      <w:marBottom w:val="0"/>
                      <w:divBdr>
                        <w:top w:val="none" w:sz="0" w:space="0" w:color="auto"/>
                        <w:left w:val="none" w:sz="0" w:space="0" w:color="auto"/>
                        <w:bottom w:val="none" w:sz="0" w:space="0" w:color="auto"/>
                        <w:right w:val="none" w:sz="0" w:space="0" w:color="auto"/>
                      </w:divBdr>
                    </w:div>
                  </w:divsChild>
                </w:div>
                <w:div w:id="1158231425">
                  <w:marLeft w:val="0"/>
                  <w:marRight w:val="0"/>
                  <w:marTop w:val="0"/>
                  <w:marBottom w:val="0"/>
                  <w:divBdr>
                    <w:top w:val="none" w:sz="0" w:space="0" w:color="auto"/>
                    <w:left w:val="none" w:sz="0" w:space="0" w:color="auto"/>
                    <w:bottom w:val="none" w:sz="0" w:space="0" w:color="auto"/>
                    <w:right w:val="none" w:sz="0" w:space="0" w:color="auto"/>
                  </w:divBdr>
                  <w:divsChild>
                    <w:div w:id="358358066">
                      <w:marLeft w:val="0"/>
                      <w:marRight w:val="0"/>
                      <w:marTop w:val="0"/>
                      <w:marBottom w:val="0"/>
                      <w:divBdr>
                        <w:top w:val="none" w:sz="0" w:space="0" w:color="auto"/>
                        <w:left w:val="none" w:sz="0" w:space="0" w:color="auto"/>
                        <w:bottom w:val="none" w:sz="0" w:space="0" w:color="auto"/>
                        <w:right w:val="none" w:sz="0" w:space="0" w:color="auto"/>
                      </w:divBdr>
                    </w:div>
                  </w:divsChild>
                </w:div>
                <w:div w:id="1180925173">
                  <w:marLeft w:val="0"/>
                  <w:marRight w:val="0"/>
                  <w:marTop w:val="0"/>
                  <w:marBottom w:val="0"/>
                  <w:divBdr>
                    <w:top w:val="none" w:sz="0" w:space="0" w:color="auto"/>
                    <w:left w:val="none" w:sz="0" w:space="0" w:color="auto"/>
                    <w:bottom w:val="none" w:sz="0" w:space="0" w:color="auto"/>
                    <w:right w:val="none" w:sz="0" w:space="0" w:color="auto"/>
                  </w:divBdr>
                  <w:divsChild>
                    <w:div w:id="294411422">
                      <w:marLeft w:val="0"/>
                      <w:marRight w:val="0"/>
                      <w:marTop w:val="0"/>
                      <w:marBottom w:val="0"/>
                      <w:divBdr>
                        <w:top w:val="none" w:sz="0" w:space="0" w:color="auto"/>
                        <w:left w:val="none" w:sz="0" w:space="0" w:color="auto"/>
                        <w:bottom w:val="none" w:sz="0" w:space="0" w:color="auto"/>
                        <w:right w:val="none" w:sz="0" w:space="0" w:color="auto"/>
                      </w:divBdr>
                    </w:div>
                  </w:divsChild>
                </w:div>
                <w:div w:id="1273704438">
                  <w:marLeft w:val="0"/>
                  <w:marRight w:val="0"/>
                  <w:marTop w:val="0"/>
                  <w:marBottom w:val="0"/>
                  <w:divBdr>
                    <w:top w:val="none" w:sz="0" w:space="0" w:color="auto"/>
                    <w:left w:val="none" w:sz="0" w:space="0" w:color="auto"/>
                    <w:bottom w:val="none" w:sz="0" w:space="0" w:color="auto"/>
                    <w:right w:val="none" w:sz="0" w:space="0" w:color="auto"/>
                  </w:divBdr>
                  <w:divsChild>
                    <w:div w:id="1281104616">
                      <w:marLeft w:val="0"/>
                      <w:marRight w:val="0"/>
                      <w:marTop w:val="0"/>
                      <w:marBottom w:val="0"/>
                      <w:divBdr>
                        <w:top w:val="none" w:sz="0" w:space="0" w:color="auto"/>
                        <w:left w:val="none" w:sz="0" w:space="0" w:color="auto"/>
                        <w:bottom w:val="none" w:sz="0" w:space="0" w:color="auto"/>
                        <w:right w:val="none" w:sz="0" w:space="0" w:color="auto"/>
                      </w:divBdr>
                    </w:div>
                  </w:divsChild>
                </w:div>
                <w:div w:id="1765687034">
                  <w:marLeft w:val="0"/>
                  <w:marRight w:val="0"/>
                  <w:marTop w:val="0"/>
                  <w:marBottom w:val="0"/>
                  <w:divBdr>
                    <w:top w:val="none" w:sz="0" w:space="0" w:color="auto"/>
                    <w:left w:val="none" w:sz="0" w:space="0" w:color="auto"/>
                    <w:bottom w:val="none" w:sz="0" w:space="0" w:color="auto"/>
                    <w:right w:val="none" w:sz="0" w:space="0" w:color="auto"/>
                  </w:divBdr>
                  <w:divsChild>
                    <w:div w:id="638532978">
                      <w:marLeft w:val="0"/>
                      <w:marRight w:val="0"/>
                      <w:marTop w:val="0"/>
                      <w:marBottom w:val="0"/>
                      <w:divBdr>
                        <w:top w:val="none" w:sz="0" w:space="0" w:color="auto"/>
                        <w:left w:val="none" w:sz="0" w:space="0" w:color="auto"/>
                        <w:bottom w:val="none" w:sz="0" w:space="0" w:color="auto"/>
                        <w:right w:val="none" w:sz="0" w:space="0" w:color="auto"/>
                      </w:divBdr>
                    </w:div>
                  </w:divsChild>
                </w:div>
                <w:div w:id="1772510194">
                  <w:marLeft w:val="0"/>
                  <w:marRight w:val="0"/>
                  <w:marTop w:val="0"/>
                  <w:marBottom w:val="0"/>
                  <w:divBdr>
                    <w:top w:val="none" w:sz="0" w:space="0" w:color="auto"/>
                    <w:left w:val="none" w:sz="0" w:space="0" w:color="auto"/>
                    <w:bottom w:val="none" w:sz="0" w:space="0" w:color="auto"/>
                    <w:right w:val="none" w:sz="0" w:space="0" w:color="auto"/>
                  </w:divBdr>
                  <w:divsChild>
                    <w:div w:id="13178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1915">
          <w:marLeft w:val="0"/>
          <w:marRight w:val="0"/>
          <w:marTop w:val="0"/>
          <w:marBottom w:val="0"/>
          <w:divBdr>
            <w:top w:val="none" w:sz="0" w:space="0" w:color="auto"/>
            <w:left w:val="none" w:sz="0" w:space="0" w:color="auto"/>
            <w:bottom w:val="none" w:sz="0" w:space="0" w:color="auto"/>
            <w:right w:val="none" w:sz="0" w:space="0" w:color="auto"/>
          </w:divBdr>
        </w:div>
        <w:div w:id="1833137557">
          <w:marLeft w:val="0"/>
          <w:marRight w:val="0"/>
          <w:marTop w:val="0"/>
          <w:marBottom w:val="0"/>
          <w:divBdr>
            <w:top w:val="none" w:sz="0" w:space="0" w:color="auto"/>
            <w:left w:val="none" w:sz="0" w:space="0" w:color="auto"/>
            <w:bottom w:val="none" w:sz="0" w:space="0" w:color="auto"/>
            <w:right w:val="none" w:sz="0" w:space="0" w:color="auto"/>
          </w:divBdr>
          <w:divsChild>
            <w:div w:id="182137949">
              <w:marLeft w:val="0"/>
              <w:marRight w:val="0"/>
              <w:marTop w:val="0"/>
              <w:marBottom w:val="0"/>
              <w:divBdr>
                <w:top w:val="none" w:sz="0" w:space="0" w:color="auto"/>
                <w:left w:val="none" w:sz="0" w:space="0" w:color="auto"/>
                <w:bottom w:val="none" w:sz="0" w:space="0" w:color="auto"/>
                <w:right w:val="none" w:sz="0" w:space="0" w:color="auto"/>
              </w:divBdr>
            </w:div>
            <w:div w:id="1597791458">
              <w:marLeft w:val="0"/>
              <w:marRight w:val="0"/>
              <w:marTop w:val="0"/>
              <w:marBottom w:val="0"/>
              <w:divBdr>
                <w:top w:val="none" w:sz="0" w:space="0" w:color="auto"/>
                <w:left w:val="none" w:sz="0" w:space="0" w:color="auto"/>
                <w:bottom w:val="none" w:sz="0" w:space="0" w:color="auto"/>
                <w:right w:val="none" w:sz="0" w:space="0" w:color="auto"/>
              </w:divBdr>
            </w:div>
          </w:divsChild>
        </w:div>
        <w:div w:id="1835879032">
          <w:marLeft w:val="0"/>
          <w:marRight w:val="0"/>
          <w:marTop w:val="0"/>
          <w:marBottom w:val="0"/>
          <w:divBdr>
            <w:top w:val="none" w:sz="0" w:space="0" w:color="auto"/>
            <w:left w:val="none" w:sz="0" w:space="0" w:color="auto"/>
            <w:bottom w:val="none" w:sz="0" w:space="0" w:color="auto"/>
            <w:right w:val="none" w:sz="0" w:space="0" w:color="auto"/>
          </w:divBdr>
          <w:divsChild>
            <w:div w:id="14812301">
              <w:marLeft w:val="0"/>
              <w:marRight w:val="0"/>
              <w:marTop w:val="0"/>
              <w:marBottom w:val="0"/>
              <w:divBdr>
                <w:top w:val="none" w:sz="0" w:space="0" w:color="auto"/>
                <w:left w:val="none" w:sz="0" w:space="0" w:color="auto"/>
                <w:bottom w:val="none" w:sz="0" w:space="0" w:color="auto"/>
                <w:right w:val="none" w:sz="0" w:space="0" w:color="auto"/>
              </w:divBdr>
            </w:div>
            <w:div w:id="79645886">
              <w:marLeft w:val="0"/>
              <w:marRight w:val="0"/>
              <w:marTop w:val="0"/>
              <w:marBottom w:val="0"/>
              <w:divBdr>
                <w:top w:val="none" w:sz="0" w:space="0" w:color="auto"/>
                <w:left w:val="none" w:sz="0" w:space="0" w:color="auto"/>
                <w:bottom w:val="none" w:sz="0" w:space="0" w:color="auto"/>
                <w:right w:val="none" w:sz="0" w:space="0" w:color="auto"/>
              </w:divBdr>
            </w:div>
            <w:div w:id="731656817">
              <w:marLeft w:val="0"/>
              <w:marRight w:val="0"/>
              <w:marTop w:val="0"/>
              <w:marBottom w:val="0"/>
              <w:divBdr>
                <w:top w:val="none" w:sz="0" w:space="0" w:color="auto"/>
                <w:left w:val="none" w:sz="0" w:space="0" w:color="auto"/>
                <w:bottom w:val="none" w:sz="0" w:space="0" w:color="auto"/>
                <w:right w:val="none" w:sz="0" w:space="0" w:color="auto"/>
              </w:divBdr>
            </w:div>
            <w:div w:id="807284302">
              <w:marLeft w:val="0"/>
              <w:marRight w:val="0"/>
              <w:marTop w:val="0"/>
              <w:marBottom w:val="0"/>
              <w:divBdr>
                <w:top w:val="none" w:sz="0" w:space="0" w:color="auto"/>
                <w:left w:val="none" w:sz="0" w:space="0" w:color="auto"/>
                <w:bottom w:val="none" w:sz="0" w:space="0" w:color="auto"/>
                <w:right w:val="none" w:sz="0" w:space="0" w:color="auto"/>
              </w:divBdr>
            </w:div>
            <w:div w:id="1064721737">
              <w:marLeft w:val="0"/>
              <w:marRight w:val="0"/>
              <w:marTop w:val="0"/>
              <w:marBottom w:val="0"/>
              <w:divBdr>
                <w:top w:val="none" w:sz="0" w:space="0" w:color="auto"/>
                <w:left w:val="none" w:sz="0" w:space="0" w:color="auto"/>
                <w:bottom w:val="none" w:sz="0" w:space="0" w:color="auto"/>
                <w:right w:val="none" w:sz="0" w:space="0" w:color="auto"/>
              </w:divBdr>
            </w:div>
            <w:div w:id="1069767778">
              <w:marLeft w:val="0"/>
              <w:marRight w:val="0"/>
              <w:marTop w:val="0"/>
              <w:marBottom w:val="0"/>
              <w:divBdr>
                <w:top w:val="none" w:sz="0" w:space="0" w:color="auto"/>
                <w:left w:val="none" w:sz="0" w:space="0" w:color="auto"/>
                <w:bottom w:val="none" w:sz="0" w:space="0" w:color="auto"/>
                <w:right w:val="none" w:sz="0" w:space="0" w:color="auto"/>
              </w:divBdr>
            </w:div>
            <w:div w:id="1089042917">
              <w:marLeft w:val="0"/>
              <w:marRight w:val="0"/>
              <w:marTop w:val="0"/>
              <w:marBottom w:val="0"/>
              <w:divBdr>
                <w:top w:val="none" w:sz="0" w:space="0" w:color="auto"/>
                <w:left w:val="none" w:sz="0" w:space="0" w:color="auto"/>
                <w:bottom w:val="none" w:sz="0" w:space="0" w:color="auto"/>
                <w:right w:val="none" w:sz="0" w:space="0" w:color="auto"/>
              </w:divBdr>
            </w:div>
            <w:div w:id="1351837623">
              <w:marLeft w:val="0"/>
              <w:marRight w:val="0"/>
              <w:marTop w:val="0"/>
              <w:marBottom w:val="0"/>
              <w:divBdr>
                <w:top w:val="none" w:sz="0" w:space="0" w:color="auto"/>
                <w:left w:val="none" w:sz="0" w:space="0" w:color="auto"/>
                <w:bottom w:val="none" w:sz="0" w:space="0" w:color="auto"/>
                <w:right w:val="none" w:sz="0" w:space="0" w:color="auto"/>
              </w:divBdr>
              <w:divsChild>
                <w:div w:id="825055807">
                  <w:marLeft w:val="-75"/>
                  <w:marRight w:val="0"/>
                  <w:marTop w:val="30"/>
                  <w:marBottom w:val="30"/>
                  <w:divBdr>
                    <w:top w:val="none" w:sz="0" w:space="0" w:color="auto"/>
                    <w:left w:val="none" w:sz="0" w:space="0" w:color="auto"/>
                    <w:bottom w:val="none" w:sz="0" w:space="0" w:color="auto"/>
                    <w:right w:val="none" w:sz="0" w:space="0" w:color="auto"/>
                  </w:divBdr>
                  <w:divsChild>
                    <w:div w:id="102964832">
                      <w:marLeft w:val="0"/>
                      <w:marRight w:val="0"/>
                      <w:marTop w:val="0"/>
                      <w:marBottom w:val="0"/>
                      <w:divBdr>
                        <w:top w:val="none" w:sz="0" w:space="0" w:color="auto"/>
                        <w:left w:val="none" w:sz="0" w:space="0" w:color="auto"/>
                        <w:bottom w:val="none" w:sz="0" w:space="0" w:color="auto"/>
                        <w:right w:val="none" w:sz="0" w:space="0" w:color="auto"/>
                      </w:divBdr>
                      <w:divsChild>
                        <w:div w:id="1162357610">
                          <w:marLeft w:val="0"/>
                          <w:marRight w:val="0"/>
                          <w:marTop w:val="0"/>
                          <w:marBottom w:val="0"/>
                          <w:divBdr>
                            <w:top w:val="none" w:sz="0" w:space="0" w:color="auto"/>
                            <w:left w:val="none" w:sz="0" w:space="0" w:color="auto"/>
                            <w:bottom w:val="none" w:sz="0" w:space="0" w:color="auto"/>
                            <w:right w:val="none" w:sz="0" w:space="0" w:color="auto"/>
                          </w:divBdr>
                        </w:div>
                      </w:divsChild>
                    </w:div>
                    <w:div w:id="130638277">
                      <w:marLeft w:val="0"/>
                      <w:marRight w:val="0"/>
                      <w:marTop w:val="0"/>
                      <w:marBottom w:val="0"/>
                      <w:divBdr>
                        <w:top w:val="none" w:sz="0" w:space="0" w:color="auto"/>
                        <w:left w:val="none" w:sz="0" w:space="0" w:color="auto"/>
                        <w:bottom w:val="none" w:sz="0" w:space="0" w:color="auto"/>
                        <w:right w:val="none" w:sz="0" w:space="0" w:color="auto"/>
                      </w:divBdr>
                      <w:divsChild>
                        <w:div w:id="783118674">
                          <w:marLeft w:val="0"/>
                          <w:marRight w:val="0"/>
                          <w:marTop w:val="0"/>
                          <w:marBottom w:val="0"/>
                          <w:divBdr>
                            <w:top w:val="none" w:sz="0" w:space="0" w:color="auto"/>
                            <w:left w:val="none" w:sz="0" w:space="0" w:color="auto"/>
                            <w:bottom w:val="none" w:sz="0" w:space="0" w:color="auto"/>
                            <w:right w:val="none" w:sz="0" w:space="0" w:color="auto"/>
                          </w:divBdr>
                        </w:div>
                      </w:divsChild>
                    </w:div>
                    <w:div w:id="148638255">
                      <w:marLeft w:val="0"/>
                      <w:marRight w:val="0"/>
                      <w:marTop w:val="0"/>
                      <w:marBottom w:val="0"/>
                      <w:divBdr>
                        <w:top w:val="none" w:sz="0" w:space="0" w:color="auto"/>
                        <w:left w:val="none" w:sz="0" w:space="0" w:color="auto"/>
                        <w:bottom w:val="none" w:sz="0" w:space="0" w:color="auto"/>
                        <w:right w:val="none" w:sz="0" w:space="0" w:color="auto"/>
                      </w:divBdr>
                      <w:divsChild>
                        <w:div w:id="3827793">
                          <w:marLeft w:val="0"/>
                          <w:marRight w:val="0"/>
                          <w:marTop w:val="0"/>
                          <w:marBottom w:val="0"/>
                          <w:divBdr>
                            <w:top w:val="none" w:sz="0" w:space="0" w:color="auto"/>
                            <w:left w:val="none" w:sz="0" w:space="0" w:color="auto"/>
                            <w:bottom w:val="none" w:sz="0" w:space="0" w:color="auto"/>
                            <w:right w:val="none" w:sz="0" w:space="0" w:color="auto"/>
                          </w:divBdr>
                        </w:div>
                      </w:divsChild>
                    </w:div>
                    <w:div w:id="171917087">
                      <w:marLeft w:val="0"/>
                      <w:marRight w:val="0"/>
                      <w:marTop w:val="0"/>
                      <w:marBottom w:val="0"/>
                      <w:divBdr>
                        <w:top w:val="none" w:sz="0" w:space="0" w:color="auto"/>
                        <w:left w:val="none" w:sz="0" w:space="0" w:color="auto"/>
                        <w:bottom w:val="none" w:sz="0" w:space="0" w:color="auto"/>
                        <w:right w:val="none" w:sz="0" w:space="0" w:color="auto"/>
                      </w:divBdr>
                      <w:divsChild>
                        <w:div w:id="141235008">
                          <w:marLeft w:val="0"/>
                          <w:marRight w:val="0"/>
                          <w:marTop w:val="0"/>
                          <w:marBottom w:val="0"/>
                          <w:divBdr>
                            <w:top w:val="none" w:sz="0" w:space="0" w:color="auto"/>
                            <w:left w:val="none" w:sz="0" w:space="0" w:color="auto"/>
                            <w:bottom w:val="none" w:sz="0" w:space="0" w:color="auto"/>
                            <w:right w:val="none" w:sz="0" w:space="0" w:color="auto"/>
                          </w:divBdr>
                        </w:div>
                      </w:divsChild>
                    </w:div>
                    <w:div w:id="177502473">
                      <w:marLeft w:val="0"/>
                      <w:marRight w:val="0"/>
                      <w:marTop w:val="0"/>
                      <w:marBottom w:val="0"/>
                      <w:divBdr>
                        <w:top w:val="none" w:sz="0" w:space="0" w:color="auto"/>
                        <w:left w:val="none" w:sz="0" w:space="0" w:color="auto"/>
                        <w:bottom w:val="none" w:sz="0" w:space="0" w:color="auto"/>
                        <w:right w:val="none" w:sz="0" w:space="0" w:color="auto"/>
                      </w:divBdr>
                      <w:divsChild>
                        <w:div w:id="1751923756">
                          <w:marLeft w:val="0"/>
                          <w:marRight w:val="0"/>
                          <w:marTop w:val="0"/>
                          <w:marBottom w:val="0"/>
                          <w:divBdr>
                            <w:top w:val="none" w:sz="0" w:space="0" w:color="auto"/>
                            <w:left w:val="none" w:sz="0" w:space="0" w:color="auto"/>
                            <w:bottom w:val="none" w:sz="0" w:space="0" w:color="auto"/>
                            <w:right w:val="none" w:sz="0" w:space="0" w:color="auto"/>
                          </w:divBdr>
                        </w:div>
                      </w:divsChild>
                    </w:div>
                    <w:div w:id="375591878">
                      <w:marLeft w:val="0"/>
                      <w:marRight w:val="0"/>
                      <w:marTop w:val="0"/>
                      <w:marBottom w:val="0"/>
                      <w:divBdr>
                        <w:top w:val="none" w:sz="0" w:space="0" w:color="auto"/>
                        <w:left w:val="none" w:sz="0" w:space="0" w:color="auto"/>
                        <w:bottom w:val="none" w:sz="0" w:space="0" w:color="auto"/>
                        <w:right w:val="none" w:sz="0" w:space="0" w:color="auto"/>
                      </w:divBdr>
                      <w:divsChild>
                        <w:div w:id="1951162225">
                          <w:marLeft w:val="0"/>
                          <w:marRight w:val="0"/>
                          <w:marTop w:val="0"/>
                          <w:marBottom w:val="0"/>
                          <w:divBdr>
                            <w:top w:val="none" w:sz="0" w:space="0" w:color="auto"/>
                            <w:left w:val="none" w:sz="0" w:space="0" w:color="auto"/>
                            <w:bottom w:val="none" w:sz="0" w:space="0" w:color="auto"/>
                            <w:right w:val="none" w:sz="0" w:space="0" w:color="auto"/>
                          </w:divBdr>
                        </w:div>
                      </w:divsChild>
                    </w:div>
                    <w:div w:id="378480284">
                      <w:marLeft w:val="0"/>
                      <w:marRight w:val="0"/>
                      <w:marTop w:val="0"/>
                      <w:marBottom w:val="0"/>
                      <w:divBdr>
                        <w:top w:val="none" w:sz="0" w:space="0" w:color="auto"/>
                        <w:left w:val="none" w:sz="0" w:space="0" w:color="auto"/>
                        <w:bottom w:val="none" w:sz="0" w:space="0" w:color="auto"/>
                        <w:right w:val="none" w:sz="0" w:space="0" w:color="auto"/>
                      </w:divBdr>
                      <w:divsChild>
                        <w:div w:id="219944205">
                          <w:marLeft w:val="0"/>
                          <w:marRight w:val="0"/>
                          <w:marTop w:val="0"/>
                          <w:marBottom w:val="0"/>
                          <w:divBdr>
                            <w:top w:val="none" w:sz="0" w:space="0" w:color="auto"/>
                            <w:left w:val="none" w:sz="0" w:space="0" w:color="auto"/>
                            <w:bottom w:val="none" w:sz="0" w:space="0" w:color="auto"/>
                            <w:right w:val="none" w:sz="0" w:space="0" w:color="auto"/>
                          </w:divBdr>
                        </w:div>
                      </w:divsChild>
                    </w:div>
                    <w:div w:id="545799441">
                      <w:marLeft w:val="0"/>
                      <w:marRight w:val="0"/>
                      <w:marTop w:val="0"/>
                      <w:marBottom w:val="0"/>
                      <w:divBdr>
                        <w:top w:val="none" w:sz="0" w:space="0" w:color="auto"/>
                        <w:left w:val="none" w:sz="0" w:space="0" w:color="auto"/>
                        <w:bottom w:val="none" w:sz="0" w:space="0" w:color="auto"/>
                        <w:right w:val="none" w:sz="0" w:space="0" w:color="auto"/>
                      </w:divBdr>
                      <w:divsChild>
                        <w:div w:id="203175096">
                          <w:marLeft w:val="0"/>
                          <w:marRight w:val="0"/>
                          <w:marTop w:val="0"/>
                          <w:marBottom w:val="0"/>
                          <w:divBdr>
                            <w:top w:val="none" w:sz="0" w:space="0" w:color="auto"/>
                            <w:left w:val="none" w:sz="0" w:space="0" w:color="auto"/>
                            <w:bottom w:val="none" w:sz="0" w:space="0" w:color="auto"/>
                            <w:right w:val="none" w:sz="0" w:space="0" w:color="auto"/>
                          </w:divBdr>
                        </w:div>
                      </w:divsChild>
                    </w:div>
                    <w:div w:id="550196775">
                      <w:marLeft w:val="0"/>
                      <w:marRight w:val="0"/>
                      <w:marTop w:val="0"/>
                      <w:marBottom w:val="0"/>
                      <w:divBdr>
                        <w:top w:val="none" w:sz="0" w:space="0" w:color="auto"/>
                        <w:left w:val="none" w:sz="0" w:space="0" w:color="auto"/>
                        <w:bottom w:val="none" w:sz="0" w:space="0" w:color="auto"/>
                        <w:right w:val="none" w:sz="0" w:space="0" w:color="auto"/>
                      </w:divBdr>
                      <w:divsChild>
                        <w:div w:id="2115053201">
                          <w:marLeft w:val="0"/>
                          <w:marRight w:val="0"/>
                          <w:marTop w:val="0"/>
                          <w:marBottom w:val="0"/>
                          <w:divBdr>
                            <w:top w:val="none" w:sz="0" w:space="0" w:color="auto"/>
                            <w:left w:val="none" w:sz="0" w:space="0" w:color="auto"/>
                            <w:bottom w:val="none" w:sz="0" w:space="0" w:color="auto"/>
                            <w:right w:val="none" w:sz="0" w:space="0" w:color="auto"/>
                          </w:divBdr>
                        </w:div>
                      </w:divsChild>
                    </w:div>
                    <w:div w:id="575438390">
                      <w:marLeft w:val="0"/>
                      <w:marRight w:val="0"/>
                      <w:marTop w:val="0"/>
                      <w:marBottom w:val="0"/>
                      <w:divBdr>
                        <w:top w:val="none" w:sz="0" w:space="0" w:color="auto"/>
                        <w:left w:val="none" w:sz="0" w:space="0" w:color="auto"/>
                        <w:bottom w:val="none" w:sz="0" w:space="0" w:color="auto"/>
                        <w:right w:val="none" w:sz="0" w:space="0" w:color="auto"/>
                      </w:divBdr>
                      <w:divsChild>
                        <w:div w:id="549221648">
                          <w:marLeft w:val="0"/>
                          <w:marRight w:val="0"/>
                          <w:marTop w:val="0"/>
                          <w:marBottom w:val="0"/>
                          <w:divBdr>
                            <w:top w:val="none" w:sz="0" w:space="0" w:color="auto"/>
                            <w:left w:val="none" w:sz="0" w:space="0" w:color="auto"/>
                            <w:bottom w:val="none" w:sz="0" w:space="0" w:color="auto"/>
                            <w:right w:val="none" w:sz="0" w:space="0" w:color="auto"/>
                          </w:divBdr>
                        </w:div>
                      </w:divsChild>
                    </w:div>
                    <w:div w:id="580680720">
                      <w:marLeft w:val="0"/>
                      <w:marRight w:val="0"/>
                      <w:marTop w:val="0"/>
                      <w:marBottom w:val="0"/>
                      <w:divBdr>
                        <w:top w:val="none" w:sz="0" w:space="0" w:color="auto"/>
                        <w:left w:val="none" w:sz="0" w:space="0" w:color="auto"/>
                        <w:bottom w:val="none" w:sz="0" w:space="0" w:color="auto"/>
                        <w:right w:val="none" w:sz="0" w:space="0" w:color="auto"/>
                      </w:divBdr>
                      <w:divsChild>
                        <w:div w:id="1324240345">
                          <w:marLeft w:val="0"/>
                          <w:marRight w:val="0"/>
                          <w:marTop w:val="0"/>
                          <w:marBottom w:val="0"/>
                          <w:divBdr>
                            <w:top w:val="none" w:sz="0" w:space="0" w:color="auto"/>
                            <w:left w:val="none" w:sz="0" w:space="0" w:color="auto"/>
                            <w:bottom w:val="none" w:sz="0" w:space="0" w:color="auto"/>
                            <w:right w:val="none" w:sz="0" w:space="0" w:color="auto"/>
                          </w:divBdr>
                        </w:div>
                      </w:divsChild>
                    </w:div>
                    <w:div w:id="586160681">
                      <w:marLeft w:val="0"/>
                      <w:marRight w:val="0"/>
                      <w:marTop w:val="0"/>
                      <w:marBottom w:val="0"/>
                      <w:divBdr>
                        <w:top w:val="none" w:sz="0" w:space="0" w:color="auto"/>
                        <w:left w:val="none" w:sz="0" w:space="0" w:color="auto"/>
                        <w:bottom w:val="none" w:sz="0" w:space="0" w:color="auto"/>
                        <w:right w:val="none" w:sz="0" w:space="0" w:color="auto"/>
                      </w:divBdr>
                      <w:divsChild>
                        <w:div w:id="809514719">
                          <w:marLeft w:val="0"/>
                          <w:marRight w:val="0"/>
                          <w:marTop w:val="0"/>
                          <w:marBottom w:val="0"/>
                          <w:divBdr>
                            <w:top w:val="none" w:sz="0" w:space="0" w:color="auto"/>
                            <w:left w:val="none" w:sz="0" w:space="0" w:color="auto"/>
                            <w:bottom w:val="none" w:sz="0" w:space="0" w:color="auto"/>
                            <w:right w:val="none" w:sz="0" w:space="0" w:color="auto"/>
                          </w:divBdr>
                        </w:div>
                      </w:divsChild>
                    </w:div>
                    <w:div w:id="589243911">
                      <w:marLeft w:val="0"/>
                      <w:marRight w:val="0"/>
                      <w:marTop w:val="0"/>
                      <w:marBottom w:val="0"/>
                      <w:divBdr>
                        <w:top w:val="none" w:sz="0" w:space="0" w:color="auto"/>
                        <w:left w:val="none" w:sz="0" w:space="0" w:color="auto"/>
                        <w:bottom w:val="none" w:sz="0" w:space="0" w:color="auto"/>
                        <w:right w:val="none" w:sz="0" w:space="0" w:color="auto"/>
                      </w:divBdr>
                      <w:divsChild>
                        <w:div w:id="1222255289">
                          <w:marLeft w:val="0"/>
                          <w:marRight w:val="0"/>
                          <w:marTop w:val="0"/>
                          <w:marBottom w:val="0"/>
                          <w:divBdr>
                            <w:top w:val="none" w:sz="0" w:space="0" w:color="auto"/>
                            <w:left w:val="none" w:sz="0" w:space="0" w:color="auto"/>
                            <w:bottom w:val="none" w:sz="0" w:space="0" w:color="auto"/>
                            <w:right w:val="none" w:sz="0" w:space="0" w:color="auto"/>
                          </w:divBdr>
                        </w:div>
                      </w:divsChild>
                    </w:div>
                    <w:div w:id="616911080">
                      <w:marLeft w:val="0"/>
                      <w:marRight w:val="0"/>
                      <w:marTop w:val="0"/>
                      <w:marBottom w:val="0"/>
                      <w:divBdr>
                        <w:top w:val="none" w:sz="0" w:space="0" w:color="auto"/>
                        <w:left w:val="none" w:sz="0" w:space="0" w:color="auto"/>
                        <w:bottom w:val="none" w:sz="0" w:space="0" w:color="auto"/>
                        <w:right w:val="none" w:sz="0" w:space="0" w:color="auto"/>
                      </w:divBdr>
                      <w:divsChild>
                        <w:div w:id="6568401">
                          <w:marLeft w:val="0"/>
                          <w:marRight w:val="0"/>
                          <w:marTop w:val="0"/>
                          <w:marBottom w:val="0"/>
                          <w:divBdr>
                            <w:top w:val="none" w:sz="0" w:space="0" w:color="auto"/>
                            <w:left w:val="none" w:sz="0" w:space="0" w:color="auto"/>
                            <w:bottom w:val="none" w:sz="0" w:space="0" w:color="auto"/>
                            <w:right w:val="none" w:sz="0" w:space="0" w:color="auto"/>
                          </w:divBdr>
                        </w:div>
                      </w:divsChild>
                    </w:div>
                    <w:div w:id="653798621">
                      <w:marLeft w:val="0"/>
                      <w:marRight w:val="0"/>
                      <w:marTop w:val="0"/>
                      <w:marBottom w:val="0"/>
                      <w:divBdr>
                        <w:top w:val="none" w:sz="0" w:space="0" w:color="auto"/>
                        <w:left w:val="none" w:sz="0" w:space="0" w:color="auto"/>
                        <w:bottom w:val="none" w:sz="0" w:space="0" w:color="auto"/>
                        <w:right w:val="none" w:sz="0" w:space="0" w:color="auto"/>
                      </w:divBdr>
                      <w:divsChild>
                        <w:div w:id="1751001369">
                          <w:marLeft w:val="0"/>
                          <w:marRight w:val="0"/>
                          <w:marTop w:val="0"/>
                          <w:marBottom w:val="0"/>
                          <w:divBdr>
                            <w:top w:val="none" w:sz="0" w:space="0" w:color="auto"/>
                            <w:left w:val="none" w:sz="0" w:space="0" w:color="auto"/>
                            <w:bottom w:val="none" w:sz="0" w:space="0" w:color="auto"/>
                            <w:right w:val="none" w:sz="0" w:space="0" w:color="auto"/>
                          </w:divBdr>
                        </w:div>
                      </w:divsChild>
                    </w:div>
                    <w:div w:id="711462762">
                      <w:marLeft w:val="0"/>
                      <w:marRight w:val="0"/>
                      <w:marTop w:val="0"/>
                      <w:marBottom w:val="0"/>
                      <w:divBdr>
                        <w:top w:val="none" w:sz="0" w:space="0" w:color="auto"/>
                        <w:left w:val="none" w:sz="0" w:space="0" w:color="auto"/>
                        <w:bottom w:val="none" w:sz="0" w:space="0" w:color="auto"/>
                        <w:right w:val="none" w:sz="0" w:space="0" w:color="auto"/>
                      </w:divBdr>
                      <w:divsChild>
                        <w:div w:id="1794640307">
                          <w:marLeft w:val="0"/>
                          <w:marRight w:val="0"/>
                          <w:marTop w:val="0"/>
                          <w:marBottom w:val="0"/>
                          <w:divBdr>
                            <w:top w:val="none" w:sz="0" w:space="0" w:color="auto"/>
                            <w:left w:val="none" w:sz="0" w:space="0" w:color="auto"/>
                            <w:bottom w:val="none" w:sz="0" w:space="0" w:color="auto"/>
                            <w:right w:val="none" w:sz="0" w:space="0" w:color="auto"/>
                          </w:divBdr>
                        </w:div>
                      </w:divsChild>
                    </w:div>
                    <w:div w:id="722562687">
                      <w:marLeft w:val="0"/>
                      <w:marRight w:val="0"/>
                      <w:marTop w:val="0"/>
                      <w:marBottom w:val="0"/>
                      <w:divBdr>
                        <w:top w:val="none" w:sz="0" w:space="0" w:color="auto"/>
                        <w:left w:val="none" w:sz="0" w:space="0" w:color="auto"/>
                        <w:bottom w:val="none" w:sz="0" w:space="0" w:color="auto"/>
                        <w:right w:val="none" w:sz="0" w:space="0" w:color="auto"/>
                      </w:divBdr>
                      <w:divsChild>
                        <w:div w:id="309405123">
                          <w:marLeft w:val="0"/>
                          <w:marRight w:val="0"/>
                          <w:marTop w:val="0"/>
                          <w:marBottom w:val="0"/>
                          <w:divBdr>
                            <w:top w:val="none" w:sz="0" w:space="0" w:color="auto"/>
                            <w:left w:val="none" w:sz="0" w:space="0" w:color="auto"/>
                            <w:bottom w:val="none" w:sz="0" w:space="0" w:color="auto"/>
                            <w:right w:val="none" w:sz="0" w:space="0" w:color="auto"/>
                          </w:divBdr>
                        </w:div>
                      </w:divsChild>
                    </w:div>
                    <w:div w:id="764110123">
                      <w:marLeft w:val="0"/>
                      <w:marRight w:val="0"/>
                      <w:marTop w:val="0"/>
                      <w:marBottom w:val="0"/>
                      <w:divBdr>
                        <w:top w:val="none" w:sz="0" w:space="0" w:color="auto"/>
                        <w:left w:val="none" w:sz="0" w:space="0" w:color="auto"/>
                        <w:bottom w:val="none" w:sz="0" w:space="0" w:color="auto"/>
                        <w:right w:val="none" w:sz="0" w:space="0" w:color="auto"/>
                      </w:divBdr>
                      <w:divsChild>
                        <w:div w:id="1698578094">
                          <w:marLeft w:val="0"/>
                          <w:marRight w:val="0"/>
                          <w:marTop w:val="0"/>
                          <w:marBottom w:val="0"/>
                          <w:divBdr>
                            <w:top w:val="none" w:sz="0" w:space="0" w:color="auto"/>
                            <w:left w:val="none" w:sz="0" w:space="0" w:color="auto"/>
                            <w:bottom w:val="none" w:sz="0" w:space="0" w:color="auto"/>
                            <w:right w:val="none" w:sz="0" w:space="0" w:color="auto"/>
                          </w:divBdr>
                        </w:div>
                      </w:divsChild>
                    </w:div>
                    <w:div w:id="846753373">
                      <w:marLeft w:val="0"/>
                      <w:marRight w:val="0"/>
                      <w:marTop w:val="0"/>
                      <w:marBottom w:val="0"/>
                      <w:divBdr>
                        <w:top w:val="none" w:sz="0" w:space="0" w:color="auto"/>
                        <w:left w:val="none" w:sz="0" w:space="0" w:color="auto"/>
                        <w:bottom w:val="none" w:sz="0" w:space="0" w:color="auto"/>
                        <w:right w:val="none" w:sz="0" w:space="0" w:color="auto"/>
                      </w:divBdr>
                      <w:divsChild>
                        <w:div w:id="1651594531">
                          <w:marLeft w:val="0"/>
                          <w:marRight w:val="0"/>
                          <w:marTop w:val="0"/>
                          <w:marBottom w:val="0"/>
                          <w:divBdr>
                            <w:top w:val="none" w:sz="0" w:space="0" w:color="auto"/>
                            <w:left w:val="none" w:sz="0" w:space="0" w:color="auto"/>
                            <w:bottom w:val="none" w:sz="0" w:space="0" w:color="auto"/>
                            <w:right w:val="none" w:sz="0" w:space="0" w:color="auto"/>
                          </w:divBdr>
                        </w:div>
                      </w:divsChild>
                    </w:div>
                    <w:div w:id="850418289">
                      <w:marLeft w:val="0"/>
                      <w:marRight w:val="0"/>
                      <w:marTop w:val="0"/>
                      <w:marBottom w:val="0"/>
                      <w:divBdr>
                        <w:top w:val="none" w:sz="0" w:space="0" w:color="auto"/>
                        <w:left w:val="none" w:sz="0" w:space="0" w:color="auto"/>
                        <w:bottom w:val="none" w:sz="0" w:space="0" w:color="auto"/>
                        <w:right w:val="none" w:sz="0" w:space="0" w:color="auto"/>
                      </w:divBdr>
                      <w:divsChild>
                        <w:div w:id="234556755">
                          <w:marLeft w:val="0"/>
                          <w:marRight w:val="0"/>
                          <w:marTop w:val="0"/>
                          <w:marBottom w:val="0"/>
                          <w:divBdr>
                            <w:top w:val="none" w:sz="0" w:space="0" w:color="auto"/>
                            <w:left w:val="none" w:sz="0" w:space="0" w:color="auto"/>
                            <w:bottom w:val="none" w:sz="0" w:space="0" w:color="auto"/>
                            <w:right w:val="none" w:sz="0" w:space="0" w:color="auto"/>
                          </w:divBdr>
                        </w:div>
                      </w:divsChild>
                    </w:div>
                    <w:div w:id="987049531">
                      <w:marLeft w:val="0"/>
                      <w:marRight w:val="0"/>
                      <w:marTop w:val="0"/>
                      <w:marBottom w:val="0"/>
                      <w:divBdr>
                        <w:top w:val="none" w:sz="0" w:space="0" w:color="auto"/>
                        <w:left w:val="none" w:sz="0" w:space="0" w:color="auto"/>
                        <w:bottom w:val="none" w:sz="0" w:space="0" w:color="auto"/>
                        <w:right w:val="none" w:sz="0" w:space="0" w:color="auto"/>
                      </w:divBdr>
                      <w:divsChild>
                        <w:div w:id="1888908324">
                          <w:marLeft w:val="0"/>
                          <w:marRight w:val="0"/>
                          <w:marTop w:val="0"/>
                          <w:marBottom w:val="0"/>
                          <w:divBdr>
                            <w:top w:val="none" w:sz="0" w:space="0" w:color="auto"/>
                            <w:left w:val="none" w:sz="0" w:space="0" w:color="auto"/>
                            <w:bottom w:val="none" w:sz="0" w:space="0" w:color="auto"/>
                            <w:right w:val="none" w:sz="0" w:space="0" w:color="auto"/>
                          </w:divBdr>
                        </w:div>
                      </w:divsChild>
                    </w:div>
                    <w:div w:id="1001474037">
                      <w:marLeft w:val="0"/>
                      <w:marRight w:val="0"/>
                      <w:marTop w:val="0"/>
                      <w:marBottom w:val="0"/>
                      <w:divBdr>
                        <w:top w:val="none" w:sz="0" w:space="0" w:color="auto"/>
                        <w:left w:val="none" w:sz="0" w:space="0" w:color="auto"/>
                        <w:bottom w:val="none" w:sz="0" w:space="0" w:color="auto"/>
                        <w:right w:val="none" w:sz="0" w:space="0" w:color="auto"/>
                      </w:divBdr>
                      <w:divsChild>
                        <w:div w:id="1906181252">
                          <w:marLeft w:val="0"/>
                          <w:marRight w:val="0"/>
                          <w:marTop w:val="0"/>
                          <w:marBottom w:val="0"/>
                          <w:divBdr>
                            <w:top w:val="none" w:sz="0" w:space="0" w:color="auto"/>
                            <w:left w:val="none" w:sz="0" w:space="0" w:color="auto"/>
                            <w:bottom w:val="none" w:sz="0" w:space="0" w:color="auto"/>
                            <w:right w:val="none" w:sz="0" w:space="0" w:color="auto"/>
                          </w:divBdr>
                        </w:div>
                      </w:divsChild>
                    </w:div>
                    <w:div w:id="1018586122">
                      <w:marLeft w:val="0"/>
                      <w:marRight w:val="0"/>
                      <w:marTop w:val="0"/>
                      <w:marBottom w:val="0"/>
                      <w:divBdr>
                        <w:top w:val="none" w:sz="0" w:space="0" w:color="auto"/>
                        <w:left w:val="none" w:sz="0" w:space="0" w:color="auto"/>
                        <w:bottom w:val="none" w:sz="0" w:space="0" w:color="auto"/>
                        <w:right w:val="none" w:sz="0" w:space="0" w:color="auto"/>
                      </w:divBdr>
                      <w:divsChild>
                        <w:div w:id="661398629">
                          <w:marLeft w:val="0"/>
                          <w:marRight w:val="0"/>
                          <w:marTop w:val="0"/>
                          <w:marBottom w:val="0"/>
                          <w:divBdr>
                            <w:top w:val="none" w:sz="0" w:space="0" w:color="auto"/>
                            <w:left w:val="none" w:sz="0" w:space="0" w:color="auto"/>
                            <w:bottom w:val="none" w:sz="0" w:space="0" w:color="auto"/>
                            <w:right w:val="none" w:sz="0" w:space="0" w:color="auto"/>
                          </w:divBdr>
                        </w:div>
                      </w:divsChild>
                    </w:div>
                    <w:div w:id="1030229633">
                      <w:marLeft w:val="0"/>
                      <w:marRight w:val="0"/>
                      <w:marTop w:val="0"/>
                      <w:marBottom w:val="0"/>
                      <w:divBdr>
                        <w:top w:val="none" w:sz="0" w:space="0" w:color="auto"/>
                        <w:left w:val="none" w:sz="0" w:space="0" w:color="auto"/>
                        <w:bottom w:val="none" w:sz="0" w:space="0" w:color="auto"/>
                        <w:right w:val="none" w:sz="0" w:space="0" w:color="auto"/>
                      </w:divBdr>
                      <w:divsChild>
                        <w:div w:id="452403637">
                          <w:marLeft w:val="0"/>
                          <w:marRight w:val="0"/>
                          <w:marTop w:val="0"/>
                          <w:marBottom w:val="0"/>
                          <w:divBdr>
                            <w:top w:val="none" w:sz="0" w:space="0" w:color="auto"/>
                            <w:left w:val="none" w:sz="0" w:space="0" w:color="auto"/>
                            <w:bottom w:val="none" w:sz="0" w:space="0" w:color="auto"/>
                            <w:right w:val="none" w:sz="0" w:space="0" w:color="auto"/>
                          </w:divBdr>
                        </w:div>
                      </w:divsChild>
                    </w:div>
                    <w:div w:id="1041132604">
                      <w:marLeft w:val="0"/>
                      <w:marRight w:val="0"/>
                      <w:marTop w:val="0"/>
                      <w:marBottom w:val="0"/>
                      <w:divBdr>
                        <w:top w:val="none" w:sz="0" w:space="0" w:color="auto"/>
                        <w:left w:val="none" w:sz="0" w:space="0" w:color="auto"/>
                        <w:bottom w:val="none" w:sz="0" w:space="0" w:color="auto"/>
                        <w:right w:val="none" w:sz="0" w:space="0" w:color="auto"/>
                      </w:divBdr>
                      <w:divsChild>
                        <w:div w:id="1525678452">
                          <w:marLeft w:val="0"/>
                          <w:marRight w:val="0"/>
                          <w:marTop w:val="0"/>
                          <w:marBottom w:val="0"/>
                          <w:divBdr>
                            <w:top w:val="none" w:sz="0" w:space="0" w:color="auto"/>
                            <w:left w:val="none" w:sz="0" w:space="0" w:color="auto"/>
                            <w:bottom w:val="none" w:sz="0" w:space="0" w:color="auto"/>
                            <w:right w:val="none" w:sz="0" w:space="0" w:color="auto"/>
                          </w:divBdr>
                        </w:div>
                      </w:divsChild>
                    </w:div>
                    <w:div w:id="1122572480">
                      <w:marLeft w:val="0"/>
                      <w:marRight w:val="0"/>
                      <w:marTop w:val="0"/>
                      <w:marBottom w:val="0"/>
                      <w:divBdr>
                        <w:top w:val="none" w:sz="0" w:space="0" w:color="auto"/>
                        <w:left w:val="none" w:sz="0" w:space="0" w:color="auto"/>
                        <w:bottom w:val="none" w:sz="0" w:space="0" w:color="auto"/>
                        <w:right w:val="none" w:sz="0" w:space="0" w:color="auto"/>
                      </w:divBdr>
                      <w:divsChild>
                        <w:div w:id="1659458521">
                          <w:marLeft w:val="0"/>
                          <w:marRight w:val="0"/>
                          <w:marTop w:val="0"/>
                          <w:marBottom w:val="0"/>
                          <w:divBdr>
                            <w:top w:val="none" w:sz="0" w:space="0" w:color="auto"/>
                            <w:left w:val="none" w:sz="0" w:space="0" w:color="auto"/>
                            <w:bottom w:val="none" w:sz="0" w:space="0" w:color="auto"/>
                            <w:right w:val="none" w:sz="0" w:space="0" w:color="auto"/>
                          </w:divBdr>
                        </w:div>
                      </w:divsChild>
                    </w:div>
                    <w:div w:id="1146242001">
                      <w:marLeft w:val="0"/>
                      <w:marRight w:val="0"/>
                      <w:marTop w:val="0"/>
                      <w:marBottom w:val="0"/>
                      <w:divBdr>
                        <w:top w:val="none" w:sz="0" w:space="0" w:color="auto"/>
                        <w:left w:val="none" w:sz="0" w:space="0" w:color="auto"/>
                        <w:bottom w:val="none" w:sz="0" w:space="0" w:color="auto"/>
                        <w:right w:val="none" w:sz="0" w:space="0" w:color="auto"/>
                      </w:divBdr>
                      <w:divsChild>
                        <w:div w:id="709961729">
                          <w:marLeft w:val="0"/>
                          <w:marRight w:val="0"/>
                          <w:marTop w:val="0"/>
                          <w:marBottom w:val="0"/>
                          <w:divBdr>
                            <w:top w:val="none" w:sz="0" w:space="0" w:color="auto"/>
                            <w:left w:val="none" w:sz="0" w:space="0" w:color="auto"/>
                            <w:bottom w:val="none" w:sz="0" w:space="0" w:color="auto"/>
                            <w:right w:val="none" w:sz="0" w:space="0" w:color="auto"/>
                          </w:divBdr>
                        </w:div>
                      </w:divsChild>
                    </w:div>
                    <w:div w:id="1152871633">
                      <w:marLeft w:val="0"/>
                      <w:marRight w:val="0"/>
                      <w:marTop w:val="0"/>
                      <w:marBottom w:val="0"/>
                      <w:divBdr>
                        <w:top w:val="none" w:sz="0" w:space="0" w:color="auto"/>
                        <w:left w:val="none" w:sz="0" w:space="0" w:color="auto"/>
                        <w:bottom w:val="none" w:sz="0" w:space="0" w:color="auto"/>
                        <w:right w:val="none" w:sz="0" w:space="0" w:color="auto"/>
                      </w:divBdr>
                      <w:divsChild>
                        <w:div w:id="2116240794">
                          <w:marLeft w:val="0"/>
                          <w:marRight w:val="0"/>
                          <w:marTop w:val="0"/>
                          <w:marBottom w:val="0"/>
                          <w:divBdr>
                            <w:top w:val="none" w:sz="0" w:space="0" w:color="auto"/>
                            <w:left w:val="none" w:sz="0" w:space="0" w:color="auto"/>
                            <w:bottom w:val="none" w:sz="0" w:space="0" w:color="auto"/>
                            <w:right w:val="none" w:sz="0" w:space="0" w:color="auto"/>
                          </w:divBdr>
                        </w:div>
                      </w:divsChild>
                    </w:div>
                    <w:div w:id="1166016846">
                      <w:marLeft w:val="0"/>
                      <w:marRight w:val="0"/>
                      <w:marTop w:val="0"/>
                      <w:marBottom w:val="0"/>
                      <w:divBdr>
                        <w:top w:val="none" w:sz="0" w:space="0" w:color="auto"/>
                        <w:left w:val="none" w:sz="0" w:space="0" w:color="auto"/>
                        <w:bottom w:val="none" w:sz="0" w:space="0" w:color="auto"/>
                        <w:right w:val="none" w:sz="0" w:space="0" w:color="auto"/>
                      </w:divBdr>
                      <w:divsChild>
                        <w:div w:id="1985964978">
                          <w:marLeft w:val="0"/>
                          <w:marRight w:val="0"/>
                          <w:marTop w:val="0"/>
                          <w:marBottom w:val="0"/>
                          <w:divBdr>
                            <w:top w:val="none" w:sz="0" w:space="0" w:color="auto"/>
                            <w:left w:val="none" w:sz="0" w:space="0" w:color="auto"/>
                            <w:bottom w:val="none" w:sz="0" w:space="0" w:color="auto"/>
                            <w:right w:val="none" w:sz="0" w:space="0" w:color="auto"/>
                          </w:divBdr>
                        </w:div>
                      </w:divsChild>
                    </w:div>
                    <w:div w:id="1196622777">
                      <w:marLeft w:val="0"/>
                      <w:marRight w:val="0"/>
                      <w:marTop w:val="0"/>
                      <w:marBottom w:val="0"/>
                      <w:divBdr>
                        <w:top w:val="none" w:sz="0" w:space="0" w:color="auto"/>
                        <w:left w:val="none" w:sz="0" w:space="0" w:color="auto"/>
                        <w:bottom w:val="none" w:sz="0" w:space="0" w:color="auto"/>
                        <w:right w:val="none" w:sz="0" w:space="0" w:color="auto"/>
                      </w:divBdr>
                      <w:divsChild>
                        <w:div w:id="641155592">
                          <w:marLeft w:val="0"/>
                          <w:marRight w:val="0"/>
                          <w:marTop w:val="0"/>
                          <w:marBottom w:val="0"/>
                          <w:divBdr>
                            <w:top w:val="none" w:sz="0" w:space="0" w:color="auto"/>
                            <w:left w:val="none" w:sz="0" w:space="0" w:color="auto"/>
                            <w:bottom w:val="none" w:sz="0" w:space="0" w:color="auto"/>
                            <w:right w:val="none" w:sz="0" w:space="0" w:color="auto"/>
                          </w:divBdr>
                        </w:div>
                      </w:divsChild>
                    </w:div>
                    <w:div w:id="1410008053">
                      <w:marLeft w:val="0"/>
                      <w:marRight w:val="0"/>
                      <w:marTop w:val="0"/>
                      <w:marBottom w:val="0"/>
                      <w:divBdr>
                        <w:top w:val="none" w:sz="0" w:space="0" w:color="auto"/>
                        <w:left w:val="none" w:sz="0" w:space="0" w:color="auto"/>
                        <w:bottom w:val="none" w:sz="0" w:space="0" w:color="auto"/>
                        <w:right w:val="none" w:sz="0" w:space="0" w:color="auto"/>
                      </w:divBdr>
                      <w:divsChild>
                        <w:div w:id="706831452">
                          <w:marLeft w:val="0"/>
                          <w:marRight w:val="0"/>
                          <w:marTop w:val="0"/>
                          <w:marBottom w:val="0"/>
                          <w:divBdr>
                            <w:top w:val="none" w:sz="0" w:space="0" w:color="auto"/>
                            <w:left w:val="none" w:sz="0" w:space="0" w:color="auto"/>
                            <w:bottom w:val="none" w:sz="0" w:space="0" w:color="auto"/>
                            <w:right w:val="none" w:sz="0" w:space="0" w:color="auto"/>
                          </w:divBdr>
                        </w:div>
                      </w:divsChild>
                    </w:div>
                    <w:div w:id="1419643732">
                      <w:marLeft w:val="0"/>
                      <w:marRight w:val="0"/>
                      <w:marTop w:val="0"/>
                      <w:marBottom w:val="0"/>
                      <w:divBdr>
                        <w:top w:val="none" w:sz="0" w:space="0" w:color="auto"/>
                        <w:left w:val="none" w:sz="0" w:space="0" w:color="auto"/>
                        <w:bottom w:val="none" w:sz="0" w:space="0" w:color="auto"/>
                        <w:right w:val="none" w:sz="0" w:space="0" w:color="auto"/>
                      </w:divBdr>
                      <w:divsChild>
                        <w:div w:id="1099983681">
                          <w:marLeft w:val="0"/>
                          <w:marRight w:val="0"/>
                          <w:marTop w:val="0"/>
                          <w:marBottom w:val="0"/>
                          <w:divBdr>
                            <w:top w:val="none" w:sz="0" w:space="0" w:color="auto"/>
                            <w:left w:val="none" w:sz="0" w:space="0" w:color="auto"/>
                            <w:bottom w:val="none" w:sz="0" w:space="0" w:color="auto"/>
                            <w:right w:val="none" w:sz="0" w:space="0" w:color="auto"/>
                          </w:divBdr>
                        </w:div>
                      </w:divsChild>
                    </w:div>
                    <w:div w:id="1439258765">
                      <w:marLeft w:val="0"/>
                      <w:marRight w:val="0"/>
                      <w:marTop w:val="0"/>
                      <w:marBottom w:val="0"/>
                      <w:divBdr>
                        <w:top w:val="none" w:sz="0" w:space="0" w:color="auto"/>
                        <w:left w:val="none" w:sz="0" w:space="0" w:color="auto"/>
                        <w:bottom w:val="none" w:sz="0" w:space="0" w:color="auto"/>
                        <w:right w:val="none" w:sz="0" w:space="0" w:color="auto"/>
                      </w:divBdr>
                      <w:divsChild>
                        <w:div w:id="940451351">
                          <w:marLeft w:val="0"/>
                          <w:marRight w:val="0"/>
                          <w:marTop w:val="0"/>
                          <w:marBottom w:val="0"/>
                          <w:divBdr>
                            <w:top w:val="none" w:sz="0" w:space="0" w:color="auto"/>
                            <w:left w:val="none" w:sz="0" w:space="0" w:color="auto"/>
                            <w:bottom w:val="none" w:sz="0" w:space="0" w:color="auto"/>
                            <w:right w:val="none" w:sz="0" w:space="0" w:color="auto"/>
                          </w:divBdr>
                        </w:div>
                      </w:divsChild>
                    </w:div>
                    <w:div w:id="1472092808">
                      <w:marLeft w:val="0"/>
                      <w:marRight w:val="0"/>
                      <w:marTop w:val="0"/>
                      <w:marBottom w:val="0"/>
                      <w:divBdr>
                        <w:top w:val="none" w:sz="0" w:space="0" w:color="auto"/>
                        <w:left w:val="none" w:sz="0" w:space="0" w:color="auto"/>
                        <w:bottom w:val="none" w:sz="0" w:space="0" w:color="auto"/>
                        <w:right w:val="none" w:sz="0" w:space="0" w:color="auto"/>
                      </w:divBdr>
                      <w:divsChild>
                        <w:div w:id="732195399">
                          <w:marLeft w:val="0"/>
                          <w:marRight w:val="0"/>
                          <w:marTop w:val="0"/>
                          <w:marBottom w:val="0"/>
                          <w:divBdr>
                            <w:top w:val="none" w:sz="0" w:space="0" w:color="auto"/>
                            <w:left w:val="none" w:sz="0" w:space="0" w:color="auto"/>
                            <w:bottom w:val="none" w:sz="0" w:space="0" w:color="auto"/>
                            <w:right w:val="none" w:sz="0" w:space="0" w:color="auto"/>
                          </w:divBdr>
                        </w:div>
                      </w:divsChild>
                    </w:div>
                    <w:div w:id="1476797636">
                      <w:marLeft w:val="0"/>
                      <w:marRight w:val="0"/>
                      <w:marTop w:val="0"/>
                      <w:marBottom w:val="0"/>
                      <w:divBdr>
                        <w:top w:val="none" w:sz="0" w:space="0" w:color="auto"/>
                        <w:left w:val="none" w:sz="0" w:space="0" w:color="auto"/>
                        <w:bottom w:val="none" w:sz="0" w:space="0" w:color="auto"/>
                        <w:right w:val="none" w:sz="0" w:space="0" w:color="auto"/>
                      </w:divBdr>
                      <w:divsChild>
                        <w:div w:id="441219656">
                          <w:marLeft w:val="0"/>
                          <w:marRight w:val="0"/>
                          <w:marTop w:val="0"/>
                          <w:marBottom w:val="0"/>
                          <w:divBdr>
                            <w:top w:val="none" w:sz="0" w:space="0" w:color="auto"/>
                            <w:left w:val="none" w:sz="0" w:space="0" w:color="auto"/>
                            <w:bottom w:val="none" w:sz="0" w:space="0" w:color="auto"/>
                            <w:right w:val="none" w:sz="0" w:space="0" w:color="auto"/>
                          </w:divBdr>
                        </w:div>
                      </w:divsChild>
                    </w:div>
                    <w:div w:id="1535388131">
                      <w:marLeft w:val="0"/>
                      <w:marRight w:val="0"/>
                      <w:marTop w:val="0"/>
                      <w:marBottom w:val="0"/>
                      <w:divBdr>
                        <w:top w:val="none" w:sz="0" w:space="0" w:color="auto"/>
                        <w:left w:val="none" w:sz="0" w:space="0" w:color="auto"/>
                        <w:bottom w:val="none" w:sz="0" w:space="0" w:color="auto"/>
                        <w:right w:val="none" w:sz="0" w:space="0" w:color="auto"/>
                      </w:divBdr>
                      <w:divsChild>
                        <w:div w:id="1153066384">
                          <w:marLeft w:val="0"/>
                          <w:marRight w:val="0"/>
                          <w:marTop w:val="0"/>
                          <w:marBottom w:val="0"/>
                          <w:divBdr>
                            <w:top w:val="none" w:sz="0" w:space="0" w:color="auto"/>
                            <w:left w:val="none" w:sz="0" w:space="0" w:color="auto"/>
                            <w:bottom w:val="none" w:sz="0" w:space="0" w:color="auto"/>
                            <w:right w:val="none" w:sz="0" w:space="0" w:color="auto"/>
                          </w:divBdr>
                        </w:div>
                      </w:divsChild>
                    </w:div>
                    <w:div w:id="1535732677">
                      <w:marLeft w:val="0"/>
                      <w:marRight w:val="0"/>
                      <w:marTop w:val="0"/>
                      <w:marBottom w:val="0"/>
                      <w:divBdr>
                        <w:top w:val="none" w:sz="0" w:space="0" w:color="auto"/>
                        <w:left w:val="none" w:sz="0" w:space="0" w:color="auto"/>
                        <w:bottom w:val="none" w:sz="0" w:space="0" w:color="auto"/>
                        <w:right w:val="none" w:sz="0" w:space="0" w:color="auto"/>
                      </w:divBdr>
                      <w:divsChild>
                        <w:div w:id="1172070172">
                          <w:marLeft w:val="0"/>
                          <w:marRight w:val="0"/>
                          <w:marTop w:val="0"/>
                          <w:marBottom w:val="0"/>
                          <w:divBdr>
                            <w:top w:val="none" w:sz="0" w:space="0" w:color="auto"/>
                            <w:left w:val="none" w:sz="0" w:space="0" w:color="auto"/>
                            <w:bottom w:val="none" w:sz="0" w:space="0" w:color="auto"/>
                            <w:right w:val="none" w:sz="0" w:space="0" w:color="auto"/>
                          </w:divBdr>
                        </w:div>
                      </w:divsChild>
                    </w:div>
                    <w:div w:id="1817066983">
                      <w:marLeft w:val="0"/>
                      <w:marRight w:val="0"/>
                      <w:marTop w:val="0"/>
                      <w:marBottom w:val="0"/>
                      <w:divBdr>
                        <w:top w:val="none" w:sz="0" w:space="0" w:color="auto"/>
                        <w:left w:val="none" w:sz="0" w:space="0" w:color="auto"/>
                        <w:bottom w:val="none" w:sz="0" w:space="0" w:color="auto"/>
                        <w:right w:val="none" w:sz="0" w:space="0" w:color="auto"/>
                      </w:divBdr>
                      <w:divsChild>
                        <w:div w:id="121923681">
                          <w:marLeft w:val="0"/>
                          <w:marRight w:val="0"/>
                          <w:marTop w:val="0"/>
                          <w:marBottom w:val="0"/>
                          <w:divBdr>
                            <w:top w:val="none" w:sz="0" w:space="0" w:color="auto"/>
                            <w:left w:val="none" w:sz="0" w:space="0" w:color="auto"/>
                            <w:bottom w:val="none" w:sz="0" w:space="0" w:color="auto"/>
                            <w:right w:val="none" w:sz="0" w:space="0" w:color="auto"/>
                          </w:divBdr>
                        </w:div>
                      </w:divsChild>
                    </w:div>
                    <w:div w:id="1873612768">
                      <w:marLeft w:val="0"/>
                      <w:marRight w:val="0"/>
                      <w:marTop w:val="0"/>
                      <w:marBottom w:val="0"/>
                      <w:divBdr>
                        <w:top w:val="none" w:sz="0" w:space="0" w:color="auto"/>
                        <w:left w:val="none" w:sz="0" w:space="0" w:color="auto"/>
                        <w:bottom w:val="none" w:sz="0" w:space="0" w:color="auto"/>
                        <w:right w:val="none" w:sz="0" w:space="0" w:color="auto"/>
                      </w:divBdr>
                      <w:divsChild>
                        <w:div w:id="1956404393">
                          <w:marLeft w:val="0"/>
                          <w:marRight w:val="0"/>
                          <w:marTop w:val="0"/>
                          <w:marBottom w:val="0"/>
                          <w:divBdr>
                            <w:top w:val="none" w:sz="0" w:space="0" w:color="auto"/>
                            <w:left w:val="none" w:sz="0" w:space="0" w:color="auto"/>
                            <w:bottom w:val="none" w:sz="0" w:space="0" w:color="auto"/>
                            <w:right w:val="none" w:sz="0" w:space="0" w:color="auto"/>
                          </w:divBdr>
                        </w:div>
                      </w:divsChild>
                    </w:div>
                    <w:div w:id="1891184012">
                      <w:marLeft w:val="0"/>
                      <w:marRight w:val="0"/>
                      <w:marTop w:val="0"/>
                      <w:marBottom w:val="0"/>
                      <w:divBdr>
                        <w:top w:val="none" w:sz="0" w:space="0" w:color="auto"/>
                        <w:left w:val="none" w:sz="0" w:space="0" w:color="auto"/>
                        <w:bottom w:val="none" w:sz="0" w:space="0" w:color="auto"/>
                        <w:right w:val="none" w:sz="0" w:space="0" w:color="auto"/>
                      </w:divBdr>
                      <w:divsChild>
                        <w:div w:id="244800585">
                          <w:marLeft w:val="0"/>
                          <w:marRight w:val="0"/>
                          <w:marTop w:val="0"/>
                          <w:marBottom w:val="0"/>
                          <w:divBdr>
                            <w:top w:val="none" w:sz="0" w:space="0" w:color="auto"/>
                            <w:left w:val="none" w:sz="0" w:space="0" w:color="auto"/>
                            <w:bottom w:val="none" w:sz="0" w:space="0" w:color="auto"/>
                            <w:right w:val="none" w:sz="0" w:space="0" w:color="auto"/>
                          </w:divBdr>
                        </w:div>
                      </w:divsChild>
                    </w:div>
                    <w:div w:id="1927763854">
                      <w:marLeft w:val="0"/>
                      <w:marRight w:val="0"/>
                      <w:marTop w:val="0"/>
                      <w:marBottom w:val="0"/>
                      <w:divBdr>
                        <w:top w:val="none" w:sz="0" w:space="0" w:color="auto"/>
                        <w:left w:val="none" w:sz="0" w:space="0" w:color="auto"/>
                        <w:bottom w:val="none" w:sz="0" w:space="0" w:color="auto"/>
                        <w:right w:val="none" w:sz="0" w:space="0" w:color="auto"/>
                      </w:divBdr>
                      <w:divsChild>
                        <w:div w:id="720708110">
                          <w:marLeft w:val="0"/>
                          <w:marRight w:val="0"/>
                          <w:marTop w:val="0"/>
                          <w:marBottom w:val="0"/>
                          <w:divBdr>
                            <w:top w:val="none" w:sz="0" w:space="0" w:color="auto"/>
                            <w:left w:val="none" w:sz="0" w:space="0" w:color="auto"/>
                            <w:bottom w:val="none" w:sz="0" w:space="0" w:color="auto"/>
                            <w:right w:val="none" w:sz="0" w:space="0" w:color="auto"/>
                          </w:divBdr>
                        </w:div>
                      </w:divsChild>
                    </w:div>
                    <w:div w:id="2016687144">
                      <w:marLeft w:val="0"/>
                      <w:marRight w:val="0"/>
                      <w:marTop w:val="0"/>
                      <w:marBottom w:val="0"/>
                      <w:divBdr>
                        <w:top w:val="none" w:sz="0" w:space="0" w:color="auto"/>
                        <w:left w:val="none" w:sz="0" w:space="0" w:color="auto"/>
                        <w:bottom w:val="none" w:sz="0" w:space="0" w:color="auto"/>
                        <w:right w:val="none" w:sz="0" w:space="0" w:color="auto"/>
                      </w:divBdr>
                      <w:divsChild>
                        <w:div w:id="9142271">
                          <w:marLeft w:val="0"/>
                          <w:marRight w:val="0"/>
                          <w:marTop w:val="0"/>
                          <w:marBottom w:val="0"/>
                          <w:divBdr>
                            <w:top w:val="none" w:sz="0" w:space="0" w:color="auto"/>
                            <w:left w:val="none" w:sz="0" w:space="0" w:color="auto"/>
                            <w:bottom w:val="none" w:sz="0" w:space="0" w:color="auto"/>
                            <w:right w:val="none" w:sz="0" w:space="0" w:color="auto"/>
                          </w:divBdr>
                        </w:div>
                      </w:divsChild>
                    </w:div>
                    <w:div w:id="2065250820">
                      <w:marLeft w:val="0"/>
                      <w:marRight w:val="0"/>
                      <w:marTop w:val="0"/>
                      <w:marBottom w:val="0"/>
                      <w:divBdr>
                        <w:top w:val="none" w:sz="0" w:space="0" w:color="auto"/>
                        <w:left w:val="none" w:sz="0" w:space="0" w:color="auto"/>
                        <w:bottom w:val="none" w:sz="0" w:space="0" w:color="auto"/>
                        <w:right w:val="none" w:sz="0" w:space="0" w:color="auto"/>
                      </w:divBdr>
                      <w:divsChild>
                        <w:div w:id="1404567899">
                          <w:marLeft w:val="0"/>
                          <w:marRight w:val="0"/>
                          <w:marTop w:val="0"/>
                          <w:marBottom w:val="0"/>
                          <w:divBdr>
                            <w:top w:val="none" w:sz="0" w:space="0" w:color="auto"/>
                            <w:left w:val="none" w:sz="0" w:space="0" w:color="auto"/>
                            <w:bottom w:val="none" w:sz="0" w:space="0" w:color="auto"/>
                            <w:right w:val="none" w:sz="0" w:space="0" w:color="auto"/>
                          </w:divBdr>
                        </w:div>
                      </w:divsChild>
                    </w:div>
                    <w:div w:id="2088263776">
                      <w:marLeft w:val="0"/>
                      <w:marRight w:val="0"/>
                      <w:marTop w:val="0"/>
                      <w:marBottom w:val="0"/>
                      <w:divBdr>
                        <w:top w:val="none" w:sz="0" w:space="0" w:color="auto"/>
                        <w:left w:val="none" w:sz="0" w:space="0" w:color="auto"/>
                        <w:bottom w:val="none" w:sz="0" w:space="0" w:color="auto"/>
                        <w:right w:val="none" w:sz="0" w:space="0" w:color="auto"/>
                      </w:divBdr>
                      <w:divsChild>
                        <w:div w:id="1214849603">
                          <w:marLeft w:val="0"/>
                          <w:marRight w:val="0"/>
                          <w:marTop w:val="0"/>
                          <w:marBottom w:val="0"/>
                          <w:divBdr>
                            <w:top w:val="none" w:sz="0" w:space="0" w:color="auto"/>
                            <w:left w:val="none" w:sz="0" w:space="0" w:color="auto"/>
                            <w:bottom w:val="none" w:sz="0" w:space="0" w:color="auto"/>
                            <w:right w:val="none" w:sz="0" w:space="0" w:color="auto"/>
                          </w:divBdr>
                        </w:div>
                      </w:divsChild>
                    </w:div>
                    <w:div w:id="2089032142">
                      <w:marLeft w:val="0"/>
                      <w:marRight w:val="0"/>
                      <w:marTop w:val="0"/>
                      <w:marBottom w:val="0"/>
                      <w:divBdr>
                        <w:top w:val="none" w:sz="0" w:space="0" w:color="auto"/>
                        <w:left w:val="none" w:sz="0" w:space="0" w:color="auto"/>
                        <w:bottom w:val="none" w:sz="0" w:space="0" w:color="auto"/>
                        <w:right w:val="none" w:sz="0" w:space="0" w:color="auto"/>
                      </w:divBdr>
                      <w:divsChild>
                        <w:div w:id="1858881934">
                          <w:marLeft w:val="0"/>
                          <w:marRight w:val="0"/>
                          <w:marTop w:val="0"/>
                          <w:marBottom w:val="0"/>
                          <w:divBdr>
                            <w:top w:val="none" w:sz="0" w:space="0" w:color="auto"/>
                            <w:left w:val="none" w:sz="0" w:space="0" w:color="auto"/>
                            <w:bottom w:val="none" w:sz="0" w:space="0" w:color="auto"/>
                            <w:right w:val="none" w:sz="0" w:space="0" w:color="auto"/>
                          </w:divBdr>
                        </w:div>
                      </w:divsChild>
                    </w:div>
                    <w:div w:id="2125077245">
                      <w:marLeft w:val="0"/>
                      <w:marRight w:val="0"/>
                      <w:marTop w:val="0"/>
                      <w:marBottom w:val="0"/>
                      <w:divBdr>
                        <w:top w:val="none" w:sz="0" w:space="0" w:color="auto"/>
                        <w:left w:val="none" w:sz="0" w:space="0" w:color="auto"/>
                        <w:bottom w:val="none" w:sz="0" w:space="0" w:color="auto"/>
                        <w:right w:val="none" w:sz="0" w:space="0" w:color="auto"/>
                      </w:divBdr>
                      <w:divsChild>
                        <w:div w:id="1228027998">
                          <w:marLeft w:val="0"/>
                          <w:marRight w:val="0"/>
                          <w:marTop w:val="0"/>
                          <w:marBottom w:val="0"/>
                          <w:divBdr>
                            <w:top w:val="none" w:sz="0" w:space="0" w:color="auto"/>
                            <w:left w:val="none" w:sz="0" w:space="0" w:color="auto"/>
                            <w:bottom w:val="none" w:sz="0" w:space="0" w:color="auto"/>
                            <w:right w:val="none" w:sz="0" w:space="0" w:color="auto"/>
                          </w:divBdr>
                        </w:div>
                      </w:divsChild>
                    </w:div>
                    <w:div w:id="2130319004">
                      <w:marLeft w:val="0"/>
                      <w:marRight w:val="0"/>
                      <w:marTop w:val="0"/>
                      <w:marBottom w:val="0"/>
                      <w:divBdr>
                        <w:top w:val="none" w:sz="0" w:space="0" w:color="auto"/>
                        <w:left w:val="none" w:sz="0" w:space="0" w:color="auto"/>
                        <w:bottom w:val="none" w:sz="0" w:space="0" w:color="auto"/>
                        <w:right w:val="none" w:sz="0" w:space="0" w:color="auto"/>
                      </w:divBdr>
                      <w:divsChild>
                        <w:div w:id="957492851">
                          <w:marLeft w:val="0"/>
                          <w:marRight w:val="0"/>
                          <w:marTop w:val="0"/>
                          <w:marBottom w:val="0"/>
                          <w:divBdr>
                            <w:top w:val="none" w:sz="0" w:space="0" w:color="auto"/>
                            <w:left w:val="none" w:sz="0" w:space="0" w:color="auto"/>
                            <w:bottom w:val="none" w:sz="0" w:space="0" w:color="auto"/>
                            <w:right w:val="none" w:sz="0" w:space="0" w:color="auto"/>
                          </w:divBdr>
                        </w:div>
                      </w:divsChild>
                    </w:div>
                    <w:div w:id="2135516614">
                      <w:marLeft w:val="0"/>
                      <w:marRight w:val="0"/>
                      <w:marTop w:val="0"/>
                      <w:marBottom w:val="0"/>
                      <w:divBdr>
                        <w:top w:val="none" w:sz="0" w:space="0" w:color="auto"/>
                        <w:left w:val="none" w:sz="0" w:space="0" w:color="auto"/>
                        <w:bottom w:val="none" w:sz="0" w:space="0" w:color="auto"/>
                        <w:right w:val="none" w:sz="0" w:space="0" w:color="auto"/>
                      </w:divBdr>
                      <w:divsChild>
                        <w:div w:id="15411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0380">
              <w:marLeft w:val="0"/>
              <w:marRight w:val="0"/>
              <w:marTop w:val="0"/>
              <w:marBottom w:val="0"/>
              <w:divBdr>
                <w:top w:val="none" w:sz="0" w:space="0" w:color="auto"/>
                <w:left w:val="none" w:sz="0" w:space="0" w:color="auto"/>
                <w:bottom w:val="none" w:sz="0" w:space="0" w:color="auto"/>
                <w:right w:val="none" w:sz="0" w:space="0" w:color="auto"/>
              </w:divBdr>
            </w:div>
            <w:div w:id="1649092427">
              <w:marLeft w:val="0"/>
              <w:marRight w:val="0"/>
              <w:marTop w:val="0"/>
              <w:marBottom w:val="0"/>
              <w:divBdr>
                <w:top w:val="none" w:sz="0" w:space="0" w:color="auto"/>
                <w:left w:val="none" w:sz="0" w:space="0" w:color="auto"/>
                <w:bottom w:val="none" w:sz="0" w:space="0" w:color="auto"/>
                <w:right w:val="none" w:sz="0" w:space="0" w:color="auto"/>
              </w:divBdr>
            </w:div>
            <w:div w:id="1751853102">
              <w:marLeft w:val="0"/>
              <w:marRight w:val="0"/>
              <w:marTop w:val="0"/>
              <w:marBottom w:val="0"/>
              <w:divBdr>
                <w:top w:val="none" w:sz="0" w:space="0" w:color="auto"/>
                <w:left w:val="none" w:sz="0" w:space="0" w:color="auto"/>
                <w:bottom w:val="none" w:sz="0" w:space="0" w:color="auto"/>
                <w:right w:val="none" w:sz="0" w:space="0" w:color="auto"/>
              </w:divBdr>
            </w:div>
            <w:div w:id="1836456044">
              <w:marLeft w:val="0"/>
              <w:marRight w:val="0"/>
              <w:marTop w:val="0"/>
              <w:marBottom w:val="0"/>
              <w:divBdr>
                <w:top w:val="none" w:sz="0" w:space="0" w:color="auto"/>
                <w:left w:val="none" w:sz="0" w:space="0" w:color="auto"/>
                <w:bottom w:val="none" w:sz="0" w:space="0" w:color="auto"/>
                <w:right w:val="none" w:sz="0" w:space="0" w:color="auto"/>
              </w:divBdr>
            </w:div>
            <w:div w:id="1871990899">
              <w:marLeft w:val="0"/>
              <w:marRight w:val="0"/>
              <w:marTop w:val="0"/>
              <w:marBottom w:val="0"/>
              <w:divBdr>
                <w:top w:val="none" w:sz="0" w:space="0" w:color="auto"/>
                <w:left w:val="none" w:sz="0" w:space="0" w:color="auto"/>
                <w:bottom w:val="none" w:sz="0" w:space="0" w:color="auto"/>
                <w:right w:val="none" w:sz="0" w:space="0" w:color="auto"/>
              </w:divBdr>
            </w:div>
            <w:div w:id="1951164676">
              <w:marLeft w:val="0"/>
              <w:marRight w:val="0"/>
              <w:marTop w:val="0"/>
              <w:marBottom w:val="0"/>
              <w:divBdr>
                <w:top w:val="none" w:sz="0" w:space="0" w:color="auto"/>
                <w:left w:val="none" w:sz="0" w:space="0" w:color="auto"/>
                <w:bottom w:val="none" w:sz="0" w:space="0" w:color="auto"/>
                <w:right w:val="none" w:sz="0" w:space="0" w:color="auto"/>
              </w:divBdr>
            </w:div>
            <w:div w:id="1975061930">
              <w:marLeft w:val="0"/>
              <w:marRight w:val="0"/>
              <w:marTop w:val="0"/>
              <w:marBottom w:val="0"/>
              <w:divBdr>
                <w:top w:val="none" w:sz="0" w:space="0" w:color="auto"/>
                <w:left w:val="none" w:sz="0" w:space="0" w:color="auto"/>
                <w:bottom w:val="none" w:sz="0" w:space="0" w:color="auto"/>
                <w:right w:val="none" w:sz="0" w:space="0" w:color="auto"/>
              </w:divBdr>
            </w:div>
          </w:divsChild>
        </w:div>
        <w:div w:id="1859813357">
          <w:marLeft w:val="0"/>
          <w:marRight w:val="0"/>
          <w:marTop w:val="0"/>
          <w:marBottom w:val="0"/>
          <w:divBdr>
            <w:top w:val="none" w:sz="0" w:space="0" w:color="auto"/>
            <w:left w:val="none" w:sz="0" w:space="0" w:color="auto"/>
            <w:bottom w:val="none" w:sz="0" w:space="0" w:color="auto"/>
            <w:right w:val="none" w:sz="0" w:space="0" w:color="auto"/>
          </w:divBdr>
        </w:div>
        <w:div w:id="1921475394">
          <w:marLeft w:val="0"/>
          <w:marRight w:val="0"/>
          <w:marTop w:val="0"/>
          <w:marBottom w:val="0"/>
          <w:divBdr>
            <w:top w:val="none" w:sz="0" w:space="0" w:color="auto"/>
            <w:left w:val="none" w:sz="0" w:space="0" w:color="auto"/>
            <w:bottom w:val="none" w:sz="0" w:space="0" w:color="auto"/>
            <w:right w:val="none" w:sz="0" w:space="0" w:color="auto"/>
          </w:divBdr>
        </w:div>
        <w:div w:id="1924490943">
          <w:marLeft w:val="0"/>
          <w:marRight w:val="0"/>
          <w:marTop w:val="0"/>
          <w:marBottom w:val="0"/>
          <w:divBdr>
            <w:top w:val="none" w:sz="0" w:space="0" w:color="auto"/>
            <w:left w:val="none" w:sz="0" w:space="0" w:color="auto"/>
            <w:bottom w:val="none" w:sz="0" w:space="0" w:color="auto"/>
            <w:right w:val="none" w:sz="0" w:space="0" w:color="auto"/>
          </w:divBdr>
          <w:divsChild>
            <w:div w:id="1655721252">
              <w:marLeft w:val="-75"/>
              <w:marRight w:val="0"/>
              <w:marTop w:val="30"/>
              <w:marBottom w:val="30"/>
              <w:divBdr>
                <w:top w:val="none" w:sz="0" w:space="0" w:color="auto"/>
                <w:left w:val="none" w:sz="0" w:space="0" w:color="auto"/>
                <w:bottom w:val="none" w:sz="0" w:space="0" w:color="auto"/>
                <w:right w:val="none" w:sz="0" w:space="0" w:color="auto"/>
              </w:divBdr>
              <w:divsChild>
                <w:div w:id="1397201">
                  <w:marLeft w:val="0"/>
                  <w:marRight w:val="0"/>
                  <w:marTop w:val="0"/>
                  <w:marBottom w:val="0"/>
                  <w:divBdr>
                    <w:top w:val="none" w:sz="0" w:space="0" w:color="auto"/>
                    <w:left w:val="none" w:sz="0" w:space="0" w:color="auto"/>
                    <w:bottom w:val="none" w:sz="0" w:space="0" w:color="auto"/>
                    <w:right w:val="none" w:sz="0" w:space="0" w:color="auto"/>
                  </w:divBdr>
                  <w:divsChild>
                    <w:div w:id="691415173">
                      <w:marLeft w:val="0"/>
                      <w:marRight w:val="0"/>
                      <w:marTop w:val="0"/>
                      <w:marBottom w:val="0"/>
                      <w:divBdr>
                        <w:top w:val="none" w:sz="0" w:space="0" w:color="auto"/>
                        <w:left w:val="none" w:sz="0" w:space="0" w:color="auto"/>
                        <w:bottom w:val="none" w:sz="0" w:space="0" w:color="auto"/>
                        <w:right w:val="none" w:sz="0" w:space="0" w:color="auto"/>
                      </w:divBdr>
                    </w:div>
                  </w:divsChild>
                </w:div>
                <w:div w:id="26411063">
                  <w:marLeft w:val="0"/>
                  <w:marRight w:val="0"/>
                  <w:marTop w:val="0"/>
                  <w:marBottom w:val="0"/>
                  <w:divBdr>
                    <w:top w:val="none" w:sz="0" w:space="0" w:color="auto"/>
                    <w:left w:val="none" w:sz="0" w:space="0" w:color="auto"/>
                    <w:bottom w:val="none" w:sz="0" w:space="0" w:color="auto"/>
                    <w:right w:val="none" w:sz="0" w:space="0" w:color="auto"/>
                  </w:divBdr>
                  <w:divsChild>
                    <w:div w:id="141851199">
                      <w:marLeft w:val="0"/>
                      <w:marRight w:val="0"/>
                      <w:marTop w:val="0"/>
                      <w:marBottom w:val="0"/>
                      <w:divBdr>
                        <w:top w:val="none" w:sz="0" w:space="0" w:color="auto"/>
                        <w:left w:val="none" w:sz="0" w:space="0" w:color="auto"/>
                        <w:bottom w:val="none" w:sz="0" w:space="0" w:color="auto"/>
                        <w:right w:val="none" w:sz="0" w:space="0" w:color="auto"/>
                      </w:divBdr>
                    </w:div>
                  </w:divsChild>
                </w:div>
                <w:div w:id="38281411">
                  <w:marLeft w:val="0"/>
                  <w:marRight w:val="0"/>
                  <w:marTop w:val="0"/>
                  <w:marBottom w:val="0"/>
                  <w:divBdr>
                    <w:top w:val="none" w:sz="0" w:space="0" w:color="auto"/>
                    <w:left w:val="none" w:sz="0" w:space="0" w:color="auto"/>
                    <w:bottom w:val="none" w:sz="0" w:space="0" w:color="auto"/>
                    <w:right w:val="none" w:sz="0" w:space="0" w:color="auto"/>
                  </w:divBdr>
                  <w:divsChild>
                    <w:div w:id="591477637">
                      <w:marLeft w:val="0"/>
                      <w:marRight w:val="0"/>
                      <w:marTop w:val="0"/>
                      <w:marBottom w:val="0"/>
                      <w:divBdr>
                        <w:top w:val="none" w:sz="0" w:space="0" w:color="auto"/>
                        <w:left w:val="none" w:sz="0" w:space="0" w:color="auto"/>
                        <w:bottom w:val="none" w:sz="0" w:space="0" w:color="auto"/>
                        <w:right w:val="none" w:sz="0" w:space="0" w:color="auto"/>
                      </w:divBdr>
                    </w:div>
                  </w:divsChild>
                </w:div>
                <w:div w:id="89325869">
                  <w:marLeft w:val="0"/>
                  <w:marRight w:val="0"/>
                  <w:marTop w:val="0"/>
                  <w:marBottom w:val="0"/>
                  <w:divBdr>
                    <w:top w:val="none" w:sz="0" w:space="0" w:color="auto"/>
                    <w:left w:val="none" w:sz="0" w:space="0" w:color="auto"/>
                    <w:bottom w:val="none" w:sz="0" w:space="0" w:color="auto"/>
                    <w:right w:val="none" w:sz="0" w:space="0" w:color="auto"/>
                  </w:divBdr>
                  <w:divsChild>
                    <w:div w:id="1954939370">
                      <w:marLeft w:val="0"/>
                      <w:marRight w:val="0"/>
                      <w:marTop w:val="0"/>
                      <w:marBottom w:val="0"/>
                      <w:divBdr>
                        <w:top w:val="none" w:sz="0" w:space="0" w:color="auto"/>
                        <w:left w:val="none" w:sz="0" w:space="0" w:color="auto"/>
                        <w:bottom w:val="none" w:sz="0" w:space="0" w:color="auto"/>
                        <w:right w:val="none" w:sz="0" w:space="0" w:color="auto"/>
                      </w:divBdr>
                    </w:div>
                  </w:divsChild>
                </w:div>
                <w:div w:id="118843187">
                  <w:marLeft w:val="0"/>
                  <w:marRight w:val="0"/>
                  <w:marTop w:val="0"/>
                  <w:marBottom w:val="0"/>
                  <w:divBdr>
                    <w:top w:val="none" w:sz="0" w:space="0" w:color="auto"/>
                    <w:left w:val="none" w:sz="0" w:space="0" w:color="auto"/>
                    <w:bottom w:val="none" w:sz="0" w:space="0" w:color="auto"/>
                    <w:right w:val="none" w:sz="0" w:space="0" w:color="auto"/>
                  </w:divBdr>
                  <w:divsChild>
                    <w:div w:id="1963806849">
                      <w:marLeft w:val="0"/>
                      <w:marRight w:val="0"/>
                      <w:marTop w:val="0"/>
                      <w:marBottom w:val="0"/>
                      <w:divBdr>
                        <w:top w:val="none" w:sz="0" w:space="0" w:color="auto"/>
                        <w:left w:val="none" w:sz="0" w:space="0" w:color="auto"/>
                        <w:bottom w:val="none" w:sz="0" w:space="0" w:color="auto"/>
                        <w:right w:val="none" w:sz="0" w:space="0" w:color="auto"/>
                      </w:divBdr>
                    </w:div>
                  </w:divsChild>
                </w:div>
                <w:div w:id="150103995">
                  <w:marLeft w:val="0"/>
                  <w:marRight w:val="0"/>
                  <w:marTop w:val="0"/>
                  <w:marBottom w:val="0"/>
                  <w:divBdr>
                    <w:top w:val="none" w:sz="0" w:space="0" w:color="auto"/>
                    <w:left w:val="none" w:sz="0" w:space="0" w:color="auto"/>
                    <w:bottom w:val="none" w:sz="0" w:space="0" w:color="auto"/>
                    <w:right w:val="none" w:sz="0" w:space="0" w:color="auto"/>
                  </w:divBdr>
                  <w:divsChild>
                    <w:div w:id="685256037">
                      <w:marLeft w:val="0"/>
                      <w:marRight w:val="0"/>
                      <w:marTop w:val="0"/>
                      <w:marBottom w:val="0"/>
                      <w:divBdr>
                        <w:top w:val="none" w:sz="0" w:space="0" w:color="auto"/>
                        <w:left w:val="none" w:sz="0" w:space="0" w:color="auto"/>
                        <w:bottom w:val="none" w:sz="0" w:space="0" w:color="auto"/>
                        <w:right w:val="none" w:sz="0" w:space="0" w:color="auto"/>
                      </w:divBdr>
                    </w:div>
                  </w:divsChild>
                </w:div>
                <w:div w:id="245460204">
                  <w:marLeft w:val="0"/>
                  <w:marRight w:val="0"/>
                  <w:marTop w:val="0"/>
                  <w:marBottom w:val="0"/>
                  <w:divBdr>
                    <w:top w:val="none" w:sz="0" w:space="0" w:color="auto"/>
                    <w:left w:val="none" w:sz="0" w:space="0" w:color="auto"/>
                    <w:bottom w:val="none" w:sz="0" w:space="0" w:color="auto"/>
                    <w:right w:val="none" w:sz="0" w:space="0" w:color="auto"/>
                  </w:divBdr>
                  <w:divsChild>
                    <w:div w:id="1697344076">
                      <w:marLeft w:val="0"/>
                      <w:marRight w:val="0"/>
                      <w:marTop w:val="0"/>
                      <w:marBottom w:val="0"/>
                      <w:divBdr>
                        <w:top w:val="none" w:sz="0" w:space="0" w:color="auto"/>
                        <w:left w:val="none" w:sz="0" w:space="0" w:color="auto"/>
                        <w:bottom w:val="none" w:sz="0" w:space="0" w:color="auto"/>
                        <w:right w:val="none" w:sz="0" w:space="0" w:color="auto"/>
                      </w:divBdr>
                    </w:div>
                  </w:divsChild>
                </w:div>
                <w:div w:id="295185748">
                  <w:marLeft w:val="0"/>
                  <w:marRight w:val="0"/>
                  <w:marTop w:val="0"/>
                  <w:marBottom w:val="0"/>
                  <w:divBdr>
                    <w:top w:val="none" w:sz="0" w:space="0" w:color="auto"/>
                    <w:left w:val="none" w:sz="0" w:space="0" w:color="auto"/>
                    <w:bottom w:val="none" w:sz="0" w:space="0" w:color="auto"/>
                    <w:right w:val="none" w:sz="0" w:space="0" w:color="auto"/>
                  </w:divBdr>
                  <w:divsChild>
                    <w:div w:id="931161339">
                      <w:marLeft w:val="0"/>
                      <w:marRight w:val="0"/>
                      <w:marTop w:val="0"/>
                      <w:marBottom w:val="0"/>
                      <w:divBdr>
                        <w:top w:val="none" w:sz="0" w:space="0" w:color="auto"/>
                        <w:left w:val="none" w:sz="0" w:space="0" w:color="auto"/>
                        <w:bottom w:val="none" w:sz="0" w:space="0" w:color="auto"/>
                        <w:right w:val="none" w:sz="0" w:space="0" w:color="auto"/>
                      </w:divBdr>
                    </w:div>
                  </w:divsChild>
                </w:div>
                <w:div w:id="406342720">
                  <w:marLeft w:val="0"/>
                  <w:marRight w:val="0"/>
                  <w:marTop w:val="0"/>
                  <w:marBottom w:val="0"/>
                  <w:divBdr>
                    <w:top w:val="none" w:sz="0" w:space="0" w:color="auto"/>
                    <w:left w:val="none" w:sz="0" w:space="0" w:color="auto"/>
                    <w:bottom w:val="none" w:sz="0" w:space="0" w:color="auto"/>
                    <w:right w:val="none" w:sz="0" w:space="0" w:color="auto"/>
                  </w:divBdr>
                  <w:divsChild>
                    <w:div w:id="431511896">
                      <w:marLeft w:val="0"/>
                      <w:marRight w:val="0"/>
                      <w:marTop w:val="0"/>
                      <w:marBottom w:val="0"/>
                      <w:divBdr>
                        <w:top w:val="none" w:sz="0" w:space="0" w:color="auto"/>
                        <w:left w:val="none" w:sz="0" w:space="0" w:color="auto"/>
                        <w:bottom w:val="none" w:sz="0" w:space="0" w:color="auto"/>
                        <w:right w:val="none" w:sz="0" w:space="0" w:color="auto"/>
                      </w:divBdr>
                    </w:div>
                  </w:divsChild>
                </w:div>
                <w:div w:id="411239705">
                  <w:marLeft w:val="0"/>
                  <w:marRight w:val="0"/>
                  <w:marTop w:val="0"/>
                  <w:marBottom w:val="0"/>
                  <w:divBdr>
                    <w:top w:val="none" w:sz="0" w:space="0" w:color="auto"/>
                    <w:left w:val="none" w:sz="0" w:space="0" w:color="auto"/>
                    <w:bottom w:val="none" w:sz="0" w:space="0" w:color="auto"/>
                    <w:right w:val="none" w:sz="0" w:space="0" w:color="auto"/>
                  </w:divBdr>
                  <w:divsChild>
                    <w:div w:id="885264135">
                      <w:marLeft w:val="0"/>
                      <w:marRight w:val="0"/>
                      <w:marTop w:val="0"/>
                      <w:marBottom w:val="0"/>
                      <w:divBdr>
                        <w:top w:val="none" w:sz="0" w:space="0" w:color="auto"/>
                        <w:left w:val="none" w:sz="0" w:space="0" w:color="auto"/>
                        <w:bottom w:val="none" w:sz="0" w:space="0" w:color="auto"/>
                        <w:right w:val="none" w:sz="0" w:space="0" w:color="auto"/>
                      </w:divBdr>
                    </w:div>
                  </w:divsChild>
                </w:div>
                <w:div w:id="471944720">
                  <w:marLeft w:val="0"/>
                  <w:marRight w:val="0"/>
                  <w:marTop w:val="0"/>
                  <w:marBottom w:val="0"/>
                  <w:divBdr>
                    <w:top w:val="none" w:sz="0" w:space="0" w:color="auto"/>
                    <w:left w:val="none" w:sz="0" w:space="0" w:color="auto"/>
                    <w:bottom w:val="none" w:sz="0" w:space="0" w:color="auto"/>
                    <w:right w:val="none" w:sz="0" w:space="0" w:color="auto"/>
                  </w:divBdr>
                  <w:divsChild>
                    <w:div w:id="1109276770">
                      <w:marLeft w:val="0"/>
                      <w:marRight w:val="0"/>
                      <w:marTop w:val="0"/>
                      <w:marBottom w:val="0"/>
                      <w:divBdr>
                        <w:top w:val="none" w:sz="0" w:space="0" w:color="auto"/>
                        <w:left w:val="none" w:sz="0" w:space="0" w:color="auto"/>
                        <w:bottom w:val="none" w:sz="0" w:space="0" w:color="auto"/>
                        <w:right w:val="none" w:sz="0" w:space="0" w:color="auto"/>
                      </w:divBdr>
                    </w:div>
                  </w:divsChild>
                </w:div>
                <w:div w:id="475729821">
                  <w:marLeft w:val="0"/>
                  <w:marRight w:val="0"/>
                  <w:marTop w:val="0"/>
                  <w:marBottom w:val="0"/>
                  <w:divBdr>
                    <w:top w:val="none" w:sz="0" w:space="0" w:color="auto"/>
                    <w:left w:val="none" w:sz="0" w:space="0" w:color="auto"/>
                    <w:bottom w:val="none" w:sz="0" w:space="0" w:color="auto"/>
                    <w:right w:val="none" w:sz="0" w:space="0" w:color="auto"/>
                  </w:divBdr>
                  <w:divsChild>
                    <w:div w:id="1935093370">
                      <w:marLeft w:val="0"/>
                      <w:marRight w:val="0"/>
                      <w:marTop w:val="0"/>
                      <w:marBottom w:val="0"/>
                      <w:divBdr>
                        <w:top w:val="none" w:sz="0" w:space="0" w:color="auto"/>
                        <w:left w:val="none" w:sz="0" w:space="0" w:color="auto"/>
                        <w:bottom w:val="none" w:sz="0" w:space="0" w:color="auto"/>
                        <w:right w:val="none" w:sz="0" w:space="0" w:color="auto"/>
                      </w:divBdr>
                    </w:div>
                  </w:divsChild>
                </w:div>
                <w:div w:id="511988311">
                  <w:marLeft w:val="0"/>
                  <w:marRight w:val="0"/>
                  <w:marTop w:val="0"/>
                  <w:marBottom w:val="0"/>
                  <w:divBdr>
                    <w:top w:val="none" w:sz="0" w:space="0" w:color="auto"/>
                    <w:left w:val="none" w:sz="0" w:space="0" w:color="auto"/>
                    <w:bottom w:val="none" w:sz="0" w:space="0" w:color="auto"/>
                    <w:right w:val="none" w:sz="0" w:space="0" w:color="auto"/>
                  </w:divBdr>
                  <w:divsChild>
                    <w:div w:id="697974312">
                      <w:marLeft w:val="0"/>
                      <w:marRight w:val="0"/>
                      <w:marTop w:val="0"/>
                      <w:marBottom w:val="0"/>
                      <w:divBdr>
                        <w:top w:val="none" w:sz="0" w:space="0" w:color="auto"/>
                        <w:left w:val="none" w:sz="0" w:space="0" w:color="auto"/>
                        <w:bottom w:val="none" w:sz="0" w:space="0" w:color="auto"/>
                        <w:right w:val="none" w:sz="0" w:space="0" w:color="auto"/>
                      </w:divBdr>
                    </w:div>
                  </w:divsChild>
                </w:div>
                <w:div w:id="638534856">
                  <w:marLeft w:val="0"/>
                  <w:marRight w:val="0"/>
                  <w:marTop w:val="0"/>
                  <w:marBottom w:val="0"/>
                  <w:divBdr>
                    <w:top w:val="none" w:sz="0" w:space="0" w:color="auto"/>
                    <w:left w:val="none" w:sz="0" w:space="0" w:color="auto"/>
                    <w:bottom w:val="none" w:sz="0" w:space="0" w:color="auto"/>
                    <w:right w:val="none" w:sz="0" w:space="0" w:color="auto"/>
                  </w:divBdr>
                  <w:divsChild>
                    <w:div w:id="504169400">
                      <w:marLeft w:val="0"/>
                      <w:marRight w:val="0"/>
                      <w:marTop w:val="0"/>
                      <w:marBottom w:val="0"/>
                      <w:divBdr>
                        <w:top w:val="none" w:sz="0" w:space="0" w:color="auto"/>
                        <w:left w:val="none" w:sz="0" w:space="0" w:color="auto"/>
                        <w:bottom w:val="none" w:sz="0" w:space="0" w:color="auto"/>
                        <w:right w:val="none" w:sz="0" w:space="0" w:color="auto"/>
                      </w:divBdr>
                    </w:div>
                  </w:divsChild>
                </w:div>
                <w:div w:id="678192033">
                  <w:marLeft w:val="0"/>
                  <w:marRight w:val="0"/>
                  <w:marTop w:val="0"/>
                  <w:marBottom w:val="0"/>
                  <w:divBdr>
                    <w:top w:val="none" w:sz="0" w:space="0" w:color="auto"/>
                    <w:left w:val="none" w:sz="0" w:space="0" w:color="auto"/>
                    <w:bottom w:val="none" w:sz="0" w:space="0" w:color="auto"/>
                    <w:right w:val="none" w:sz="0" w:space="0" w:color="auto"/>
                  </w:divBdr>
                  <w:divsChild>
                    <w:div w:id="422267170">
                      <w:marLeft w:val="0"/>
                      <w:marRight w:val="0"/>
                      <w:marTop w:val="0"/>
                      <w:marBottom w:val="0"/>
                      <w:divBdr>
                        <w:top w:val="none" w:sz="0" w:space="0" w:color="auto"/>
                        <w:left w:val="none" w:sz="0" w:space="0" w:color="auto"/>
                        <w:bottom w:val="none" w:sz="0" w:space="0" w:color="auto"/>
                        <w:right w:val="none" w:sz="0" w:space="0" w:color="auto"/>
                      </w:divBdr>
                    </w:div>
                  </w:divsChild>
                </w:div>
                <w:div w:id="726492911">
                  <w:marLeft w:val="0"/>
                  <w:marRight w:val="0"/>
                  <w:marTop w:val="0"/>
                  <w:marBottom w:val="0"/>
                  <w:divBdr>
                    <w:top w:val="none" w:sz="0" w:space="0" w:color="auto"/>
                    <w:left w:val="none" w:sz="0" w:space="0" w:color="auto"/>
                    <w:bottom w:val="none" w:sz="0" w:space="0" w:color="auto"/>
                    <w:right w:val="none" w:sz="0" w:space="0" w:color="auto"/>
                  </w:divBdr>
                  <w:divsChild>
                    <w:div w:id="607929707">
                      <w:marLeft w:val="0"/>
                      <w:marRight w:val="0"/>
                      <w:marTop w:val="0"/>
                      <w:marBottom w:val="0"/>
                      <w:divBdr>
                        <w:top w:val="none" w:sz="0" w:space="0" w:color="auto"/>
                        <w:left w:val="none" w:sz="0" w:space="0" w:color="auto"/>
                        <w:bottom w:val="none" w:sz="0" w:space="0" w:color="auto"/>
                        <w:right w:val="none" w:sz="0" w:space="0" w:color="auto"/>
                      </w:divBdr>
                    </w:div>
                  </w:divsChild>
                </w:div>
                <w:div w:id="801270973">
                  <w:marLeft w:val="0"/>
                  <w:marRight w:val="0"/>
                  <w:marTop w:val="0"/>
                  <w:marBottom w:val="0"/>
                  <w:divBdr>
                    <w:top w:val="none" w:sz="0" w:space="0" w:color="auto"/>
                    <w:left w:val="none" w:sz="0" w:space="0" w:color="auto"/>
                    <w:bottom w:val="none" w:sz="0" w:space="0" w:color="auto"/>
                    <w:right w:val="none" w:sz="0" w:space="0" w:color="auto"/>
                  </w:divBdr>
                  <w:divsChild>
                    <w:div w:id="944919375">
                      <w:marLeft w:val="0"/>
                      <w:marRight w:val="0"/>
                      <w:marTop w:val="0"/>
                      <w:marBottom w:val="0"/>
                      <w:divBdr>
                        <w:top w:val="none" w:sz="0" w:space="0" w:color="auto"/>
                        <w:left w:val="none" w:sz="0" w:space="0" w:color="auto"/>
                        <w:bottom w:val="none" w:sz="0" w:space="0" w:color="auto"/>
                        <w:right w:val="none" w:sz="0" w:space="0" w:color="auto"/>
                      </w:divBdr>
                    </w:div>
                  </w:divsChild>
                </w:div>
                <w:div w:id="805775066">
                  <w:marLeft w:val="0"/>
                  <w:marRight w:val="0"/>
                  <w:marTop w:val="0"/>
                  <w:marBottom w:val="0"/>
                  <w:divBdr>
                    <w:top w:val="none" w:sz="0" w:space="0" w:color="auto"/>
                    <w:left w:val="none" w:sz="0" w:space="0" w:color="auto"/>
                    <w:bottom w:val="none" w:sz="0" w:space="0" w:color="auto"/>
                    <w:right w:val="none" w:sz="0" w:space="0" w:color="auto"/>
                  </w:divBdr>
                  <w:divsChild>
                    <w:div w:id="1061439521">
                      <w:marLeft w:val="0"/>
                      <w:marRight w:val="0"/>
                      <w:marTop w:val="0"/>
                      <w:marBottom w:val="0"/>
                      <w:divBdr>
                        <w:top w:val="none" w:sz="0" w:space="0" w:color="auto"/>
                        <w:left w:val="none" w:sz="0" w:space="0" w:color="auto"/>
                        <w:bottom w:val="none" w:sz="0" w:space="0" w:color="auto"/>
                        <w:right w:val="none" w:sz="0" w:space="0" w:color="auto"/>
                      </w:divBdr>
                    </w:div>
                  </w:divsChild>
                </w:div>
                <w:div w:id="821119921">
                  <w:marLeft w:val="0"/>
                  <w:marRight w:val="0"/>
                  <w:marTop w:val="0"/>
                  <w:marBottom w:val="0"/>
                  <w:divBdr>
                    <w:top w:val="none" w:sz="0" w:space="0" w:color="auto"/>
                    <w:left w:val="none" w:sz="0" w:space="0" w:color="auto"/>
                    <w:bottom w:val="none" w:sz="0" w:space="0" w:color="auto"/>
                    <w:right w:val="none" w:sz="0" w:space="0" w:color="auto"/>
                  </w:divBdr>
                  <w:divsChild>
                    <w:div w:id="1346205298">
                      <w:marLeft w:val="0"/>
                      <w:marRight w:val="0"/>
                      <w:marTop w:val="0"/>
                      <w:marBottom w:val="0"/>
                      <w:divBdr>
                        <w:top w:val="none" w:sz="0" w:space="0" w:color="auto"/>
                        <w:left w:val="none" w:sz="0" w:space="0" w:color="auto"/>
                        <w:bottom w:val="none" w:sz="0" w:space="0" w:color="auto"/>
                        <w:right w:val="none" w:sz="0" w:space="0" w:color="auto"/>
                      </w:divBdr>
                    </w:div>
                  </w:divsChild>
                </w:div>
                <w:div w:id="851339981">
                  <w:marLeft w:val="0"/>
                  <w:marRight w:val="0"/>
                  <w:marTop w:val="0"/>
                  <w:marBottom w:val="0"/>
                  <w:divBdr>
                    <w:top w:val="none" w:sz="0" w:space="0" w:color="auto"/>
                    <w:left w:val="none" w:sz="0" w:space="0" w:color="auto"/>
                    <w:bottom w:val="none" w:sz="0" w:space="0" w:color="auto"/>
                    <w:right w:val="none" w:sz="0" w:space="0" w:color="auto"/>
                  </w:divBdr>
                  <w:divsChild>
                    <w:div w:id="1149708485">
                      <w:marLeft w:val="0"/>
                      <w:marRight w:val="0"/>
                      <w:marTop w:val="0"/>
                      <w:marBottom w:val="0"/>
                      <w:divBdr>
                        <w:top w:val="none" w:sz="0" w:space="0" w:color="auto"/>
                        <w:left w:val="none" w:sz="0" w:space="0" w:color="auto"/>
                        <w:bottom w:val="none" w:sz="0" w:space="0" w:color="auto"/>
                        <w:right w:val="none" w:sz="0" w:space="0" w:color="auto"/>
                      </w:divBdr>
                    </w:div>
                  </w:divsChild>
                </w:div>
                <w:div w:id="865170449">
                  <w:marLeft w:val="0"/>
                  <w:marRight w:val="0"/>
                  <w:marTop w:val="0"/>
                  <w:marBottom w:val="0"/>
                  <w:divBdr>
                    <w:top w:val="none" w:sz="0" w:space="0" w:color="auto"/>
                    <w:left w:val="none" w:sz="0" w:space="0" w:color="auto"/>
                    <w:bottom w:val="none" w:sz="0" w:space="0" w:color="auto"/>
                    <w:right w:val="none" w:sz="0" w:space="0" w:color="auto"/>
                  </w:divBdr>
                  <w:divsChild>
                    <w:div w:id="1419596794">
                      <w:marLeft w:val="0"/>
                      <w:marRight w:val="0"/>
                      <w:marTop w:val="0"/>
                      <w:marBottom w:val="0"/>
                      <w:divBdr>
                        <w:top w:val="none" w:sz="0" w:space="0" w:color="auto"/>
                        <w:left w:val="none" w:sz="0" w:space="0" w:color="auto"/>
                        <w:bottom w:val="none" w:sz="0" w:space="0" w:color="auto"/>
                        <w:right w:val="none" w:sz="0" w:space="0" w:color="auto"/>
                      </w:divBdr>
                    </w:div>
                  </w:divsChild>
                </w:div>
                <w:div w:id="908730987">
                  <w:marLeft w:val="0"/>
                  <w:marRight w:val="0"/>
                  <w:marTop w:val="0"/>
                  <w:marBottom w:val="0"/>
                  <w:divBdr>
                    <w:top w:val="none" w:sz="0" w:space="0" w:color="auto"/>
                    <w:left w:val="none" w:sz="0" w:space="0" w:color="auto"/>
                    <w:bottom w:val="none" w:sz="0" w:space="0" w:color="auto"/>
                    <w:right w:val="none" w:sz="0" w:space="0" w:color="auto"/>
                  </w:divBdr>
                  <w:divsChild>
                    <w:div w:id="1968654839">
                      <w:marLeft w:val="0"/>
                      <w:marRight w:val="0"/>
                      <w:marTop w:val="0"/>
                      <w:marBottom w:val="0"/>
                      <w:divBdr>
                        <w:top w:val="none" w:sz="0" w:space="0" w:color="auto"/>
                        <w:left w:val="none" w:sz="0" w:space="0" w:color="auto"/>
                        <w:bottom w:val="none" w:sz="0" w:space="0" w:color="auto"/>
                        <w:right w:val="none" w:sz="0" w:space="0" w:color="auto"/>
                      </w:divBdr>
                    </w:div>
                  </w:divsChild>
                </w:div>
                <w:div w:id="923221328">
                  <w:marLeft w:val="0"/>
                  <w:marRight w:val="0"/>
                  <w:marTop w:val="0"/>
                  <w:marBottom w:val="0"/>
                  <w:divBdr>
                    <w:top w:val="none" w:sz="0" w:space="0" w:color="auto"/>
                    <w:left w:val="none" w:sz="0" w:space="0" w:color="auto"/>
                    <w:bottom w:val="none" w:sz="0" w:space="0" w:color="auto"/>
                    <w:right w:val="none" w:sz="0" w:space="0" w:color="auto"/>
                  </w:divBdr>
                  <w:divsChild>
                    <w:div w:id="1627156679">
                      <w:marLeft w:val="0"/>
                      <w:marRight w:val="0"/>
                      <w:marTop w:val="0"/>
                      <w:marBottom w:val="0"/>
                      <w:divBdr>
                        <w:top w:val="none" w:sz="0" w:space="0" w:color="auto"/>
                        <w:left w:val="none" w:sz="0" w:space="0" w:color="auto"/>
                        <w:bottom w:val="none" w:sz="0" w:space="0" w:color="auto"/>
                        <w:right w:val="none" w:sz="0" w:space="0" w:color="auto"/>
                      </w:divBdr>
                    </w:div>
                  </w:divsChild>
                </w:div>
                <w:div w:id="972953399">
                  <w:marLeft w:val="0"/>
                  <w:marRight w:val="0"/>
                  <w:marTop w:val="0"/>
                  <w:marBottom w:val="0"/>
                  <w:divBdr>
                    <w:top w:val="none" w:sz="0" w:space="0" w:color="auto"/>
                    <w:left w:val="none" w:sz="0" w:space="0" w:color="auto"/>
                    <w:bottom w:val="none" w:sz="0" w:space="0" w:color="auto"/>
                    <w:right w:val="none" w:sz="0" w:space="0" w:color="auto"/>
                  </w:divBdr>
                  <w:divsChild>
                    <w:div w:id="1750693761">
                      <w:marLeft w:val="0"/>
                      <w:marRight w:val="0"/>
                      <w:marTop w:val="0"/>
                      <w:marBottom w:val="0"/>
                      <w:divBdr>
                        <w:top w:val="none" w:sz="0" w:space="0" w:color="auto"/>
                        <w:left w:val="none" w:sz="0" w:space="0" w:color="auto"/>
                        <w:bottom w:val="none" w:sz="0" w:space="0" w:color="auto"/>
                        <w:right w:val="none" w:sz="0" w:space="0" w:color="auto"/>
                      </w:divBdr>
                    </w:div>
                  </w:divsChild>
                </w:div>
                <w:div w:id="978875204">
                  <w:marLeft w:val="0"/>
                  <w:marRight w:val="0"/>
                  <w:marTop w:val="0"/>
                  <w:marBottom w:val="0"/>
                  <w:divBdr>
                    <w:top w:val="none" w:sz="0" w:space="0" w:color="auto"/>
                    <w:left w:val="none" w:sz="0" w:space="0" w:color="auto"/>
                    <w:bottom w:val="none" w:sz="0" w:space="0" w:color="auto"/>
                    <w:right w:val="none" w:sz="0" w:space="0" w:color="auto"/>
                  </w:divBdr>
                  <w:divsChild>
                    <w:div w:id="152525185">
                      <w:marLeft w:val="0"/>
                      <w:marRight w:val="0"/>
                      <w:marTop w:val="0"/>
                      <w:marBottom w:val="0"/>
                      <w:divBdr>
                        <w:top w:val="none" w:sz="0" w:space="0" w:color="auto"/>
                        <w:left w:val="none" w:sz="0" w:space="0" w:color="auto"/>
                        <w:bottom w:val="none" w:sz="0" w:space="0" w:color="auto"/>
                        <w:right w:val="none" w:sz="0" w:space="0" w:color="auto"/>
                      </w:divBdr>
                    </w:div>
                  </w:divsChild>
                </w:div>
                <w:div w:id="1040668235">
                  <w:marLeft w:val="0"/>
                  <w:marRight w:val="0"/>
                  <w:marTop w:val="0"/>
                  <w:marBottom w:val="0"/>
                  <w:divBdr>
                    <w:top w:val="none" w:sz="0" w:space="0" w:color="auto"/>
                    <w:left w:val="none" w:sz="0" w:space="0" w:color="auto"/>
                    <w:bottom w:val="none" w:sz="0" w:space="0" w:color="auto"/>
                    <w:right w:val="none" w:sz="0" w:space="0" w:color="auto"/>
                  </w:divBdr>
                  <w:divsChild>
                    <w:div w:id="202600711">
                      <w:marLeft w:val="0"/>
                      <w:marRight w:val="0"/>
                      <w:marTop w:val="0"/>
                      <w:marBottom w:val="0"/>
                      <w:divBdr>
                        <w:top w:val="none" w:sz="0" w:space="0" w:color="auto"/>
                        <w:left w:val="none" w:sz="0" w:space="0" w:color="auto"/>
                        <w:bottom w:val="none" w:sz="0" w:space="0" w:color="auto"/>
                        <w:right w:val="none" w:sz="0" w:space="0" w:color="auto"/>
                      </w:divBdr>
                    </w:div>
                  </w:divsChild>
                </w:div>
                <w:div w:id="1111896298">
                  <w:marLeft w:val="0"/>
                  <w:marRight w:val="0"/>
                  <w:marTop w:val="0"/>
                  <w:marBottom w:val="0"/>
                  <w:divBdr>
                    <w:top w:val="none" w:sz="0" w:space="0" w:color="auto"/>
                    <w:left w:val="none" w:sz="0" w:space="0" w:color="auto"/>
                    <w:bottom w:val="none" w:sz="0" w:space="0" w:color="auto"/>
                    <w:right w:val="none" w:sz="0" w:space="0" w:color="auto"/>
                  </w:divBdr>
                  <w:divsChild>
                    <w:div w:id="1882479023">
                      <w:marLeft w:val="0"/>
                      <w:marRight w:val="0"/>
                      <w:marTop w:val="0"/>
                      <w:marBottom w:val="0"/>
                      <w:divBdr>
                        <w:top w:val="none" w:sz="0" w:space="0" w:color="auto"/>
                        <w:left w:val="none" w:sz="0" w:space="0" w:color="auto"/>
                        <w:bottom w:val="none" w:sz="0" w:space="0" w:color="auto"/>
                        <w:right w:val="none" w:sz="0" w:space="0" w:color="auto"/>
                      </w:divBdr>
                    </w:div>
                  </w:divsChild>
                </w:div>
                <w:div w:id="1134828021">
                  <w:marLeft w:val="0"/>
                  <w:marRight w:val="0"/>
                  <w:marTop w:val="0"/>
                  <w:marBottom w:val="0"/>
                  <w:divBdr>
                    <w:top w:val="none" w:sz="0" w:space="0" w:color="auto"/>
                    <w:left w:val="none" w:sz="0" w:space="0" w:color="auto"/>
                    <w:bottom w:val="none" w:sz="0" w:space="0" w:color="auto"/>
                    <w:right w:val="none" w:sz="0" w:space="0" w:color="auto"/>
                  </w:divBdr>
                  <w:divsChild>
                    <w:div w:id="187646439">
                      <w:marLeft w:val="0"/>
                      <w:marRight w:val="0"/>
                      <w:marTop w:val="0"/>
                      <w:marBottom w:val="0"/>
                      <w:divBdr>
                        <w:top w:val="none" w:sz="0" w:space="0" w:color="auto"/>
                        <w:left w:val="none" w:sz="0" w:space="0" w:color="auto"/>
                        <w:bottom w:val="none" w:sz="0" w:space="0" w:color="auto"/>
                        <w:right w:val="none" w:sz="0" w:space="0" w:color="auto"/>
                      </w:divBdr>
                    </w:div>
                  </w:divsChild>
                </w:div>
                <w:div w:id="1143503091">
                  <w:marLeft w:val="0"/>
                  <w:marRight w:val="0"/>
                  <w:marTop w:val="0"/>
                  <w:marBottom w:val="0"/>
                  <w:divBdr>
                    <w:top w:val="none" w:sz="0" w:space="0" w:color="auto"/>
                    <w:left w:val="none" w:sz="0" w:space="0" w:color="auto"/>
                    <w:bottom w:val="none" w:sz="0" w:space="0" w:color="auto"/>
                    <w:right w:val="none" w:sz="0" w:space="0" w:color="auto"/>
                  </w:divBdr>
                  <w:divsChild>
                    <w:div w:id="8071776">
                      <w:marLeft w:val="0"/>
                      <w:marRight w:val="0"/>
                      <w:marTop w:val="0"/>
                      <w:marBottom w:val="0"/>
                      <w:divBdr>
                        <w:top w:val="none" w:sz="0" w:space="0" w:color="auto"/>
                        <w:left w:val="none" w:sz="0" w:space="0" w:color="auto"/>
                        <w:bottom w:val="none" w:sz="0" w:space="0" w:color="auto"/>
                        <w:right w:val="none" w:sz="0" w:space="0" w:color="auto"/>
                      </w:divBdr>
                    </w:div>
                  </w:divsChild>
                </w:div>
                <w:div w:id="1152451921">
                  <w:marLeft w:val="0"/>
                  <w:marRight w:val="0"/>
                  <w:marTop w:val="0"/>
                  <w:marBottom w:val="0"/>
                  <w:divBdr>
                    <w:top w:val="none" w:sz="0" w:space="0" w:color="auto"/>
                    <w:left w:val="none" w:sz="0" w:space="0" w:color="auto"/>
                    <w:bottom w:val="none" w:sz="0" w:space="0" w:color="auto"/>
                    <w:right w:val="none" w:sz="0" w:space="0" w:color="auto"/>
                  </w:divBdr>
                  <w:divsChild>
                    <w:div w:id="2026705649">
                      <w:marLeft w:val="0"/>
                      <w:marRight w:val="0"/>
                      <w:marTop w:val="0"/>
                      <w:marBottom w:val="0"/>
                      <w:divBdr>
                        <w:top w:val="none" w:sz="0" w:space="0" w:color="auto"/>
                        <w:left w:val="none" w:sz="0" w:space="0" w:color="auto"/>
                        <w:bottom w:val="none" w:sz="0" w:space="0" w:color="auto"/>
                        <w:right w:val="none" w:sz="0" w:space="0" w:color="auto"/>
                      </w:divBdr>
                    </w:div>
                  </w:divsChild>
                </w:div>
                <w:div w:id="1153133321">
                  <w:marLeft w:val="0"/>
                  <w:marRight w:val="0"/>
                  <w:marTop w:val="0"/>
                  <w:marBottom w:val="0"/>
                  <w:divBdr>
                    <w:top w:val="none" w:sz="0" w:space="0" w:color="auto"/>
                    <w:left w:val="none" w:sz="0" w:space="0" w:color="auto"/>
                    <w:bottom w:val="none" w:sz="0" w:space="0" w:color="auto"/>
                    <w:right w:val="none" w:sz="0" w:space="0" w:color="auto"/>
                  </w:divBdr>
                  <w:divsChild>
                    <w:div w:id="693379857">
                      <w:marLeft w:val="0"/>
                      <w:marRight w:val="0"/>
                      <w:marTop w:val="0"/>
                      <w:marBottom w:val="0"/>
                      <w:divBdr>
                        <w:top w:val="none" w:sz="0" w:space="0" w:color="auto"/>
                        <w:left w:val="none" w:sz="0" w:space="0" w:color="auto"/>
                        <w:bottom w:val="none" w:sz="0" w:space="0" w:color="auto"/>
                        <w:right w:val="none" w:sz="0" w:space="0" w:color="auto"/>
                      </w:divBdr>
                    </w:div>
                  </w:divsChild>
                </w:div>
                <w:div w:id="1182355692">
                  <w:marLeft w:val="0"/>
                  <w:marRight w:val="0"/>
                  <w:marTop w:val="0"/>
                  <w:marBottom w:val="0"/>
                  <w:divBdr>
                    <w:top w:val="none" w:sz="0" w:space="0" w:color="auto"/>
                    <w:left w:val="none" w:sz="0" w:space="0" w:color="auto"/>
                    <w:bottom w:val="none" w:sz="0" w:space="0" w:color="auto"/>
                    <w:right w:val="none" w:sz="0" w:space="0" w:color="auto"/>
                  </w:divBdr>
                  <w:divsChild>
                    <w:div w:id="520553808">
                      <w:marLeft w:val="0"/>
                      <w:marRight w:val="0"/>
                      <w:marTop w:val="0"/>
                      <w:marBottom w:val="0"/>
                      <w:divBdr>
                        <w:top w:val="none" w:sz="0" w:space="0" w:color="auto"/>
                        <w:left w:val="none" w:sz="0" w:space="0" w:color="auto"/>
                        <w:bottom w:val="none" w:sz="0" w:space="0" w:color="auto"/>
                        <w:right w:val="none" w:sz="0" w:space="0" w:color="auto"/>
                      </w:divBdr>
                    </w:div>
                  </w:divsChild>
                </w:div>
                <w:div w:id="1293364493">
                  <w:marLeft w:val="0"/>
                  <w:marRight w:val="0"/>
                  <w:marTop w:val="0"/>
                  <w:marBottom w:val="0"/>
                  <w:divBdr>
                    <w:top w:val="none" w:sz="0" w:space="0" w:color="auto"/>
                    <w:left w:val="none" w:sz="0" w:space="0" w:color="auto"/>
                    <w:bottom w:val="none" w:sz="0" w:space="0" w:color="auto"/>
                    <w:right w:val="none" w:sz="0" w:space="0" w:color="auto"/>
                  </w:divBdr>
                  <w:divsChild>
                    <w:div w:id="253708962">
                      <w:marLeft w:val="0"/>
                      <w:marRight w:val="0"/>
                      <w:marTop w:val="0"/>
                      <w:marBottom w:val="0"/>
                      <w:divBdr>
                        <w:top w:val="none" w:sz="0" w:space="0" w:color="auto"/>
                        <w:left w:val="none" w:sz="0" w:space="0" w:color="auto"/>
                        <w:bottom w:val="none" w:sz="0" w:space="0" w:color="auto"/>
                        <w:right w:val="none" w:sz="0" w:space="0" w:color="auto"/>
                      </w:divBdr>
                    </w:div>
                  </w:divsChild>
                </w:div>
                <w:div w:id="1381172309">
                  <w:marLeft w:val="0"/>
                  <w:marRight w:val="0"/>
                  <w:marTop w:val="0"/>
                  <w:marBottom w:val="0"/>
                  <w:divBdr>
                    <w:top w:val="none" w:sz="0" w:space="0" w:color="auto"/>
                    <w:left w:val="none" w:sz="0" w:space="0" w:color="auto"/>
                    <w:bottom w:val="none" w:sz="0" w:space="0" w:color="auto"/>
                    <w:right w:val="none" w:sz="0" w:space="0" w:color="auto"/>
                  </w:divBdr>
                  <w:divsChild>
                    <w:div w:id="1479420072">
                      <w:marLeft w:val="0"/>
                      <w:marRight w:val="0"/>
                      <w:marTop w:val="0"/>
                      <w:marBottom w:val="0"/>
                      <w:divBdr>
                        <w:top w:val="none" w:sz="0" w:space="0" w:color="auto"/>
                        <w:left w:val="none" w:sz="0" w:space="0" w:color="auto"/>
                        <w:bottom w:val="none" w:sz="0" w:space="0" w:color="auto"/>
                        <w:right w:val="none" w:sz="0" w:space="0" w:color="auto"/>
                      </w:divBdr>
                    </w:div>
                  </w:divsChild>
                </w:div>
                <w:div w:id="1389262145">
                  <w:marLeft w:val="0"/>
                  <w:marRight w:val="0"/>
                  <w:marTop w:val="0"/>
                  <w:marBottom w:val="0"/>
                  <w:divBdr>
                    <w:top w:val="none" w:sz="0" w:space="0" w:color="auto"/>
                    <w:left w:val="none" w:sz="0" w:space="0" w:color="auto"/>
                    <w:bottom w:val="none" w:sz="0" w:space="0" w:color="auto"/>
                    <w:right w:val="none" w:sz="0" w:space="0" w:color="auto"/>
                  </w:divBdr>
                  <w:divsChild>
                    <w:div w:id="1835755956">
                      <w:marLeft w:val="0"/>
                      <w:marRight w:val="0"/>
                      <w:marTop w:val="0"/>
                      <w:marBottom w:val="0"/>
                      <w:divBdr>
                        <w:top w:val="none" w:sz="0" w:space="0" w:color="auto"/>
                        <w:left w:val="none" w:sz="0" w:space="0" w:color="auto"/>
                        <w:bottom w:val="none" w:sz="0" w:space="0" w:color="auto"/>
                        <w:right w:val="none" w:sz="0" w:space="0" w:color="auto"/>
                      </w:divBdr>
                    </w:div>
                  </w:divsChild>
                </w:div>
                <w:div w:id="1403917252">
                  <w:marLeft w:val="0"/>
                  <w:marRight w:val="0"/>
                  <w:marTop w:val="0"/>
                  <w:marBottom w:val="0"/>
                  <w:divBdr>
                    <w:top w:val="none" w:sz="0" w:space="0" w:color="auto"/>
                    <w:left w:val="none" w:sz="0" w:space="0" w:color="auto"/>
                    <w:bottom w:val="none" w:sz="0" w:space="0" w:color="auto"/>
                    <w:right w:val="none" w:sz="0" w:space="0" w:color="auto"/>
                  </w:divBdr>
                  <w:divsChild>
                    <w:div w:id="1506944458">
                      <w:marLeft w:val="0"/>
                      <w:marRight w:val="0"/>
                      <w:marTop w:val="0"/>
                      <w:marBottom w:val="0"/>
                      <w:divBdr>
                        <w:top w:val="none" w:sz="0" w:space="0" w:color="auto"/>
                        <w:left w:val="none" w:sz="0" w:space="0" w:color="auto"/>
                        <w:bottom w:val="none" w:sz="0" w:space="0" w:color="auto"/>
                        <w:right w:val="none" w:sz="0" w:space="0" w:color="auto"/>
                      </w:divBdr>
                    </w:div>
                  </w:divsChild>
                </w:div>
                <w:div w:id="1408722233">
                  <w:marLeft w:val="0"/>
                  <w:marRight w:val="0"/>
                  <w:marTop w:val="0"/>
                  <w:marBottom w:val="0"/>
                  <w:divBdr>
                    <w:top w:val="none" w:sz="0" w:space="0" w:color="auto"/>
                    <w:left w:val="none" w:sz="0" w:space="0" w:color="auto"/>
                    <w:bottom w:val="none" w:sz="0" w:space="0" w:color="auto"/>
                    <w:right w:val="none" w:sz="0" w:space="0" w:color="auto"/>
                  </w:divBdr>
                  <w:divsChild>
                    <w:div w:id="1456868989">
                      <w:marLeft w:val="0"/>
                      <w:marRight w:val="0"/>
                      <w:marTop w:val="0"/>
                      <w:marBottom w:val="0"/>
                      <w:divBdr>
                        <w:top w:val="none" w:sz="0" w:space="0" w:color="auto"/>
                        <w:left w:val="none" w:sz="0" w:space="0" w:color="auto"/>
                        <w:bottom w:val="none" w:sz="0" w:space="0" w:color="auto"/>
                        <w:right w:val="none" w:sz="0" w:space="0" w:color="auto"/>
                      </w:divBdr>
                    </w:div>
                  </w:divsChild>
                </w:div>
                <w:div w:id="1430396699">
                  <w:marLeft w:val="0"/>
                  <w:marRight w:val="0"/>
                  <w:marTop w:val="0"/>
                  <w:marBottom w:val="0"/>
                  <w:divBdr>
                    <w:top w:val="none" w:sz="0" w:space="0" w:color="auto"/>
                    <w:left w:val="none" w:sz="0" w:space="0" w:color="auto"/>
                    <w:bottom w:val="none" w:sz="0" w:space="0" w:color="auto"/>
                    <w:right w:val="none" w:sz="0" w:space="0" w:color="auto"/>
                  </w:divBdr>
                  <w:divsChild>
                    <w:div w:id="530648521">
                      <w:marLeft w:val="0"/>
                      <w:marRight w:val="0"/>
                      <w:marTop w:val="0"/>
                      <w:marBottom w:val="0"/>
                      <w:divBdr>
                        <w:top w:val="none" w:sz="0" w:space="0" w:color="auto"/>
                        <w:left w:val="none" w:sz="0" w:space="0" w:color="auto"/>
                        <w:bottom w:val="none" w:sz="0" w:space="0" w:color="auto"/>
                        <w:right w:val="none" w:sz="0" w:space="0" w:color="auto"/>
                      </w:divBdr>
                    </w:div>
                  </w:divsChild>
                </w:div>
                <w:div w:id="1590194627">
                  <w:marLeft w:val="0"/>
                  <w:marRight w:val="0"/>
                  <w:marTop w:val="0"/>
                  <w:marBottom w:val="0"/>
                  <w:divBdr>
                    <w:top w:val="none" w:sz="0" w:space="0" w:color="auto"/>
                    <w:left w:val="none" w:sz="0" w:space="0" w:color="auto"/>
                    <w:bottom w:val="none" w:sz="0" w:space="0" w:color="auto"/>
                    <w:right w:val="none" w:sz="0" w:space="0" w:color="auto"/>
                  </w:divBdr>
                  <w:divsChild>
                    <w:div w:id="1719360357">
                      <w:marLeft w:val="0"/>
                      <w:marRight w:val="0"/>
                      <w:marTop w:val="0"/>
                      <w:marBottom w:val="0"/>
                      <w:divBdr>
                        <w:top w:val="none" w:sz="0" w:space="0" w:color="auto"/>
                        <w:left w:val="none" w:sz="0" w:space="0" w:color="auto"/>
                        <w:bottom w:val="none" w:sz="0" w:space="0" w:color="auto"/>
                        <w:right w:val="none" w:sz="0" w:space="0" w:color="auto"/>
                      </w:divBdr>
                    </w:div>
                  </w:divsChild>
                </w:div>
                <w:div w:id="1628775982">
                  <w:marLeft w:val="0"/>
                  <w:marRight w:val="0"/>
                  <w:marTop w:val="0"/>
                  <w:marBottom w:val="0"/>
                  <w:divBdr>
                    <w:top w:val="none" w:sz="0" w:space="0" w:color="auto"/>
                    <w:left w:val="none" w:sz="0" w:space="0" w:color="auto"/>
                    <w:bottom w:val="none" w:sz="0" w:space="0" w:color="auto"/>
                    <w:right w:val="none" w:sz="0" w:space="0" w:color="auto"/>
                  </w:divBdr>
                  <w:divsChild>
                    <w:div w:id="1774663593">
                      <w:marLeft w:val="0"/>
                      <w:marRight w:val="0"/>
                      <w:marTop w:val="0"/>
                      <w:marBottom w:val="0"/>
                      <w:divBdr>
                        <w:top w:val="none" w:sz="0" w:space="0" w:color="auto"/>
                        <w:left w:val="none" w:sz="0" w:space="0" w:color="auto"/>
                        <w:bottom w:val="none" w:sz="0" w:space="0" w:color="auto"/>
                        <w:right w:val="none" w:sz="0" w:space="0" w:color="auto"/>
                      </w:divBdr>
                    </w:div>
                  </w:divsChild>
                </w:div>
                <w:div w:id="1664233111">
                  <w:marLeft w:val="0"/>
                  <w:marRight w:val="0"/>
                  <w:marTop w:val="0"/>
                  <w:marBottom w:val="0"/>
                  <w:divBdr>
                    <w:top w:val="none" w:sz="0" w:space="0" w:color="auto"/>
                    <w:left w:val="none" w:sz="0" w:space="0" w:color="auto"/>
                    <w:bottom w:val="none" w:sz="0" w:space="0" w:color="auto"/>
                    <w:right w:val="none" w:sz="0" w:space="0" w:color="auto"/>
                  </w:divBdr>
                  <w:divsChild>
                    <w:div w:id="284626731">
                      <w:marLeft w:val="0"/>
                      <w:marRight w:val="0"/>
                      <w:marTop w:val="0"/>
                      <w:marBottom w:val="0"/>
                      <w:divBdr>
                        <w:top w:val="none" w:sz="0" w:space="0" w:color="auto"/>
                        <w:left w:val="none" w:sz="0" w:space="0" w:color="auto"/>
                        <w:bottom w:val="none" w:sz="0" w:space="0" w:color="auto"/>
                        <w:right w:val="none" w:sz="0" w:space="0" w:color="auto"/>
                      </w:divBdr>
                    </w:div>
                  </w:divsChild>
                </w:div>
                <w:div w:id="1665012966">
                  <w:marLeft w:val="0"/>
                  <w:marRight w:val="0"/>
                  <w:marTop w:val="0"/>
                  <w:marBottom w:val="0"/>
                  <w:divBdr>
                    <w:top w:val="none" w:sz="0" w:space="0" w:color="auto"/>
                    <w:left w:val="none" w:sz="0" w:space="0" w:color="auto"/>
                    <w:bottom w:val="none" w:sz="0" w:space="0" w:color="auto"/>
                    <w:right w:val="none" w:sz="0" w:space="0" w:color="auto"/>
                  </w:divBdr>
                  <w:divsChild>
                    <w:div w:id="1507018109">
                      <w:marLeft w:val="0"/>
                      <w:marRight w:val="0"/>
                      <w:marTop w:val="0"/>
                      <w:marBottom w:val="0"/>
                      <w:divBdr>
                        <w:top w:val="none" w:sz="0" w:space="0" w:color="auto"/>
                        <w:left w:val="none" w:sz="0" w:space="0" w:color="auto"/>
                        <w:bottom w:val="none" w:sz="0" w:space="0" w:color="auto"/>
                        <w:right w:val="none" w:sz="0" w:space="0" w:color="auto"/>
                      </w:divBdr>
                    </w:div>
                  </w:divsChild>
                </w:div>
                <w:div w:id="1675837361">
                  <w:marLeft w:val="0"/>
                  <w:marRight w:val="0"/>
                  <w:marTop w:val="0"/>
                  <w:marBottom w:val="0"/>
                  <w:divBdr>
                    <w:top w:val="none" w:sz="0" w:space="0" w:color="auto"/>
                    <w:left w:val="none" w:sz="0" w:space="0" w:color="auto"/>
                    <w:bottom w:val="none" w:sz="0" w:space="0" w:color="auto"/>
                    <w:right w:val="none" w:sz="0" w:space="0" w:color="auto"/>
                  </w:divBdr>
                  <w:divsChild>
                    <w:div w:id="986710936">
                      <w:marLeft w:val="0"/>
                      <w:marRight w:val="0"/>
                      <w:marTop w:val="0"/>
                      <w:marBottom w:val="0"/>
                      <w:divBdr>
                        <w:top w:val="none" w:sz="0" w:space="0" w:color="auto"/>
                        <w:left w:val="none" w:sz="0" w:space="0" w:color="auto"/>
                        <w:bottom w:val="none" w:sz="0" w:space="0" w:color="auto"/>
                        <w:right w:val="none" w:sz="0" w:space="0" w:color="auto"/>
                      </w:divBdr>
                    </w:div>
                  </w:divsChild>
                </w:div>
                <w:div w:id="1706523718">
                  <w:marLeft w:val="0"/>
                  <w:marRight w:val="0"/>
                  <w:marTop w:val="0"/>
                  <w:marBottom w:val="0"/>
                  <w:divBdr>
                    <w:top w:val="none" w:sz="0" w:space="0" w:color="auto"/>
                    <w:left w:val="none" w:sz="0" w:space="0" w:color="auto"/>
                    <w:bottom w:val="none" w:sz="0" w:space="0" w:color="auto"/>
                    <w:right w:val="none" w:sz="0" w:space="0" w:color="auto"/>
                  </w:divBdr>
                  <w:divsChild>
                    <w:div w:id="1963224755">
                      <w:marLeft w:val="0"/>
                      <w:marRight w:val="0"/>
                      <w:marTop w:val="0"/>
                      <w:marBottom w:val="0"/>
                      <w:divBdr>
                        <w:top w:val="none" w:sz="0" w:space="0" w:color="auto"/>
                        <w:left w:val="none" w:sz="0" w:space="0" w:color="auto"/>
                        <w:bottom w:val="none" w:sz="0" w:space="0" w:color="auto"/>
                        <w:right w:val="none" w:sz="0" w:space="0" w:color="auto"/>
                      </w:divBdr>
                    </w:div>
                  </w:divsChild>
                </w:div>
                <w:div w:id="1749229929">
                  <w:marLeft w:val="0"/>
                  <w:marRight w:val="0"/>
                  <w:marTop w:val="0"/>
                  <w:marBottom w:val="0"/>
                  <w:divBdr>
                    <w:top w:val="none" w:sz="0" w:space="0" w:color="auto"/>
                    <w:left w:val="none" w:sz="0" w:space="0" w:color="auto"/>
                    <w:bottom w:val="none" w:sz="0" w:space="0" w:color="auto"/>
                    <w:right w:val="none" w:sz="0" w:space="0" w:color="auto"/>
                  </w:divBdr>
                  <w:divsChild>
                    <w:div w:id="1923684867">
                      <w:marLeft w:val="0"/>
                      <w:marRight w:val="0"/>
                      <w:marTop w:val="0"/>
                      <w:marBottom w:val="0"/>
                      <w:divBdr>
                        <w:top w:val="none" w:sz="0" w:space="0" w:color="auto"/>
                        <w:left w:val="none" w:sz="0" w:space="0" w:color="auto"/>
                        <w:bottom w:val="none" w:sz="0" w:space="0" w:color="auto"/>
                        <w:right w:val="none" w:sz="0" w:space="0" w:color="auto"/>
                      </w:divBdr>
                    </w:div>
                  </w:divsChild>
                </w:div>
                <w:div w:id="1773670759">
                  <w:marLeft w:val="0"/>
                  <w:marRight w:val="0"/>
                  <w:marTop w:val="0"/>
                  <w:marBottom w:val="0"/>
                  <w:divBdr>
                    <w:top w:val="none" w:sz="0" w:space="0" w:color="auto"/>
                    <w:left w:val="none" w:sz="0" w:space="0" w:color="auto"/>
                    <w:bottom w:val="none" w:sz="0" w:space="0" w:color="auto"/>
                    <w:right w:val="none" w:sz="0" w:space="0" w:color="auto"/>
                  </w:divBdr>
                  <w:divsChild>
                    <w:div w:id="1266890685">
                      <w:marLeft w:val="0"/>
                      <w:marRight w:val="0"/>
                      <w:marTop w:val="0"/>
                      <w:marBottom w:val="0"/>
                      <w:divBdr>
                        <w:top w:val="none" w:sz="0" w:space="0" w:color="auto"/>
                        <w:left w:val="none" w:sz="0" w:space="0" w:color="auto"/>
                        <w:bottom w:val="none" w:sz="0" w:space="0" w:color="auto"/>
                        <w:right w:val="none" w:sz="0" w:space="0" w:color="auto"/>
                      </w:divBdr>
                    </w:div>
                  </w:divsChild>
                </w:div>
                <w:div w:id="1776248195">
                  <w:marLeft w:val="0"/>
                  <w:marRight w:val="0"/>
                  <w:marTop w:val="0"/>
                  <w:marBottom w:val="0"/>
                  <w:divBdr>
                    <w:top w:val="none" w:sz="0" w:space="0" w:color="auto"/>
                    <w:left w:val="none" w:sz="0" w:space="0" w:color="auto"/>
                    <w:bottom w:val="none" w:sz="0" w:space="0" w:color="auto"/>
                    <w:right w:val="none" w:sz="0" w:space="0" w:color="auto"/>
                  </w:divBdr>
                  <w:divsChild>
                    <w:div w:id="600842779">
                      <w:marLeft w:val="0"/>
                      <w:marRight w:val="0"/>
                      <w:marTop w:val="0"/>
                      <w:marBottom w:val="0"/>
                      <w:divBdr>
                        <w:top w:val="none" w:sz="0" w:space="0" w:color="auto"/>
                        <w:left w:val="none" w:sz="0" w:space="0" w:color="auto"/>
                        <w:bottom w:val="none" w:sz="0" w:space="0" w:color="auto"/>
                        <w:right w:val="none" w:sz="0" w:space="0" w:color="auto"/>
                      </w:divBdr>
                    </w:div>
                  </w:divsChild>
                </w:div>
                <w:div w:id="1797331607">
                  <w:marLeft w:val="0"/>
                  <w:marRight w:val="0"/>
                  <w:marTop w:val="0"/>
                  <w:marBottom w:val="0"/>
                  <w:divBdr>
                    <w:top w:val="none" w:sz="0" w:space="0" w:color="auto"/>
                    <w:left w:val="none" w:sz="0" w:space="0" w:color="auto"/>
                    <w:bottom w:val="none" w:sz="0" w:space="0" w:color="auto"/>
                    <w:right w:val="none" w:sz="0" w:space="0" w:color="auto"/>
                  </w:divBdr>
                  <w:divsChild>
                    <w:div w:id="1108622366">
                      <w:marLeft w:val="0"/>
                      <w:marRight w:val="0"/>
                      <w:marTop w:val="0"/>
                      <w:marBottom w:val="0"/>
                      <w:divBdr>
                        <w:top w:val="none" w:sz="0" w:space="0" w:color="auto"/>
                        <w:left w:val="none" w:sz="0" w:space="0" w:color="auto"/>
                        <w:bottom w:val="none" w:sz="0" w:space="0" w:color="auto"/>
                        <w:right w:val="none" w:sz="0" w:space="0" w:color="auto"/>
                      </w:divBdr>
                    </w:div>
                  </w:divsChild>
                </w:div>
                <w:div w:id="1820683294">
                  <w:marLeft w:val="0"/>
                  <w:marRight w:val="0"/>
                  <w:marTop w:val="0"/>
                  <w:marBottom w:val="0"/>
                  <w:divBdr>
                    <w:top w:val="none" w:sz="0" w:space="0" w:color="auto"/>
                    <w:left w:val="none" w:sz="0" w:space="0" w:color="auto"/>
                    <w:bottom w:val="none" w:sz="0" w:space="0" w:color="auto"/>
                    <w:right w:val="none" w:sz="0" w:space="0" w:color="auto"/>
                  </w:divBdr>
                  <w:divsChild>
                    <w:div w:id="1853300197">
                      <w:marLeft w:val="0"/>
                      <w:marRight w:val="0"/>
                      <w:marTop w:val="0"/>
                      <w:marBottom w:val="0"/>
                      <w:divBdr>
                        <w:top w:val="none" w:sz="0" w:space="0" w:color="auto"/>
                        <w:left w:val="none" w:sz="0" w:space="0" w:color="auto"/>
                        <w:bottom w:val="none" w:sz="0" w:space="0" w:color="auto"/>
                        <w:right w:val="none" w:sz="0" w:space="0" w:color="auto"/>
                      </w:divBdr>
                    </w:div>
                  </w:divsChild>
                </w:div>
                <w:div w:id="1975982440">
                  <w:marLeft w:val="0"/>
                  <w:marRight w:val="0"/>
                  <w:marTop w:val="0"/>
                  <w:marBottom w:val="0"/>
                  <w:divBdr>
                    <w:top w:val="none" w:sz="0" w:space="0" w:color="auto"/>
                    <w:left w:val="none" w:sz="0" w:space="0" w:color="auto"/>
                    <w:bottom w:val="none" w:sz="0" w:space="0" w:color="auto"/>
                    <w:right w:val="none" w:sz="0" w:space="0" w:color="auto"/>
                  </w:divBdr>
                  <w:divsChild>
                    <w:div w:id="1912346498">
                      <w:marLeft w:val="0"/>
                      <w:marRight w:val="0"/>
                      <w:marTop w:val="0"/>
                      <w:marBottom w:val="0"/>
                      <w:divBdr>
                        <w:top w:val="none" w:sz="0" w:space="0" w:color="auto"/>
                        <w:left w:val="none" w:sz="0" w:space="0" w:color="auto"/>
                        <w:bottom w:val="none" w:sz="0" w:space="0" w:color="auto"/>
                        <w:right w:val="none" w:sz="0" w:space="0" w:color="auto"/>
                      </w:divBdr>
                    </w:div>
                  </w:divsChild>
                </w:div>
                <w:div w:id="1980380972">
                  <w:marLeft w:val="0"/>
                  <w:marRight w:val="0"/>
                  <w:marTop w:val="0"/>
                  <w:marBottom w:val="0"/>
                  <w:divBdr>
                    <w:top w:val="none" w:sz="0" w:space="0" w:color="auto"/>
                    <w:left w:val="none" w:sz="0" w:space="0" w:color="auto"/>
                    <w:bottom w:val="none" w:sz="0" w:space="0" w:color="auto"/>
                    <w:right w:val="none" w:sz="0" w:space="0" w:color="auto"/>
                  </w:divBdr>
                  <w:divsChild>
                    <w:div w:id="327558320">
                      <w:marLeft w:val="0"/>
                      <w:marRight w:val="0"/>
                      <w:marTop w:val="0"/>
                      <w:marBottom w:val="0"/>
                      <w:divBdr>
                        <w:top w:val="none" w:sz="0" w:space="0" w:color="auto"/>
                        <w:left w:val="none" w:sz="0" w:space="0" w:color="auto"/>
                        <w:bottom w:val="none" w:sz="0" w:space="0" w:color="auto"/>
                        <w:right w:val="none" w:sz="0" w:space="0" w:color="auto"/>
                      </w:divBdr>
                    </w:div>
                  </w:divsChild>
                </w:div>
                <w:div w:id="2007172754">
                  <w:marLeft w:val="0"/>
                  <w:marRight w:val="0"/>
                  <w:marTop w:val="0"/>
                  <w:marBottom w:val="0"/>
                  <w:divBdr>
                    <w:top w:val="none" w:sz="0" w:space="0" w:color="auto"/>
                    <w:left w:val="none" w:sz="0" w:space="0" w:color="auto"/>
                    <w:bottom w:val="none" w:sz="0" w:space="0" w:color="auto"/>
                    <w:right w:val="none" w:sz="0" w:space="0" w:color="auto"/>
                  </w:divBdr>
                  <w:divsChild>
                    <w:div w:id="1471359762">
                      <w:marLeft w:val="0"/>
                      <w:marRight w:val="0"/>
                      <w:marTop w:val="0"/>
                      <w:marBottom w:val="0"/>
                      <w:divBdr>
                        <w:top w:val="none" w:sz="0" w:space="0" w:color="auto"/>
                        <w:left w:val="none" w:sz="0" w:space="0" w:color="auto"/>
                        <w:bottom w:val="none" w:sz="0" w:space="0" w:color="auto"/>
                        <w:right w:val="none" w:sz="0" w:space="0" w:color="auto"/>
                      </w:divBdr>
                    </w:div>
                  </w:divsChild>
                </w:div>
                <w:div w:id="2034187164">
                  <w:marLeft w:val="0"/>
                  <w:marRight w:val="0"/>
                  <w:marTop w:val="0"/>
                  <w:marBottom w:val="0"/>
                  <w:divBdr>
                    <w:top w:val="none" w:sz="0" w:space="0" w:color="auto"/>
                    <w:left w:val="none" w:sz="0" w:space="0" w:color="auto"/>
                    <w:bottom w:val="none" w:sz="0" w:space="0" w:color="auto"/>
                    <w:right w:val="none" w:sz="0" w:space="0" w:color="auto"/>
                  </w:divBdr>
                  <w:divsChild>
                    <w:div w:id="1829899171">
                      <w:marLeft w:val="0"/>
                      <w:marRight w:val="0"/>
                      <w:marTop w:val="0"/>
                      <w:marBottom w:val="0"/>
                      <w:divBdr>
                        <w:top w:val="none" w:sz="0" w:space="0" w:color="auto"/>
                        <w:left w:val="none" w:sz="0" w:space="0" w:color="auto"/>
                        <w:bottom w:val="none" w:sz="0" w:space="0" w:color="auto"/>
                        <w:right w:val="none" w:sz="0" w:space="0" w:color="auto"/>
                      </w:divBdr>
                    </w:div>
                  </w:divsChild>
                </w:div>
                <w:div w:id="2040352751">
                  <w:marLeft w:val="0"/>
                  <w:marRight w:val="0"/>
                  <w:marTop w:val="0"/>
                  <w:marBottom w:val="0"/>
                  <w:divBdr>
                    <w:top w:val="none" w:sz="0" w:space="0" w:color="auto"/>
                    <w:left w:val="none" w:sz="0" w:space="0" w:color="auto"/>
                    <w:bottom w:val="none" w:sz="0" w:space="0" w:color="auto"/>
                    <w:right w:val="none" w:sz="0" w:space="0" w:color="auto"/>
                  </w:divBdr>
                  <w:divsChild>
                    <w:div w:id="765420024">
                      <w:marLeft w:val="0"/>
                      <w:marRight w:val="0"/>
                      <w:marTop w:val="0"/>
                      <w:marBottom w:val="0"/>
                      <w:divBdr>
                        <w:top w:val="none" w:sz="0" w:space="0" w:color="auto"/>
                        <w:left w:val="none" w:sz="0" w:space="0" w:color="auto"/>
                        <w:bottom w:val="none" w:sz="0" w:space="0" w:color="auto"/>
                        <w:right w:val="none" w:sz="0" w:space="0" w:color="auto"/>
                      </w:divBdr>
                    </w:div>
                  </w:divsChild>
                </w:div>
                <w:div w:id="2122911724">
                  <w:marLeft w:val="0"/>
                  <w:marRight w:val="0"/>
                  <w:marTop w:val="0"/>
                  <w:marBottom w:val="0"/>
                  <w:divBdr>
                    <w:top w:val="none" w:sz="0" w:space="0" w:color="auto"/>
                    <w:left w:val="none" w:sz="0" w:space="0" w:color="auto"/>
                    <w:bottom w:val="none" w:sz="0" w:space="0" w:color="auto"/>
                    <w:right w:val="none" w:sz="0" w:space="0" w:color="auto"/>
                  </w:divBdr>
                  <w:divsChild>
                    <w:div w:id="950362779">
                      <w:marLeft w:val="0"/>
                      <w:marRight w:val="0"/>
                      <w:marTop w:val="0"/>
                      <w:marBottom w:val="0"/>
                      <w:divBdr>
                        <w:top w:val="none" w:sz="0" w:space="0" w:color="auto"/>
                        <w:left w:val="none" w:sz="0" w:space="0" w:color="auto"/>
                        <w:bottom w:val="none" w:sz="0" w:space="0" w:color="auto"/>
                        <w:right w:val="none" w:sz="0" w:space="0" w:color="auto"/>
                      </w:divBdr>
                    </w:div>
                  </w:divsChild>
                </w:div>
                <w:div w:id="2138839238">
                  <w:marLeft w:val="0"/>
                  <w:marRight w:val="0"/>
                  <w:marTop w:val="0"/>
                  <w:marBottom w:val="0"/>
                  <w:divBdr>
                    <w:top w:val="none" w:sz="0" w:space="0" w:color="auto"/>
                    <w:left w:val="none" w:sz="0" w:space="0" w:color="auto"/>
                    <w:bottom w:val="none" w:sz="0" w:space="0" w:color="auto"/>
                    <w:right w:val="none" w:sz="0" w:space="0" w:color="auto"/>
                  </w:divBdr>
                  <w:divsChild>
                    <w:div w:id="18022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9599">
          <w:marLeft w:val="0"/>
          <w:marRight w:val="0"/>
          <w:marTop w:val="0"/>
          <w:marBottom w:val="0"/>
          <w:divBdr>
            <w:top w:val="none" w:sz="0" w:space="0" w:color="auto"/>
            <w:left w:val="none" w:sz="0" w:space="0" w:color="auto"/>
            <w:bottom w:val="none" w:sz="0" w:space="0" w:color="auto"/>
            <w:right w:val="none" w:sz="0" w:space="0" w:color="auto"/>
          </w:divBdr>
        </w:div>
        <w:div w:id="2041129684">
          <w:marLeft w:val="0"/>
          <w:marRight w:val="0"/>
          <w:marTop w:val="0"/>
          <w:marBottom w:val="0"/>
          <w:divBdr>
            <w:top w:val="none" w:sz="0" w:space="0" w:color="auto"/>
            <w:left w:val="none" w:sz="0" w:space="0" w:color="auto"/>
            <w:bottom w:val="none" w:sz="0" w:space="0" w:color="auto"/>
            <w:right w:val="none" w:sz="0" w:space="0" w:color="auto"/>
          </w:divBdr>
        </w:div>
        <w:div w:id="2099595189">
          <w:marLeft w:val="0"/>
          <w:marRight w:val="0"/>
          <w:marTop w:val="0"/>
          <w:marBottom w:val="0"/>
          <w:divBdr>
            <w:top w:val="none" w:sz="0" w:space="0" w:color="auto"/>
            <w:left w:val="none" w:sz="0" w:space="0" w:color="auto"/>
            <w:bottom w:val="none" w:sz="0" w:space="0" w:color="auto"/>
            <w:right w:val="none" w:sz="0" w:space="0" w:color="auto"/>
          </w:divBdr>
        </w:div>
        <w:div w:id="2101489549">
          <w:marLeft w:val="0"/>
          <w:marRight w:val="0"/>
          <w:marTop w:val="0"/>
          <w:marBottom w:val="0"/>
          <w:divBdr>
            <w:top w:val="none" w:sz="0" w:space="0" w:color="auto"/>
            <w:left w:val="none" w:sz="0" w:space="0" w:color="auto"/>
            <w:bottom w:val="none" w:sz="0" w:space="0" w:color="auto"/>
            <w:right w:val="none" w:sz="0" w:space="0" w:color="auto"/>
          </w:divBdr>
        </w:div>
        <w:div w:id="2111511166">
          <w:marLeft w:val="0"/>
          <w:marRight w:val="0"/>
          <w:marTop w:val="0"/>
          <w:marBottom w:val="0"/>
          <w:divBdr>
            <w:top w:val="none" w:sz="0" w:space="0" w:color="auto"/>
            <w:left w:val="none" w:sz="0" w:space="0" w:color="auto"/>
            <w:bottom w:val="none" w:sz="0" w:space="0" w:color="auto"/>
            <w:right w:val="none" w:sz="0" w:space="0" w:color="auto"/>
          </w:divBdr>
        </w:div>
        <w:div w:id="2134397360">
          <w:marLeft w:val="0"/>
          <w:marRight w:val="0"/>
          <w:marTop w:val="0"/>
          <w:marBottom w:val="0"/>
          <w:divBdr>
            <w:top w:val="none" w:sz="0" w:space="0" w:color="auto"/>
            <w:left w:val="none" w:sz="0" w:space="0" w:color="auto"/>
            <w:bottom w:val="none" w:sz="0" w:space="0" w:color="auto"/>
            <w:right w:val="none" w:sz="0" w:space="0" w:color="auto"/>
          </w:divBdr>
        </w:div>
      </w:divsChild>
    </w:div>
    <w:div w:id="1744600030">
      <w:bodyDiv w:val="1"/>
      <w:marLeft w:val="0"/>
      <w:marRight w:val="0"/>
      <w:marTop w:val="0"/>
      <w:marBottom w:val="0"/>
      <w:divBdr>
        <w:top w:val="none" w:sz="0" w:space="0" w:color="auto"/>
        <w:left w:val="none" w:sz="0" w:space="0" w:color="auto"/>
        <w:bottom w:val="none" w:sz="0" w:space="0" w:color="auto"/>
        <w:right w:val="none" w:sz="0" w:space="0" w:color="auto"/>
      </w:divBdr>
      <w:divsChild>
        <w:div w:id="9838086">
          <w:marLeft w:val="0"/>
          <w:marRight w:val="0"/>
          <w:marTop w:val="0"/>
          <w:marBottom w:val="0"/>
          <w:divBdr>
            <w:top w:val="none" w:sz="0" w:space="0" w:color="auto"/>
            <w:left w:val="none" w:sz="0" w:space="0" w:color="auto"/>
            <w:bottom w:val="none" w:sz="0" w:space="0" w:color="auto"/>
            <w:right w:val="none" w:sz="0" w:space="0" w:color="auto"/>
          </w:divBdr>
          <w:divsChild>
            <w:div w:id="272902407">
              <w:marLeft w:val="0"/>
              <w:marRight w:val="0"/>
              <w:marTop w:val="0"/>
              <w:marBottom w:val="0"/>
              <w:divBdr>
                <w:top w:val="none" w:sz="0" w:space="0" w:color="auto"/>
                <w:left w:val="none" w:sz="0" w:space="0" w:color="auto"/>
                <w:bottom w:val="none" w:sz="0" w:space="0" w:color="auto"/>
                <w:right w:val="none" w:sz="0" w:space="0" w:color="auto"/>
              </w:divBdr>
            </w:div>
          </w:divsChild>
        </w:div>
        <w:div w:id="55395192">
          <w:marLeft w:val="0"/>
          <w:marRight w:val="0"/>
          <w:marTop w:val="0"/>
          <w:marBottom w:val="0"/>
          <w:divBdr>
            <w:top w:val="none" w:sz="0" w:space="0" w:color="auto"/>
            <w:left w:val="none" w:sz="0" w:space="0" w:color="auto"/>
            <w:bottom w:val="none" w:sz="0" w:space="0" w:color="auto"/>
            <w:right w:val="none" w:sz="0" w:space="0" w:color="auto"/>
          </w:divBdr>
          <w:divsChild>
            <w:div w:id="1930698280">
              <w:marLeft w:val="0"/>
              <w:marRight w:val="0"/>
              <w:marTop w:val="0"/>
              <w:marBottom w:val="0"/>
              <w:divBdr>
                <w:top w:val="none" w:sz="0" w:space="0" w:color="auto"/>
                <w:left w:val="none" w:sz="0" w:space="0" w:color="auto"/>
                <w:bottom w:val="none" w:sz="0" w:space="0" w:color="auto"/>
                <w:right w:val="none" w:sz="0" w:space="0" w:color="auto"/>
              </w:divBdr>
            </w:div>
          </w:divsChild>
        </w:div>
        <w:div w:id="72896266">
          <w:marLeft w:val="0"/>
          <w:marRight w:val="0"/>
          <w:marTop w:val="0"/>
          <w:marBottom w:val="0"/>
          <w:divBdr>
            <w:top w:val="none" w:sz="0" w:space="0" w:color="auto"/>
            <w:left w:val="none" w:sz="0" w:space="0" w:color="auto"/>
            <w:bottom w:val="none" w:sz="0" w:space="0" w:color="auto"/>
            <w:right w:val="none" w:sz="0" w:space="0" w:color="auto"/>
          </w:divBdr>
          <w:divsChild>
            <w:div w:id="1048383829">
              <w:marLeft w:val="0"/>
              <w:marRight w:val="0"/>
              <w:marTop w:val="0"/>
              <w:marBottom w:val="0"/>
              <w:divBdr>
                <w:top w:val="none" w:sz="0" w:space="0" w:color="auto"/>
                <w:left w:val="none" w:sz="0" w:space="0" w:color="auto"/>
                <w:bottom w:val="none" w:sz="0" w:space="0" w:color="auto"/>
                <w:right w:val="none" w:sz="0" w:space="0" w:color="auto"/>
              </w:divBdr>
            </w:div>
          </w:divsChild>
        </w:div>
        <w:div w:id="84544388">
          <w:marLeft w:val="0"/>
          <w:marRight w:val="0"/>
          <w:marTop w:val="0"/>
          <w:marBottom w:val="0"/>
          <w:divBdr>
            <w:top w:val="none" w:sz="0" w:space="0" w:color="auto"/>
            <w:left w:val="none" w:sz="0" w:space="0" w:color="auto"/>
            <w:bottom w:val="none" w:sz="0" w:space="0" w:color="auto"/>
            <w:right w:val="none" w:sz="0" w:space="0" w:color="auto"/>
          </w:divBdr>
          <w:divsChild>
            <w:div w:id="57048133">
              <w:marLeft w:val="0"/>
              <w:marRight w:val="0"/>
              <w:marTop w:val="0"/>
              <w:marBottom w:val="0"/>
              <w:divBdr>
                <w:top w:val="none" w:sz="0" w:space="0" w:color="auto"/>
                <w:left w:val="none" w:sz="0" w:space="0" w:color="auto"/>
                <w:bottom w:val="none" w:sz="0" w:space="0" w:color="auto"/>
                <w:right w:val="none" w:sz="0" w:space="0" w:color="auto"/>
              </w:divBdr>
            </w:div>
          </w:divsChild>
        </w:div>
        <w:div w:id="91703187">
          <w:marLeft w:val="0"/>
          <w:marRight w:val="0"/>
          <w:marTop w:val="0"/>
          <w:marBottom w:val="0"/>
          <w:divBdr>
            <w:top w:val="none" w:sz="0" w:space="0" w:color="auto"/>
            <w:left w:val="none" w:sz="0" w:space="0" w:color="auto"/>
            <w:bottom w:val="none" w:sz="0" w:space="0" w:color="auto"/>
            <w:right w:val="none" w:sz="0" w:space="0" w:color="auto"/>
          </w:divBdr>
          <w:divsChild>
            <w:div w:id="1329942447">
              <w:marLeft w:val="0"/>
              <w:marRight w:val="0"/>
              <w:marTop w:val="0"/>
              <w:marBottom w:val="0"/>
              <w:divBdr>
                <w:top w:val="none" w:sz="0" w:space="0" w:color="auto"/>
                <w:left w:val="none" w:sz="0" w:space="0" w:color="auto"/>
                <w:bottom w:val="none" w:sz="0" w:space="0" w:color="auto"/>
                <w:right w:val="none" w:sz="0" w:space="0" w:color="auto"/>
              </w:divBdr>
            </w:div>
          </w:divsChild>
        </w:div>
        <w:div w:id="102502713">
          <w:marLeft w:val="0"/>
          <w:marRight w:val="0"/>
          <w:marTop w:val="0"/>
          <w:marBottom w:val="0"/>
          <w:divBdr>
            <w:top w:val="none" w:sz="0" w:space="0" w:color="auto"/>
            <w:left w:val="none" w:sz="0" w:space="0" w:color="auto"/>
            <w:bottom w:val="none" w:sz="0" w:space="0" w:color="auto"/>
            <w:right w:val="none" w:sz="0" w:space="0" w:color="auto"/>
          </w:divBdr>
          <w:divsChild>
            <w:div w:id="16126043">
              <w:marLeft w:val="0"/>
              <w:marRight w:val="0"/>
              <w:marTop w:val="0"/>
              <w:marBottom w:val="0"/>
              <w:divBdr>
                <w:top w:val="none" w:sz="0" w:space="0" w:color="auto"/>
                <w:left w:val="none" w:sz="0" w:space="0" w:color="auto"/>
                <w:bottom w:val="none" w:sz="0" w:space="0" w:color="auto"/>
                <w:right w:val="none" w:sz="0" w:space="0" w:color="auto"/>
              </w:divBdr>
            </w:div>
          </w:divsChild>
        </w:div>
        <w:div w:id="127749927">
          <w:marLeft w:val="0"/>
          <w:marRight w:val="0"/>
          <w:marTop w:val="0"/>
          <w:marBottom w:val="0"/>
          <w:divBdr>
            <w:top w:val="none" w:sz="0" w:space="0" w:color="auto"/>
            <w:left w:val="none" w:sz="0" w:space="0" w:color="auto"/>
            <w:bottom w:val="none" w:sz="0" w:space="0" w:color="auto"/>
            <w:right w:val="none" w:sz="0" w:space="0" w:color="auto"/>
          </w:divBdr>
          <w:divsChild>
            <w:div w:id="424542395">
              <w:marLeft w:val="0"/>
              <w:marRight w:val="0"/>
              <w:marTop w:val="0"/>
              <w:marBottom w:val="0"/>
              <w:divBdr>
                <w:top w:val="none" w:sz="0" w:space="0" w:color="auto"/>
                <w:left w:val="none" w:sz="0" w:space="0" w:color="auto"/>
                <w:bottom w:val="none" w:sz="0" w:space="0" w:color="auto"/>
                <w:right w:val="none" w:sz="0" w:space="0" w:color="auto"/>
              </w:divBdr>
            </w:div>
          </w:divsChild>
        </w:div>
        <w:div w:id="157577894">
          <w:marLeft w:val="0"/>
          <w:marRight w:val="0"/>
          <w:marTop w:val="0"/>
          <w:marBottom w:val="0"/>
          <w:divBdr>
            <w:top w:val="none" w:sz="0" w:space="0" w:color="auto"/>
            <w:left w:val="none" w:sz="0" w:space="0" w:color="auto"/>
            <w:bottom w:val="none" w:sz="0" w:space="0" w:color="auto"/>
            <w:right w:val="none" w:sz="0" w:space="0" w:color="auto"/>
          </w:divBdr>
          <w:divsChild>
            <w:div w:id="362900728">
              <w:marLeft w:val="0"/>
              <w:marRight w:val="0"/>
              <w:marTop w:val="0"/>
              <w:marBottom w:val="0"/>
              <w:divBdr>
                <w:top w:val="none" w:sz="0" w:space="0" w:color="auto"/>
                <w:left w:val="none" w:sz="0" w:space="0" w:color="auto"/>
                <w:bottom w:val="none" w:sz="0" w:space="0" w:color="auto"/>
                <w:right w:val="none" w:sz="0" w:space="0" w:color="auto"/>
              </w:divBdr>
            </w:div>
          </w:divsChild>
        </w:div>
        <w:div w:id="256795904">
          <w:marLeft w:val="0"/>
          <w:marRight w:val="0"/>
          <w:marTop w:val="0"/>
          <w:marBottom w:val="0"/>
          <w:divBdr>
            <w:top w:val="none" w:sz="0" w:space="0" w:color="auto"/>
            <w:left w:val="none" w:sz="0" w:space="0" w:color="auto"/>
            <w:bottom w:val="none" w:sz="0" w:space="0" w:color="auto"/>
            <w:right w:val="none" w:sz="0" w:space="0" w:color="auto"/>
          </w:divBdr>
          <w:divsChild>
            <w:div w:id="589581037">
              <w:marLeft w:val="0"/>
              <w:marRight w:val="0"/>
              <w:marTop w:val="0"/>
              <w:marBottom w:val="0"/>
              <w:divBdr>
                <w:top w:val="none" w:sz="0" w:space="0" w:color="auto"/>
                <w:left w:val="none" w:sz="0" w:space="0" w:color="auto"/>
                <w:bottom w:val="none" w:sz="0" w:space="0" w:color="auto"/>
                <w:right w:val="none" w:sz="0" w:space="0" w:color="auto"/>
              </w:divBdr>
            </w:div>
          </w:divsChild>
        </w:div>
        <w:div w:id="318386057">
          <w:marLeft w:val="0"/>
          <w:marRight w:val="0"/>
          <w:marTop w:val="0"/>
          <w:marBottom w:val="0"/>
          <w:divBdr>
            <w:top w:val="none" w:sz="0" w:space="0" w:color="auto"/>
            <w:left w:val="none" w:sz="0" w:space="0" w:color="auto"/>
            <w:bottom w:val="none" w:sz="0" w:space="0" w:color="auto"/>
            <w:right w:val="none" w:sz="0" w:space="0" w:color="auto"/>
          </w:divBdr>
          <w:divsChild>
            <w:div w:id="1043747359">
              <w:marLeft w:val="0"/>
              <w:marRight w:val="0"/>
              <w:marTop w:val="0"/>
              <w:marBottom w:val="0"/>
              <w:divBdr>
                <w:top w:val="none" w:sz="0" w:space="0" w:color="auto"/>
                <w:left w:val="none" w:sz="0" w:space="0" w:color="auto"/>
                <w:bottom w:val="none" w:sz="0" w:space="0" w:color="auto"/>
                <w:right w:val="none" w:sz="0" w:space="0" w:color="auto"/>
              </w:divBdr>
            </w:div>
          </w:divsChild>
        </w:div>
        <w:div w:id="406391301">
          <w:marLeft w:val="0"/>
          <w:marRight w:val="0"/>
          <w:marTop w:val="0"/>
          <w:marBottom w:val="0"/>
          <w:divBdr>
            <w:top w:val="none" w:sz="0" w:space="0" w:color="auto"/>
            <w:left w:val="none" w:sz="0" w:space="0" w:color="auto"/>
            <w:bottom w:val="none" w:sz="0" w:space="0" w:color="auto"/>
            <w:right w:val="none" w:sz="0" w:space="0" w:color="auto"/>
          </w:divBdr>
          <w:divsChild>
            <w:div w:id="2025741766">
              <w:marLeft w:val="0"/>
              <w:marRight w:val="0"/>
              <w:marTop w:val="0"/>
              <w:marBottom w:val="0"/>
              <w:divBdr>
                <w:top w:val="none" w:sz="0" w:space="0" w:color="auto"/>
                <w:left w:val="none" w:sz="0" w:space="0" w:color="auto"/>
                <w:bottom w:val="none" w:sz="0" w:space="0" w:color="auto"/>
                <w:right w:val="none" w:sz="0" w:space="0" w:color="auto"/>
              </w:divBdr>
            </w:div>
          </w:divsChild>
        </w:div>
        <w:div w:id="460347791">
          <w:marLeft w:val="0"/>
          <w:marRight w:val="0"/>
          <w:marTop w:val="0"/>
          <w:marBottom w:val="0"/>
          <w:divBdr>
            <w:top w:val="none" w:sz="0" w:space="0" w:color="auto"/>
            <w:left w:val="none" w:sz="0" w:space="0" w:color="auto"/>
            <w:bottom w:val="none" w:sz="0" w:space="0" w:color="auto"/>
            <w:right w:val="none" w:sz="0" w:space="0" w:color="auto"/>
          </w:divBdr>
          <w:divsChild>
            <w:div w:id="717776463">
              <w:marLeft w:val="0"/>
              <w:marRight w:val="0"/>
              <w:marTop w:val="0"/>
              <w:marBottom w:val="0"/>
              <w:divBdr>
                <w:top w:val="none" w:sz="0" w:space="0" w:color="auto"/>
                <w:left w:val="none" w:sz="0" w:space="0" w:color="auto"/>
                <w:bottom w:val="none" w:sz="0" w:space="0" w:color="auto"/>
                <w:right w:val="none" w:sz="0" w:space="0" w:color="auto"/>
              </w:divBdr>
            </w:div>
          </w:divsChild>
        </w:div>
        <w:div w:id="554971167">
          <w:marLeft w:val="0"/>
          <w:marRight w:val="0"/>
          <w:marTop w:val="0"/>
          <w:marBottom w:val="0"/>
          <w:divBdr>
            <w:top w:val="none" w:sz="0" w:space="0" w:color="auto"/>
            <w:left w:val="none" w:sz="0" w:space="0" w:color="auto"/>
            <w:bottom w:val="none" w:sz="0" w:space="0" w:color="auto"/>
            <w:right w:val="none" w:sz="0" w:space="0" w:color="auto"/>
          </w:divBdr>
          <w:divsChild>
            <w:div w:id="1435855627">
              <w:marLeft w:val="0"/>
              <w:marRight w:val="0"/>
              <w:marTop w:val="0"/>
              <w:marBottom w:val="0"/>
              <w:divBdr>
                <w:top w:val="none" w:sz="0" w:space="0" w:color="auto"/>
                <w:left w:val="none" w:sz="0" w:space="0" w:color="auto"/>
                <w:bottom w:val="none" w:sz="0" w:space="0" w:color="auto"/>
                <w:right w:val="none" w:sz="0" w:space="0" w:color="auto"/>
              </w:divBdr>
            </w:div>
          </w:divsChild>
        </w:div>
        <w:div w:id="585040041">
          <w:marLeft w:val="0"/>
          <w:marRight w:val="0"/>
          <w:marTop w:val="0"/>
          <w:marBottom w:val="0"/>
          <w:divBdr>
            <w:top w:val="none" w:sz="0" w:space="0" w:color="auto"/>
            <w:left w:val="none" w:sz="0" w:space="0" w:color="auto"/>
            <w:bottom w:val="none" w:sz="0" w:space="0" w:color="auto"/>
            <w:right w:val="none" w:sz="0" w:space="0" w:color="auto"/>
          </w:divBdr>
          <w:divsChild>
            <w:div w:id="1207374767">
              <w:marLeft w:val="0"/>
              <w:marRight w:val="0"/>
              <w:marTop w:val="0"/>
              <w:marBottom w:val="0"/>
              <w:divBdr>
                <w:top w:val="none" w:sz="0" w:space="0" w:color="auto"/>
                <w:left w:val="none" w:sz="0" w:space="0" w:color="auto"/>
                <w:bottom w:val="none" w:sz="0" w:space="0" w:color="auto"/>
                <w:right w:val="none" w:sz="0" w:space="0" w:color="auto"/>
              </w:divBdr>
            </w:div>
          </w:divsChild>
        </w:div>
        <w:div w:id="610474752">
          <w:marLeft w:val="0"/>
          <w:marRight w:val="0"/>
          <w:marTop w:val="0"/>
          <w:marBottom w:val="0"/>
          <w:divBdr>
            <w:top w:val="none" w:sz="0" w:space="0" w:color="auto"/>
            <w:left w:val="none" w:sz="0" w:space="0" w:color="auto"/>
            <w:bottom w:val="none" w:sz="0" w:space="0" w:color="auto"/>
            <w:right w:val="none" w:sz="0" w:space="0" w:color="auto"/>
          </w:divBdr>
          <w:divsChild>
            <w:div w:id="562252923">
              <w:marLeft w:val="0"/>
              <w:marRight w:val="0"/>
              <w:marTop w:val="0"/>
              <w:marBottom w:val="0"/>
              <w:divBdr>
                <w:top w:val="none" w:sz="0" w:space="0" w:color="auto"/>
                <w:left w:val="none" w:sz="0" w:space="0" w:color="auto"/>
                <w:bottom w:val="none" w:sz="0" w:space="0" w:color="auto"/>
                <w:right w:val="none" w:sz="0" w:space="0" w:color="auto"/>
              </w:divBdr>
            </w:div>
          </w:divsChild>
        </w:div>
        <w:div w:id="641546717">
          <w:marLeft w:val="0"/>
          <w:marRight w:val="0"/>
          <w:marTop w:val="0"/>
          <w:marBottom w:val="0"/>
          <w:divBdr>
            <w:top w:val="none" w:sz="0" w:space="0" w:color="auto"/>
            <w:left w:val="none" w:sz="0" w:space="0" w:color="auto"/>
            <w:bottom w:val="none" w:sz="0" w:space="0" w:color="auto"/>
            <w:right w:val="none" w:sz="0" w:space="0" w:color="auto"/>
          </w:divBdr>
          <w:divsChild>
            <w:div w:id="945113621">
              <w:marLeft w:val="0"/>
              <w:marRight w:val="0"/>
              <w:marTop w:val="0"/>
              <w:marBottom w:val="0"/>
              <w:divBdr>
                <w:top w:val="none" w:sz="0" w:space="0" w:color="auto"/>
                <w:left w:val="none" w:sz="0" w:space="0" w:color="auto"/>
                <w:bottom w:val="none" w:sz="0" w:space="0" w:color="auto"/>
                <w:right w:val="none" w:sz="0" w:space="0" w:color="auto"/>
              </w:divBdr>
            </w:div>
          </w:divsChild>
        </w:div>
        <w:div w:id="673579614">
          <w:marLeft w:val="0"/>
          <w:marRight w:val="0"/>
          <w:marTop w:val="0"/>
          <w:marBottom w:val="0"/>
          <w:divBdr>
            <w:top w:val="none" w:sz="0" w:space="0" w:color="auto"/>
            <w:left w:val="none" w:sz="0" w:space="0" w:color="auto"/>
            <w:bottom w:val="none" w:sz="0" w:space="0" w:color="auto"/>
            <w:right w:val="none" w:sz="0" w:space="0" w:color="auto"/>
          </w:divBdr>
          <w:divsChild>
            <w:div w:id="1151214345">
              <w:marLeft w:val="0"/>
              <w:marRight w:val="0"/>
              <w:marTop w:val="0"/>
              <w:marBottom w:val="0"/>
              <w:divBdr>
                <w:top w:val="none" w:sz="0" w:space="0" w:color="auto"/>
                <w:left w:val="none" w:sz="0" w:space="0" w:color="auto"/>
                <w:bottom w:val="none" w:sz="0" w:space="0" w:color="auto"/>
                <w:right w:val="none" w:sz="0" w:space="0" w:color="auto"/>
              </w:divBdr>
            </w:div>
          </w:divsChild>
        </w:div>
        <w:div w:id="678315675">
          <w:marLeft w:val="0"/>
          <w:marRight w:val="0"/>
          <w:marTop w:val="0"/>
          <w:marBottom w:val="0"/>
          <w:divBdr>
            <w:top w:val="none" w:sz="0" w:space="0" w:color="auto"/>
            <w:left w:val="none" w:sz="0" w:space="0" w:color="auto"/>
            <w:bottom w:val="none" w:sz="0" w:space="0" w:color="auto"/>
            <w:right w:val="none" w:sz="0" w:space="0" w:color="auto"/>
          </w:divBdr>
          <w:divsChild>
            <w:div w:id="1324699334">
              <w:marLeft w:val="0"/>
              <w:marRight w:val="0"/>
              <w:marTop w:val="0"/>
              <w:marBottom w:val="0"/>
              <w:divBdr>
                <w:top w:val="none" w:sz="0" w:space="0" w:color="auto"/>
                <w:left w:val="none" w:sz="0" w:space="0" w:color="auto"/>
                <w:bottom w:val="none" w:sz="0" w:space="0" w:color="auto"/>
                <w:right w:val="none" w:sz="0" w:space="0" w:color="auto"/>
              </w:divBdr>
            </w:div>
          </w:divsChild>
        </w:div>
        <w:div w:id="717171114">
          <w:marLeft w:val="0"/>
          <w:marRight w:val="0"/>
          <w:marTop w:val="0"/>
          <w:marBottom w:val="0"/>
          <w:divBdr>
            <w:top w:val="none" w:sz="0" w:space="0" w:color="auto"/>
            <w:left w:val="none" w:sz="0" w:space="0" w:color="auto"/>
            <w:bottom w:val="none" w:sz="0" w:space="0" w:color="auto"/>
            <w:right w:val="none" w:sz="0" w:space="0" w:color="auto"/>
          </w:divBdr>
          <w:divsChild>
            <w:div w:id="1629817257">
              <w:marLeft w:val="0"/>
              <w:marRight w:val="0"/>
              <w:marTop w:val="0"/>
              <w:marBottom w:val="0"/>
              <w:divBdr>
                <w:top w:val="none" w:sz="0" w:space="0" w:color="auto"/>
                <w:left w:val="none" w:sz="0" w:space="0" w:color="auto"/>
                <w:bottom w:val="none" w:sz="0" w:space="0" w:color="auto"/>
                <w:right w:val="none" w:sz="0" w:space="0" w:color="auto"/>
              </w:divBdr>
            </w:div>
          </w:divsChild>
        </w:div>
        <w:div w:id="730347456">
          <w:marLeft w:val="0"/>
          <w:marRight w:val="0"/>
          <w:marTop w:val="0"/>
          <w:marBottom w:val="0"/>
          <w:divBdr>
            <w:top w:val="none" w:sz="0" w:space="0" w:color="auto"/>
            <w:left w:val="none" w:sz="0" w:space="0" w:color="auto"/>
            <w:bottom w:val="none" w:sz="0" w:space="0" w:color="auto"/>
            <w:right w:val="none" w:sz="0" w:space="0" w:color="auto"/>
          </w:divBdr>
          <w:divsChild>
            <w:div w:id="1513035512">
              <w:marLeft w:val="0"/>
              <w:marRight w:val="0"/>
              <w:marTop w:val="0"/>
              <w:marBottom w:val="0"/>
              <w:divBdr>
                <w:top w:val="none" w:sz="0" w:space="0" w:color="auto"/>
                <w:left w:val="none" w:sz="0" w:space="0" w:color="auto"/>
                <w:bottom w:val="none" w:sz="0" w:space="0" w:color="auto"/>
                <w:right w:val="none" w:sz="0" w:space="0" w:color="auto"/>
              </w:divBdr>
            </w:div>
          </w:divsChild>
        </w:div>
        <w:div w:id="731267984">
          <w:marLeft w:val="0"/>
          <w:marRight w:val="0"/>
          <w:marTop w:val="0"/>
          <w:marBottom w:val="0"/>
          <w:divBdr>
            <w:top w:val="none" w:sz="0" w:space="0" w:color="auto"/>
            <w:left w:val="none" w:sz="0" w:space="0" w:color="auto"/>
            <w:bottom w:val="none" w:sz="0" w:space="0" w:color="auto"/>
            <w:right w:val="none" w:sz="0" w:space="0" w:color="auto"/>
          </w:divBdr>
          <w:divsChild>
            <w:div w:id="475992680">
              <w:marLeft w:val="0"/>
              <w:marRight w:val="0"/>
              <w:marTop w:val="0"/>
              <w:marBottom w:val="0"/>
              <w:divBdr>
                <w:top w:val="none" w:sz="0" w:space="0" w:color="auto"/>
                <w:left w:val="none" w:sz="0" w:space="0" w:color="auto"/>
                <w:bottom w:val="none" w:sz="0" w:space="0" w:color="auto"/>
                <w:right w:val="none" w:sz="0" w:space="0" w:color="auto"/>
              </w:divBdr>
            </w:div>
          </w:divsChild>
        </w:div>
        <w:div w:id="731463090">
          <w:marLeft w:val="0"/>
          <w:marRight w:val="0"/>
          <w:marTop w:val="0"/>
          <w:marBottom w:val="0"/>
          <w:divBdr>
            <w:top w:val="none" w:sz="0" w:space="0" w:color="auto"/>
            <w:left w:val="none" w:sz="0" w:space="0" w:color="auto"/>
            <w:bottom w:val="none" w:sz="0" w:space="0" w:color="auto"/>
            <w:right w:val="none" w:sz="0" w:space="0" w:color="auto"/>
          </w:divBdr>
          <w:divsChild>
            <w:div w:id="1452551235">
              <w:marLeft w:val="0"/>
              <w:marRight w:val="0"/>
              <w:marTop w:val="0"/>
              <w:marBottom w:val="0"/>
              <w:divBdr>
                <w:top w:val="none" w:sz="0" w:space="0" w:color="auto"/>
                <w:left w:val="none" w:sz="0" w:space="0" w:color="auto"/>
                <w:bottom w:val="none" w:sz="0" w:space="0" w:color="auto"/>
                <w:right w:val="none" w:sz="0" w:space="0" w:color="auto"/>
              </w:divBdr>
            </w:div>
          </w:divsChild>
        </w:div>
        <w:div w:id="885725191">
          <w:marLeft w:val="0"/>
          <w:marRight w:val="0"/>
          <w:marTop w:val="0"/>
          <w:marBottom w:val="0"/>
          <w:divBdr>
            <w:top w:val="none" w:sz="0" w:space="0" w:color="auto"/>
            <w:left w:val="none" w:sz="0" w:space="0" w:color="auto"/>
            <w:bottom w:val="none" w:sz="0" w:space="0" w:color="auto"/>
            <w:right w:val="none" w:sz="0" w:space="0" w:color="auto"/>
          </w:divBdr>
          <w:divsChild>
            <w:div w:id="1462267079">
              <w:marLeft w:val="0"/>
              <w:marRight w:val="0"/>
              <w:marTop w:val="0"/>
              <w:marBottom w:val="0"/>
              <w:divBdr>
                <w:top w:val="none" w:sz="0" w:space="0" w:color="auto"/>
                <w:left w:val="none" w:sz="0" w:space="0" w:color="auto"/>
                <w:bottom w:val="none" w:sz="0" w:space="0" w:color="auto"/>
                <w:right w:val="none" w:sz="0" w:space="0" w:color="auto"/>
              </w:divBdr>
            </w:div>
          </w:divsChild>
        </w:div>
        <w:div w:id="907769764">
          <w:marLeft w:val="0"/>
          <w:marRight w:val="0"/>
          <w:marTop w:val="0"/>
          <w:marBottom w:val="0"/>
          <w:divBdr>
            <w:top w:val="none" w:sz="0" w:space="0" w:color="auto"/>
            <w:left w:val="none" w:sz="0" w:space="0" w:color="auto"/>
            <w:bottom w:val="none" w:sz="0" w:space="0" w:color="auto"/>
            <w:right w:val="none" w:sz="0" w:space="0" w:color="auto"/>
          </w:divBdr>
          <w:divsChild>
            <w:div w:id="1622568495">
              <w:marLeft w:val="0"/>
              <w:marRight w:val="0"/>
              <w:marTop w:val="0"/>
              <w:marBottom w:val="0"/>
              <w:divBdr>
                <w:top w:val="none" w:sz="0" w:space="0" w:color="auto"/>
                <w:left w:val="none" w:sz="0" w:space="0" w:color="auto"/>
                <w:bottom w:val="none" w:sz="0" w:space="0" w:color="auto"/>
                <w:right w:val="none" w:sz="0" w:space="0" w:color="auto"/>
              </w:divBdr>
            </w:div>
          </w:divsChild>
        </w:div>
        <w:div w:id="909194743">
          <w:marLeft w:val="0"/>
          <w:marRight w:val="0"/>
          <w:marTop w:val="0"/>
          <w:marBottom w:val="0"/>
          <w:divBdr>
            <w:top w:val="none" w:sz="0" w:space="0" w:color="auto"/>
            <w:left w:val="none" w:sz="0" w:space="0" w:color="auto"/>
            <w:bottom w:val="none" w:sz="0" w:space="0" w:color="auto"/>
            <w:right w:val="none" w:sz="0" w:space="0" w:color="auto"/>
          </w:divBdr>
          <w:divsChild>
            <w:div w:id="1493178014">
              <w:marLeft w:val="0"/>
              <w:marRight w:val="0"/>
              <w:marTop w:val="0"/>
              <w:marBottom w:val="0"/>
              <w:divBdr>
                <w:top w:val="none" w:sz="0" w:space="0" w:color="auto"/>
                <w:left w:val="none" w:sz="0" w:space="0" w:color="auto"/>
                <w:bottom w:val="none" w:sz="0" w:space="0" w:color="auto"/>
                <w:right w:val="none" w:sz="0" w:space="0" w:color="auto"/>
              </w:divBdr>
            </w:div>
          </w:divsChild>
        </w:div>
        <w:div w:id="937760884">
          <w:marLeft w:val="0"/>
          <w:marRight w:val="0"/>
          <w:marTop w:val="0"/>
          <w:marBottom w:val="0"/>
          <w:divBdr>
            <w:top w:val="none" w:sz="0" w:space="0" w:color="auto"/>
            <w:left w:val="none" w:sz="0" w:space="0" w:color="auto"/>
            <w:bottom w:val="none" w:sz="0" w:space="0" w:color="auto"/>
            <w:right w:val="none" w:sz="0" w:space="0" w:color="auto"/>
          </w:divBdr>
          <w:divsChild>
            <w:div w:id="386999760">
              <w:marLeft w:val="0"/>
              <w:marRight w:val="0"/>
              <w:marTop w:val="0"/>
              <w:marBottom w:val="0"/>
              <w:divBdr>
                <w:top w:val="none" w:sz="0" w:space="0" w:color="auto"/>
                <w:left w:val="none" w:sz="0" w:space="0" w:color="auto"/>
                <w:bottom w:val="none" w:sz="0" w:space="0" w:color="auto"/>
                <w:right w:val="none" w:sz="0" w:space="0" w:color="auto"/>
              </w:divBdr>
            </w:div>
          </w:divsChild>
        </w:div>
        <w:div w:id="948006118">
          <w:marLeft w:val="0"/>
          <w:marRight w:val="0"/>
          <w:marTop w:val="0"/>
          <w:marBottom w:val="0"/>
          <w:divBdr>
            <w:top w:val="none" w:sz="0" w:space="0" w:color="auto"/>
            <w:left w:val="none" w:sz="0" w:space="0" w:color="auto"/>
            <w:bottom w:val="none" w:sz="0" w:space="0" w:color="auto"/>
            <w:right w:val="none" w:sz="0" w:space="0" w:color="auto"/>
          </w:divBdr>
          <w:divsChild>
            <w:div w:id="1847402316">
              <w:marLeft w:val="0"/>
              <w:marRight w:val="0"/>
              <w:marTop w:val="0"/>
              <w:marBottom w:val="0"/>
              <w:divBdr>
                <w:top w:val="none" w:sz="0" w:space="0" w:color="auto"/>
                <w:left w:val="none" w:sz="0" w:space="0" w:color="auto"/>
                <w:bottom w:val="none" w:sz="0" w:space="0" w:color="auto"/>
                <w:right w:val="none" w:sz="0" w:space="0" w:color="auto"/>
              </w:divBdr>
            </w:div>
          </w:divsChild>
        </w:div>
        <w:div w:id="991522671">
          <w:marLeft w:val="0"/>
          <w:marRight w:val="0"/>
          <w:marTop w:val="0"/>
          <w:marBottom w:val="0"/>
          <w:divBdr>
            <w:top w:val="none" w:sz="0" w:space="0" w:color="auto"/>
            <w:left w:val="none" w:sz="0" w:space="0" w:color="auto"/>
            <w:bottom w:val="none" w:sz="0" w:space="0" w:color="auto"/>
            <w:right w:val="none" w:sz="0" w:space="0" w:color="auto"/>
          </w:divBdr>
          <w:divsChild>
            <w:div w:id="490104203">
              <w:marLeft w:val="0"/>
              <w:marRight w:val="0"/>
              <w:marTop w:val="0"/>
              <w:marBottom w:val="0"/>
              <w:divBdr>
                <w:top w:val="none" w:sz="0" w:space="0" w:color="auto"/>
                <w:left w:val="none" w:sz="0" w:space="0" w:color="auto"/>
                <w:bottom w:val="none" w:sz="0" w:space="0" w:color="auto"/>
                <w:right w:val="none" w:sz="0" w:space="0" w:color="auto"/>
              </w:divBdr>
            </w:div>
          </w:divsChild>
        </w:div>
        <w:div w:id="1006638544">
          <w:marLeft w:val="0"/>
          <w:marRight w:val="0"/>
          <w:marTop w:val="0"/>
          <w:marBottom w:val="0"/>
          <w:divBdr>
            <w:top w:val="none" w:sz="0" w:space="0" w:color="auto"/>
            <w:left w:val="none" w:sz="0" w:space="0" w:color="auto"/>
            <w:bottom w:val="none" w:sz="0" w:space="0" w:color="auto"/>
            <w:right w:val="none" w:sz="0" w:space="0" w:color="auto"/>
          </w:divBdr>
          <w:divsChild>
            <w:div w:id="722406252">
              <w:marLeft w:val="0"/>
              <w:marRight w:val="0"/>
              <w:marTop w:val="0"/>
              <w:marBottom w:val="0"/>
              <w:divBdr>
                <w:top w:val="none" w:sz="0" w:space="0" w:color="auto"/>
                <w:left w:val="none" w:sz="0" w:space="0" w:color="auto"/>
                <w:bottom w:val="none" w:sz="0" w:space="0" w:color="auto"/>
                <w:right w:val="none" w:sz="0" w:space="0" w:color="auto"/>
              </w:divBdr>
            </w:div>
          </w:divsChild>
        </w:div>
        <w:div w:id="1014650136">
          <w:marLeft w:val="0"/>
          <w:marRight w:val="0"/>
          <w:marTop w:val="0"/>
          <w:marBottom w:val="0"/>
          <w:divBdr>
            <w:top w:val="none" w:sz="0" w:space="0" w:color="auto"/>
            <w:left w:val="none" w:sz="0" w:space="0" w:color="auto"/>
            <w:bottom w:val="none" w:sz="0" w:space="0" w:color="auto"/>
            <w:right w:val="none" w:sz="0" w:space="0" w:color="auto"/>
          </w:divBdr>
          <w:divsChild>
            <w:div w:id="2058431512">
              <w:marLeft w:val="0"/>
              <w:marRight w:val="0"/>
              <w:marTop w:val="0"/>
              <w:marBottom w:val="0"/>
              <w:divBdr>
                <w:top w:val="none" w:sz="0" w:space="0" w:color="auto"/>
                <w:left w:val="none" w:sz="0" w:space="0" w:color="auto"/>
                <w:bottom w:val="none" w:sz="0" w:space="0" w:color="auto"/>
                <w:right w:val="none" w:sz="0" w:space="0" w:color="auto"/>
              </w:divBdr>
            </w:div>
          </w:divsChild>
        </w:div>
        <w:div w:id="1024135082">
          <w:marLeft w:val="0"/>
          <w:marRight w:val="0"/>
          <w:marTop w:val="0"/>
          <w:marBottom w:val="0"/>
          <w:divBdr>
            <w:top w:val="none" w:sz="0" w:space="0" w:color="auto"/>
            <w:left w:val="none" w:sz="0" w:space="0" w:color="auto"/>
            <w:bottom w:val="none" w:sz="0" w:space="0" w:color="auto"/>
            <w:right w:val="none" w:sz="0" w:space="0" w:color="auto"/>
          </w:divBdr>
          <w:divsChild>
            <w:div w:id="1710449649">
              <w:marLeft w:val="0"/>
              <w:marRight w:val="0"/>
              <w:marTop w:val="0"/>
              <w:marBottom w:val="0"/>
              <w:divBdr>
                <w:top w:val="none" w:sz="0" w:space="0" w:color="auto"/>
                <w:left w:val="none" w:sz="0" w:space="0" w:color="auto"/>
                <w:bottom w:val="none" w:sz="0" w:space="0" w:color="auto"/>
                <w:right w:val="none" w:sz="0" w:space="0" w:color="auto"/>
              </w:divBdr>
            </w:div>
          </w:divsChild>
        </w:div>
        <w:div w:id="1102065163">
          <w:marLeft w:val="0"/>
          <w:marRight w:val="0"/>
          <w:marTop w:val="0"/>
          <w:marBottom w:val="0"/>
          <w:divBdr>
            <w:top w:val="none" w:sz="0" w:space="0" w:color="auto"/>
            <w:left w:val="none" w:sz="0" w:space="0" w:color="auto"/>
            <w:bottom w:val="none" w:sz="0" w:space="0" w:color="auto"/>
            <w:right w:val="none" w:sz="0" w:space="0" w:color="auto"/>
          </w:divBdr>
          <w:divsChild>
            <w:div w:id="1707635161">
              <w:marLeft w:val="0"/>
              <w:marRight w:val="0"/>
              <w:marTop w:val="0"/>
              <w:marBottom w:val="0"/>
              <w:divBdr>
                <w:top w:val="none" w:sz="0" w:space="0" w:color="auto"/>
                <w:left w:val="none" w:sz="0" w:space="0" w:color="auto"/>
                <w:bottom w:val="none" w:sz="0" w:space="0" w:color="auto"/>
                <w:right w:val="none" w:sz="0" w:space="0" w:color="auto"/>
              </w:divBdr>
            </w:div>
          </w:divsChild>
        </w:div>
        <w:div w:id="1120876289">
          <w:marLeft w:val="0"/>
          <w:marRight w:val="0"/>
          <w:marTop w:val="0"/>
          <w:marBottom w:val="0"/>
          <w:divBdr>
            <w:top w:val="none" w:sz="0" w:space="0" w:color="auto"/>
            <w:left w:val="none" w:sz="0" w:space="0" w:color="auto"/>
            <w:bottom w:val="none" w:sz="0" w:space="0" w:color="auto"/>
            <w:right w:val="none" w:sz="0" w:space="0" w:color="auto"/>
          </w:divBdr>
          <w:divsChild>
            <w:div w:id="426466442">
              <w:marLeft w:val="0"/>
              <w:marRight w:val="0"/>
              <w:marTop w:val="0"/>
              <w:marBottom w:val="0"/>
              <w:divBdr>
                <w:top w:val="none" w:sz="0" w:space="0" w:color="auto"/>
                <w:left w:val="none" w:sz="0" w:space="0" w:color="auto"/>
                <w:bottom w:val="none" w:sz="0" w:space="0" w:color="auto"/>
                <w:right w:val="none" w:sz="0" w:space="0" w:color="auto"/>
              </w:divBdr>
            </w:div>
          </w:divsChild>
        </w:div>
        <w:div w:id="1128086525">
          <w:marLeft w:val="0"/>
          <w:marRight w:val="0"/>
          <w:marTop w:val="0"/>
          <w:marBottom w:val="0"/>
          <w:divBdr>
            <w:top w:val="none" w:sz="0" w:space="0" w:color="auto"/>
            <w:left w:val="none" w:sz="0" w:space="0" w:color="auto"/>
            <w:bottom w:val="none" w:sz="0" w:space="0" w:color="auto"/>
            <w:right w:val="none" w:sz="0" w:space="0" w:color="auto"/>
          </w:divBdr>
          <w:divsChild>
            <w:div w:id="1182742400">
              <w:marLeft w:val="0"/>
              <w:marRight w:val="0"/>
              <w:marTop w:val="0"/>
              <w:marBottom w:val="0"/>
              <w:divBdr>
                <w:top w:val="none" w:sz="0" w:space="0" w:color="auto"/>
                <w:left w:val="none" w:sz="0" w:space="0" w:color="auto"/>
                <w:bottom w:val="none" w:sz="0" w:space="0" w:color="auto"/>
                <w:right w:val="none" w:sz="0" w:space="0" w:color="auto"/>
              </w:divBdr>
            </w:div>
          </w:divsChild>
        </w:div>
        <w:div w:id="1229462996">
          <w:marLeft w:val="0"/>
          <w:marRight w:val="0"/>
          <w:marTop w:val="0"/>
          <w:marBottom w:val="0"/>
          <w:divBdr>
            <w:top w:val="none" w:sz="0" w:space="0" w:color="auto"/>
            <w:left w:val="none" w:sz="0" w:space="0" w:color="auto"/>
            <w:bottom w:val="none" w:sz="0" w:space="0" w:color="auto"/>
            <w:right w:val="none" w:sz="0" w:space="0" w:color="auto"/>
          </w:divBdr>
          <w:divsChild>
            <w:div w:id="636767296">
              <w:marLeft w:val="0"/>
              <w:marRight w:val="0"/>
              <w:marTop w:val="0"/>
              <w:marBottom w:val="0"/>
              <w:divBdr>
                <w:top w:val="none" w:sz="0" w:space="0" w:color="auto"/>
                <w:left w:val="none" w:sz="0" w:space="0" w:color="auto"/>
                <w:bottom w:val="none" w:sz="0" w:space="0" w:color="auto"/>
                <w:right w:val="none" w:sz="0" w:space="0" w:color="auto"/>
              </w:divBdr>
            </w:div>
          </w:divsChild>
        </w:div>
        <w:div w:id="1256672656">
          <w:marLeft w:val="0"/>
          <w:marRight w:val="0"/>
          <w:marTop w:val="0"/>
          <w:marBottom w:val="0"/>
          <w:divBdr>
            <w:top w:val="none" w:sz="0" w:space="0" w:color="auto"/>
            <w:left w:val="none" w:sz="0" w:space="0" w:color="auto"/>
            <w:bottom w:val="none" w:sz="0" w:space="0" w:color="auto"/>
            <w:right w:val="none" w:sz="0" w:space="0" w:color="auto"/>
          </w:divBdr>
          <w:divsChild>
            <w:div w:id="1528325309">
              <w:marLeft w:val="0"/>
              <w:marRight w:val="0"/>
              <w:marTop w:val="0"/>
              <w:marBottom w:val="0"/>
              <w:divBdr>
                <w:top w:val="none" w:sz="0" w:space="0" w:color="auto"/>
                <w:left w:val="none" w:sz="0" w:space="0" w:color="auto"/>
                <w:bottom w:val="none" w:sz="0" w:space="0" w:color="auto"/>
                <w:right w:val="none" w:sz="0" w:space="0" w:color="auto"/>
              </w:divBdr>
            </w:div>
          </w:divsChild>
        </w:div>
        <w:div w:id="1316452685">
          <w:marLeft w:val="0"/>
          <w:marRight w:val="0"/>
          <w:marTop w:val="0"/>
          <w:marBottom w:val="0"/>
          <w:divBdr>
            <w:top w:val="none" w:sz="0" w:space="0" w:color="auto"/>
            <w:left w:val="none" w:sz="0" w:space="0" w:color="auto"/>
            <w:bottom w:val="none" w:sz="0" w:space="0" w:color="auto"/>
            <w:right w:val="none" w:sz="0" w:space="0" w:color="auto"/>
          </w:divBdr>
          <w:divsChild>
            <w:div w:id="1492990702">
              <w:marLeft w:val="0"/>
              <w:marRight w:val="0"/>
              <w:marTop w:val="0"/>
              <w:marBottom w:val="0"/>
              <w:divBdr>
                <w:top w:val="none" w:sz="0" w:space="0" w:color="auto"/>
                <w:left w:val="none" w:sz="0" w:space="0" w:color="auto"/>
                <w:bottom w:val="none" w:sz="0" w:space="0" w:color="auto"/>
                <w:right w:val="none" w:sz="0" w:space="0" w:color="auto"/>
              </w:divBdr>
            </w:div>
          </w:divsChild>
        </w:div>
        <w:div w:id="1335496742">
          <w:marLeft w:val="0"/>
          <w:marRight w:val="0"/>
          <w:marTop w:val="0"/>
          <w:marBottom w:val="0"/>
          <w:divBdr>
            <w:top w:val="none" w:sz="0" w:space="0" w:color="auto"/>
            <w:left w:val="none" w:sz="0" w:space="0" w:color="auto"/>
            <w:bottom w:val="none" w:sz="0" w:space="0" w:color="auto"/>
            <w:right w:val="none" w:sz="0" w:space="0" w:color="auto"/>
          </w:divBdr>
          <w:divsChild>
            <w:div w:id="2145078903">
              <w:marLeft w:val="0"/>
              <w:marRight w:val="0"/>
              <w:marTop w:val="0"/>
              <w:marBottom w:val="0"/>
              <w:divBdr>
                <w:top w:val="none" w:sz="0" w:space="0" w:color="auto"/>
                <w:left w:val="none" w:sz="0" w:space="0" w:color="auto"/>
                <w:bottom w:val="none" w:sz="0" w:space="0" w:color="auto"/>
                <w:right w:val="none" w:sz="0" w:space="0" w:color="auto"/>
              </w:divBdr>
            </w:div>
          </w:divsChild>
        </w:div>
        <w:div w:id="1354572750">
          <w:marLeft w:val="0"/>
          <w:marRight w:val="0"/>
          <w:marTop w:val="0"/>
          <w:marBottom w:val="0"/>
          <w:divBdr>
            <w:top w:val="none" w:sz="0" w:space="0" w:color="auto"/>
            <w:left w:val="none" w:sz="0" w:space="0" w:color="auto"/>
            <w:bottom w:val="none" w:sz="0" w:space="0" w:color="auto"/>
            <w:right w:val="none" w:sz="0" w:space="0" w:color="auto"/>
          </w:divBdr>
          <w:divsChild>
            <w:div w:id="79642627">
              <w:marLeft w:val="0"/>
              <w:marRight w:val="0"/>
              <w:marTop w:val="0"/>
              <w:marBottom w:val="0"/>
              <w:divBdr>
                <w:top w:val="none" w:sz="0" w:space="0" w:color="auto"/>
                <w:left w:val="none" w:sz="0" w:space="0" w:color="auto"/>
                <w:bottom w:val="none" w:sz="0" w:space="0" w:color="auto"/>
                <w:right w:val="none" w:sz="0" w:space="0" w:color="auto"/>
              </w:divBdr>
            </w:div>
          </w:divsChild>
        </w:div>
        <w:div w:id="1385253993">
          <w:marLeft w:val="0"/>
          <w:marRight w:val="0"/>
          <w:marTop w:val="0"/>
          <w:marBottom w:val="0"/>
          <w:divBdr>
            <w:top w:val="none" w:sz="0" w:space="0" w:color="auto"/>
            <w:left w:val="none" w:sz="0" w:space="0" w:color="auto"/>
            <w:bottom w:val="none" w:sz="0" w:space="0" w:color="auto"/>
            <w:right w:val="none" w:sz="0" w:space="0" w:color="auto"/>
          </w:divBdr>
          <w:divsChild>
            <w:div w:id="588275207">
              <w:marLeft w:val="0"/>
              <w:marRight w:val="0"/>
              <w:marTop w:val="0"/>
              <w:marBottom w:val="0"/>
              <w:divBdr>
                <w:top w:val="none" w:sz="0" w:space="0" w:color="auto"/>
                <w:left w:val="none" w:sz="0" w:space="0" w:color="auto"/>
                <w:bottom w:val="none" w:sz="0" w:space="0" w:color="auto"/>
                <w:right w:val="none" w:sz="0" w:space="0" w:color="auto"/>
              </w:divBdr>
            </w:div>
          </w:divsChild>
        </w:div>
        <w:div w:id="1413971739">
          <w:marLeft w:val="0"/>
          <w:marRight w:val="0"/>
          <w:marTop w:val="0"/>
          <w:marBottom w:val="0"/>
          <w:divBdr>
            <w:top w:val="none" w:sz="0" w:space="0" w:color="auto"/>
            <w:left w:val="none" w:sz="0" w:space="0" w:color="auto"/>
            <w:bottom w:val="none" w:sz="0" w:space="0" w:color="auto"/>
            <w:right w:val="none" w:sz="0" w:space="0" w:color="auto"/>
          </w:divBdr>
          <w:divsChild>
            <w:div w:id="530724309">
              <w:marLeft w:val="0"/>
              <w:marRight w:val="0"/>
              <w:marTop w:val="0"/>
              <w:marBottom w:val="0"/>
              <w:divBdr>
                <w:top w:val="none" w:sz="0" w:space="0" w:color="auto"/>
                <w:left w:val="none" w:sz="0" w:space="0" w:color="auto"/>
                <w:bottom w:val="none" w:sz="0" w:space="0" w:color="auto"/>
                <w:right w:val="none" w:sz="0" w:space="0" w:color="auto"/>
              </w:divBdr>
            </w:div>
          </w:divsChild>
        </w:div>
        <w:div w:id="1436174885">
          <w:marLeft w:val="0"/>
          <w:marRight w:val="0"/>
          <w:marTop w:val="0"/>
          <w:marBottom w:val="0"/>
          <w:divBdr>
            <w:top w:val="none" w:sz="0" w:space="0" w:color="auto"/>
            <w:left w:val="none" w:sz="0" w:space="0" w:color="auto"/>
            <w:bottom w:val="none" w:sz="0" w:space="0" w:color="auto"/>
            <w:right w:val="none" w:sz="0" w:space="0" w:color="auto"/>
          </w:divBdr>
          <w:divsChild>
            <w:div w:id="46073281">
              <w:marLeft w:val="0"/>
              <w:marRight w:val="0"/>
              <w:marTop w:val="0"/>
              <w:marBottom w:val="0"/>
              <w:divBdr>
                <w:top w:val="none" w:sz="0" w:space="0" w:color="auto"/>
                <w:left w:val="none" w:sz="0" w:space="0" w:color="auto"/>
                <w:bottom w:val="none" w:sz="0" w:space="0" w:color="auto"/>
                <w:right w:val="none" w:sz="0" w:space="0" w:color="auto"/>
              </w:divBdr>
            </w:div>
          </w:divsChild>
        </w:div>
        <w:div w:id="1441145356">
          <w:marLeft w:val="0"/>
          <w:marRight w:val="0"/>
          <w:marTop w:val="0"/>
          <w:marBottom w:val="0"/>
          <w:divBdr>
            <w:top w:val="none" w:sz="0" w:space="0" w:color="auto"/>
            <w:left w:val="none" w:sz="0" w:space="0" w:color="auto"/>
            <w:bottom w:val="none" w:sz="0" w:space="0" w:color="auto"/>
            <w:right w:val="none" w:sz="0" w:space="0" w:color="auto"/>
          </w:divBdr>
          <w:divsChild>
            <w:div w:id="1201942684">
              <w:marLeft w:val="0"/>
              <w:marRight w:val="0"/>
              <w:marTop w:val="0"/>
              <w:marBottom w:val="0"/>
              <w:divBdr>
                <w:top w:val="none" w:sz="0" w:space="0" w:color="auto"/>
                <w:left w:val="none" w:sz="0" w:space="0" w:color="auto"/>
                <w:bottom w:val="none" w:sz="0" w:space="0" w:color="auto"/>
                <w:right w:val="none" w:sz="0" w:space="0" w:color="auto"/>
              </w:divBdr>
            </w:div>
          </w:divsChild>
        </w:div>
        <w:div w:id="1453549693">
          <w:marLeft w:val="0"/>
          <w:marRight w:val="0"/>
          <w:marTop w:val="0"/>
          <w:marBottom w:val="0"/>
          <w:divBdr>
            <w:top w:val="none" w:sz="0" w:space="0" w:color="auto"/>
            <w:left w:val="none" w:sz="0" w:space="0" w:color="auto"/>
            <w:bottom w:val="none" w:sz="0" w:space="0" w:color="auto"/>
            <w:right w:val="none" w:sz="0" w:space="0" w:color="auto"/>
          </w:divBdr>
          <w:divsChild>
            <w:div w:id="920871912">
              <w:marLeft w:val="0"/>
              <w:marRight w:val="0"/>
              <w:marTop w:val="0"/>
              <w:marBottom w:val="0"/>
              <w:divBdr>
                <w:top w:val="none" w:sz="0" w:space="0" w:color="auto"/>
                <w:left w:val="none" w:sz="0" w:space="0" w:color="auto"/>
                <w:bottom w:val="none" w:sz="0" w:space="0" w:color="auto"/>
                <w:right w:val="none" w:sz="0" w:space="0" w:color="auto"/>
              </w:divBdr>
            </w:div>
          </w:divsChild>
        </w:div>
        <w:div w:id="1480729498">
          <w:marLeft w:val="0"/>
          <w:marRight w:val="0"/>
          <w:marTop w:val="0"/>
          <w:marBottom w:val="0"/>
          <w:divBdr>
            <w:top w:val="none" w:sz="0" w:space="0" w:color="auto"/>
            <w:left w:val="none" w:sz="0" w:space="0" w:color="auto"/>
            <w:bottom w:val="none" w:sz="0" w:space="0" w:color="auto"/>
            <w:right w:val="none" w:sz="0" w:space="0" w:color="auto"/>
          </w:divBdr>
          <w:divsChild>
            <w:div w:id="411127999">
              <w:marLeft w:val="0"/>
              <w:marRight w:val="0"/>
              <w:marTop w:val="0"/>
              <w:marBottom w:val="0"/>
              <w:divBdr>
                <w:top w:val="none" w:sz="0" w:space="0" w:color="auto"/>
                <w:left w:val="none" w:sz="0" w:space="0" w:color="auto"/>
                <w:bottom w:val="none" w:sz="0" w:space="0" w:color="auto"/>
                <w:right w:val="none" w:sz="0" w:space="0" w:color="auto"/>
              </w:divBdr>
            </w:div>
          </w:divsChild>
        </w:div>
        <w:div w:id="1489663049">
          <w:marLeft w:val="0"/>
          <w:marRight w:val="0"/>
          <w:marTop w:val="0"/>
          <w:marBottom w:val="0"/>
          <w:divBdr>
            <w:top w:val="none" w:sz="0" w:space="0" w:color="auto"/>
            <w:left w:val="none" w:sz="0" w:space="0" w:color="auto"/>
            <w:bottom w:val="none" w:sz="0" w:space="0" w:color="auto"/>
            <w:right w:val="none" w:sz="0" w:space="0" w:color="auto"/>
          </w:divBdr>
          <w:divsChild>
            <w:div w:id="672103605">
              <w:marLeft w:val="0"/>
              <w:marRight w:val="0"/>
              <w:marTop w:val="0"/>
              <w:marBottom w:val="0"/>
              <w:divBdr>
                <w:top w:val="none" w:sz="0" w:space="0" w:color="auto"/>
                <w:left w:val="none" w:sz="0" w:space="0" w:color="auto"/>
                <w:bottom w:val="none" w:sz="0" w:space="0" w:color="auto"/>
                <w:right w:val="none" w:sz="0" w:space="0" w:color="auto"/>
              </w:divBdr>
            </w:div>
          </w:divsChild>
        </w:div>
        <w:div w:id="1546402667">
          <w:marLeft w:val="0"/>
          <w:marRight w:val="0"/>
          <w:marTop w:val="0"/>
          <w:marBottom w:val="0"/>
          <w:divBdr>
            <w:top w:val="none" w:sz="0" w:space="0" w:color="auto"/>
            <w:left w:val="none" w:sz="0" w:space="0" w:color="auto"/>
            <w:bottom w:val="none" w:sz="0" w:space="0" w:color="auto"/>
            <w:right w:val="none" w:sz="0" w:space="0" w:color="auto"/>
          </w:divBdr>
          <w:divsChild>
            <w:div w:id="849678169">
              <w:marLeft w:val="0"/>
              <w:marRight w:val="0"/>
              <w:marTop w:val="0"/>
              <w:marBottom w:val="0"/>
              <w:divBdr>
                <w:top w:val="none" w:sz="0" w:space="0" w:color="auto"/>
                <w:left w:val="none" w:sz="0" w:space="0" w:color="auto"/>
                <w:bottom w:val="none" w:sz="0" w:space="0" w:color="auto"/>
                <w:right w:val="none" w:sz="0" w:space="0" w:color="auto"/>
              </w:divBdr>
            </w:div>
          </w:divsChild>
        </w:div>
        <w:div w:id="1585410570">
          <w:marLeft w:val="0"/>
          <w:marRight w:val="0"/>
          <w:marTop w:val="0"/>
          <w:marBottom w:val="0"/>
          <w:divBdr>
            <w:top w:val="none" w:sz="0" w:space="0" w:color="auto"/>
            <w:left w:val="none" w:sz="0" w:space="0" w:color="auto"/>
            <w:bottom w:val="none" w:sz="0" w:space="0" w:color="auto"/>
            <w:right w:val="none" w:sz="0" w:space="0" w:color="auto"/>
          </w:divBdr>
          <w:divsChild>
            <w:div w:id="1321037007">
              <w:marLeft w:val="0"/>
              <w:marRight w:val="0"/>
              <w:marTop w:val="0"/>
              <w:marBottom w:val="0"/>
              <w:divBdr>
                <w:top w:val="none" w:sz="0" w:space="0" w:color="auto"/>
                <w:left w:val="none" w:sz="0" w:space="0" w:color="auto"/>
                <w:bottom w:val="none" w:sz="0" w:space="0" w:color="auto"/>
                <w:right w:val="none" w:sz="0" w:space="0" w:color="auto"/>
              </w:divBdr>
            </w:div>
          </w:divsChild>
        </w:div>
        <w:div w:id="1675063861">
          <w:marLeft w:val="0"/>
          <w:marRight w:val="0"/>
          <w:marTop w:val="0"/>
          <w:marBottom w:val="0"/>
          <w:divBdr>
            <w:top w:val="none" w:sz="0" w:space="0" w:color="auto"/>
            <w:left w:val="none" w:sz="0" w:space="0" w:color="auto"/>
            <w:bottom w:val="none" w:sz="0" w:space="0" w:color="auto"/>
            <w:right w:val="none" w:sz="0" w:space="0" w:color="auto"/>
          </w:divBdr>
          <w:divsChild>
            <w:div w:id="1982072748">
              <w:marLeft w:val="0"/>
              <w:marRight w:val="0"/>
              <w:marTop w:val="0"/>
              <w:marBottom w:val="0"/>
              <w:divBdr>
                <w:top w:val="none" w:sz="0" w:space="0" w:color="auto"/>
                <w:left w:val="none" w:sz="0" w:space="0" w:color="auto"/>
                <w:bottom w:val="none" w:sz="0" w:space="0" w:color="auto"/>
                <w:right w:val="none" w:sz="0" w:space="0" w:color="auto"/>
              </w:divBdr>
            </w:div>
          </w:divsChild>
        </w:div>
        <w:div w:id="1682319483">
          <w:marLeft w:val="0"/>
          <w:marRight w:val="0"/>
          <w:marTop w:val="0"/>
          <w:marBottom w:val="0"/>
          <w:divBdr>
            <w:top w:val="none" w:sz="0" w:space="0" w:color="auto"/>
            <w:left w:val="none" w:sz="0" w:space="0" w:color="auto"/>
            <w:bottom w:val="none" w:sz="0" w:space="0" w:color="auto"/>
            <w:right w:val="none" w:sz="0" w:space="0" w:color="auto"/>
          </w:divBdr>
          <w:divsChild>
            <w:div w:id="1794523223">
              <w:marLeft w:val="0"/>
              <w:marRight w:val="0"/>
              <w:marTop w:val="0"/>
              <w:marBottom w:val="0"/>
              <w:divBdr>
                <w:top w:val="none" w:sz="0" w:space="0" w:color="auto"/>
                <w:left w:val="none" w:sz="0" w:space="0" w:color="auto"/>
                <w:bottom w:val="none" w:sz="0" w:space="0" w:color="auto"/>
                <w:right w:val="none" w:sz="0" w:space="0" w:color="auto"/>
              </w:divBdr>
            </w:div>
          </w:divsChild>
        </w:div>
        <w:div w:id="1706253421">
          <w:marLeft w:val="0"/>
          <w:marRight w:val="0"/>
          <w:marTop w:val="0"/>
          <w:marBottom w:val="0"/>
          <w:divBdr>
            <w:top w:val="none" w:sz="0" w:space="0" w:color="auto"/>
            <w:left w:val="none" w:sz="0" w:space="0" w:color="auto"/>
            <w:bottom w:val="none" w:sz="0" w:space="0" w:color="auto"/>
            <w:right w:val="none" w:sz="0" w:space="0" w:color="auto"/>
          </w:divBdr>
          <w:divsChild>
            <w:div w:id="1516730252">
              <w:marLeft w:val="0"/>
              <w:marRight w:val="0"/>
              <w:marTop w:val="0"/>
              <w:marBottom w:val="0"/>
              <w:divBdr>
                <w:top w:val="none" w:sz="0" w:space="0" w:color="auto"/>
                <w:left w:val="none" w:sz="0" w:space="0" w:color="auto"/>
                <w:bottom w:val="none" w:sz="0" w:space="0" w:color="auto"/>
                <w:right w:val="none" w:sz="0" w:space="0" w:color="auto"/>
              </w:divBdr>
            </w:div>
          </w:divsChild>
        </w:div>
        <w:div w:id="1790737007">
          <w:marLeft w:val="0"/>
          <w:marRight w:val="0"/>
          <w:marTop w:val="0"/>
          <w:marBottom w:val="0"/>
          <w:divBdr>
            <w:top w:val="none" w:sz="0" w:space="0" w:color="auto"/>
            <w:left w:val="none" w:sz="0" w:space="0" w:color="auto"/>
            <w:bottom w:val="none" w:sz="0" w:space="0" w:color="auto"/>
            <w:right w:val="none" w:sz="0" w:space="0" w:color="auto"/>
          </w:divBdr>
          <w:divsChild>
            <w:div w:id="1637881186">
              <w:marLeft w:val="0"/>
              <w:marRight w:val="0"/>
              <w:marTop w:val="0"/>
              <w:marBottom w:val="0"/>
              <w:divBdr>
                <w:top w:val="none" w:sz="0" w:space="0" w:color="auto"/>
                <w:left w:val="none" w:sz="0" w:space="0" w:color="auto"/>
                <w:bottom w:val="none" w:sz="0" w:space="0" w:color="auto"/>
                <w:right w:val="none" w:sz="0" w:space="0" w:color="auto"/>
              </w:divBdr>
            </w:div>
          </w:divsChild>
        </w:div>
        <w:div w:id="1830441962">
          <w:marLeft w:val="0"/>
          <w:marRight w:val="0"/>
          <w:marTop w:val="0"/>
          <w:marBottom w:val="0"/>
          <w:divBdr>
            <w:top w:val="none" w:sz="0" w:space="0" w:color="auto"/>
            <w:left w:val="none" w:sz="0" w:space="0" w:color="auto"/>
            <w:bottom w:val="none" w:sz="0" w:space="0" w:color="auto"/>
            <w:right w:val="none" w:sz="0" w:space="0" w:color="auto"/>
          </w:divBdr>
          <w:divsChild>
            <w:div w:id="1923369265">
              <w:marLeft w:val="0"/>
              <w:marRight w:val="0"/>
              <w:marTop w:val="0"/>
              <w:marBottom w:val="0"/>
              <w:divBdr>
                <w:top w:val="none" w:sz="0" w:space="0" w:color="auto"/>
                <w:left w:val="none" w:sz="0" w:space="0" w:color="auto"/>
                <w:bottom w:val="none" w:sz="0" w:space="0" w:color="auto"/>
                <w:right w:val="none" w:sz="0" w:space="0" w:color="auto"/>
              </w:divBdr>
            </w:div>
          </w:divsChild>
        </w:div>
        <w:div w:id="1834222640">
          <w:marLeft w:val="0"/>
          <w:marRight w:val="0"/>
          <w:marTop w:val="0"/>
          <w:marBottom w:val="0"/>
          <w:divBdr>
            <w:top w:val="none" w:sz="0" w:space="0" w:color="auto"/>
            <w:left w:val="none" w:sz="0" w:space="0" w:color="auto"/>
            <w:bottom w:val="none" w:sz="0" w:space="0" w:color="auto"/>
            <w:right w:val="none" w:sz="0" w:space="0" w:color="auto"/>
          </w:divBdr>
          <w:divsChild>
            <w:div w:id="2108648341">
              <w:marLeft w:val="0"/>
              <w:marRight w:val="0"/>
              <w:marTop w:val="0"/>
              <w:marBottom w:val="0"/>
              <w:divBdr>
                <w:top w:val="none" w:sz="0" w:space="0" w:color="auto"/>
                <w:left w:val="none" w:sz="0" w:space="0" w:color="auto"/>
                <w:bottom w:val="none" w:sz="0" w:space="0" w:color="auto"/>
                <w:right w:val="none" w:sz="0" w:space="0" w:color="auto"/>
              </w:divBdr>
            </w:div>
          </w:divsChild>
        </w:div>
        <w:div w:id="1844079450">
          <w:marLeft w:val="0"/>
          <w:marRight w:val="0"/>
          <w:marTop w:val="0"/>
          <w:marBottom w:val="0"/>
          <w:divBdr>
            <w:top w:val="none" w:sz="0" w:space="0" w:color="auto"/>
            <w:left w:val="none" w:sz="0" w:space="0" w:color="auto"/>
            <w:bottom w:val="none" w:sz="0" w:space="0" w:color="auto"/>
            <w:right w:val="none" w:sz="0" w:space="0" w:color="auto"/>
          </w:divBdr>
          <w:divsChild>
            <w:div w:id="1745295771">
              <w:marLeft w:val="0"/>
              <w:marRight w:val="0"/>
              <w:marTop w:val="0"/>
              <w:marBottom w:val="0"/>
              <w:divBdr>
                <w:top w:val="none" w:sz="0" w:space="0" w:color="auto"/>
                <w:left w:val="none" w:sz="0" w:space="0" w:color="auto"/>
                <w:bottom w:val="none" w:sz="0" w:space="0" w:color="auto"/>
                <w:right w:val="none" w:sz="0" w:space="0" w:color="auto"/>
              </w:divBdr>
            </w:div>
          </w:divsChild>
        </w:div>
        <w:div w:id="1845625841">
          <w:marLeft w:val="0"/>
          <w:marRight w:val="0"/>
          <w:marTop w:val="0"/>
          <w:marBottom w:val="0"/>
          <w:divBdr>
            <w:top w:val="none" w:sz="0" w:space="0" w:color="auto"/>
            <w:left w:val="none" w:sz="0" w:space="0" w:color="auto"/>
            <w:bottom w:val="none" w:sz="0" w:space="0" w:color="auto"/>
            <w:right w:val="none" w:sz="0" w:space="0" w:color="auto"/>
          </w:divBdr>
          <w:divsChild>
            <w:div w:id="1604415709">
              <w:marLeft w:val="0"/>
              <w:marRight w:val="0"/>
              <w:marTop w:val="0"/>
              <w:marBottom w:val="0"/>
              <w:divBdr>
                <w:top w:val="none" w:sz="0" w:space="0" w:color="auto"/>
                <w:left w:val="none" w:sz="0" w:space="0" w:color="auto"/>
                <w:bottom w:val="none" w:sz="0" w:space="0" w:color="auto"/>
                <w:right w:val="none" w:sz="0" w:space="0" w:color="auto"/>
              </w:divBdr>
            </w:div>
          </w:divsChild>
        </w:div>
        <w:div w:id="1854420078">
          <w:marLeft w:val="0"/>
          <w:marRight w:val="0"/>
          <w:marTop w:val="0"/>
          <w:marBottom w:val="0"/>
          <w:divBdr>
            <w:top w:val="none" w:sz="0" w:space="0" w:color="auto"/>
            <w:left w:val="none" w:sz="0" w:space="0" w:color="auto"/>
            <w:bottom w:val="none" w:sz="0" w:space="0" w:color="auto"/>
            <w:right w:val="none" w:sz="0" w:space="0" w:color="auto"/>
          </w:divBdr>
          <w:divsChild>
            <w:div w:id="175854360">
              <w:marLeft w:val="0"/>
              <w:marRight w:val="0"/>
              <w:marTop w:val="0"/>
              <w:marBottom w:val="0"/>
              <w:divBdr>
                <w:top w:val="none" w:sz="0" w:space="0" w:color="auto"/>
                <w:left w:val="none" w:sz="0" w:space="0" w:color="auto"/>
                <w:bottom w:val="none" w:sz="0" w:space="0" w:color="auto"/>
                <w:right w:val="none" w:sz="0" w:space="0" w:color="auto"/>
              </w:divBdr>
            </w:div>
          </w:divsChild>
        </w:div>
        <w:div w:id="1951164903">
          <w:marLeft w:val="0"/>
          <w:marRight w:val="0"/>
          <w:marTop w:val="0"/>
          <w:marBottom w:val="0"/>
          <w:divBdr>
            <w:top w:val="none" w:sz="0" w:space="0" w:color="auto"/>
            <w:left w:val="none" w:sz="0" w:space="0" w:color="auto"/>
            <w:bottom w:val="none" w:sz="0" w:space="0" w:color="auto"/>
            <w:right w:val="none" w:sz="0" w:space="0" w:color="auto"/>
          </w:divBdr>
          <w:divsChild>
            <w:div w:id="2032221692">
              <w:marLeft w:val="0"/>
              <w:marRight w:val="0"/>
              <w:marTop w:val="0"/>
              <w:marBottom w:val="0"/>
              <w:divBdr>
                <w:top w:val="none" w:sz="0" w:space="0" w:color="auto"/>
                <w:left w:val="none" w:sz="0" w:space="0" w:color="auto"/>
                <w:bottom w:val="none" w:sz="0" w:space="0" w:color="auto"/>
                <w:right w:val="none" w:sz="0" w:space="0" w:color="auto"/>
              </w:divBdr>
            </w:div>
          </w:divsChild>
        </w:div>
        <w:div w:id="1977446658">
          <w:marLeft w:val="0"/>
          <w:marRight w:val="0"/>
          <w:marTop w:val="0"/>
          <w:marBottom w:val="0"/>
          <w:divBdr>
            <w:top w:val="none" w:sz="0" w:space="0" w:color="auto"/>
            <w:left w:val="none" w:sz="0" w:space="0" w:color="auto"/>
            <w:bottom w:val="none" w:sz="0" w:space="0" w:color="auto"/>
            <w:right w:val="none" w:sz="0" w:space="0" w:color="auto"/>
          </w:divBdr>
          <w:divsChild>
            <w:div w:id="1728604417">
              <w:marLeft w:val="0"/>
              <w:marRight w:val="0"/>
              <w:marTop w:val="0"/>
              <w:marBottom w:val="0"/>
              <w:divBdr>
                <w:top w:val="none" w:sz="0" w:space="0" w:color="auto"/>
                <w:left w:val="none" w:sz="0" w:space="0" w:color="auto"/>
                <w:bottom w:val="none" w:sz="0" w:space="0" w:color="auto"/>
                <w:right w:val="none" w:sz="0" w:space="0" w:color="auto"/>
              </w:divBdr>
            </w:div>
          </w:divsChild>
        </w:div>
        <w:div w:id="2043437188">
          <w:marLeft w:val="0"/>
          <w:marRight w:val="0"/>
          <w:marTop w:val="0"/>
          <w:marBottom w:val="0"/>
          <w:divBdr>
            <w:top w:val="none" w:sz="0" w:space="0" w:color="auto"/>
            <w:left w:val="none" w:sz="0" w:space="0" w:color="auto"/>
            <w:bottom w:val="none" w:sz="0" w:space="0" w:color="auto"/>
            <w:right w:val="none" w:sz="0" w:space="0" w:color="auto"/>
          </w:divBdr>
          <w:divsChild>
            <w:div w:id="2078628640">
              <w:marLeft w:val="0"/>
              <w:marRight w:val="0"/>
              <w:marTop w:val="0"/>
              <w:marBottom w:val="0"/>
              <w:divBdr>
                <w:top w:val="none" w:sz="0" w:space="0" w:color="auto"/>
                <w:left w:val="none" w:sz="0" w:space="0" w:color="auto"/>
                <w:bottom w:val="none" w:sz="0" w:space="0" w:color="auto"/>
                <w:right w:val="none" w:sz="0" w:space="0" w:color="auto"/>
              </w:divBdr>
            </w:div>
          </w:divsChild>
        </w:div>
        <w:div w:id="2046515618">
          <w:marLeft w:val="0"/>
          <w:marRight w:val="0"/>
          <w:marTop w:val="0"/>
          <w:marBottom w:val="0"/>
          <w:divBdr>
            <w:top w:val="none" w:sz="0" w:space="0" w:color="auto"/>
            <w:left w:val="none" w:sz="0" w:space="0" w:color="auto"/>
            <w:bottom w:val="none" w:sz="0" w:space="0" w:color="auto"/>
            <w:right w:val="none" w:sz="0" w:space="0" w:color="auto"/>
          </w:divBdr>
          <w:divsChild>
            <w:div w:id="1723017295">
              <w:marLeft w:val="0"/>
              <w:marRight w:val="0"/>
              <w:marTop w:val="0"/>
              <w:marBottom w:val="0"/>
              <w:divBdr>
                <w:top w:val="none" w:sz="0" w:space="0" w:color="auto"/>
                <w:left w:val="none" w:sz="0" w:space="0" w:color="auto"/>
                <w:bottom w:val="none" w:sz="0" w:space="0" w:color="auto"/>
                <w:right w:val="none" w:sz="0" w:space="0" w:color="auto"/>
              </w:divBdr>
            </w:div>
          </w:divsChild>
        </w:div>
        <w:div w:id="2053580334">
          <w:marLeft w:val="0"/>
          <w:marRight w:val="0"/>
          <w:marTop w:val="0"/>
          <w:marBottom w:val="0"/>
          <w:divBdr>
            <w:top w:val="none" w:sz="0" w:space="0" w:color="auto"/>
            <w:left w:val="none" w:sz="0" w:space="0" w:color="auto"/>
            <w:bottom w:val="none" w:sz="0" w:space="0" w:color="auto"/>
            <w:right w:val="none" w:sz="0" w:space="0" w:color="auto"/>
          </w:divBdr>
          <w:divsChild>
            <w:div w:id="982006668">
              <w:marLeft w:val="0"/>
              <w:marRight w:val="0"/>
              <w:marTop w:val="0"/>
              <w:marBottom w:val="0"/>
              <w:divBdr>
                <w:top w:val="none" w:sz="0" w:space="0" w:color="auto"/>
                <w:left w:val="none" w:sz="0" w:space="0" w:color="auto"/>
                <w:bottom w:val="none" w:sz="0" w:space="0" w:color="auto"/>
                <w:right w:val="none" w:sz="0" w:space="0" w:color="auto"/>
              </w:divBdr>
            </w:div>
          </w:divsChild>
        </w:div>
        <w:div w:id="2079016994">
          <w:marLeft w:val="0"/>
          <w:marRight w:val="0"/>
          <w:marTop w:val="0"/>
          <w:marBottom w:val="0"/>
          <w:divBdr>
            <w:top w:val="none" w:sz="0" w:space="0" w:color="auto"/>
            <w:left w:val="none" w:sz="0" w:space="0" w:color="auto"/>
            <w:bottom w:val="none" w:sz="0" w:space="0" w:color="auto"/>
            <w:right w:val="none" w:sz="0" w:space="0" w:color="auto"/>
          </w:divBdr>
          <w:divsChild>
            <w:div w:id="1666057580">
              <w:marLeft w:val="0"/>
              <w:marRight w:val="0"/>
              <w:marTop w:val="0"/>
              <w:marBottom w:val="0"/>
              <w:divBdr>
                <w:top w:val="none" w:sz="0" w:space="0" w:color="auto"/>
                <w:left w:val="none" w:sz="0" w:space="0" w:color="auto"/>
                <w:bottom w:val="none" w:sz="0" w:space="0" w:color="auto"/>
                <w:right w:val="none" w:sz="0" w:space="0" w:color="auto"/>
              </w:divBdr>
            </w:div>
          </w:divsChild>
        </w:div>
        <w:div w:id="2101169892">
          <w:marLeft w:val="0"/>
          <w:marRight w:val="0"/>
          <w:marTop w:val="0"/>
          <w:marBottom w:val="0"/>
          <w:divBdr>
            <w:top w:val="none" w:sz="0" w:space="0" w:color="auto"/>
            <w:left w:val="none" w:sz="0" w:space="0" w:color="auto"/>
            <w:bottom w:val="none" w:sz="0" w:space="0" w:color="auto"/>
            <w:right w:val="none" w:sz="0" w:space="0" w:color="auto"/>
          </w:divBdr>
          <w:divsChild>
            <w:div w:id="1913586074">
              <w:marLeft w:val="0"/>
              <w:marRight w:val="0"/>
              <w:marTop w:val="0"/>
              <w:marBottom w:val="0"/>
              <w:divBdr>
                <w:top w:val="none" w:sz="0" w:space="0" w:color="auto"/>
                <w:left w:val="none" w:sz="0" w:space="0" w:color="auto"/>
                <w:bottom w:val="none" w:sz="0" w:space="0" w:color="auto"/>
                <w:right w:val="none" w:sz="0" w:space="0" w:color="auto"/>
              </w:divBdr>
            </w:div>
          </w:divsChild>
        </w:div>
        <w:div w:id="2107071114">
          <w:marLeft w:val="0"/>
          <w:marRight w:val="0"/>
          <w:marTop w:val="0"/>
          <w:marBottom w:val="0"/>
          <w:divBdr>
            <w:top w:val="none" w:sz="0" w:space="0" w:color="auto"/>
            <w:left w:val="none" w:sz="0" w:space="0" w:color="auto"/>
            <w:bottom w:val="none" w:sz="0" w:space="0" w:color="auto"/>
            <w:right w:val="none" w:sz="0" w:space="0" w:color="auto"/>
          </w:divBdr>
          <w:divsChild>
            <w:div w:id="2118088852">
              <w:marLeft w:val="0"/>
              <w:marRight w:val="0"/>
              <w:marTop w:val="0"/>
              <w:marBottom w:val="0"/>
              <w:divBdr>
                <w:top w:val="none" w:sz="0" w:space="0" w:color="auto"/>
                <w:left w:val="none" w:sz="0" w:space="0" w:color="auto"/>
                <w:bottom w:val="none" w:sz="0" w:space="0" w:color="auto"/>
                <w:right w:val="none" w:sz="0" w:space="0" w:color="auto"/>
              </w:divBdr>
            </w:div>
          </w:divsChild>
        </w:div>
        <w:div w:id="2124568646">
          <w:marLeft w:val="0"/>
          <w:marRight w:val="0"/>
          <w:marTop w:val="0"/>
          <w:marBottom w:val="0"/>
          <w:divBdr>
            <w:top w:val="none" w:sz="0" w:space="0" w:color="auto"/>
            <w:left w:val="none" w:sz="0" w:space="0" w:color="auto"/>
            <w:bottom w:val="none" w:sz="0" w:space="0" w:color="auto"/>
            <w:right w:val="none" w:sz="0" w:space="0" w:color="auto"/>
          </w:divBdr>
          <w:divsChild>
            <w:div w:id="14844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570">
      <w:bodyDiv w:val="1"/>
      <w:marLeft w:val="0"/>
      <w:marRight w:val="0"/>
      <w:marTop w:val="0"/>
      <w:marBottom w:val="0"/>
      <w:divBdr>
        <w:top w:val="none" w:sz="0" w:space="0" w:color="auto"/>
        <w:left w:val="none" w:sz="0" w:space="0" w:color="auto"/>
        <w:bottom w:val="none" w:sz="0" w:space="0" w:color="auto"/>
        <w:right w:val="none" w:sz="0" w:space="0" w:color="auto"/>
      </w:divBdr>
      <w:divsChild>
        <w:div w:id="206064936">
          <w:marLeft w:val="0"/>
          <w:marRight w:val="0"/>
          <w:marTop w:val="0"/>
          <w:marBottom w:val="0"/>
          <w:divBdr>
            <w:top w:val="none" w:sz="0" w:space="0" w:color="auto"/>
            <w:left w:val="none" w:sz="0" w:space="0" w:color="auto"/>
            <w:bottom w:val="none" w:sz="0" w:space="0" w:color="auto"/>
            <w:right w:val="none" w:sz="0" w:space="0" w:color="auto"/>
          </w:divBdr>
          <w:divsChild>
            <w:div w:id="988942157">
              <w:marLeft w:val="0"/>
              <w:marRight w:val="0"/>
              <w:marTop w:val="0"/>
              <w:marBottom w:val="0"/>
              <w:divBdr>
                <w:top w:val="none" w:sz="0" w:space="0" w:color="auto"/>
                <w:left w:val="none" w:sz="0" w:space="0" w:color="auto"/>
                <w:bottom w:val="none" w:sz="0" w:space="0" w:color="auto"/>
                <w:right w:val="none" w:sz="0" w:space="0" w:color="auto"/>
              </w:divBdr>
            </w:div>
          </w:divsChild>
        </w:div>
        <w:div w:id="245070526">
          <w:marLeft w:val="0"/>
          <w:marRight w:val="0"/>
          <w:marTop w:val="0"/>
          <w:marBottom w:val="0"/>
          <w:divBdr>
            <w:top w:val="none" w:sz="0" w:space="0" w:color="auto"/>
            <w:left w:val="none" w:sz="0" w:space="0" w:color="auto"/>
            <w:bottom w:val="none" w:sz="0" w:space="0" w:color="auto"/>
            <w:right w:val="none" w:sz="0" w:space="0" w:color="auto"/>
          </w:divBdr>
          <w:divsChild>
            <w:div w:id="24838771">
              <w:marLeft w:val="0"/>
              <w:marRight w:val="0"/>
              <w:marTop w:val="0"/>
              <w:marBottom w:val="0"/>
              <w:divBdr>
                <w:top w:val="none" w:sz="0" w:space="0" w:color="auto"/>
                <w:left w:val="none" w:sz="0" w:space="0" w:color="auto"/>
                <w:bottom w:val="none" w:sz="0" w:space="0" w:color="auto"/>
                <w:right w:val="none" w:sz="0" w:space="0" w:color="auto"/>
              </w:divBdr>
            </w:div>
          </w:divsChild>
        </w:div>
        <w:div w:id="267272354">
          <w:marLeft w:val="0"/>
          <w:marRight w:val="0"/>
          <w:marTop w:val="0"/>
          <w:marBottom w:val="0"/>
          <w:divBdr>
            <w:top w:val="none" w:sz="0" w:space="0" w:color="auto"/>
            <w:left w:val="none" w:sz="0" w:space="0" w:color="auto"/>
            <w:bottom w:val="none" w:sz="0" w:space="0" w:color="auto"/>
            <w:right w:val="none" w:sz="0" w:space="0" w:color="auto"/>
          </w:divBdr>
          <w:divsChild>
            <w:div w:id="1728450014">
              <w:marLeft w:val="0"/>
              <w:marRight w:val="0"/>
              <w:marTop w:val="0"/>
              <w:marBottom w:val="0"/>
              <w:divBdr>
                <w:top w:val="none" w:sz="0" w:space="0" w:color="auto"/>
                <w:left w:val="none" w:sz="0" w:space="0" w:color="auto"/>
                <w:bottom w:val="none" w:sz="0" w:space="0" w:color="auto"/>
                <w:right w:val="none" w:sz="0" w:space="0" w:color="auto"/>
              </w:divBdr>
            </w:div>
          </w:divsChild>
        </w:div>
        <w:div w:id="330376335">
          <w:marLeft w:val="0"/>
          <w:marRight w:val="0"/>
          <w:marTop w:val="0"/>
          <w:marBottom w:val="0"/>
          <w:divBdr>
            <w:top w:val="none" w:sz="0" w:space="0" w:color="auto"/>
            <w:left w:val="none" w:sz="0" w:space="0" w:color="auto"/>
            <w:bottom w:val="none" w:sz="0" w:space="0" w:color="auto"/>
            <w:right w:val="none" w:sz="0" w:space="0" w:color="auto"/>
          </w:divBdr>
          <w:divsChild>
            <w:div w:id="1277716204">
              <w:marLeft w:val="0"/>
              <w:marRight w:val="0"/>
              <w:marTop w:val="0"/>
              <w:marBottom w:val="0"/>
              <w:divBdr>
                <w:top w:val="none" w:sz="0" w:space="0" w:color="auto"/>
                <w:left w:val="none" w:sz="0" w:space="0" w:color="auto"/>
                <w:bottom w:val="none" w:sz="0" w:space="0" w:color="auto"/>
                <w:right w:val="none" w:sz="0" w:space="0" w:color="auto"/>
              </w:divBdr>
            </w:div>
          </w:divsChild>
        </w:div>
        <w:div w:id="423918766">
          <w:marLeft w:val="0"/>
          <w:marRight w:val="0"/>
          <w:marTop w:val="0"/>
          <w:marBottom w:val="0"/>
          <w:divBdr>
            <w:top w:val="none" w:sz="0" w:space="0" w:color="auto"/>
            <w:left w:val="none" w:sz="0" w:space="0" w:color="auto"/>
            <w:bottom w:val="none" w:sz="0" w:space="0" w:color="auto"/>
            <w:right w:val="none" w:sz="0" w:space="0" w:color="auto"/>
          </w:divBdr>
          <w:divsChild>
            <w:div w:id="506019538">
              <w:marLeft w:val="0"/>
              <w:marRight w:val="0"/>
              <w:marTop w:val="0"/>
              <w:marBottom w:val="0"/>
              <w:divBdr>
                <w:top w:val="none" w:sz="0" w:space="0" w:color="auto"/>
                <w:left w:val="none" w:sz="0" w:space="0" w:color="auto"/>
                <w:bottom w:val="none" w:sz="0" w:space="0" w:color="auto"/>
                <w:right w:val="none" w:sz="0" w:space="0" w:color="auto"/>
              </w:divBdr>
            </w:div>
          </w:divsChild>
        </w:div>
        <w:div w:id="445929114">
          <w:marLeft w:val="0"/>
          <w:marRight w:val="0"/>
          <w:marTop w:val="0"/>
          <w:marBottom w:val="0"/>
          <w:divBdr>
            <w:top w:val="none" w:sz="0" w:space="0" w:color="auto"/>
            <w:left w:val="none" w:sz="0" w:space="0" w:color="auto"/>
            <w:bottom w:val="none" w:sz="0" w:space="0" w:color="auto"/>
            <w:right w:val="none" w:sz="0" w:space="0" w:color="auto"/>
          </w:divBdr>
          <w:divsChild>
            <w:div w:id="897864717">
              <w:marLeft w:val="0"/>
              <w:marRight w:val="0"/>
              <w:marTop w:val="0"/>
              <w:marBottom w:val="0"/>
              <w:divBdr>
                <w:top w:val="none" w:sz="0" w:space="0" w:color="auto"/>
                <w:left w:val="none" w:sz="0" w:space="0" w:color="auto"/>
                <w:bottom w:val="none" w:sz="0" w:space="0" w:color="auto"/>
                <w:right w:val="none" w:sz="0" w:space="0" w:color="auto"/>
              </w:divBdr>
            </w:div>
          </w:divsChild>
        </w:div>
        <w:div w:id="467824743">
          <w:marLeft w:val="0"/>
          <w:marRight w:val="0"/>
          <w:marTop w:val="0"/>
          <w:marBottom w:val="0"/>
          <w:divBdr>
            <w:top w:val="none" w:sz="0" w:space="0" w:color="auto"/>
            <w:left w:val="none" w:sz="0" w:space="0" w:color="auto"/>
            <w:bottom w:val="none" w:sz="0" w:space="0" w:color="auto"/>
            <w:right w:val="none" w:sz="0" w:space="0" w:color="auto"/>
          </w:divBdr>
          <w:divsChild>
            <w:div w:id="2020422627">
              <w:marLeft w:val="0"/>
              <w:marRight w:val="0"/>
              <w:marTop w:val="0"/>
              <w:marBottom w:val="0"/>
              <w:divBdr>
                <w:top w:val="none" w:sz="0" w:space="0" w:color="auto"/>
                <w:left w:val="none" w:sz="0" w:space="0" w:color="auto"/>
                <w:bottom w:val="none" w:sz="0" w:space="0" w:color="auto"/>
                <w:right w:val="none" w:sz="0" w:space="0" w:color="auto"/>
              </w:divBdr>
            </w:div>
          </w:divsChild>
        </w:div>
        <w:div w:id="492915471">
          <w:marLeft w:val="0"/>
          <w:marRight w:val="0"/>
          <w:marTop w:val="0"/>
          <w:marBottom w:val="0"/>
          <w:divBdr>
            <w:top w:val="none" w:sz="0" w:space="0" w:color="auto"/>
            <w:left w:val="none" w:sz="0" w:space="0" w:color="auto"/>
            <w:bottom w:val="none" w:sz="0" w:space="0" w:color="auto"/>
            <w:right w:val="none" w:sz="0" w:space="0" w:color="auto"/>
          </w:divBdr>
          <w:divsChild>
            <w:div w:id="1709142074">
              <w:marLeft w:val="0"/>
              <w:marRight w:val="0"/>
              <w:marTop w:val="0"/>
              <w:marBottom w:val="0"/>
              <w:divBdr>
                <w:top w:val="none" w:sz="0" w:space="0" w:color="auto"/>
                <w:left w:val="none" w:sz="0" w:space="0" w:color="auto"/>
                <w:bottom w:val="none" w:sz="0" w:space="0" w:color="auto"/>
                <w:right w:val="none" w:sz="0" w:space="0" w:color="auto"/>
              </w:divBdr>
            </w:div>
          </w:divsChild>
        </w:div>
        <w:div w:id="512839953">
          <w:marLeft w:val="0"/>
          <w:marRight w:val="0"/>
          <w:marTop w:val="0"/>
          <w:marBottom w:val="0"/>
          <w:divBdr>
            <w:top w:val="none" w:sz="0" w:space="0" w:color="auto"/>
            <w:left w:val="none" w:sz="0" w:space="0" w:color="auto"/>
            <w:bottom w:val="none" w:sz="0" w:space="0" w:color="auto"/>
            <w:right w:val="none" w:sz="0" w:space="0" w:color="auto"/>
          </w:divBdr>
          <w:divsChild>
            <w:div w:id="1457799397">
              <w:marLeft w:val="0"/>
              <w:marRight w:val="0"/>
              <w:marTop w:val="0"/>
              <w:marBottom w:val="0"/>
              <w:divBdr>
                <w:top w:val="none" w:sz="0" w:space="0" w:color="auto"/>
                <w:left w:val="none" w:sz="0" w:space="0" w:color="auto"/>
                <w:bottom w:val="none" w:sz="0" w:space="0" w:color="auto"/>
                <w:right w:val="none" w:sz="0" w:space="0" w:color="auto"/>
              </w:divBdr>
            </w:div>
          </w:divsChild>
        </w:div>
        <w:div w:id="513230909">
          <w:marLeft w:val="0"/>
          <w:marRight w:val="0"/>
          <w:marTop w:val="0"/>
          <w:marBottom w:val="0"/>
          <w:divBdr>
            <w:top w:val="none" w:sz="0" w:space="0" w:color="auto"/>
            <w:left w:val="none" w:sz="0" w:space="0" w:color="auto"/>
            <w:bottom w:val="none" w:sz="0" w:space="0" w:color="auto"/>
            <w:right w:val="none" w:sz="0" w:space="0" w:color="auto"/>
          </w:divBdr>
          <w:divsChild>
            <w:div w:id="48841537">
              <w:marLeft w:val="0"/>
              <w:marRight w:val="0"/>
              <w:marTop w:val="0"/>
              <w:marBottom w:val="0"/>
              <w:divBdr>
                <w:top w:val="none" w:sz="0" w:space="0" w:color="auto"/>
                <w:left w:val="none" w:sz="0" w:space="0" w:color="auto"/>
                <w:bottom w:val="none" w:sz="0" w:space="0" w:color="auto"/>
                <w:right w:val="none" w:sz="0" w:space="0" w:color="auto"/>
              </w:divBdr>
            </w:div>
          </w:divsChild>
        </w:div>
        <w:div w:id="518936519">
          <w:marLeft w:val="0"/>
          <w:marRight w:val="0"/>
          <w:marTop w:val="0"/>
          <w:marBottom w:val="0"/>
          <w:divBdr>
            <w:top w:val="none" w:sz="0" w:space="0" w:color="auto"/>
            <w:left w:val="none" w:sz="0" w:space="0" w:color="auto"/>
            <w:bottom w:val="none" w:sz="0" w:space="0" w:color="auto"/>
            <w:right w:val="none" w:sz="0" w:space="0" w:color="auto"/>
          </w:divBdr>
          <w:divsChild>
            <w:div w:id="672219461">
              <w:marLeft w:val="0"/>
              <w:marRight w:val="0"/>
              <w:marTop w:val="0"/>
              <w:marBottom w:val="0"/>
              <w:divBdr>
                <w:top w:val="none" w:sz="0" w:space="0" w:color="auto"/>
                <w:left w:val="none" w:sz="0" w:space="0" w:color="auto"/>
                <w:bottom w:val="none" w:sz="0" w:space="0" w:color="auto"/>
                <w:right w:val="none" w:sz="0" w:space="0" w:color="auto"/>
              </w:divBdr>
            </w:div>
          </w:divsChild>
        </w:div>
        <w:div w:id="543754155">
          <w:marLeft w:val="0"/>
          <w:marRight w:val="0"/>
          <w:marTop w:val="0"/>
          <w:marBottom w:val="0"/>
          <w:divBdr>
            <w:top w:val="none" w:sz="0" w:space="0" w:color="auto"/>
            <w:left w:val="none" w:sz="0" w:space="0" w:color="auto"/>
            <w:bottom w:val="none" w:sz="0" w:space="0" w:color="auto"/>
            <w:right w:val="none" w:sz="0" w:space="0" w:color="auto"/>
          </w:divBdr>
          <w:divsChild>
            <w:div w:id="517499982">
              <w:marLeft w:val="0"/>
              <w:marRight w:val="0"/>
              <w:marTop w:val="0"/>
              <w:marBottom w:val="0"/>
              <w:divBdr>
                <w:top w:val="none" w:sz="0" w:space="0" w:color="auto"/>
                <w:left w:val="none" w:sz="0" w:space="0" w:color="auto"/>
                <w:bottom w:val="none" w:sz="0" w:space="0" w:color="auto"/>
                <w:right w:val="none" w:sz="0" w:space="0" w:color="auto"/>
              </w:divBdr>
            </w:div>
          </w:divsChild>
        </w:div>
        <w:div w:id="670067843">
          <w:marLeft w:val="0"/>
          <w:marRight w:val="0"/>
          <w:marTop w:val="0"/>
          <w:marBottom w:val="0"/>
          <w:divBdr>
            <w:top w:val="none" w:sz="0" w:space="0" w:color="auto"/>
            <w:left w:val="none" w:sz="0" w:space="0" w:color="auto"/>
            <w:bottom w:val="none" w:sz="0" w:space="0" w:color="auto"/>
            <w:right w:val="none" w:sz="0" w:space="0" w:color="auto"/>
          </w:divBdr>
          <w:divsChild>
            <w:div w:id="499807364">
              <w:marLeft w:val="0"/>
              <w:marRight w:val="0"/>
              <w:marTop w:val="0"/>
              <w:marBottom w:val="0"/>
              <w:divBdr>
                <w:top w:val="none" w:sz="0" w:space="0" w:color="auto"/>
                <w:left w:val="none" w:sz="0" w:space="0" w:color="auto"/>
                <w:bottom w:val="none" w:sz="0" w:space="0" w:color="auto"/>
                <w:right w:val="none" w:sz="0" w:space="0" w:color="auto"/>
              </w:divBdr>
            </w:div>
          </w:divsChild>
        </w:div>
        <w:div w:id="721825358">
          <w:marLeft w:val="0"/>
          <w:marRight w:val="0"/>
          <w:marTop w:val="0"/>
          <w:marBottom w:val="0"/>
          <w:divBdr>
            <w:top w:val="none" w:sz="0" w:space="0" w:color="auto"/>
            <w:left w:val="none" w:sz="0" w:space="0" w:color="auto"/>
            <w:bottom w:val="none" w:sz="0" w:space="0" w:color="auto"/>
            <w:right w:val="none" w:sz="0" w:space="0" w:color="auto"/>
          </w:divBdr>
          <w:divsChild>
            <w:div w:id="488911436">
              <w:marLeft w:val="0"/>
              <w:marRight w:val="0"/>
              <w:marTop w:val="0"/>
              <w:marBottom w:val="0"/>
              <w:divBdr>
                <w:top w:val="none" w:sz="0" w:space="0" w:color="auto"/>
                <w:left w:val="none" w:sz="0" w:space="0" w:color="auto"/>
                <w:bottom w:val="none" w:sz="0" w:space="0" w:color="auto"/>
                <w:right w:val="none" w:sz="0" w:space="0" w:color="auto"/>
              </w:divBdr>
            </w:div>
          </w:divsChild>
        </w:div>
        <w:div w:id="807359571">
          <w:marLeft w:val="0"/>
          <w:marRight w:val="0"/>
          <w:marTop w:val="0"/>
          <w:marBottom w:val="0"/>
          <w:divBdr>
            <w:top w:val="none" w:sz="0" w:space="0" w:color="auto"/>
            <w:left w:val="none" w:sz="0" w:space="0" w:color="auto"/>
            <w:bottom w:val="none" w:sz="0" w:space="0" w:color="auto"/>
            <w:right w:val="none" w:sz="0" w:space="0" w:color="auto"/>
          </w:divBdr>
          <w:divsChild>
            <w:div w:id="216092165">
              <w:marLeft w:val="0"/>
              <w:marRight w:val="0"/>
              <w:marTop w:val="0"/>
              <w:marBottom w:val="0"/>
              <w:divBdr>
                <w:top w:val="none" w:sz="0" w:space="0" w:color="auto"/>
                <w:left w:val="none" w:sz="0" w:space="0" w:color="auto"/>
                <w:bottom w:val="none" w:sz="0" w:space="0" w:color="auto"/>
                <w:right w:val="none" w:sz="0" w:space="0" w:color="auto"/>
              </w:divBdr>
            </w:div>
          </w:divsChild>
        </w:div>
        <w:div w:id="88336877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sChild>
        </w:div>
        <w:div w:id="993266761">
          <w:marLeft w:val="0"/>
          <w:marRight w:val="0"/>
          <w:marTop w:val="0"/>
          <w:marBottom w:val="0"/>
          <w:divBdr>
            <w:top w:val="none" w:sz="0" w:space="0" w:color="auto"/>
            <w:left w:val="none" w:sz="0" w:space="0" w:color="auto"/>
            <w:bottom w:val="none" w:sz="0" w:space="0" w:color="auto"/>
            <w:right w:val="none" w:sz="0" w:space="0" w:color="auto"/>
          </w:divBdr>
          <w:divsChild>
            <w:div w:id="2040202108">
              <w:marLeft w:val="0"/>
              <w:marRight w:val="0"/>
              <w:marTop w:val="0"/>
              <w:marBottom w:val="0"/>
              <w:divBdr>
                <w:top w:val="none" w:sz="0" w:space="0" w:color="auto"/>
                <w:left w:val="none" w:sz="0" w:space="0" w:color="auto"/>
                <w:bottom w:val="none" w:sz="0" w:space="0" w:color="auto"/>
                <w:right w:val="none" w:sz="0" w:space="0" w:color="auto"/>
              </w:divBdr>
            </w:div>
          </w:divsChild>
        </w:div>
        <w:div w:id="1007443166">
          <w:marLeft w:val="0"/>
          <w:marRight w:val="0"/>
          <w:marTop w:val="0"/>
          <w:marBottom w:val="0"/>
          <w:divBdr>
            <w:top w:val="none" w:sz="0" w:space="0" w:color="auto"/>
            <w:left w:val="none" w:sz="0" w:space="0" w:color="auto"/>
            <w:bottom w:val="none" w:sz="0" w:space="0" w:color="auto"/>
            <w:right w:val="none" w:sz="0" w:space="0" w:color="auto"/>
          </w:divBdr>
          <w:divsChild>
            <w:div w:id="638416455">
              <w:marLeft w:val="0"/>
              <w:marRight w:val="0"/>
              <w:marTop w:val="0"/>
              <w:marBottom w:val="0"/>
              <w:divBdr>
                <w:top w:val="none" w:sz="0" w:space="0" w:color="auto"/>
                <w:left w:val="none" w:sz="0" w:space="0" w:color="auto"/>
                <w:bottom w:val="none" w:sz="0" w:space="0" w:color="auto"/>
                <w:right w:val="none" w:sz="0" w:space="0" w:color="auto"/>
              </w:divBdr>
            </w:div>
          </w:divsChild>
        </w:div>
        <w:div w:id="1064331096">
          <w:marLeft w:val="0"/>
          <w:marRight w:val="0"/>
          <w:marTop w:val="0"/>
          <w:marBottom w:val="0"/>
          <w:divBdr>
            <w:top w:val="none" w:sz="0" w:space="0" w:color="auto"/>
            <w:left w:val="none" w:sz="0" w:space="0" w:color="auto"/>
            <w:bottom w:val="none" w:sz="0" w:space="0" w:color="auto"/>
            <w:right w:val="none" w:sz="0" w:space="0" w:color="auto"/>
          </w:divBdr>
          <w:divsChild>
            <w:div w:id="1117025937">
              <w:marLeft w:val="0"/>
              <w:marRight w:val="0"/>
              <w:marTop w:val="0"/>
              <w:marBottom w:val="0"/>
              <w:divBdr>
                <w:top w:val="none" w:sz="0" w:space="0" w:color="auto"/>
                <w:left w:val="none" w:sz="0" w:space="0" w:color="auto"/>
                <w:bottom w:val="none" w:sz="0" w:space="0" w:color="auto"/>
                <w:right w:val="none" w:sz="0" w:space="0" w:color="auto"/>
              </w:divBdr>
            </w:div>
          </w:divsChild>
        </w:div>
        <w:div w:id="1121461989">
          <w:marLeft w:val="0"/>
          <w:marRight w:val="0"/>
          <w:marTop w:val="0"/>
          <w:marBottom w:val="0"/>
          <w:divBdr>
            <w:top w:val="none" w:sz="0" w:space="0" w:color="auto"/>
            <w:left w:val="none" w:sz="0" w:space="0" w:color="auto"/>
            <w:bottom w:val="none" w:sz="0" w:space="0" w:color="auto"/>
            <w:right w:val="none" w:sz="0" w:space="0" w:color="auto"/>
          </w:divBdr>
          <w:divsChild>
            <w:div w:id="325061628">
              <w:marLeft w:val="0"/>
              <w:marRight w:val="0"/>
              <w:marTop w:val="0"/>
              <w:marBottom w:val="0"/>
              <w:divBdr>
                <w:top w:val="none" w:sz="0" w:space="0" w:color="auto"/>
                <w:left w:val="none" w:sz="0" w:space="0" w:color="auto"/>
                <w:bottom w:val="none" w:sz="0" w:space="0" w:color="auto"/>
                <w:right w:val="none" w:sz="0" w:space="0" w:color="auto"/>
              </w:divBdr>
            </w:div>
          </w:divsChild>
        </w:div>
        <w:div w:id="1162966555">
          <w:marLeft w:val="0"/>
          <w:marRight w:val="0"/>
          <w:marTop w:val="0"/>
          <w:marBottom w:val="0"/>
          <w:divBdr>
            <w:top w:val="none" w:sz="0" w:space="0" w:color="auto"/>
            <w:left w:val="none" w:sz="0" w:space="0" w:color="auto"/>
            <w:bottom w:val="none" w:sz="0" w:space="0" w:color="auto"/>
            <w:right w:val="none" w:sz="0" w:space="0" w:color="auto"/>
          </w:divBdr>
          <w:divsChild>
            <w:div w:id="524102214">
              <w:marLeft w:val="0"/>
              <w:marRight w:val="0"/>
              <w:marTop w:val="0"/>
              <w:marBottom w:val="0"/>
              <w:divBdr>
                <w:top w:val="none" w:sz="0" w:space="0" w:color="auto"/>
                <w:left w:val="none" w:sz="0" w:space="0" w:color="auto"/>
                <w:bottom w:val="none" w:sz="0" w:space="0" w:color="auto"/>
                <w:right w:val="none" w:sz="0" w:space="0" w:color="auto"/>
              </w:divBdr>
            </w:div>
          </w:divsChild>
        </w:div>
        <w:div w:id="1192377591">
          <w:marLeft w:val="0"/>
          <w:marRight w:val="0"/>
          <w:marTop w:val="0"/>
          <w:marBottom w:val="0"/>
          <w:divBdr>
            <w:top w:val="none" w:sz="0" w:space="0" w:color="auto"/>
            <w:left w:val="none" w:sz="0" w:space="0" w:color="auto"/>
            <w:bottom w:val="none" w:sz="0" w:space="0" w:color="auto"/>
            <w:right w:val="none" w:sz="0" w:space="0" w:color="auto"/>
          </w:divBdr>
          <w:divsChild>
            <w:div w:id="1999574680">
              <w:marLeft w:val="0"/>
              <w:marRight w:val="0"/>
              <w:marTop w:val="0"/>
              <w:marBottom w:val="0"/>
              <w:divBdr>
                <w:top w:val="none" w:sz="0" w:space="0" w:color="auto"/>
                <w:left w:val="none" w:sz="0" w:space="0" w:color="auto"/>
                <w:bottom w:val="none" w:sz="0" w:space="0" w:color="auto"/>
                <w:right w:val="none" w:sz="0" w:space="0" w:color="auto"/>
              </w:divBdr>
            </w:div>
          </w:divsChild>
        </w:div>
        <w:div w:id="1206065658">
          <w:marLeft w:val="0"/>
          <w:marRight w:val="0"/>
          <w:marTop w:val="0"/>
          <w:marBottom w:val="0"/>
          <w:divBdr>
            <w:top w:val="none" w:sz="0" w:space="0" w:color="auto"/>
            <w:left w:val="none" w:sz="0" w:space="0" w:color="auto"/>
            <w:bottom w:val="none" w:sz="0" w:space="0" w:color="auto"/>
            <w:right w:val="none" w:sz="0" w:space="0" w:color="auto"/>
          </w:divBdr>
          <w:divsChild>
            <w:div w:id="1434278393">
              <w:marLeft w:val="0"/>
              <w:marRight w:val="0"/>
              <w:marTop w:val="0"/>
              <w:marBottom w:val="0"/>
              <w:divBdr>
                <w:top w:val="none" w:sz="0" w:space="0" w:color="auto"/>
                <w:left w:val="none" w:sz="0" w:space="0" w:color="auto"/>
                <w:bottom w:val="none" w:sz="0" w:space="0" w:color="auto"/>
                <w:right w:val="none" w:sz="0" w:space="0" w:color="auto"/>
              </w:divBdr>
            </w:div>
          </w:divsChild>
        </w:div>
        <w:div w:id="1216116594">
          <w:marLeft w:val="0"/>
          <w:marRight w:val="0"/>
          <w:marTop w:val="0"/>
          <w:marBottom w:val="0"/>
          <w:divBdr>
            <w:top w:val="none" w:sz="0" w:space="0" w:color="auto"/>
            <w:left w:val="none" w:sz="0" w:space="0" w:color="auto"/>
            <w:bottom w:val="none" w:sz="0" w:space="0" w:color="auto"/>
            <w:right w:val="none" w:sz="0" w:space="0" w:color="auto"/>
          </w:divBdr>
          <w:divsChild>
            <w:div w:id="250746386">
              <w:marLeft w:val="0"/>
              <w:marRight w:val="0"/>
              <w:marTop w:val="0"/>
              <w:marBottom w:val="0"/>
              <w:divBdr>
                <w:top w:val="none" w:sz="0" w:space="0" w:color="auto"/>
                <w:left w:val="none" w:sz="0" w:space="0" w:color="auto"/>
                <w:bottom w:val="none" w:sz="0" w:space="0" w:color="auto"/>
                <w:right w:val="none" w:sz="0" w:space="0" w:color="auto"/>
              </w:divBdr>
            </w:div>
          </w:divsChild>
        </w:div>
        <w:div w:id="1252659108">
          <w:marLeft w:val="0"/>
          <w:marRight w:val="0"/>
          <w:marTop w:val="0"/>
          <w:marBottom w:val="0"/>
          <w:divBdr>
            <w:top w:val="none" w:sz="0" w:space="0" w:color="auto"/>
            <w:left w:val="none" w:sz="0" w:space="0" w:color="auto"/>
            <w:bottom w:val="none" w:sz="0" w:space="0" w:color="auto"/>
            <w:right w:val="none" w:sz="0" w:space="0" w:color="auto"/>
          </w:divBdr>
          <w:divsChild>
            <w:div w:id="205415576">
              <w:marLeft w:val="0"/>
              <w:marRight w:val="0"/>
              <w:marTop w:val="0"/>
              <w:marBottom w:val="0"/>
              <w:divBdr>
                <w:top w:val="none" w:sz="0" w:space="0" w:color="auto"/>
                <w:left w:val="none" w:sz="0" w:space="0" w:color="auto"/>
                <w:bottom w:val="none" w:sz="0" w:space="0" w:color="auto"/>
                <w:right w:val="none" w:sz="0" w:space="0" w:color="auto"/>
              </w:divBdr>
            </w:div>
          </w:divsChild>
        </w:div>
        <w:div w:id="1304430994">
          <w:marLeft w:val="0"/>
          <w:marRight w:val="0"/>
          <w:marTop w:val="0"/>
          <w:marBottom w:val="0"/>
          <w:divBdr>
            <w:top w:val="none" w:sz="0" w:space="0" w:color="auto"/>
            <w:left w:val="none" w:sz="0" w:space="0" w:color="auto"/>
            <w:bottom w:val="none" w:sz="0" w:space="0" w:color="auto"/>
            <w:right w:val="none" w:sz="0" w:space="0" w:color="auto"/>
          </w:divBdr>
          <w:divsChild>
            <w:div w:id="2107604632">
              <w:marLeft w:val="0"/>
              <w:marRight w:val="0"/>
              <w:marTop w:val="0"/>
              <w:marBottom w:val="0"/>
              <w:divBdr>
                <w:top w:val="none" w:sz="0" w:space="0" w:color="auto"/>
                <w:left w:val="none" w:sz="0" w:space="0" w:color="auto"/>
                <w:bottom w:val="none" w:sz="0" w:space="0" w:color="auto"/>
                <w:right w:val="none" w:sz="0" w:space="0" w:color="auto"/>
              </w:divBdr>
            </w:div>
          </w:divsChild>
        </w:div>
        <w:div w:id="1347828257">
          <w:marLeft w:val="0"/>
          <w:marRight w:val="0"/>
          <w:marTop w:val="0"/>
          <w:marBottom w:val="0"/>
          <w:divBdr>
            <w:top w:val="none" w:sz="0" w:space="0" w:color="auto"/>
            <w:left w:val="none" w:sz="0" w:space="0" w:color="auto"/>
            <w:bottom w:val="none" w:sz="0" w:space="0" w:color="auto"/>
            <w:right w:val="none" w:sz="0" w:space="0" w:color="auto"/>
          </w:divBdr>
          <w:divsChild>
            <w:div w:id="788624968">
              <w:marLeft w:val="0"/>
              <w:marRight w:val="0"/>
              <w:marTop w:val="0"/>
              <w:marBottom w:val="0"/>
              <w:divBdr>
                <w:top w:val="none" w:sz="0" w:space="0" w:color="auto"/>
                <w:left w:val="none" w:sz="0" w:space="0" w:color="auto"/>
                <w:bottom w:val="none" w:sz="0" w:space="0" w:color="auto"/>
                <w:right w:val="none" w:sz="0" w:space="0" w:color="auto"/>
              </w:divBdr>
            </w:div>
          </w:divsChild>
        </w:div>
        <w:div w:id="1407529501">
          <w:marLeft w:val="0"/>
          <w:marRight w:val="0"/>
          <w:marTop w:val="0"/>
          <w:marBottom w:val="0"/>
          <w:divBdr>
            <w:top w:val="none" w:sz="0" w:space="0" w:color="auto"/>
            <w:left w:val="none" w:sz="0" w:space="0" w:color="auto"/>
            <w:bottom w:val="none" w:sz="0" w:space="0" w:color="auto"/>
            <w:right w:val="none" w:sz="0" w:space="0" w:color="auto"/>
          </w:divBdr>
          <w:divsChild>
            <w:div w:id="84351267">
              <w:marLeft w:val="0"/>
              <w:marRight w:val="0"/>
              <w:marTop w:val="0"/>
              <w:marBottom w:val="0"/>
              <w:divBdr>
                <w:top w:val="none" w:sz="0" w:space="0" w:color="auto"/>
                <w:left w:val="none" w:sz="0" w:space="0" w:color="auto"/>
                <w:bottom w:val="none" w:sz="0" w:space="0" w:color="auto"/>
                <w:right w:val="none" w:sz="0" w:space="0" w:color="auto"/>
              </w:divBdr>
            </w:div>
          </w:divsChild>
        </w:div>
        <w:div w:id="1593277826">
          <w:marLeft w:val="0"/>
          <w:marRight w:val="0"/>
          <w:marTop w:val="0"/>
          <w:marBottom w:val="0"/>
          <w:divBdr>
            <w:top w:val="none" w:sz="0" w:space="0" w:color="auto"/>
            <w:left w:val="none" w:sz="0" w:space="0" w:color="auto"/>
            <w:bottom w:val="none" w:sz="0" w:space="0" w:color="auto"/>
            <w:right w:val="none" w:sz="0" w:space="0" w:color="auto"/>
          </w:divBdr>
          <w:divsChild>
            <w:div w:id="878934260">
              <w:marLeft w:val="0"/>
              <w:marRight w:val="0"/>
              <w:marTop w:val="0"/>
              <w:marBottom w:val="0"/>
              <w:divBdr>
                <w:top w:val="none" w:sz="0" w:space="0" w:color="auto"/>
                <w:left w:val="none" w:sz="0" w:space="0" w:color="auto"/>
                <w:bottom w:val="none" w:sz="0" w:space="0" w:color="auto"/>
                <w:right w:val="none" w:sz="0" w:space="0" w:color="auto"/>
              </w:divBdr>
            </w:div>
          </w:divsChild>
        </w:div>
        <w:div w:id="1600866396">
          <w:marLeft w:val="0"/>
          <w:marRight w:val="0"/>
          <w:marTop w:val="0"/>
          <w:marBottom w:val="0"/>
          <w:divBdr>
            <w:top w:val="none" w:sz="0" w:space="0" w:color="auto"/>
            <w:left w:val="none" w:sz="0" w:space="0" w:color="auto"/>
            <w:bottom w:val="none" w:sz="0" w:space="0" w:color="auto"/>
            <w:right w:val="none" w:sz="0" w:space="0" w:color="auto"/>
          </w:divBdr>
          <w:divsChild>
            <w:div w:id="993728586">
              <w:marLeft w:val="0"/>
              <w:marRight w:val="0"/>
              <w:marTop w:val="0"/>
              <w:marBottom w:val="0"/>
              <w:divBdr>
                <w:top w:val="none" w:sz="0" w:space="0" w:color="auto"/>
                <w:left w:val="none" w:sz="0" w:space="0" w:color="auto"/>
                <w:bottom w:val="none" w:sz="0" w:space="0" w:color="auto"/>
                <w:right w:val="none" w:sz="0" w:space="0" w:color="auto"/>
              </w:divBdr>
            </w:div>
          </w:divsChild>
        </w:div>
        <w:div w:id="1783183606">
          <w:marLeft w:val="0"/>
          <w:marRight w:val="0"/>
          <w:marTop w:val="0"/>
          <w:marBottom w:val="0"/>
          <w:divBdr>
            <w:top w:val="none" w:sz="0" w:space="0" w:color="auto"/>
            <w:left w:val="none" w:sz="0" w:space="0" w:color="auto"/>
            <w:bottom w:val="none" w:sz="0" w:space="0" w:color="auto"/>
            <w:right w:val="none" w:sz="0" w:space="0" w:color="auto"/>
          </w:divBdr>
          <w:divsChild>
            <w:div w:id="2064912198">
              <w:marLeft w:val="0"/>
              <w:marRight w:val="0"/>
              <w:marTop w:val="0"/>
              <w:marBottom w:val="0"/>
              <w:divBdr>
                <w:top w:val="none" w:sz="0" w:space="0" w:color="auto"/>
                <w:left w:val="none" w:sz="0" w:space="0" w:color="auto"/>
                <w:bottom w:val="none" w:sz="0" w:space="0" w:color="auto"/>
                <w:right w:val="none" w:sz="0" w:space="0" w:color="auto"/>
              </w:divBdr>
            </w:div>
          </w:divsChild>
        </w:div>
        <w:div w:id="1891726194">
          <w:marLeft w:val="0"/>
          <w:marRight w:val="0"/>
          <w:marTop w:val="0"/>
          <w:marBottom w:val="0"/>
          <w:divBdr>
            <w:top w:val="none" w:sz="0" w:space="0" w:color="auto"/>
            <w:left w:val="none" w:sz="0" w:space="0" w:color="auto"/>
            <w:bottom w:val="none" w:sz="0" w:space="0" w:color="auto"/>
            <w:right w:val="none" w:sz="0" w:space="0" w:color="auto"/>
          </w:divBdr>
          <w:divsChild>
            <w:div w:id="262887376">
              <w:marLeft w:val="0"/>
              <w:marRight w:val="0"/>
              <w:marTop w:val="0"/>
              <w:marBottom w:val="0"/>
              <w:divBdr>
                <w:top w:val="none" w:sz="0" w:space="0" w:color="auto"/>
                <w:left w:val="none" w:sz="0" w:space="0" w:color="auto"/>
                <w:bottom w:val="none" w:sz="0" w:space="0" w:color="auto"/>
                <w:right w:val="none" w:sz="0" w:space="0" w:color="auto"/>
              </w:divBdr>
            </w:div>
          </w:divsChild>
        </w:div>
        <w:div w:id="1950700220">
          <w:marLeft w:val="0"/>
          <w:marRight w:val="0"/>
          <w:marTop w:val="0"/>
          <w:marBottom w:val="0"/>
          <w:divBdr>
            <w:top w:val="none" w:sz="0" w:space="0" w:color="auto"/>
            <w:left w:val="none" w:sz="0" w:space="0" w:color="auto"/>
            <w:bottom w:val="none" w:sz="0" w:space="0" w:color="auto"/>
            <w:right w:val="none" w:sz="0" w:space="0" w:color="auto"/>
          </w:divBdr>
          <w:divsChild>
            <w:div w:id="1685664835">
              <w:marLeft w:val="0"/>
              <w:marRight w:val="0"/>
              <w:marTop w:val="0"/>
              <w:marBottom w:val="0"/>
              <w:divBdr>
                <w:top w:val="none" w:sz="0" w:space="0" w:color="auto"/>
                <w:left w:val="none" w:sz="0" w:space="0" w:color="auto"/>
                <w:bottom w:val="none" w:sz="0" w:space="0" w:color="auto"/>
                <w:right w:val="none" w:sz="0" w:space="0" w:color="auto"/>
              </w:divBdr>
            </w:div>
          </w:divsChild>
        </w:div>
        <w:div w:id="2059233047">
          <w:marLeft w:val="0"/>
          <w:marRight w:val="0"/>
          <w:marTop w:val="0"/>
          <w:marBottom w:val="0"/>
          <w:divBdr>
            <w:top w:val="none" w:sz="0" w:space="0" w:color="auto"/>
            <w:left w:val="none" w:sz="0" w:space="0" w:color="auto"/>
            <w:bottom w:val="none" w:sz="0" w:space="0" w:color="auto"/>
            <w:right w:val="none" w:sz="0" w:space="0" w:color="auto"/>
          </w:divBdr>
          <w:divsChild>
            <w:div w:id="1187643915">
              <w:marLeft w:val="0"/>
              <w:marRight w:val="0"/>
              <w:marTop w:val="0"/>
              <w:marBottom w:val="0"/>
              <w:divBdr>
                <w:top w:val="none" w:sz="0" w:space="0" w:color="auto"/>
                <w:left w:val="none" w:sz="0" w:space="0" w:color="auto"/>
                <w:bottom w:val="none" w:sz="0" w:space="0" w:color="auto"/>
                <w:right w:val="none" w:sz="0" w:space="0" w:color="auto"/>
              </w:divBdr>
            </w:div>
          </w:divsChild>
        </w:div>
        <w:div w:id="2067340186">
          <w:marLeft w:val="0"/>
          <w:marRight w:val="0"/>
          <w:marTop w:val="0"/>
          <w:marBottom w:val="0"/>
          <w:divBdr>
            <w:top w:val="none" w:sz="0" w:space="0" w:color="auto"/>
            <w:left w:val="none" w:sz="0" w:space="0" w:color="auto"/>
            <w:bottom w:val="none" w:sz="0" w:space="0" w:color="auto"/>
            <w:right w:val="none" w:sz="0" w:space="0" w:color="auto"/>
          </w:divBdr>
          <w:divsChild>
            <w:div w:id="14456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4064">
      <w:bodyDiv w:val="1"/>
      <w:marLeft w:val="0"/>
      <w:marRight w:val="0"/>
      <w:marTop w:val="0"/>
      <w:marBottom w:val="0"/>
      <w:divBdr>
        <w:top w:val="none" w:sz="0" w:space="0" w:color="auto"/>
        <w:left w:val="none" w:sz="0" w:space="0" w:color="auto"/>
        <w:bottom w:val="none" w:sz="0" w:space="0" w:color="auto"/>
        <w:right w:val="none" w:sz="0" w:space="0" w:color="auto"/>
      </w:divBdr>
    </w:div>
    <w:div w:id="1815829985">
      <w:bodyDiv w:val="1"/>
      <w:marLeft w:val="0"/>
      <w:marRight w:val="0"/>
      <w:marTop w:val="0"/>
      <w:marBottom w:val="0"/>
      <w:divBdr>
        <w:top w:val="none" w:sz="0" w:space="0" w:color="auto"/>
        <w:left w:val="none" w:sz="0" w:space="0" w:color="auto"/>
        <w:bottom w:val="none" w:sz="0" w:space="0" w:color="auto"/>
        <w:right w:val="none" w:sz="0" w:space="0" w:color="auto"/>
      </w:divBdr>
      <w:divsChild>
        <w:div w:id="105972736">
          <w:marLeft w:val="0"/>
          <w:marRight w:val="0"/>
          <w:marTop w:val="0"/>
          <w:marBottom w:val="0"/>
          <w:divBdr>
            <w:top w:val="none" w:sz="0" w:space="0" w:color="auto"/>
            <w:left w:val="none" w:sz="0" w:space="0" w:color="auto"/>
            <w:bottom w:val="none" w:sz="0" w:space="0" w:color="auto"/>
            <w:right w:val="none" w:sz="0" w:space="0" w:color="auto"/>
          </w:divBdr>
        </w:div>
        <w:div w:id="1927835916">
          <w:marLeft w:val="0"/>
          <w:marRight w:val="0"/>
          <w:marTop w:val="0"/>
          <w:marBottom w:val="0"/>
          <w:divBdr>
            <w:top w:val="none" w:sz="0" w:space="0" w:color="auto"/>
            <w:left w:val="none" w:sz="0" w:space="0" w:color="auto"/>
            <w:bottom w:val="none" w:sz="0" w:space="0" w:color="auto"/>
            <w:right w:val="none" w:sz="0" w:space="0" w:color="auto"/>
          </w:divBdr>
        </w:div>
      </w:divsChild>
    </w:div>
    <w:div w:id="1823889253">
      <w:bodyDiv w:val="1"/>
      <w:marLeft w:val="0"/>
      <w:marRight w:val="0"/>
      <w:marTop w:val="0"/>
      <w:marBottom w:val="0"/>
      <w:divBdr>
        <w:top w:val="none" w:sz="0" w:space="0" w:color="auto"/>
        <w:left w:val="none" w:sz="0" w:space="0" w:color="auto"/>
        <w:bottom w:val="none" w:sz="0" w:space="0" w:color="auto"/>
        <w:right w:val="none" w:sz="0" w:space="0" w:color="auto"/>
      </w:divBdr>
    </w:div>
    <w:div w:id="1838035111">
      <w:bodyDiv w:val="1"/>
      <w:marLeft w:val="0"/>
      <w:marRight w:val="0"/>
      <w:marTop w:val="0"/>
      <w:marBottom w:val="0"/>
      <w:divBdr>
        <w:top w:val="none" w:sz="0" w:space="0" w:color="auto"/>
        <w:left w:val="none" w:sz="0" w:space="0" w:color="auto"/>
        <w:bottom w:val="none" w:sz="0" w:space="0" w:color="auto"/>
        <w:right w:val="none" w:sz="0" w:space="0" w:color="auto"/>
      </w:divBdr>
      <w:divsChild>
        <w:div w:id="192957935">
          <w:marLeft w:val="0"/>
          <w:marRight w:val="0"/>
          <w:marTop w:val="0"/>
          <w:marBottom w:val="0"/>
          <w:divBdr>
            <w:top w:val="none" w:sz="0" w:space="0" w:color="auto"/>
            <w:left w:val="none" w:sz="0" w:space="0" w:color="auto"/>
            <w:bottom w:val="none" w:sz="0" w:space="0" w:color="auto"/>
            <w:right w:val="none" w:sz="0" w:space="0" w:color="auto"/>
          </w:divBdr>
        </w:div>
        <w:div w:id="632101566">
          <w:marLeft w:val="0"/>
          <w:marRight w:val="0"/>
          <w:marTop w:val="0"/>
          <w:marBottom w:val="0"/>
          <w:divBdr>
            <w:top w:val="none" w:sz="0" w:space="0" w:color="auto"/>
            <w:left w:val="none" w:sz="0" w:space="0" w:color="auto"/>
            <w:bottom w:val="none" w:sz="0" w:space="0" w:color="auto"/>
            <w:right w:val="none" w:sz="0" w:space="0" w:color="auto"/>
          </w:divBdr>
        </w:div>
        <w:div w:id="1467550734">
          <w:marLeft w:val="0"/>
          <w:marRight w:val="0"/>
          <w:marTop w:val="0"/>
          <w:marBottom w:val="0"/>
          <w:divBdr>
            <w:top w:val="none" w:sz="0" w:space="0" w:color="auto"/>
            <w:left w:val="none" w:sz="0" w:space="0" w:color="auto"/>
            <w:bottom w:val="none" w:sz="0" w:space="0" w:color="auto"/>
            <w:right w:val="none" w:sz="0" w:space="0" w:color="auto"/>
          </w:divBdr>
        </w:div>
      </w:divsChild>
    </w:div>
    <w:div w:id="1890874193">
      <w:bodyDiv w:val="1"/>
      <w:marLeft w:val="0"/>
      <w:marRight w:val="0"/>
      <w:marTop w:val="0"/>
      <w:marBottom w:val="0"/>
      <w:divBdr>
        <w:top w:val="none" w:sz="0" w:space="0" w:color="auto"/>
        <w:left w:val="none" w:sz="0" w:space="0" w:color="auto"/>
        <w:bottom w:val="none" w:sz="0" w:space="0" w:color="auto"/>
        <w:right w:val="none" w:sz="0" w:space="0" w:color="auto"/>
      </w:divBdr>
      <w:divsChild>
        <w:div w:id="111097362">
          <w:marLeft w:val="547"/>
          <w:marRight w:val="0"/>
          <w:marTop w:val="0"/>
          <w:marBottom w:val="0"/>
          <w:divBdr>
            <w:top w:val="none" w:sz="0" w:space="0" w:color="auto"/>
            <w:left w:val="none" w:sz="0" w:space="0" w:color="auto"/>
            <w:bottom w:val="none" w:sz="0" w:space="0" w:color="auto"/>
            <w:right w:val="none" w:sz="0" w:space="0" w:color="auto"/>
          </w:divBdr>
        </w:div>
        <w:div w:id="602373486">
          <w:marLeft w:val="547"/>
          <w:marRight w:val="0"/>
          <w:marTop w:val="0"/>
          <w:marBottom w:val="0"/>
          <w:divBdr>
            <w:top w:val="none" w:sz="0" w:space="0" w:color="auto"/>
            <w:left w:val="none" w:sz="0" w:space="0" w:color="auto"/>
            <w:bottom w:val="none" w:sz="0" w:space="0" w:color="auto"/>
            <w:right w:val="none" w:sz="0" w:space="0" w:color="auto"/>
          </w:divBdr>
        </w:div>
      </w:divsChild>
    </w:div>
    <w:div w:id="1917012545">
      <w:bodyDiv w:val="1"/>
      <w:marLeft w:val="0"/>
      <w:marRight w:val="0"/>
      <w:marTop w:val="0"/>
      <w:marBottom w:val="0"/>
      <w:divBdr>
        <w:top w:val="none" w:sz="0" w:space="0" w:color="auto"/>
        <w:left w:val="none" w:sz="0" w:space="0" w:color="auto"/>
        <w:bottom w:val="none" w:sz="0" w:space="0" w:color="auto"/>
        <w:right w:val="none" w:sz="0" w:space="0" w:color="auto"/>
      </w:divBdr>
      <w:divsChild>
        <w:div w:id="152257539">
          <w:marLeft w:val="0"/>
          <w:marRight w:val="0"/>
          <w:marTop w:val="0"/>
          <w:marBottom w:val="0"/>
          <w:divBdr>
            <w:top w:val="none" w:sz="0" w:space="0" w:color="auto"/>
            <w:left w:val="none" w:sz="0" w:space="0" w:color="auto"/>
            <w:bottom w:val="none" w:sz="0" w:space="0" w:color="auto"/>
            <w:right w:val="none" w:sz="0" w:space="0" w:color="auto"/>
          </w:divBdr>
        </w:div>
        <w:div w:id="203641657">
          <w:marLeft w:val="0"/>
          <w:marRight w:val="0"/>
          <w:marTop w:val="0"/>
          <w:marBottom w:val="0"/>
          <w:divBdr>
            <w:top w:val="none" w:sz="0" w:space="0" w:color="auto"/>
            <w:left w:val="none" w:sz="0" w:space="0" w:color="auto"/>
            <w:bottom w:val="none" w:sz="0" w:space="0" w:color="auto"/>
            <w:right w:val="none" w:sz="0" w:space="0" w:color="auto"/>
          </w:divBdr>
        </w:div>
        <w:div w:id="1076898108">
          <w:marLeft w:val="0"/>
          <w:marRight w:val="0"/>
          <w:marTop w:val="0"/>
          <w:marBottom w:val="0"/>
          <w:divBdr>
            <w:top w:val="none" w:sz="0" w:space="0" w:color="auto"/>
            <w:left w:val="none" w:sz="0" w:space="0" w:color="auto"/>
            <w:bottom w:val="none" w:sz="0" w:space="0" w:color="auto"/>
            <w:right w:val="none" w:sz="0" w:space="0" w:color="auto"/>
          </w:divBdr>
        </w:div>
        <w:div w:id="1936861917">
          <w:marLeft w:val="0"/>
          <w:marRight w:val="0"/>
          <w:marTop w:val="0"/>
          <w:marBottom w:val="0"/>
          <w:divBdr>
            <w:top w:val="none" w:sz="0" w:space="0" w:color="auto"/>
            <w:left w:val="none" w:sz="0" w:space="0" w:color="auto"/>
            <w:bottom w:val="none" w:sz="0" w:space="0" w:color="auto"/>
            <w:right w:val="none" w:sz="0" w:space="0" w:color="auto"/>
          </w:divBdr>
        </w:div>
      </w:divsChild>
    </w:div>
    <w:div w:id="1927376282">
      <w:bodyDiv w:val="1"/>
      <w:marLeft w:val="0"/>
      <w:marRight w:val="0"/>
      <w:marTop w:val="0"/>
      <w:marBottom w:val="0"/>
      <w:divBdr>
        <w:top w:val="none" w:sz="0" w:space="0" w:color="auto"/>
        <w:left w:val="none" w:sz="0" w:space="0" w:color="auto"/>
        <w:bottom w:val="none" w:sz="0" w:space="0" w:color="auto"/>
        <w:right w:val="none" w:sz="0" w:space="0" w:color="auto"/>
      </w:divBdr>
    </w:div>
    <w:div w:id="1946577898">
      <w:bodyDiv w:val="1"/>
      <w:marLeft w:val="0"/>
      <w:marRight w:val="0"/>
      <w:marTop w:val="0"/>
      <w:marBottom w:val="0"/>
      <w:divBdr>
        <w:top w:val="none" w:sz="0" w:space="0" w:color="auto"/>
        <w:left w:val="none" w:sz="0" w:space="0" w:color="auto"/>
        <w:bottom w:val="none" w:sz="0" w:space="0" w:color="auto"/>
        <w:right w:val="none" w:sz="0" w:space="0" w:color="auto"/>
      </w:divBdr>
    </w:div>
    <w:div w:id="1962607696">
      <w:bodyDiv w:val="1"/>
      <w:marLeft w:val="0"/>
      <w:marRight w:val="0"/>
      <w:marTop w:val="0"/>
      <w:marBottom w:val="0"/>
      <w:divBdr>
        <w:top w:val="none" w:sz="0" w:space="0" w:color="auto"/>
        <w:left w:val="none" w:sz="0" w:space="0" w:color="auto"/>
        <w:bottom w:val="none" w:sz="0" w:space="0" w:color="auto"/>
        <w:right w:val="none" w:sz="0" w:space="0" w:color="auto"/>
      </w:divBdr>
    </w:div>
    <w:div w:id="1979147856">
      <w:bodyDiv w:val="1"/>
      <w:marLeft w:val="0"/>
      <w:marRight w:val="0"/>
      <w:marTop w:val="0"/>
      <w:marBottom w:val="0"/>
      <w:divBdr>
        <w:top w:val="none" w:sz="0" w:space="0" w:color="auto"/>
        <w:left w:val="none" w:sz="0" w:space="0" w:color="auto"/>
        <w:bottom w:val="none" w:sz="0" w:space="0" w:color="auto"/>
        <w:right w:val="none" w:sz="0" w:space="0" w:color="auto"/>
      </w:divBdr>
    </w:div>
    <w:div w:id="2039349600">
      <w:bodyDiv w:val="1"/>
      <w:marLeft w:val="0"/>
      <w:marRight w:val="0"/>
      <w:marTop w:val="0"/>
      <w:marBottom w:val="0"/>
      <w:divBdr>
        <w:top w:val="none" w:sz="0" w:space="0" w:color="auto"/>
        <w:left w:val="none" w:sz="0" w:space="0" w:color="auto"/>
        <w:bottom w:val="none" w:sz="0" w:space="0" w:color="auto"/>
        <w:right w:val="none" w:sz="0" w:space="0" w:color="auto"/>
      </w:divBdr>
    </w:div>
    <w:div w:id="2042196624">
      <w:bodyDiv w:val="1"/>
      <w:marLeft w:val="0"/>
      <w:marRight w:val="0"/>
      <w:marTop w:val="0"/>
      <w:marBottom w:val="0"/>
      <w:divBdr>
        <w:top w:val="none" w:sz="0" w:space="0" w:color="auto"/>
        <w:left w:val="none" w:sz="0" w:space="0" w:color="auto"/>
        <w:bottom w:val="none" w:sz="0" w:space="0" w:color="auto"/>
        <w:right w:val="none" w:sz="0" w:space="0" w:color="auto"/>
      </w:divBdr>
      <w:divsChild>
        <w:div w:id="643464190">
          <w:marLeft w:val="0"/>
          <w:marRight w:val="0"/>
          <w:marTop w:val="0"/>
          <w:marBottom w:val="0"/>
          <w:divBdr>
            <w:top w:val="none" w:sz="0" w:space="0" w:color="auto"/>
            <w:left w:val="none" w:sz="0" w:space="0" w:color="auto"/>
            <w:bottom w:val="none" w:sz="0" w:space="0" w:color="auto"/>
            <w:right w:val="none" w:sz="0" w:space="0" w:color="auto"/>
          </w:divBdr>
        </w:div>
        <w:div w:id="726925460">
          <w:marLeft w:val="0"/>
          <w:marRight w:val="0"/>
          <w:marTop w:val="0"/>
          <w:marBottom w:val="0"/>
          <w:divBdr>
            <w:top w:val="none" w:sz="0" w:space="0" w:color="auto"/>
            <w:left w:val="none" w:sz="0" w:space="0" w:color="auto"/>
            <w:bottom w:val="none" w:sz="0" w:space="0" w:color="auto"/>
            <w:right w:val="none" w:sz="0" w:space="0" w:color="auto"/>
          </w:divBdr>
        </w:div>
        <w:div w:id="1933783375">
          <w:marLeft w:val="0"/>
          <w:marRight w:val="0"/>
          <w:marTop w:val="0"/>
          <w:marBottom w:val="0"/>
          <w:divBdr>
            <w:top w:val="none" w:sz="0" w:space="0" w:color="auto"/>
            <w:left w:val="none" w:sz="0" w:space="0" w:color="auto"/>
            <w:bottom w:val="none" w:sz="0" w:space="0" w:color="auto"/>
            <w:right w:val="none" w:sz="0" w:space="0" w:color="auto"/>
          </w:divBdr>
        </w:div>
      </w:divsChild>
    </w:div>
    <w:div w:id="2055696778">
      <w:bodyDiv w:val="1"/>
      <w:marLeft w:val="0"/>
      <w:marRight w:val="0"/>
      <w:marTop w:val="0"/>
      <w:marBottom w:val="0"/>
      <w:divBdr>
        <w:top w:val="none" w:sz="0" w:space="0" w:color="auto"/>
        <w:left w:val="none" w:sz="0" w:space="0" w:color="auto"/>
        <w:bottom w:val="none" w:sz="0" w:space="0" w:color="auto"/>
        <w:right w:val="none" w:sz="0" w:space="0" w:color="auto"/>
      </w:divBdr>
      <w:divsChild>
        <w:div w:id="325018290">
          <w:marLeft w:val="547"/>
          <w:marRight w:val="0"/>
          <w:marTop w:val="0"/>
          <w:marBottom w:val="0"/>
          <w:divBdr>
            <w:top w:val="none" w:sz="0" w:space="0" w:color="auto"/>
            <w:left w:val="none" w:sz="0" w:space="0" w:color="auto"/>
            <w:bottom w:val="none" w:sz="0" w:space="0" w:color="auto"/>
            <w:right w:val="none" w:sz="0" w:space="0" w:color="auto"/>
          </w:divBdr>
        </w:div>
      </w:divsChild>
    </w:div>
    <w:div w:id="2103526409">
      <w:bodyDiv w:val="1"/>
      <w:marLeft w:val="0"/>
      <w:marRight w:val="0"/>
      <w:marTop w:val="0"/>
      <w:marBottom w:val="0"/>
      <w:divBdr>
        <w:top w:val="none" w:sz="0" w:space="0" w:color="auto"/>
        <w:left w:val="none" w:sz="0" w:space="0" w:color="auto"/>
        <w:bottom w:val="none" w:sz="0" w:space="0" w:color="auto"/>
        <w:right w:val="none" w:sz="0" w:space="0" w:color="auto"/>
      </w:divBdr>
      <w:divsChild>
        <w:div w:id="158544061">
          <w:marLeft w:val="0"/>
          <w:marRight w:val="0"/>
          <w:marTop w:val="0"/>
          <w:marBottom w:val="0"/>
          <w:divBdr>
            <w:top w:val="none" w:sz="0" w:space="0" w:color="auto"/>
            <w:left w:val="none" w:sz="0" w:space="0" w:color="auto"/>
            <w:bottom w:val="none" w:sz="0" w:space="0" w:color="auto"/>
            <w:right w:val="none" w:sz="0" w:space="0" w:color="auto"/>
          </w:divBdr>
          <w:divsChild>
            <w:div w:id="1112555838">
              <w:marLeft w:val="0"/>
              <w:marRight w:val="0"/>
              <w:marTop w:val="0"/>
              <w:marBottom w:val="0"/>
              <w:divBdr>
                <w:top w:val="none" w:sz="0" w:space="0" w:color="auto"/>
                <w:left w:val="none" w:sz="0" w:space="0" w:color="auto"/>
                <w:bottom w:val="none" w:sz="0" w:space="0" w:color="auto"/>
                <w:right w:val="none" w:sz="0" w:space="0" w:color="auto"/>
              </w:divBdr>
            </w:div>
          </w:divsChild>
        </w:div>
        <w:div w:id="171649294">
          <w:marLeft w:val="0"/>
          <w:marRight w:val="0"/>
          <w:marTop w:val="0"/>
          <w:marBottom w:val="0"/>
          <w:divBdr>
            <w:top w:val="none" w:sz="0" w:space="0" w:color="auto"/>
            <w:left w:val="none" w:sz="0" w:space="0" w:color="auto"/>
            <w:bottom w:val="none" w:sz="0" w:space="0" w:color="auto"/>
            <w:right w:val="none" w:sz="0" w:space="0" w:color="auto"/>
          </w:divBdr>
          <w:divsChild>
            <w:div w:id="1703164609">
              <w:marLeft w:val="0"/>
              <w:marRight w:val="0"/>
              <w:marTop w:val="0"/>
              <w:marBottom w:val="0"/>
              <w:divBdr>
                <w:top w:val="none" w:sz="0" w:space="0" w:color="auto"/>
                <w:left w:val="none" w:sz="0" w:space="0" w:color="auto"/>
                <w:bottom w:val="none" w:sz="0" w:space="0" w:color="auto"/>
                <w:right w:val="none" w:sz="0" w:space="0" w:color="auto"/>
              </w:divBdr>
            </w:div>
          </w:divsChild>
        </w:div>
        <w:div w:id="230433680">
          <w:marLeft w:val="0"/>
          <w:marRight w:val="0"/>
          <w:marTop w:val="0"/>
          <w:marBottom w:val="0"/>
          <w:divBdr>
            <w:top w:val="none" w:sz="0" w:space="0" w:color="auto"/>
            <w:left w:val="none" w:sz="0" w:space="0" w:color="auto"/>
            <w:bottom w:val="none" w:sz="0" w:space="0" w:color="auto"/>
            <w:right w:val="none" w:sz="0" w:space="0" w:color="auto"/>
          </w:divBdr>
          <w:divsChild>
            <w:div w:id="655644151">
              <w:marLeft w:val="0"/>
              <w:marRight w:val="0"/>
              <w:marTop w:val="0"/>
              <w:marBottom w:val="0"/>
              <w:divBdr>
                <w:top w:val="none" w:sz="0" w:space="0" w:color="auto"/>
                <w:left w:val="none" w:sz="0" w:space="0" w:color="auto"/>
                <w:bottom w:val="none" w:sz="0" w:space="0" w:color="auto"/>
                <w:right w:val="none" w:sz="0" w:space="0" w:color="auto"/>
              </w:divBdr>
            </w:div>
          </w:divsChild>
        </w:div>
        <w:div w:id="239946970">
          <w:marLeft w:val="0"/>
          <w:marRight w:val="0"/>
          <w:marTop w:val="0"/>
          <w:marBottom w:val="0"/>
          <w:divBdr>
            <w:top w:val="none" w:sz="0" w:space="0" w:color="auto"/>
            <w:left w:val="none" w:sz="0" w:space="0" w:color="auto"/>
            <w:bottom w:val="none" w:sz="0" w:space="0" w:color="auto"/>
            <w:right w:val="none" w:sz="0" w:space="0" w:color="auto"/>
          </w:divBdr>
          <w:divsChild>
            <w:div w:id="2062752230">
              <w:marLeft w:val="0"/>
              <w:marRight w:val="0"/>
              <w:marTop w:val="0"/>
              <w:marBottom w:val="0"/>
              <w:divBdr>
                <w:top w:val="none" w:sz="0" w:space="0" w:color="auto"/>
                <w:left w:val="none" w:sz="0" w:space="0" w:color="auto"/>
                <w:bottom w:val="none" w:sz="0" w:space="0" w:color="auto"/>
                <w:right w:val="none" w:sz="0" w:space="0" w:color="auto"/>
              </w:divBdr>
            </w:div>
          </w:divsChild>
        </w:div>
        <w:div w:id="243801145">
          <w:marLeft w:val="0"/>
          <w:marRight w:val="0"/>
          <w:marTop w:val="0"/>
          <w:marBottom w:val="0"/>
          <w:divBdr>
            <w:top w:val="none" w:sz="0" w:space="0" w:color="auto"/>
            <w:left w:val="none" w:sz="0" w:space="0" w:color="auto"/>
            <w:bottom w:val="none" w:sz="0" w:space="0" w:color="auto"/>
            <w:right w:val="none" w:sz="0" w:space="0" w:color="auto"/>
          </w:divBdr>
          <w:divsChild>
            <w:div w:id="869606029">
              <w:marLeft w:val="0"/>
              <w:marRight w:val="0"/>
              <w:marTop w:val="0"/>
              <w:marBottom w:val="0"/>
              <w:divBdr>
                <w:top w:val="none" w:sz="0" w:space="0" w:color="auto"/>
                <w:left w:val="none" w:sz="0" w:space="0" w:color="auto"/>
                <w:bottom w:val="none" w:sz="0" w:space="0" w:color="auto"/>
                <w:right w:val="none" w:sz="0" w:space="0" w:color="auto"/>
              </w:divBdr>
            </w:div>
          </w:divsChild>
        </w:div>
        <w:div w:id="274752592">
          <w:marLeft w:val="0"/>
          <w:marRight w:val="0"/>
          <w:marTop w:val="0"/>
          <w:marBottom w:val="0"/>
          <w:divBdr>
            <w:top w:val="none" w:sz="0" w:space="0" w:color="auto"/>
            <w:left w:val="none" w:sz="0" w:space="0" w:color="auto"/>
            <w:bottom w:val="none" w:sz="0" w:space="0" w:color="auto"/>
            <w:right w:val="none" w:sz="0" w:space="0" w:color="auto"/>
          </w:divBdr>
          <w:divsChild>
            <w:div w:id="32732325">
              <w:marLeft w:val="0"/>
              <w:marRight w:val="0"/>
              <w:marTop w:val="0"/>
              <w:marBottom w:val="0"/>
              <w:divBdr>
                <w:top w:val="none" w:sz="0" w:space="0" w:color="auto"/>
                <w:left w:val="none" w:sz="0" w:space="0" w:color="auto"/>
                <w:bottom w:val="none" w:sz="0" w:space="0" w:color="auto"/>
                <w:right w:val="none" w:sz="0" w:space="0" w:color="auto"/>
              </w:divBdr>
            </w:div>
          </w:divsChild>
        </w:div>
        <w:div w:id="282811941">
          <w:marLeft w:val="0"/>
          <w:marRight w:val="0"/>
          <w:marTop w:val="0"/>
          <w:marBottom w:val="0"/>
          <w:divBdr>
            <w:top w:val="none" w:sz="0" w:space="0" w:color="auto"/>
            <w:left w:val="none" w:sz="0" w:space="0" w:color="auto"/>
            <w:bottom w:val="none" w:sz="0" w:space="0" w:color="auto"/>
            <w:right w:val="none" w:sz="0" w:space="0" w:color="auto"/>
          </w:divBdr>
          <w:divsChild>
            <w:div w:id="251475675">
              <w:marLeft w:val="0"/>
              <w:marRight w:val="0"/>
              <w:marTop w:val="0"/>
              <w:marBottom w:val="0"/>
              <w:divBdr>
                <w:top w:val="none" w:sz="0" w:space="0" w:color="auto"/>
                <w:left w:val="none" w:sz="0" w:space="0" w:color="auto"/>
                <w:bottom w:val="none" w:sz="0" w:space="0" w:color="auto"/>
                <w:right w:val="none" w:sz="0" w:space="0" w:color="auto"/>
              </w:divBdr>
            </w:div>
          </w:divsChild>
        </w:div>
        <w:div w:id="295992024">
          <w:marLeft w:val="0"/>
          <w:marRight w:val="0"/>
          <w:marTop w:val="0"/>
          <w:marBottom w:val="0"/>
          <w:divBdr>
            <w:top w:val="none" w:sz="0" w:space="0" w:color="auto"/>
            <w:left w:val="none" w:sz="0" w:space="0" w:color="auto"/>
            <w:bottom w:val="none" w:sz="0" w:space="0" w:color="auto"/>
            <w:right w:val="none" w:sz="0" w:space="0" w:color="auto"/>
          </w:divBdr>
          <w:divsChild>
            <w:div w:id="1134107050">
              <w:marLeft w:val="0"/>
              <w:marRight w:val="0"/>
              <w:marTop w:val="0"/>
              <w:marBottom w:val="0"/>
              <w:divBdr>
                <w:top w:val="none" w:sz="0" w:space="0" w:color="auto"/>
                <w:left w:val="none" w:sz="0" w:space="0" w:color="auto"/>
                <w:bottom w:val="none" w:sz="0" w:space="0" w:color="auto"/>
                <w:right w:val="none" w:sz="0" w:space="0" w:color="auto"/>
              </w:divBdr>
            </w:div>
          </w:divsChild>
        </w:div>
        <w:div w:id="379787781">
          <w:marLeft w:val="0"/>
          <w:marRight w:val="0"/>
          <w:marTop w:val="0"/>
          <w:marBottom w:val="0"/>
          <w:divBdr>
            <w:top w:val="none" w:sz="0" w:space="0" w:color="auto"/>
            <w:left w:val="none" w:sz="0" w:space="0" w:color="auto"/>
            <w:bottom w:val="none" w:sz="0" w:space="0" w:color="auto"/>
            <w:right w:val="none" w:sz="0" w:space="0" w:color="auto"/>
          </w:divBdr>
          <w:divsChild>
            <w:div w:id="697970799">
              <w:marLeft w:val="0"/>
              <w:marRight w:val="0"/>
              <w:marTop w:val="0"/>
              <w:marBottom w:val="0"/>
              <w:divBdr>
                <w:top w:val="none" w:sz="0" w:space="0" w:color="auto"/>
                <w:left w:val="none" w:sz="0" w:space="0" w:color="auto"/>
                <w:bottom w:val="none" w:sz="0" w:space="0" w:color="auto"/>
                <w:right w:val="none" w:sz="0" w:space="0" w:color="auto"/>
              </w:divBdr>
            </w:div>
          </w:divsChild>
        </w:div>
        <w:div w:id="395785461">
          <w:marLeft w:val="0"/>
          <w:marRight w:val="0"/>
          <w:marTop w:val="0"/>
          <w:marBottom w:val="0"/>
          <w:divBdr>
            <w:top w:val="none" w:sz="0" w:space="0" w:color="auto"/>
            <w:left w:val="none" w:sz="0" w:space="0" w:color="auto"/>
            <w:bottom w:val="none" w:sz="0" w:space="0" w:color="auto"/>
            <w:right w:val="none" w:sz="0" w:space="0" w:color="auto"/>
          </w:divBdr>
          <w:divsChild>
            <w:div w:id="339428447">
              <w:marLeft w:val="0"/>
              <w:marRight w:val="0"/>
              <w:marTop w:val="0"/>
              <w:marBottom w:val="0"/>
              <w:divBdr>
                <w:top w:val="none" w:sz="0" w:space="0" w:color="auto"/>
                <w:left w:val="none" w:sz="0" w:space="0" w:color="auto"/>
                <w:bottom w:val="none" w:sz="0" w:space="0" w:color="auto"/>
                <w:right w:val="none" w:sz="0" w:space="0" w:color="auto"/>
              </w:divBdr>
            </w:div>
          </w:divsChild>
        </w:div>
        <w:div w:id="453787303">
          <w:marLeft w:val="0"/>
          <w:marRight w:val="0"/>
          <w:marTop w:val="0"/>
          <w:marBottom w:val="0"/>
          <w:divBdr>
            <w:top w:val="none" w:sz="0" w:space="0" w:color="auto"/>
            <w:left w:val="none" w:sz="0" w:space="0" w:color="auto"/>
            <w:bottom w:val="none" w:sz="0" w:space="0" w:color="auto"/>
            <w:right w:val="none" w:sz="0" w:space="0" w:color="auto"/>
          </w:divBdr>
          <w:divsChild>
            <w:div w:id="980428470">
              <w:marLeft w:val="0"/>
              <w:marRight w:val="0"/>
              <w:marTop w:val="0"/>
              <w:marBottom w:val="0"/>
              <w:divBdr>
                <w:top w:val="none" w:sz="0" w:space="0" w:color="auto"/>
                <w:left w:val="none" w:sz="0" w:space="0" w:color="auto"/>
                <w:bottom w:val="none" w:sz="0" w:space="0" w:color="auto"/>
                <w:right w:val="none" w:sz="0" w:space="0" w:color="auto"/>
              </w:divBdr>
            </w:div>
          </w:divsChild>
        </w:div>
        <w:div w:id="503128117">
          <w:marLeft w:val="0"/>
          <w:marRight w:val="0"/>
          <w:marTop w:val="0"/>
          <w:marBottom w:val="0"/>
          <w:divBdr>
            <w:top w:val="none" w:sz="0" w:space="0" w:color="auto"/>
            <w:left w:val="none" w:sz="0" w:space="0" w:color="auto"/>
            <w:bottom w:val="none" w:sz="0" w:space="0" w:color="auto"/>
            <w:right w:val="none" w:sz="0" w:space="0" w:color="auto"/>
          </w:divBdr>
          <w:divsChild>
            <w:div w:id="668752473">
              <w:marLeft w:val="0"/>
              <w:marRight w:val="0"/>
              <w:marTop w:val="0"/>
              <w:marBottom w:val="0"/>
              <w:divBdr>
                <w:top w:val="none" w:sz="0" w:space="0" w:color="auto"/>
                <w:left w:val="none" w:sz="0" w:space="0" w:color="auto"/>
                <w:bottom w:val="none" w:sz="0" w:space="0" w:color="auto"/>
                <w:right w:val="none" w:sz="0" w:space="0" w:color="auto"/>
              </w:divBdr>
            </w:div>
          </w:divsChild>
        </w:div>
        <w:div w:id="568081182">
          <w:marLeft w:val="0"/>
          <w:marRight w:val="0"/>
          <w:marTop w:val="0"/>
          <w:marBottom w:val="0"/>
          <w:divBdr>
            <w:top w:val="none" w:sz="0" w:space="0" w:color="auto"/>
            <w:left w:val="none" w:sz="0" w:space="0" w:color="auto"/>
            <w:bottom w:val="none" w:sz="0" w:space="0" w:color="auto"/>
            <w:right w:val="none" w:sz="0" w:space="0" w:color="auto"/>
          </w:divBdr>
          <w:divsChild>
            <w:div w:id="1102644675">
              <w:marLeft w:val="0"/>
              <w:marRight w:val="0"/>
              <w:marTop w:val="0"/>
              <w:marBottom w:val="0"/>
              <w:divBdr>
                <w:top w:val="none" w:sz="0" w:space="0" w:color="auto"/>
                <w:left w:val="none" w:sz="0" w:space="0" w:color="auto"/>
                <w:bottom w:val="none" w:sz="0" w:space="0" w:color="auto"/>
                <w:right w:val="none" w:sz="0" w:space="0" w:color="auto"/>
              </w:divBdr>
            </w:div>
          </w:divsChild>
        </w:div>
        <w:div w:id="592394232">
          <w:marLeft w:val="0"/>
          <w:marRight w:val="0"/>
          <w:marTop w:val="0"/>
          <w:marBottom w:val="0"/>
          <w:divBdr>
            <w:top w:val="none" w:sz="0" w:space="0" w:color="auto"/>
            <w:left w:val="none" w:sz="0" w:space="0" w:color="auto"/>
            <w:bottom w:val="none" w:sz="0" w:space="0" w:color="auto"/>
            <w:right w:val="none" w:sz="0" w:space="0" w:color="auto"/>
          </w:divBdr>
          <w:divsChild>
            <w:div w:id="1784377693">
              <w:marLeft w:val="0"/>
              <w:marRight w:val="0"/>
              <w:marTop w:val="0"/>
              <w:marBottom w:val="0"/>
              <w:divBdr>
                <w:top w:val="none" w:sz="0" w:space="0" w:color="auto"/>
                <w:left w:val="none" w:sz="0" w:space="0" w:color="auto"/>
                <w:bottom w:val="none" w:sz="0" w:space="0" w:color="auto"/>
                <w:right w:val="none" w:sz="0" w:space="0" w:color="auto"/>
              </w:divBdr>
            </w:div>
          </w:divsChild>
        </w:div>
        <w:div w:id="594631189">
          <w:marLeft w:val="0"/>
          <w:marRight w:val="0"/>
          <w:marTop w:val="0"/>
          <w:marBottom w:val="0"/>
          <w:divBdr>
            <w:top w:val="none" w:sz="0" w:space="0" w:color="auto"/>
            <w:left w:val="none" w:sz="0" w:space="0" w:color="auto"/>
            <w:bottom w:val="none" w:sz="0" w:space="0" w:color="auto"/>
            <w:right w:val="none" w:sz="0" w:space="0" w:color="auto"/>
          </w:divBdr>
          <w:divsChild>
            <w:div w:id="1436171372">
              <w:marLeft w:val="0"/>
              <w:marRight w:val="0"/>
              <w:marTop w:val="0"/>
              <w:marBottom w:val="0"/>
              <w:divBdr>
                <w:top w:val="none" w:sz="0" w:space="0" w:color="auto"/>
                <w:left w:val="none" w:sz="0" w:space="0" w:color="auto"/>
                <w:bottom w:val="none" w:sz="0" w:space="0" w:color="auto"/>
                <w:right w:val="none" w:sz="0" w:space="0" w:color="auto"/>
              </w:divBdr>
            </w:div>
          </w:divsChild>
        </w:div>
        <w:div w:id="600143464">
          <w:marLeft w:val="0"/>
          <w:marRight w:val="0"/>
          <w:marTop w:val="0"/>
          <w:marBottom w:val="0"/>
          <w:divBdr>
            <w:top w:val="none" w:sz="0" w:space="0" w:color="auto"/>
            <w:left w:val="none" w:sz="0" w:space="0" w:color="auto"/>
            <w:bottom w:val="none" w:sz="0" w:space="0" w:color="auto"/>
            <w:right w:val="none" w:sz="0" w:space="0" w:color="auto"/>
          </w:divBdr>
          <w:divsChild>
            <w:div w:id="25103792">
              <w:marLeft w:val="0"/>
              <w:marRight w:val="0"/>
              <w:marTop w:val="0"/>
              <w:marBottom w:val="0"/>
              <w:divBdr>
                <w:top w:val="none" w:sz="0" w:space="0" w:color="auto"/>
                <w:left w:val="none" w:sz="0" w:space="0" w:color="auto"/>
                <w:bottom w:val="none" w:sz="0" w:space="0" w:color="auto"/>
                <w:right w:val="none" w:sz="0" w:space="0" w:color="auto"/>
              </w:divBdr>
            </w:div>
          </w:divsChild>
        </w:div>
        <w:div w:id="652292289">
          <w:marLeft w:val="0"/>
          <w:marRight w:val="0"/>
          <w:marTop w:val="0"/>
          <w:marBottom w:val="0"/>
          <w:divBdr>
            <w:top w:val="none" w:sz="0" w:space="0" w:color="auto"/>
            <w:left w:val="none" w:sz="0" w:space="0" w:color="auto"/>
            <w:bottom w:val="none" w:sz="0" w:space="0" w:color="auto"/>
            <w:right w:val="none" w:sz="0" w:space="0" w:color="auto"/>
          </w:divBdr>
          <w:divsChild>
            <w:div w:id="122961879">
              <w:marLeft w:val="0"/>
              <w:marRight w:val="0"/>
              <w:marTop w:val="0"/>
              <w:marBottom w:val="0"/>
              <w:divBdr>
                <w:top w:val="none" w:sz="0" w:space="0" w:color="auto"/>
                <w:left w:val="none" w:sz="0" w:space="0" w:color="auto"/>
                <w:bottom w:val="none" w:sz="0" w:space="0" w:color="auto"/>
                <w:right w:val="none" w:sz="0" w:space="0" w:color="auto"/>
              </w:divBdr>
            </w:div>
          </w:divsChild>
        </w:div>
        <w:div w:id="764496067">
          <w:marLeft w:val="0"/>
          <w:marRight w:val="0"/>
          <w:marTop w:val="0"/>
          <w:marBottom w:val="0"/>
          <w:divBdr>
            <w:top w:val="none" w:sz="0" w:space="0" w:color="auto"/>
            <w:left w:val="none" w:sz="0" w:space="0" w:color="auto"/>
            <w:bottom w:val="none" w:sz="0" w:space="0" w:color="auto"/>
            <w:right w:val="none" w:sz="0" w:space="0" w:color="auto"/>
          </w:divBdr>
          <w:divsChild>
            <w:div w:id="1309749209">
              <w:marLeft w:val="0"/>
              <w:marRight w:val="0"/>
              <w:marTop w:val="0"/>
              <w:marBottom w:val="0"/>
              <w:divBdr>
                <w:top w:val="none" w:sz="0" w:space="0" w:color="auto"/>
                <w:left w:val="none" w:sz="0" w:space="0" w:color="auto"/>
                <w:bottom w:val="none" w:sz="0" w:space="0" w:color="auto"/>
                <w:right w:val="none" w:sz="0" w:space="0" w:color="auto"/>
              </w:divBdr>
            </w:div>
          </w:divsChild>
        </w:div>
        <w:div w:id="764837797">
          <w:marLeft w:val="0"/>
          <w:marRight w:val="0"/>
          <w:marTop w:val="0"/>
          <w:marBottom w:val="0"/>
          <w:divBdr>
            <w:top w:val="none" w:sz="0" w:space="0" w:color="auto"/>
            <w:left w:val="none" w:sz="0" w:space="0" w:color="auto"/>
            <w:bottom w:val="none" w:sz="0" w:space="0" w:color="auto"/>
            <w:right w:val="none" w:sz="0" w:space="0" w:color="auto"/>
          </w:divBdr>
          <w:divsChild>
            <w:div w:id="1199128828">
              <w:marLeft w:val="0"/>
              <w:marRight w:val="0"/>
              <w:marTop w:val="0"/>
              <w:marBottom w:val="0"/>
              <w:divBdr>
                <w:top w:val="none" w:sz="0" w:space="0" w:color="auto"/>
                <w:left w:val="none" w:sz="0" w:space="0" w:color="auto"/>
                <w:bottom w:val="none" w:sz="0" w:space="0" w:color="auto"/>
                <w:right w:val="none" w:sz="0" w:space="0" w:color="auto"/>
              </w:divBdr>
            </w:div>
          </w:divsChild>
        </w:div>
        <w:div w:id="820315828">
          <w:marLeft w:val="0"/>
          <w:marRight w:val="0"/>
          <w:marTop w:val="0"/>
          <w:marBottom w:val="0"/>
          <w:divBdr>
            <w:top w:val="none" w:sz="0" w:space="0" w:color="auto"/>
            <w:left w:val="none" w:sz="0" w:space="0" w:color="auto"/>
            <w:bottom w:val="none" w:sz="0" w:space="0" w:color="auto"/>
            <w:right w:val="none" w:sz="0" w:space="0" w:color="auto"/>
          </w:divBdr>
          <w:divsChild>
            <w:div w:id="302123674">
              <w:marLeft w:val="0"/>
              <w:marRight w:val="0"/>
              <w:marTop w:val="0"/>
              <w:marBottom w:val="0"/>
              <w:divBdr>
                <w:top w:val="none" w:sz="0" w:space="0" w:color="auto"/>
                <w:left w:val="none" w:sz="0" w:space="0" w:color="auto"/>
                <w:bottom w:val="none" w:sz="0" w:space="0" w:color="auto"/>
                <w:right w:val="none" w:sz="0" w:space="0" w:color="auto"/>
              </w:divBdr>
            </w:div>
          </w:divsChild>
        </w:div>
        <w:div w:id="869149746">
          <w:marLeft w:val="0"/>
          <w:marRight w:val="0"/>
          <w:marTop w:val="0"/>
          <w:marBottom w:val="0"/>
          <w:divBdr>
            <w:top w:val="none" w:sz="0" w:space="0" w:color="auto"/>
            <w:left w:val="none" w:sz="0" w:space="0" w:color="auto"/>
            <w:bottom w:val="none" w:sz="0" w:space="0" w:color="auto"/>
            <w:right w:val="none" w:sz="0" w:space="0" w:color="auto"/>
          </w:divBdr>
          <w:divsChild>
            <w:div w:id="46878773">
              <w:marLeft w:val="0"/>
              <w:marRight w:val="0"/>
              <w:marTop w:val="0"/>
              <w:marBottom w:val="0"/>
              <w:divBdr>
                <w:top w:val="none" w:sz="0" w:space="0" w:color="auto"/>
                <w:left w:val="none" w:sz="0" w:space="0" w:color="auto"/>
                <w:bottom w:val="none" w:sz="0" w:space="0" w:color="auto"/>
                <w:right w:val="none" w:sz="0" w:space="0" w:color="auto"/>
              </w:divBdr>
            </w:div>
          </w:divsChild>
        </w:div>
        <w:div w:id="917052802">
          <w:marLeft w:val="0"/>
          <w:marRight w:val="0"/>
          <w:marTop w:val="0"/>
          <w:marBottom w:val="0"/>
          <w:divBdr>
            <w:top w:val="none" w:sz="0" w:space="0" w:color="auto"/>
            <w:left w:val="none" w:sz="0" w:space="0" w:color="auto"/>
            <w:bottom w:val="none" w:sz="0" w:space="0" w:color="auto"/>
            <w:right w:val="none" w:sz="0" w:space="0" w:color="auto"/>
          </w:divBdr>
          <w:divsChild>
            <w:div w:id="2114545049">
              <w:marLeft w:val="0"/>
              <w:marRight w:val="0"/>
              <w:marTop w:val="0"/>
              <w:marBottom w:val="0"/>
              <w:divBdr>
                <w:top w:val="none" w:sz="0" w:space="0" w:color="auto"/>
                <w:left w:val="none" w:sz="0" w:space="0" w:color="auto"/>
                <w:bottom w:val="none" w:sz="0" w:space="0" w:color="auto"/>
                <w:right w:val="none" w:sz="0" w:space="0" w:color="auto"/>
              </w:divBdr>
            </w:div>
          </w:divsChild>
        </w:div>
        <w:div w:id="948050056">
          <w:marLeft w:val="0"/>
          <w:marRight w:val="0"/>
          <w:marTop w:val="0"/>
          <w:marBottom w:val="0"/>
          <w:divBdr>
            <w:top w:val="none" w:sz="0" w:space="0" w:color="auto"/>
            <w:left w:val="none" w:sz="0" w:space="0" w:color="auto"/>
            <w:bottom w:val="none" w:sz="0" w:space="0" w:color="auto"/>
            <w:right w:val="none" w:sz="0" w:space="0" w:color="auto"/>
          </w:divBdr>
          <w:divsChild>
            <w:div w:id="1524975983">
              <w:marLeft w:val="0"/>
              <w:marRight w:val="0"/>
              <w:marTop w:val="0"/>
              <w:marBottom w:val="0"/>
              <w:divBdr>
                <w:top w:val="none" w:sz="0" w:space="0" w:color="auto"/>
                <w:left w:val="none" w:sz="0" w:space="0" w:color="auto"/>
                <w:bottom w:val="none" w:sz="0" w:space="0" w:color="auto"/>
                <w:right w:val="none" w:sz="0" w:space="0" w:color="auto"/>
              </w:divBdr>
            </w:div>
          </w:divsChild>
        </w:div>
        <w:div w:id="975916136">
          <w:marLeft w:val="0"/>
          <w:marRight w:val="0"/>
          <w:marTop w:val="0"/>
          <w:marBottom w:val="0"/>
          <w:divBdr>
            <w:top w:val="none" w:sz="0" w:space="0" w:color="auto"/>
            <w:left w:val="none" w:sz="0" w:space="0" w:color="auto"/>
            <w:bottom w:val="none" w:sz="0" w:space="0" w:color="auto"/>
            <w:right w:val="none" w:sz="0" w:space="0" w:color="auto"/>
          </w:divBdr>
          <w:divsChild>
            <w:div w:id="2141414472">
              <w:marLeft w:val="0"/>
              <w:marRight w:val="0"/>
              <w:marTop w:val="0"/>
              <w:marBottom w:val="0"/>
              <w:divBdr>
                <w:top w:val="none" w:sz="0" w:space="0" w:color="auto"/>
                <w:left w:val="none" w:sz="0" w:space="0" w:color="auto"/>
                <w:bottom w:val="none" w:sz="0" w:space="0" w:color="auto"/>
                <w:right w:val="none" w:sz="0" w:space="0" w:color="auto"/>
              </w:divBdr>
            </w:div>
          </w:divsChild>
        </w:div>
        <w:div w:id="1040131981">
          <w:marLeft w:val="0"/>
          <w:marRight w:val="0"/>
          <w:marTop w:val="0"/>
          <w:marBottom w:val="0"/>
          <w:divBdr>
            <w:top w:val="none" w:sz="0" w:space="0" w:color="auto"/>
            <w:left w:val="none" w:sz="0" w:space="0" w:color="auto"/>
            <w:bottom w:val="none" w:sz="0" w:space="0" w:color="auto"/>
            <w:right w:val="none" w:sz="0" w:space="0" w:color="auto"/>
          </w:divBdr>
          <w:divsChild>
            <w:div w:id="1556625317">
              <w:marLeft w:val="0"/>
              <w:marRight w:val="0"/>
              <w:marTop w:val="0"/>
              <w:marBottom w:val="0"/>
              <w:divBdr>
                <w:top w:val="none" w:sz="0" w:space="0" w:color="auto"/>
                <w:left w:val="none" w:sz="0" w:space="0" w:color="auto"/>
                <w:bottom w:val="none" w:sz="0" w:space="0" w:color="auto"/>
                <w:right w:val="none" w:sz="0" w:space="0" w:color="auto"/>
              </w:divBdr>
            </w:div>
          </w:divsChild>
        </w:div>
        <w:div w:id="1040282259">
          <w:marLeft w:val="0"/>
          <w:marRight w:val="0"/>
          <w:marTop w:val="0"/>
          <w:marBottom w:val="0"/>
          <w:divBdr>
            <w:top w:val="none" w:sz="0" w:space="0" w:color="auto"/>
            <w:left w:val="none" w:sz="0" w:space="0" w:color="auto"/>
            <w:bottom w:val="none" w:sz="0" w:space="0" w:color="auto"/>
            <w:right w:val="none" w:sz="0" w:space="0" w:color="auto"/>
          </w:divBdr>
          <w:divsChild>
            <w:div w:id="1107387524">
              <w:marLeft w:val="0"/>
              <w:marRight w:val="0"/>
              <w:marTop w:val="0"/>
              <w:marBottom w:val="0"/>
              <w:divBdr>
                <w:top w:val="none" w:sz="0" w:space="0" w:color="auto"/>
                <w:left w:val="none" w:sz="0" w:space="0" w:color="auto"/>
                <w:bottom w:val="none" w:sz="0" w:space="0" w:color="auto"/>
                <w:right w:val="none" w:sz="0" w:space="0" w:color="auto"/>
              </w:divBdr>
            </w:div>
          </w:divsChild>
        </w:div>
        <w:div w:id="1057778272">
          <w:marLeft w:val="0"/>
          <w:marRight w:val="0"/>
          <w:marTop w:val="0"/>
          <w:marBottom w:val="0"/>
          <w:divBdr>
            <w:top w:val="none" w:sz="0" w:space="0" w:color="auto"/>
            <w:left w:val="none" w:sz="0" w:space="0" w:color="auto"/>
            <w:bottom w:val="none" w:sz="0" w:space="0" w:color="auto"/>
            <w:right w:val="none" w:sz="0" w:space="0" w:color="auto"/>
          </w:divBdr>
          <w:divsChild>
            <w:div w:id="2131393119">
              <w:marLeft w:val="0"/>
              <w:marRight w:val="0"/>
              <w:marTop w:val="0"/>
              <w:marBottom w:val="0"/>
              <w:divBdr>
                <w:top w:val="none" w:sz="0" w:space="0" w:color="auto"/>
                <w:left w:val="none" w:sz="0" w:space="0" w:color="auto"/>
                <w:bottom w:val="none" w:sz="0" w:space="0" w:color="auto"/>
                <w:right w:val="none" w:sz="0" w:space="0" w:color="auto"/>
              </w:divBdr>
            </w:div>
          </w:divsChild>
        </w:div>
        <w:div w:id="1077754050">
          <w:marLeft w:val="0"/>
          <w:marRight w:val="0"/>
          <w:marTop w:val="0"/>
          <w:marBottom w:val="0"/>
          <w:divBdr>
            <w:top w:val="none" w:sz="0" w:space="0" w:color="auto"/>
            <w:left w:val="none" w:sz="0" w:space="0" w:color="auto"/>
            <w:bottom w:val="none" w:sz="0" w:space="0" w:color="auto"/>
            <w:right w:val="none" w:sz="0" w:space="0" w:color="auto"/>
          </w:divBdr>
          <w:divsChild>
            <w:div w:id="413822685">
              <w:marLeft w:val="0"/>
              <w:marRight w:val="0"/>
              <w:marTop w:val="0"/>
              <w:marBottom w:val="0"/>
              <w:divBdr>
                <w:top w:val="none" w:sz="0" w:space="0" w:color="auto"/>
                <w:left w:val="none" w:sz="0" w:space="0" w:color="auto"/>
                <w:bottom w:val="none" w:sz="0" w:space="0" w:color="auto"/>
                <w:right w:val="none" w:sz="0" w:space="0" w:color="auto"/>
              </w:divBdr>
            </w:div>
          </w:divsChild>
        </w:div>
        <w:div w:id="1097091242">
          <w:marLeft w:val="0"/>
          <w:marRight w:val="0"/>
          <w:marTop w:val="0"/>
          <w:marBottom w:val="0"/>
          <w:divBdr>
            <w:top w:val="none" w:sz="0" w:space="0" w:color="auto"/>
            <w:left w:val="none" w:sz="0" w:space="0" w:color="auto"/>
            <w:bottom w:val="none" w:sz="0" w:space="0" w:color="auto"/>
            <w:right w:val="none" w:sz="0" w:space="0" w:color="auto"/>
          </w:divBdr>
          <w:divsChild>
            <w:div w:id="1031343563">
              <w:marLeft w:val="0"/>
              <w:marRight w:val="0"/>
              <w:marTop w:val="0"/>
              <w:marBottom w:val="0"/>
              <w:divBdr>
                <w:top w:val="none" w:sz="0" w:space="0" w:color="auto"/>
                <w:left w:val="none" w:sz="0" w:space="0" w:color="auto"/>
                <w:bottom w:val="none" w:sz="0" w:space="0" w:color="auto"/>
                <w:right w:val="none" w:sz="0" w:space="0" w:color="auto"/>
              </w:divBdr>
            </w:div>
          </w:divsChild>
        </w:div>
        <w:div w:id="1117023557">
          <w:marLeft w:val="0"/>
          <w:marRight w:val="0"/>
          <w:marTop w:val="0"/>
          <w:marBottom w:val="0"/>
          <w:divBdr>
            <w:top w:val="none" w:sz="0" w:space="0" w:color="auto"/>
            <w:left w:val="none" w:sz="0" w:space="0" w:color="auto"/>
            <w:bottom w:val="none" w:sz="0" w:space="0" w:color="auto"/>
            <w:right w:val="none" w:sz="0" w:space="0" w:color="auto"/>
          </w:divBdr>
          <w:divsChild>
            <w:div w:id="2088795673">
              <w:marLeft w:val="0"/>
              <w:marRight w:val="0"/>
              <w:marTop w:val="0"/>
              <w:marBottom w:val="0"/>
              <w:divBdr>
                <w:top w:val="none" w:sz="0" w:space="0" w:color="auto"/>
                <w:left w:val="none" w:sz="0" w:space="0" w:color="auto"/>
                <w:bottom w:val="none" w:sz="0" w:space="0" w:color="auto"/>
                <w:right w:val="none" w:sz="0" w:space="0" w:color="auto"/>
              </w:divBdr>
            </w:div>
          </w:divsChild>
        </w:div>
        <w:div w:id="1199078296">
          <w:marLeft w:val="0"/>
          <w:marRight w:val="0"/>
          <w:marTop w:val="0"/>
          <w:marBottom w:val="0"/>
          <w:divBdr>
            <w:top w:val="none" w:sz="0" w:space="0" w:color="auto"/>
            <w:left w:val="none" w:sz="0" w:space="0" w:color="auto"/>
            <w:bottom w:val="none" w:sz="0" w:space="0" w:color="auto"/>
            <w:right w:val="none" w:sz="0" w:space="0" w:color="auto"/>
          </w:divBdr>
          <w:divsChild>
            <w:div w:id="1655259783">
              <w:marLeft w:val="0"/>
              <w:marRight w:val="0"/>
              <w:marTop w:val="0"/>
              <w:marBottom w:val="0"/>
              <w:divBdr>
                <w:top w:val="none" w:sz="0" w:space="0" w:color="auto"/>
                <w:left w:val="none" w:sz="0" w:space="0" w:color="auto"/>
                <w:bottom w:val="none" w:sz="0" w:space="0" w:color="auto"/>
                <w:right w:val="none" w:sz="0" w:space="0" w:color="auto"/>
              </w:divBdr>
            </w:div>
          </w:divsChild>
        </w:div>
        <w:div w:id="1210996708">
          <w:marLeft w:val="0"/>
          <w:marRight w:val="0"/>
          <w:marTop w:val="0"/>
          <w:marBottom w:val="0"/>
          <w:divBdr>
            <w:top w:val="none" w:sz="0" w:space="0" w:color="auto"/>
            <w:left w:val="none" w:sz="0" w:space="0" w:color="auto"/>
            <w:bottom w:val="none" w:sz="0" w:space="0" w:color="auto"/>
            <w:right w:val="none" w:sz="0" w:space="0" w:color="auto"/>
          </w:divBdr>
          <w:divsChild>
            <w:div w:id="271284638">
              <w:marLeft w:val="0"/>
              <w:marRight w:val="0"/>
              <w:marTop w:val="0"/>
              <w:marBottom w:val="0"/>
              <w:divBdr>
                <w:top w:val="none" w:sz="0" w:space="0" w:color="auto"/>
                <w:left w:val="none" w:sz="0" w:space="0" w:color="auto"/>
                <w:bottom w:val="none" w:sz="0" w:space="0" w:color="auto"/>
                <w:right w:val="none" w:sz="0" w:space="0" w:color="auto"/>
              </w:divBdr>
            </w:div>
          </w:divsChild>
        </w:div>
        <w:div w:id="1281763719">
          <w:marLeft w:val="0"/>
          <w:marRight w:val="0"/>
          <w:marTop w:val="0"/>
          <w:marBottom w:val="0"/>
          <w:divBdr>
            <w:top w:val="none" w:sz="0" w:space="0" w:color="auto"/>
            <w:left w:val="none" w:sz="0" w:space="0" w:color="auto"/>
            <w:bottom w:val="none" w:sz="0" w:space="0" w:color="auto"/>
            <w:right w:val="none" w:sz="0" w:space="0" w:color="auto"/>
          </w:divBdr>
          <w:divsChild>
            <w:div w:id="798181173">
              <w:marLeft w:val="0"/>
              <w:marRight w:val="0"/>
              <w:marTop w:val="0"/>
              <w:marBottom w:val="0"/>
              <w:divBdr>
                <w:top w:val="none" w:sz="0" w:space="0" w:color="auto"/>
                <w:left w:val="none" w:sz="0" w:space="0" w:color="auto"/>
                <w:bottom w:val="none" w:sz="0" w:space="0" w:color="auto"/>
                <w:right w:val="none" w:sz="0" w:space="0" w:color="auto"/>
              </w:divBdr>
            </w:div>
          </w:divsChild>
        </w:div>
        <w:div w:id="1348798976">
          <w:marLeft w:val="0"/>
          <w:marRight w:val="0"/>
          <w:marTop w:val="0"/>
          <w:marBottom w:val="0"/>
          <w:divBdr>
            <w:top w:val="none" w:sz="0" w:space="0" w:color="auto"/>
            <w:left w:val="none" w:sz="0" w:space="0" w:color="auto"/>
            <w:bottom w:val="none" w:sz="0" w:space="0" w:color="auto"/>
            <w:right w:val="none" w:sz="0" w:space="0" w:color="auto"/>
          </w:divBdr>
          <w:divsChild>
            <w:div w:id="1604915013">
              <w:marLeft w:val="0"/>
              <w:marRight w:val="0"/>
              <w:marTop w:val="0"/>
              <w:marBottom w:val="0"/>
              <w:divBdr>
                <w:top w:val="none" w:sz="0" w:space="0" w:color="auto"/>
                <w:left w:val="none" w:sz="0" w:space="0" w:color="auto"/>
                <w:bottom w:val="none" w:sz="0" w:space="0" w:color="auto"/>
                <w:right w:val="none" w:sz="0" w:space="0" w:color="auto"/>
              </w:divBdr>
            </w:div>
          </w:divsChild>
        </w:div>
        <w:div w:id="1379815396">
          <w:marLeft w:val="0"/>
          <w:marRight w:val="0"/>
          <w:marTop w:val="0"/>
          <w:marBottom w:val="0"/>
          <w:divBdr>
            <w:top w:val="none" w:sz="0" w:space="0" w:color="auto"/>
            <w:left w:val="none" w:sz="0" w:space="0" w:color="auto"/>
            <w:bottom w:val="none" w:sz="0" w:space="0" w:color="auto"/>
            <w:right w:val="none" w:sz="0" w:space="0" w:color="auto"/>
          </w:divBdr>
          <w:divsChild>
            <w:div w:id="804200132">
              <w:marLeft w:val="0"/>
              <w:marRight w:val="0"/>
              <w:marTop w:val="0"/>
              <w:marBottom w:val="0"/>
              <w:divBdr>
                <w:top w:val="none" w:sz="0" w:space="0" w:color="auto"/>
                <w:left w:val="none" w:sz="0" w:space="0" w:color="auto"/>
                <w:bottom w:val="none" w:sz="0" w:space="0" w:color="auto"/>
                <w:right w:val="none" w:sz="0" w:space="0" w:color="auto"/>
              </w:divBdr>
            </w:div>
          </w:divsChild>
        </w:div>
        <w:div w:id="1379939203">
          <w:marLeft w:val="0"/>
          <w:marRight w:val="0"/>
          <w:marTop w:val="0"/>
          <w:marBottom w:val="0"/>
          <w:divBdr>
            <w:top w:val="none" w:sz="0" w:space="0" w:color="auto"/>
            <w:left w:val="none" w:sz="0" w:space="0" w:color="auto"/>
            <w:bottom w:val="none" w:sz="0" w:space="0" w:color="auto"/>
            <w:right w:val="none" w:sz="0" w:space="0" w:color="auto"/>
          </w:divBdr>
          <w:divsChild>
            <w:div w:id="982200439">
              <w:marLeft w:val="0"/>
              <w:marRight w:val="0"/>
              <w:marTop w:val="0"/>
              <w:marBottom w:val="0"/>
              <w:divBdr>
                <w:top w:val="none" w:sz="0" w:space="0" w:color="auto"/>
                <w:left w:val="none" w:sz="0" w:space="0" w:color="auto"/>
                <w:bottom w:val="none" w:sz="0" w:space="0" w:color="auto"/>
                <w:right w:val="none" w:sz="0" w:space="0" w:color="auto"/>
              </w:divBdr>
            </w:div>
          </w:divsChild>
        </w:div>
        <w:div w:id="1392075120">
          <w:marLeft w:val="0"/>
          <w:marRight w:val="0"/>
          <w:marTop w:val="0"/>
          <w:marBottom w:val="0"/>
          <w:divBdr>
            <w:top w:val="none" w:sz="0" w:space="0" w:color="auto"/>
            <w:left w:val="none" w:sz="0" w:space="0" w:color="auto"/>
            <w:bottom w:val="none" w:sz="0" w:space="0" w:color="auto"/>
            <w:right w:val="none" w:sz="0" w:space="0" w:color="auto"/>
          </w:divBdr>
          <w:divsChild>
            <w:div w:id="1996448890">
              <w:marLeft w:val="0"/>
              <w:marRight w:val="0"/>
              <w:marTop w:val="0"/>
              <w:marBottom w:val="0"/>
              <w:divBdr>
                <w:top w:val="none" w:sz="0" w:space="0" w:color="auto"/>
                <w:left w:val="none" w:sz="0" w:space="0" w:color="auto"/>
                <w:bottom w:val="none" w:sz="0" w:space="0" w:color="auto"/>
                <w:right w:val="none" w:sz="0" w:space="0" w:color="auto"/>
              </w:divBdr>
            </w:div>
          </w:divsChild>
        </w:div>
        <w:div w:id="1394694307">
          <w:marLeft w:val="0"/>
          <w:marRight w:val="0"/>
          <w:marTop w:val="0"/>
          <w:marBottom w:val="0"/>
          <w:divBdr>
            <w:top w:val="none" w:sz="0" w:space="0" w:color="auto"/>
            <w:left w:val="none" w:sz="0" w:space="0" w:color="auto"/>
            <w:bottom w:val="none" w:sz="0" w:space="0" w:color="auto"/>
            <w:right w:val="none" w:sz="0" w:space="0" w:color="auto"/>
          </w:divBdr>
          <w:divsChild>
            <w:div w:id="1083188839">
              <w:marLeft w:val="0"/>
              <w:marRight w:val="0"/>
              <w:marTop w:val="0"/>
              <w:marBottom w:val="0"/>
              <w:divBdr>
                <w:top w:val="none" w:sz="0" w:space="0" w:color="auto"/>
                <w:left w:val="none" w:sz="0" w:space="0" w:color="auto"/>
                <w:bottom w:val="none" w:sz="0" w:space="0" w:color="auto"/>
                <w:right w:val="none" w:sz="0" w:space="0" w:color="auto"/>
              </w:divBdr>
            </w:div>
          </w:divsChild>
        </w:div>
        <w:div w:id="1406609138">
          <w:marLeft w:val="0"/>
          <w:marRight w:val="0"/>
          <w:marTop w:val="0"/>
          <w:marBottom w:val="0"/>
          <w:divBdr>
            <w:top w:val="none" w:sz="0" w:space="0" w:color="auto"/>
            <w:left w:val="none" w:sz="0" w:space="0" w:color="auto"/>
            <w:bottom w:val="none" w:sz="0" w:space="0" w:color="auto"/>
            <w:right w:val="none" w:sz="0" w:space="0" w:color="auto"/>
          </w:divBdr>
          <w:divsChild>
            <w:div w:id="249120872">
              <w:marLeft w:val="0"/>
              <w:marRight w:val="0"/>
              <w:marTop w:val="0"/>
              <w:marBottom w:val="0"/>
              <w:divBdr>
                <w:top w:val="none" w:sz="0" w:space="0" w:color="auto"/>
                <w:left w:val="none" w:sz="0" w:space="0" w:color="auto"/>
                <w:bottom w:val="none" w:sz="0" w:space="0" w:color="auto"/>
                <w:right w:val="none" w:sz="0" w:space="0" w:color="auto"/>
              </w:divBdr>
            </w:div>
          </w:divsChild>
        </w:div>
        <w:div w:id="1409577755">
          <w:marLeft w:val="0"/>
          <w:marRight w:val="0"/>
          <w:marTop w:val="0"/>
          <w:marBottom w:val="0"/>
          <w:divBdr>
            <w:top w:val="none" w:sz="0" w:space="0" w:color="auto"/>
            <w:left w:val="none" w:sz="0" w:space="0" w:color="auto"/>
            <w:bottom w:val="none" w:sz="0" w:space="0" w:color="auto"/>
            <w:right w:val="none" w:sz="0" w:space="0" w:color="auto"/>
          </w:divBdr>
          <w:divsChild>
            <w:div w:id="1597209527">
              <w:marLeft w:val="0"/>
              <w:marRight w:val="0"/>
              <w:marTop w:val="0"/>
              <w:marBottom w:val="0"/>
              <w:divBdr>
                <w:top w:val="none" w:sz="0" w:space="0" w:color="auto"/>
                <w:left w:val="none" w:sz="0" w:space="0" w:color="auto"/>
                <w:bottom w:val="none" w:sz="0" w:space="0" w:color="auto"/>
                <w:right w:val="none" w:sz="0" w:space="0" w:color="auto"/>
              </w:divBdr>
            </w:div>
          </w:divsChild>
        </w:div>
        <w:div w:id="1441684106">
          <w:marLeft w:val="0"/>
          <w:marRight w:val="0"/>
          <w:marTop w:val="0"/>
          <w:marBottom w:val="0"/>
          <w:divBdr>
            <w:top w:val="none" w:sz="0" w:space="0" w:color="auto"/>
            <w:left w:val="none" w:sz="0" w:space="0" w:color="auto"/>
            <w:bottom w:val="none" w:sz="0" w:space="0" w:color="auto"/>
            <w:right w:val="none" w:sz="0" w:space="0" w:color="auto"/>
          </w:divBdr>
          <w:divsChild>
            <w:div w:id="1469858886">
              <w:marLeft w:val="0"/>
              <w:marRight w:val="0"/>
              <w:marTop w:val="0"/>
              <w:marBottom w:val="0"/>
              <w:divBdr>
                <w:top w:val="none" w:sz="0" w:space="0" w:color="auto"/>
                <w:left w:val="none" w:sz="0" w:space="0" w:color="auto"/>
                <w:bottom w:val="none" w:sz="0" w:space="0" w:color="auto"/>
                <w:right w:val="none" w:sz="0" w:space="0" w:color="auto"/>
              </w:divBdr>
            </w:div>
          </w:divsChild>
        </w:div>
        <w:div w:id="1526869514">
          <w:marLeft w:val="0"/>
          <w:marRight w:val="0"/>
          <w:marTop w:val="0"/>
          <w:marBottom w:val="0"/>
          <w:divBdr>
            <w:top w:val="none" w:sz="0" w:space="0" w:color="auto"/>
            <w:left w:val="none" w:sz="0" w:space="0" w:color="auto"/>
            <w:bottom w:val="none" w:sz="0" w:space="0" w:color="auto"/>
            <w:right w:val="none" w:sz="0" w:space="0" w:color="auto"/>
          </w:divBdr>
          <w:divsChild>
            <w:div w:id="541943561">
              <w:marLeft w:val="0"/>
              <w:marRight w:val="0"/>
              <w:marTop w:val="0"/>
              <w:marBottom w:val="0"/>
              <w:divBdr>
                <w:top w:val="none" w:sz="0" w:space="0" w:color="auto"/>
                <w:left w:val="none" w:sz="0" w:space="0" w:color="auto"/>
                <w:bottom w:val="none" w:sz="0" w:space="0" w:color="auto"/>
                <w:right w:val="none" w:sz="0" w:space="0" w:color="auto"/>
              </w:divBdr>
            </w:div>
          </w:divsChild>
        </w:div>
        <w:div w:id="1528788086">
          <w:marLeft w:val="0"/>
          <w:marRight w:val="0"/>
          <w:marTop w:val="0"/>
          <w:marBottom w:val="0"/>
          <w:divBdr>
            <w:top w:val="none" w:sz="0" w:space="0" w:color="auto"/>
            <w:left w:val="none" w:sz="0" w:space="0" w:color="auto"/>
            <w:bottom w:val="none" w:sz="0" w:space="0" w:color="auto"/>
            <w:right w:val="none" w:sz="0" w:space="0" w:color="auto"/>
          </w:divBdr>
          <w:divsChild>
            <w:div w:id="1192107713">
              <w:marLeft w:val="0"/>
              <w:marRight w:val="0"/>
              <w:marTop w:val="0"/>
              <w:marBottom w:val="0"/>
              <w:divBdr>
                <w:top w:val="none" w:sz="0" w:space="0" w:color="auto"/>
                <w:left w:val="none" w:sz="0" w:space="0" w:color="auto"/>
                <w:bottom w:val="none" w:sz="0" w:space="0" w:color="auto"/>
                <w:right w:val="none" w:sz="0" w:space="0" w:color="auto"/>
              </w:divBdr>
            </w:div>
          </w:divsChild>
        </w:div>
        <w:div w:id="1556549097">
          <w:marLeft w:val="0"/>
          <w:marRight w:val="0"/>
          <w:marTop w:val="0"/>
          <w:marBottom w:val="0"/>
          <w:divBdr>
            <w:top w:val="none" w:sz="0" w:space="0" w:color="auto"/>
            <w:left w:val="none" w:sz="0" w:space="0" w:color="auto"/>
            <w:bottom w:val="none" w:sz="0" w:space="0" w:color="auto"/>
            <w:right w:val="none" w:sz="0" w:space="0" w:color="auto"/>
          </w:divBdr>
          <w:divsChild>
            <w:div w:id="1818913445">
              <w:marLeft w:val="0"/>
              <w:marRight w:val="0"/>
              <w:marTop w:val="0"/>
              <w:marBottom w:val="0"/>
              <w:divBdr>
                <w:top w:val="none" w:sz="0" w:space="0" w:color="auto"/>
                <w:left w:val="none" w:sz="0" w:space="0" w:color="auto"/>
                <w:bottom w:val="none" w:sz="0" w:space="0" w:color="auto"/>
                <w:right w:val="none" w:sz="0" w:space="0" w:color="auto"/>
              </w:divBdr>
            </w:div>
          </w:divsChild>
        </w:div>
        <w:div w:id="1626765563">
          <w:marLeft w:val="0"/>
          <w:marRight w:val="0"/>
          <w:marTop w:val="0"/>
          <w:marBottom w:val="0"/>
          <w:divBdr>
            <w:top w:val="none" w:sz="0" w:space="0" w:color="auto"/>
            <w:left w:val="none" w:sz="0" w:space="0" w:color="auto"/>
            <w:bottom w:val="none" w:sz="0" w:space="0" w:color="auto"/>
            <w:right w:val="none" w:sz="0" w:space="0" w:color="auto"/>
          </w:divBdr>
          <w:divsChild>
            <w:div w:id="1955670335">
              <w:marLeft w:val="0"/>
              <w:marRight w:val="0"/>
              <w:marTop w:val="0"/>
              <w:marBottom w:val="0"/>
              <w:divBdr>
                <w:top w:val="none" w:sz="0" w:space="0" w:color="auto"/>
                <w:left w:val="none" w:sz="0" w:space="0" w:color="auto"/>
                <w:bottom w:val="none" w:sz="0" w:space="0" w:color="auto"/>
                <w:right w:val="none" w:sz="0" w:space="0" w:color="auto"/>
              </w:divBdr>
            </w:div>
          </w:divsChild>
        </w:div>
        <w:div w:id="1628659163">
          <w:marLeft w:val="0"/>
          <w:marRight w:val="0"/>
          <w:marTop w:val="0"/>
          <w:marBottom w:val="0"/>
          <w:divBdr>
            <w:top w:val="none" w:sz="0" w:space="0" w:color="auto"/>
            <w:left w:val="none" w:sz="0" w:space="0" w:color="auto"/>
            <w:bottom w:val="none" w:sz="0" w:space="0" w:color="auto"/>
            <w:right w:val="none" w:sz="0" w:space="0" w:color="auto"/>
          </w:divBdr>
          <w:divsChild>
            <w:div w:id="1233928559">
              <w:marLeft w:val="0"/>
              <w:marRight w:val="0"/>
              <w:marTop w:val="0"/>
              <w:marBottom w:val="0"/>
              <w:divBdr>
                <w:top w:val="none" w:sz="0" w:space="0" w:color="auto"/>
                <w:left w:val="none" w:sz="0" w:space="0" w:color="auto"/>
                <w:bottom w:val="none" w:sz="0" w:space="0" w:color="auto"/>
                <w:right w:val="none" w:sz="0" w:space="0" w:color="auto"/>
              </w:divBdr>
            </w:div>
          </w:divsChild>
        </w:div>
        <w:div w:id="1647397302">
          <w:marLeft w:val="0"/>
          <w:marRight w:val="0"/>
          <w:marTop w:val="0"/>
          <w:marBottom w:val="0"/>
          <w:divBdr>
            <w:top w:val="none" w:sz="0" w:space="0" w:color="auto"/>
            <w:left w:val="none" w:sz="0" w:space="0" w:color="auto"/>
            <w:bottom w:val="none" w:sz="0" w:space="0" w:color="auto"/>
            <w:right w:val="none" w:sz="0" w:space="0" w:color="auto"/>
          </w:divBdr>
          <w:divsChild>
            <w:div w:id="1732270766">
              <w:marLeft w:val="0"/>
              <w:marRight w:val="0"/>
              <w:marTop w:val="0"/>
              <w:marBottom w:val="0"/>
              <w:divBdr>
                <w:top w:val="none" w:sz="0" w:space="0" w:color="auto"/>
                <w:left w:val="none" w:sz="0" w:space="0" w:color="auto"/>
                <w:bottom w:val="none" w:sz="0" w:space="0" w:color="auto"/>
                <w:right w:val="none" w:sz="0" w:space="0" w:color="auto"/>
              </w:divBdr>
            </w:div>
          </w:divsChild>
        </w:div>
        <w:div w:id="1660576256">
          <w:marLeft w:val="0"/>
          <w:marRight w:val="0"/>
          <w:marTop w:val="0"/>
          <w:marBottom w:val="0"/>
          <w:divBdr>
            <w:top w:val="none" w:sz="0" w:space="0" w:color="auto"/>
            <w:left w:val="none" w:sz="0" w:space="0" w:color="auto"/>
            <w:bottom w:val="none" w:sz="0" w:space="0" w:color="auto"/>
            <w:right w:val="none" w:sz="0" w:space="0" w:color="auto"/>
          </w:divBdr>
          <w:divsChild>
            <w:div w:id="718669463">
              <w:marLeft w:val="0"/>
              <w:marRight w:val="0"/>
              <w:marTop w:val="0"/>
              <w:marBottom w:val="0"/>
              <w:divBdr>
                <w:top w:val="none" w:sz="0" w:space="0" w:color="auto"/>
                <w:left w:val="none" w:sz="0" w:space="0" w:color="auto"/>
                <w:bottom w:val="none" w:sz="0" w:space="0" w:color="auto"/>
                <w:right w:val="none" w:sz="0" w:space="0" w:color="auto"/>
              </w:divBdr>
            </w:div>
          </w:divsChild>
        </w:div>
        <w:div w:id="1677414291">
          <w:marLeft w:val="0"/>
          <w:marRight w:val="0"/>
          <w:marTop w:val="0"/>
          <w:marBottom w:val="0"/>
          <w:divBdr>
            <w:top w:val="none" w:sz="0" w:space="0" w:color="auto"/>
            <w:left w:val="none" w:sz="0" w:space="0" w:color="auto"/>
            <w:bottom w:val="none" w:sz="0" w:space="0" w:color="auto"/>
            <w:right w:val="none" w:sz="0" w:space="0" w:color="auto"/>
          </w:divBdr>
          <w:divsChild>
            <w:div w:id="1257710240">
              <w:marLeft w:val="0"/>
              <w:marRight w:val="0"/>
              <w:marTop w:val="0"/>
              <w:marBottom w:val="0"/>
              <w:divBdr>
                <w:top w:val="none" w:sz="0" w:space="0" w:color="auto"/>
                <w:left w:val="none" w:sz="0" w:space="0" w:color="auto"/>
                <w:bottom w:val="none" w:sz="0" w:space="0" w:color="auto"/>
                <w:right w:val="none" w:sz="0" w:space="0" w:color="auto"/>
              </w:divBdr>
            </w:div>
          </w:divsChild>
        </w:div>
        <w:div w:id="1685549706">
          <w:marLeft w:val="0"/>
          <w:marRight w:val="0"/>
          <w:marTop w:val="0"/>
          <w:marBottom w:val="0"/>
          <w:divBdr>
            <w:top w:val="none" w:sz="0" w:space="0" w:color="auto"/>
            <w:left w:val="none" w:sz="0" w:space="0" w:color="auto"/>
            <w:bottom w:val="none" w:sz="0" w:space="0" w:color="auto"/>
            <w:right w:val="none" w:sz="0" w:space="0" w:color="auto"/>
          </w:divBdr>
          <w:divsChild>
            <w:div w:id="1067149115">
              <w:marLeft w:val="0"/>
              <w:marRight w:val="0"/>
              <w:marTop w:val="0"/>
              <w:marBottom w:val="0"/>
              <w:divBdr>
                <w:top w:val="none" w:sz="0" w:space="0" w:color="auto"/>
                <w:left w:val="none" w:sz="0" w:space="0" w:color="auto"/>
                <w:bottom w:val="none" w:sz="0" w:space="0" w:color="auto"/>
                <w:right w:val="none" w:sz="0" w:space="0" w:color="auto"/>
              </w:divBdr>
            </w:div>
          </w:divsChild>
        </w:div>
        <w:div w:id="1721901223">
          <w:marLeft w:val="0"/>
          <w:marRight w:val="0"/>
          <w:marTop w:val="0"/>
          <w:marBottom w:val="0"/>
          <w:divBdr>
            <w:top w:val="none" w:sz="0" w:space="0" w:color="auto"/>
            <w:left w:val="none" w:sz="0" w:space="0" w:color="auto"/>
            <w:bottom w:val="none" w:sz="0" w:space="0" w:color="auto"/>
            <w:right w:val="none" w:sz="0" w:space="0" w:color="auto"/>
          </w:divBdr>
          <w:divsChild>
            <w:div w:id="1486815792">
              <w:marLeft w:val="0"/>
              <w:marRight w:val="0"/>
              <w:marTop w:val="0"/>
              <w:marBottom w:val="0"/>
              <w:divBdr>
                <w:top w:val="none" w:sz="0" w:space="0" w:color="auto"/>
                <w:left w:val="none" w:sz="0" w:space="0" w:color="auto"/>
                <w:bottom w:val="none" w:sz="0" w:space="0" w:color="auto"/>
                <w:right w:val="none" w:sz="0" w:space="0" w:color="auto"/>
              </w:divBdr>
            </w:div>
          </w:divsChild>
        </w:div>
        <w:div w:id="1721981677">
          <w:marLeft w:val="0"/>
          <w:marRight w:val="0"/>
          <w:marTop w:val="0"/>
          <w:marBottom w:val="0"/>
          <w:divBdr>
            <w:top w:val="none" w:sz="0" w:space="0" w:color="auto"/>
            <w:left w:val="none" w:sz="0" w:space="0" w:color="auto"/>
            <w:bottom w:val="none" w:sz="0" w:space="0" w:color="auto"/>
            <w:right w:val="none" w:sz="0" w:space="0" w:color="auto"/>
          </w:divBdr>
          <w:divsChild>
            <w:div w:id="1882861290">
              <w:marLeft w:val="0"/>
              <w:marRight w:val="0"/>
              <w:marTop w:val="0"/>
              <w:marBottom w:val="0"/>
              <w:divBdr>
                <w:top w:val="none" w:sz="0" w:space="0" w:color="auto"/>
                <w:left w:val="none" w:sz="0" w:space="0" w:color="auto"/>
                <w:bottom w:val="none" w:sz="0" w:space="0" w:color="auto"/>
                <w:right w:val="none" w:sz="0" w:space="0" w:color="auto"/>
              </w:divBdr>
            </w:div>
          </w:divsChild>
        </w:div>
        <w:div w:id="1813983427">
          <w:marLeft w:val="0"/>
          <w:marRight w:val="0"/>
          <w:marTop w:val="0"/>
          <w:marBottom w:val="0"/>
          <w:divBdr>
            <w:top w:val="none" w:sz="0" w:space="0" w:color="auto"/>
            <w:left w:val="none" w:sz="0" w:space="0" w:color="auto"/>
            <w:bottom w:val="none" w:sz="0" w:space="0" w:color="auto"/>
            <w:right w:val="none" w:sz="0" w:space="0" w:color="auto"/>
          </w:divBdr>
          <w:divsChild>
            <w:div w:id="695347102">
              <w:marLeft w:val="0"/>
              <w:marRight w:val="0"/>
              <w:marTop w:val="0"/>
              <w:marBottom w:val="0"/>
              <w:divBdr>
                <w:top w:val="none" w:sz="0" w:space="0" w:color="auto"/>
                <w:left w:val="none" w:sz="0" w:space="0" w:color="auto"/>
                <w:bottom w:val="none" w:sz="0" w:space="0" w:color="auto"/>
                <w:right w:val="none" w:sz="0" w:space="0" w:color="auto"/>
              </w:divBdr>
            </w:div>
          </w:divsChild>
        </w:div>
        <w:div w:id="1820346364">
          <w:marLeft w:val="0"/>
          <w:marRight w:val="0"/>
          <w:marTop w:val="0"/>
          <w:marBottom w:val="0"/>
          <w:divBdr>
            <w:top w:val="none" w:sz="0" w:space="0" w:color="auto"/>
            <w:left w:val="none" w:sz="0" w:space="0" w:color="auto"/>
            <w:bottom w:val="none" w:sz="0" w:space="0" w:color="auto"/>
            <w:right w:val="none" w:sz="0" w:space="0" w:color="auto"/>
          </w:divBdr>
          <w:divsChild>
            <w:div w:id="451287058">
              <w:marLeft w:val="0"/>
              <w:marRight w:val="0"/>
              <w:marTop w:val="0"/>
              <w:marBottom w:val="0"/>
              <w:divBdr>
                <w:top w:val="none" w:sz="0" w:space="0" w:color="auto"/>
                <w:left w:val="none" w:sz="0" w:space="0" w:color="auto"/>
                <w:bottom w:val="none" w:sz="0" w:space="0" w:color="auto"/>
                <w:right w:val="none" w:sz="0" w:space="0" w:color="auto"/>
              </w:divBdr>
            </w:div>
          </w:divsChild>
        </w:div>
        <w:div w:id="1834106237">
          <w:marLeft w:val="0"/>
          <w:marRight w:val="0"/>
          <w:marTop w:val="0"/>
          <w:marBottom w:val="0"/>
          <w:divBdr>
            <w:top w:val="none" w:sz="0" w:space="0" w:color="auto"/>
            <w:left w:val="none" w:sz="0" w:space="0" w:color="auto"/>
            <w:bottom w:val="none" w:sz="0" w:space="0" w:color="auto"/>
            <w:right w:val="none" w:sz="0" w:space="0" w:color="auto"/>
          </w:divBdr>
          <w:divsChild>
            <w:div w:id="655231276">
              <w:marLeft w:val="0"/>
              <w:marRight w:val="0"/>
              <w:marTop w:val="0"/>
              <w:marBottom w:val="0"/>
              <w:divBdr>
                <w:top w:val="none" w:sz="0" w:space="0" w:color="auto"/>
                <w:left w:val="none" w:sz="0" w:space="0" w:color="auto"/>
                <w:bottom w:val="none" w:sz="0" w:space="0" w:color="auto"/>
                <w:right w:val="none" w:sz="0" w:space="0" w:color="auto"/>
              </w:divBdr>
            </w:div>
          </w:divsChild>
        </w:div>
        <w:div w:id="1886677507">
          <w:marLeft w:val="0"/>
          <w:marRight w:val="0"/>
          <w:marTop w:val="0"/>
          <w:marBottom w:val="0"/>
          <w:divBdr>
            <w:top w:val="none" w:sz="0" w:space="0" w:color="auto"/>
            <w:left w:val="none" w:sz="0" w:space="0" w:color="auto"/>
            <w:bottom w:val="none" w:sz="0" w:space="0" w:color="auto"/>
            <w:right w:val="none" w:sz="0" w:space="0" w:color="auto"/>
          </w:divBdr>
          <w:divsChild>
            <w:div w:id="1034118848">
              <w:marLeft w:val="0"/>
              <w:marRight w:val="0"/>
              <w:marTop w:val="0"/>
              <w:marBottom w:val="0"/>
              <w:divBdr>
                <w:top w:val="none" w:sz="0" w:space="0" w:color="auto"/>
                <w:left w:val="none" w:sz="0" w:space="0" w:color="auto"/>
                <w:bottom w:val="none" w:sz="0" w:space="0" w:color="auto"/>
                <w:right w:val="none" w:sz="0" w:space="0" w:color="auto"/>
              </w:divBdr>
            </w:div>
          </w:divsChild>
        </w:div>
        <w:div w:id="1955136252">
          <w:marLeft w:val="0"/>
          <w:marRight w:val="0"/>
          <w:marTop w:val="0"/>
          <w:marBottom w:val="0"/>
          <w:divBdr>
            <w:top w:val="none" w:sz="0" w:space="0" w:color="auto"/>
            <w:left w:val="none" w:sz="0" w:space="0" w:color="auto"/>
            <w:bottom w:val="none" w:sz="0" w:space="0" w:color="auto"/>
            <w:right w:val="none" w:sz="0" w:space="0" w:color="auto"/>
          </w:divBdr>
          <w:divsChild>
            <w:div w:id="928998997">
              <w:marLeft w:val="0"/>
              <w:marRight w:val="0"/>
              <w:marTop w:val="0"/>
              <w:marBottom w:val="0"/>
              <w:divBdr>
                <w:top w:val="none" w:sz="0" w:space="0" w:color="auto"/>
                <w:left w:val="none" w:sz="0" w:space="0" w:color="auto"/>
                <w:bottom w:val="none" w:sz="0" w:space="0" w:color="auto"/>
                <w:right w:val="none" w:sz="0" w:space="0" w:color="auto"/>
              </w:divBdr>
            </w:div>
          </w:divsChild>
        </w:div>
        <w:div w:id="1963343830">
          <w:marLeft w:val="0"/>
          <w:marRight w:val="0"/>
          <w:marTop w:val="0"/>
          <w:marBottom w:val="0"/>
          <w:divBdr>
            <w:top w:val="none" w:sz="0" w:space="0" w:color="auto"/>
            <w:left w:val="none" w:sz="0" w:space="0" w:color="auto"/>
            <w:bottom w:val="none" w:sz="0" w:space="0" w:color="auto"/>
            <w:right w:val="none" w:sz="0" w:space="0" w:color="auto"/>
          </w:divBdr>
          <w:divsChild>
            <w:div w:id="646325924">
              <w:marLeft w:val="0"/>
              <w:marRight w:val="0"/>
              <w:marTop w:val="0"/>
              <w:marBottom w:val="0"/>
              <w:divBdr>
                <w:top w:val="none" w:sz="0" w:space="0" w:color="auto"/>
                <w:left w:val="none" w:sz="0" w:space="0" w:color="auto"/>
                <w:bottom w:val="none" w:sz="0" w:space="0" w:color="auto"/>
                <w:right w:val="none" w:sz="0" w:space="0" w:color="auto"/>
              </w:divBdr>
            </w:div>
          </w:divsChild>
        </w:div>
        <w:div w:id="1967151485">
          <w:marLeft w:val="0"/>
          <w:marRight w:val="0"/>
          <w:marTop w:val="0"/>
          <w:marBottom w:val="0"/>
          <w:divBdr>
            <w:top w:val="none" w:sz="0" w:space="0" w:color="auto"/>
            <w:left w:val="none" w:sz="0" w:space="0" w:color="auto"/>
            <w:bottom w:val="none" w:sz="0" w:space="0" w:color="auto"/>
            <w:right w:val="none" w:sz="0" w:space="0" w:color="auto"/>
          </w:divBdr>
          <w:divsChild>
            <w:div w:id="2010016084">
              <w:marLeft w:val="0"/>
              <w:marRight w:val="0"/>
              <w:marTop w:val="0"/>
              <w:marBottom w:val="0"/>
              <w:divBdr>
                <w:top w:val="none" w:sz="0" w:space="0" w:color="auto"/>
                <w:left w:val="none" w:sz="0" w:space="0" w:color="auto"/>
                <w:bottom w:val="none" w:sz="0" w:space="0" w:color="auto"/>
                <w:right w:val="none" w:sz="0" w:space="0" w:color="auto"/>
              </w:divBdr>
            </w:div>
          </w:divsChild>
        </w:div>
        <w:div w:id="1972249878">
          <w:marLeft w:val="0"/>
          <w:marRight w:val="0"/>
          <w:marTop w:val="0"/>
          <w:marBottom w:val="0"/>
          <w:divBdr>
            <w:top w:val="none" w:sz="0" w:space="0" w:color="auto"/>
            <w:left w:val="none" w:sz="0" w:space="0" w:color="auto"/>
            <w:bottom w:val="none" w:sz="0" w:space="0" w:color="auto"/>
            <w:right w:val="none" w:sz="0" w:space="0" w:color="auto"/>
          </w:divBdr>
          <w:divsChild>
            <w:div w:id="783158149">
              <w:marLeft w:val="0"/>
              <w:marRight w:val="0"/>
              <w:marTop w:val="0"/>
              <w:marBottom w:val="0"/>
              <w:divBdr>
                <w:top w:val="none" w:sz="0" w:space="0" w:color="auto"/>
                <w:left w:val="none" w:sz="0" w:space="0" w:color="auto"/>
                <w:bottom w:val="none" w:sz="0" w:space="0" w:color="auto"/>
                <w:right w:val="none" w:sz="0" w:space="0" w:color="auto"/>
              </w:divBdr>
            </w:div>
          </w:divsChild>
        </w:div>
        <w:div w:id="2041277966">
          <w:marLeft w:val="0"/>
          <w:marRight w:val="0"/>
          <w:marTop w:val="0"/>
          <w:marBottom w:val="0"/>
          <w:divBdr>
            <w:top w:val="none" w:sz="0" w:space="0" w:color="auto"/>
            <w:left w:val="none" w:sz="0" w:space="0" w:color="auto"/>
            <w:bottom w:val="none" w:sz="0" w:space="0" w:color="auto"/>
            <w:right w:val="none" w:sz="0" w:space="0" w:color="auto"/>
          </w:divBdr>
          <w:divsChild>
            <w:div w:id="139929559">
              <w:marLeft w:val="0"/>
              <w:marRight w:val="0"/>
              <w:marTop w:val="0"/>
              <w:marBottom w:val="0"/>
              <w:divBdr>
                <w:top w:val="none" w:sz="0" w:space="0" w:color="auto"/>
                <w:left w:val="none" w:sz="0" w:space="0" w:color="auto"/>
                <w:bottom w:val="none" w:sz="0" w:space="0" w:color="auto"/>
                <w:right w:val="none" w:sz="0" w:space="0" w:color="auto"/>
              </w:divBdr>
            </w:div>
          </w:divsChild>
        </w:div>
        <w:div w:id="2110083252">
          <w:marLeft w:val="0"/>
          <w:marRight w:val="0"/>
          <w:marTop w:val="0"/>
          <w:marBottom w:val="0"/>
          <w:divBdr>
            <w:top w:val="none" w:sz="0" w:space="0" w:color="auto"/>
            <w:left w:val="none" w:sz="0" w:space="0" w:color="auto"/>
            <w:bottom w:val="none" w:sz="0" w:space="0" w:color="auto"/>
            <w:right w:val="none" w:sz="0" w:space="0" w:color="auto"/>
          </w:divBdr>
          <w:divsChild>
            <w:div w:id="107043406">
              <w:marLeft w:val="0"/>
              <w:marRight w:val="0"/>
              <w:marTop w:val="0"/>
              <w:marBottom w:val="0"/>
              <w:divBdr>
                <w:top w:val="none" w:sz="0" w:space="0" w:color="auto"/>
                <w:left w:val="none" w:sz="0" w:space="0" w:color="auto"/>
                <w:bottom w:val="none" w:sz="0" w:space="0" w:color="auto"/>
                <w:right w:val="none" w:sz="0" w:space="0" w:color="auto"/>
              </w:divBdr>
            </w:div>
          </w:divsChild>
        </w:div>
        <w:div w:id="2136828751">
          <w:marLeft w:val="0"/>
          <w:marRight w:val="0"/>
          <w:marTop w:val="0"/>
          <w:marBottom w:val="0"/>
          <w:divBdr>
            <w:top w:val="none" w:sz="0" w:space="0" w:color="auto"/>
            <w:left w:val="none" w:sz="0" w:space="0" w:color="auto"/>
            <w:bottom w:val="none" w:sz="0" w:space="0" w:color="auto"/>
            <w:right w:val="none" w:sz="0" w:space="0" w:color="auto"/>
          </w:divBdr>
          <w:divsChild>
            <w:div w:id="12849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5917">
      <w:bodyDiv w:val="1"/>
      <w:marLeft w:val="0"/>
      <w:marRight w:val="0"/>
      <w:marTop w:val="0"/>
      <w:marBottom w:val="0"/>
      <w:divBdr>
        <w:top w:val="none" w:sz="0" w:space="0" w:color="auto"/>
        <w:left w:val="none" w:sz="0" w:space="0" w:color="auto"/>
        <w:bottom w:val="none" w:sz="0" w:space="0" w:color="auto"/>
        <w:right w:val="none" w:sz="0" w:space="0" w:color="auto"/>
      </w:divBdr>
      <w:divsChild>
        <w:div w:id="147402526">
          <w:marLeft w:val="0"/>
          <w:marRight w:val="0"/>
          <w:marTop w:val="0"/>
          <w:marBottom w:val="0"/>
          <w:divBdr>
            <w:top w:val="none" w:sz="0" w:space="0" w:color="auto"/>
            <w:left w:val="none" w:sz="0" w:space="0" w:color="auto"/>
            <w:bottom w:val="none" w:sz="0" w:space="0" w:color="auto"/>
            <w:right w:val="none" w:sz="0" w:space="0" w:color="auto"/>
          </w:divBdr>
        </w:div>
        <w:div w:id="970598805">
          <w:marLeft w:val="0"/>
          <w:marRight w:val="0"/>
          <w:marTop w:val="0"/>
          <w:marBottom w:val="0"/>
          <w:divBdr>
            <w:top w:val="none" w:sz="0" w:space="0" w:color="auto"/>
            <w:left w:val="none" w:sz="0" w:space="0" w:color="auto"/>
            <w:bottom w:val="none" w:sz="0" w:space="0" w:color="auto"/>
            <w:right w:val="none" w:sz="0" w:space="0" w:color="auto"/>
          </w:divBdr>
        </w:div>
        <w:div w:id="1534924408">
          <w:marLeft w:val="0"/>
          <w:marRight w:val="0"/>
          <w:marTop w:val="0"/>
          <w:marBottom w:val="0"/>
          <w:divBdr>
            <w:top w:val="none" w:sz="0" w:space="0" w:color="auto"/>
            <w:left w:val="none" w:sz="0" w:space="0" w:color="auto"/>
            <w:bottom w:val="none" w:sz="0" w:space="0" w:color="auto"/>
            <w:right w:val="none" w:sz="0" w:space="0" w:color="auto"/>
          </w:divBdr>
        </w:div>
        <w:div w:id="1578901106">
          <w:marLeft w:val="0"/>
          <w:marRight w:val="0"/>
          <w:marTop w:val="0"/>
          <w:marBottom w:val="0"/>
          <w:divBdr>
            <w:top w:val="none" w:sz="0" w:space="0" w:color="auto"/>
            <w:left w:val="none" w:sz="0" w:space="0" w:color="auto"/>
            <w:bottom w:val="none" w:sz="0" w:space="0" w:color="auto"/>
            <w:right w:val="none" w:sz="0" w:space="0" w:color="auto"/>
          </w:divBdr>
        </w:div>
        <w:div w:id="1605765770">
          <w:marLeft w:val="0"/>
          <w:marRight w:val="0"/>
          <w:marTop w:val="0"/>
          <w:marBottom w:val="0"/>
          <w:divBdr>
            <w:top w:val="none" w:sz="0" w:space="0" w:color="auto"/>
            <w:left w:val="none" w:sz="0" w:space="0" w:color="auto"/>
            <w:bottom w:val="none" w:sz="0" w:space="0" w:color="auto"/>
            <w:right w:val="none" w:sz="0" w:space="0" w:color="auto"/>
          </w:divBdr>
        </w:div>
        <w:div w:id="1614943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eader" Target="header15.xml"/><Relationship Id="rId5" Type="http://schemas.openxmlformats.org/officeDocument/2006/relationships/customXml" Target="../customXml/item5.xml"/><Relationship Id="rId90" Type="http://schemas.openxmlformats.org/officeDocument/2006/relationships/header" Target="header7.xml"/><Relationship Id="rId95" Type="http://schemas.openxmlformats.org/officeDocument/2006/relationships/header" Target="header11.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yperlink" Target="https://youtu.be/edWeHqZhFP4" TargetMode="External"/><Relationship Id="rId59" Type="http://schemas.openxmlformats.org/officeDocument/2006/relationships/image" Target="media/image39.png"/><Relationship Id="rId103" Type="http://schemas.openxmlformats.org/officeDocument/2006/relationships/image" Target="media/image73.png"/><Relationship Id="rId108" Type="http://schemas.microsoft.com/office/2019/05/relationships/documenttasks" Target="documenttasks/documenttasks1.xml"/><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header" Target="header8.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0.png"/><Relationship Id="rId99" Type="http://schemas.openxmlformats.org/officeDocument/2006/relationships/image" Target="media/image71.png"/><Relationship Id="rId101" Type="http://schemas.openxmlformats.org/officeDocument/2006/relationships/hyperlink" Target="https://www.vic.gov.au/wages-policy-and-enterprise-bargaining-framewor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eader" Target="header13.xml"/><Relationship Id="rId104" Type="http://schemas.openxmlformats.org/officeDocument/2006/relationships/header" Target="header16.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2.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eader" Target="header10.xml"/><Relationship Id="rId98"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26.png"/><Relationship Id="rId67" Type="http://schemas.openxmlformats.org/officeDocument/2006/relationships/image" Target="media/image47.png"/></Relationships>
</file>

<file path=word/_rels/endnotes.xml.rels><?xml version="1.0" encoding="UTF-8" standalone="yes"?>
<Relationships xmlns="http://schemas.openxmlformats.org/package/2006/relationships"><Relationship Id="rId2" Type="http://schemas.openxmlformats.org/officeDocument/2006/relationships/hyperlink" Target="http://www.gww.com.au" TargetMode="External"/><Relationship Id="rId1" Type="http://schemas.openxmlformats.org/officeDocument/2006/relationships/hyperlink" Target="https://www.ato.gov.au/law/view/document?docid=LIT/ICD/VID237-240of2019/000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valij1\Greater%20Western%20Water\CG%20-%20Price%20Review%20-%202024%20Price%20Submission\Price%20Submission%202024%20and%20Supporting%20Documents\12.%20Management\template\GWW-Simple%20Report%20template.dotx" TargetMode="External"/></Relationships>
</file>

<file path=word/documenttasks/documenttasks1.xml><?xml version="1.0" encoding="utf-8"?>
<t:Tasks xmlns:t="http://schemas.microsoft.com/office/tasks/2019/documenttasks" xmlns:oel="http://schemas.microsoft.com/office/2019/extlst">
  <t:Task id="{7327BCBB-930D-41E3-903A-01DA5D2013A8}">
    <t:Anchor>
      <t:Comment id="680041294"/>
    </t:Anchor>
    <t:History>
      <t:Event id="{4BA9A940-6CFF-4D64-B293-FA20DEE95977}" time="2023-08-17T11:12:17.93Z">
        <t:Attribution userId="S::sean.hanrahan@gww.com.au::4ec690f5-5bf7-4e12-a061-39cb0ac60f31" userProvider="AD" userName="Sean Hanrahan"/>
        <t:Anchor>
          <t:Comment id="1549177465"/>
        </t:Anchor>
        <t:Create/>
      </t:Event>
      <t:Event id="{2B9F5E11-EAC6-4132-86EB-4A12792DF5ED}" time="2023-08-17T11:12:17.93Z">
        <t:Attribution userId="S::sean.hanrahan@gww.com.au::4ec690f5-5bf7-4e12-a061-39cb0ac60f31" userProvider="AD" userName="Sean Hanrahan"/>
        <t:Anchor>
          <t:Comment id="1549177465"/>
        </t:Anchor>
        <t:Assign userId="S::Andrew.Hickey@gww.com.au::1e59e5ae-aa2b-40d5-abdf-3c93388c51ff" userProvider="AD" userName="Andrew Hickey"/>
      </t:Event>
      <t:Event id="{277B13EE-F1BE-4C7C-B051-5CF11DADA06B}" time="2023-08-17T11:12:17.93Z">
        <t:Attribution userId="S::sean.hanrahan@gww.com.au::4ec690f5-5bf7-4e12-a061-39cb0ac60f31" userProvider="AD" userName="Sean Hanrahan"/>
        <t:Anchor>
          <t:Comment id="1549177465"/>
        </t:Anchor>
        <t:SetTitle title="@Andrew Hickey can you review my comments on this especially for Holden to Cottrell and Greek Hill"/>
      </t:Event>
    </t:History>
  </t:Task>
</t:Task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9C8CD67-8EFD-407A-889A-B7AEDD78B9C2}"/>
      </w:docPartPr>
      <w:docPartBody>
        <w:p w:rsidR="003876C4" w:rsidRDefault="002D2236">
          <w:r w:rsidRPr="00036A0E">
            <w:rPr>
              <w:rStyle w:val="PlaceholderText"/>
            </w:rPr>
            <w:t>Click or tap here to enter text.</w:t>
          </w:r>
        </w:p>
      </w:docPartBody>
    </w:docPart>
    <w:docPart>
      <w:docPartPr>
        <w:name w:val="5ADE86C093734789AE42E8D7137F10F5"/>
        <w:category>
          <w:name w:val="General"/>
          <w:gallery w:val="placeholder"/>
        </w:category>
        <w:types>
          <w:type w:val="bbPlcHdr"/>
        </w:types>
        <w:behaviors>
          <w:behavior w:val="content"/>
        </w:behaviors>
        <w:guid w:val="{AFC8DB90-F1B4-4A84-A046-69BEB9621EBE}"/>
      </w:docPartPr>
      <w:docPartBody>
        <w:p w:rsidR="002C433A" w:rsidRDefault="002D2236">
          <w:pPr>
            <w:pStyle w:val="5ADE86C093734789AE42E8D7137F10F5"/>
          </w:pPr>
          <w:r w:rsidRPr="00036A0E">
            <w:rPr>
              <w:rStyle w:val="PlaceholderText"/>
            </w:rPr>
            <w:t>Click or tap here to enter text.</w:t>
          </w:r>
        </w:p>
      </w:docPartBody>
    </w:docPart>
    <w:docPart>
      <w:docPartPr>
        <w:name w:val="BFAACDFD929D450892FEDB3DA10E2894"/>
        <w:category>
          <w:name w:val="General"/>
          <w:gallery w:val="placeholder"/>
        </w:category>
        <w:types>
          <w:type w:val="bbPlcHdr"/>
        </w:types>
        <w:behaviors>
          <w:behavior w:val="content"/>
        </w:behaviors>
        <w:guid w:val="{C84BA907-3D82-41DD-B688-838F4BD4B324}"/>
      </w:docPartPr>
      <w:docPartBody>
        <w:p w:rsidR="00CC666D" w:rsidRDefault="001B5A05" w:rsidP="001B5A05">
          <w:pPr>
            <w:pStyle w:val="BFAACDFD929D450892FEDB3DA10E28941"/>
            <w:framePr w:wrap="notBeside"/>
          </w:pPr>
          <w:r w:rsidRPr="006259C9">
            <w:rPr>
              <w:highlight w:val="darkGray"/>
            </w:rPr>
            <w:t>[</w:t>
          </w:r>
          <w:r w:rsidRPr="006259C9">
            <w:rPr>
              <w:rStyle w:val="PlaceholderText"/>
              <w:color w:val="FFFFFF" w:themeColor="background1"/>
              <w:highlight w:val="darkGray"/>
            </w:rPr>
            <w:t>dd/mm/yyyy]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YVW Rational">
    <w:altName w:val="Calibri"/>
    <w:panose1 w:val="00000000000000000000"/>
    <w:charset w:val="00"/>
    <w:family w:val="modern"/>
    <w:notTrueType/>
    <w:pitch w:val="variable"/>
    <w:sig w:usb0="00000007" w:usb1="00000023"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1A9"/>
    <w:multiLevelType w:val="multilevel"/>
    <w:tmpl w:val="C26AD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E33455"/>
    <w:multiLevelType w:val="multilevel"/>
    <w:tmpl w:val="9B103EFA"/>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1AD7F70"/>
    <w:multiLevelType w:val="multilevel"/>
    <w:tmpl w:val="69AA21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67128CD"/>
    <w:multiLevelType w:val="multilevel"/>
    <w:tmpl w:val="9B103EFA"/>
    <w:styleLink w:val="BreakPageList"/>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887272E"/>
    <w:multiLevelType w:val="multilevel"/>
    <w:tmpl w:val="B7802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63274980">
    <w:abstractNumId w:val="4"/>
  </w:num>
  <w:num w:numId="2" w16cid:durableId="1676955194">
    <w:abstractNumId w:val="0"/>
  </w:num>
  <w:num w:numId="3" w16cid:durableId="46026798">
    <w:abstractNumId w:val="3"/>
  </w:num>
  <w:num w:numId="4" w16cid:durableId="868690128">
    <w:abstractNumId w:val="1"/>
  </w:num>
  <w:num w:numId="5" w16cid:durableId="473958122">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216C6"/>
    <w:rsid w:val="00025E1F"/>
    <w:rsid w:val="000350EE"/>
    <w:rsid w:val="000502AB"/>
    <w:rsid w:val="00051A41"/>
    <w:rsid w:val="0005546D"/>
    <w:rsid w:val="000820A3"/>
    <w:rsid w:val="000A71DB"/>
    <w:rsid w:val="000C40DC"/>
    <w:rsid w:val="000D5811"/>
    <w:rsid w:val="000E2CB7"/>
    <w:rsid w:val="000F580D"/>
    <w:rsid w:val="0010762E"/>
    <w:rsid w:val="00111F7B"/>
    <w:rsid w:val="001144C0"/>
    <w:rsid w:val="0011568F"/>
    <w:rsid w:val="00140A60"/>
    <w:rsid w:val="00141C27"/>
    <w:rsid w:val="001B2AE9"/>
    <w:rsid w:val="001B5A05"/>
    <w:rsid w:val="001B7F43"/>
    <w:rsid w:val="001D404B"/>
    <w:rsid w:val="001E3122"/>
    <w:rsid w:val="002000E4"/>
    <w:rsid w:val="00200EF5"/>
    <w:rsid w:val="0020132B"/>
    <w:rsid w:val="002218BA"/>
    <w:rsid w:val="002520C6"/>
    <w:rsid w:val="002645AF"/>
    <w:rsid w:val="002B35B6"/>
    <w:rsid w:val="002C433A"/>
    <w:rsid w:val="002D2236"/>
    <w:rsid w:val="003015F0"/>
    <w:rsid w:val="00304E6C"/>
    <w:rsid w:val="00311288"/>
    <w:rsid w:val="003171A2"/>
    <w:rsid w:val="00324061"/>
    <w:rsid w:val="00345FC8"/>
    <w:rsid w:val="003667C1"/>
    <w:rsid w:val="00367107"/>
    <w:rsid w:val="003724AB"/>
    <w:rsid w:val="0037432A"/>
    <w:rsid w:val="00382610"/>
    <w:rsid w:val="00383B35"/>
    <w:rsid w:val="00384EEF"/>
    <w:rsid w:val="003876C4"/>
    <w:rsid w:val="003909D4"/>
    <w:rsid w:val="00395815"/>
    <w:rsid w:val="003A4C04"/>
    <w:rsid w:val="003C214D"/>
    <w:rsid w:val="003C37C6"/>
    <w:rsid w:val="003E716E"/>
    <w:rsid w:val="00420EF9"/>
    <w:rsid w:val="00455764"/>
    <w:rsid w:val="0046571E"/>
    <w:rsid w:val="004A2BAF"/>
    <w:rsid w:val="004A5104"/>
    <w:rsid w:val="004B5711"/>
    <w:rsid w:val="004E4693"/>
    <w:rsid w:val="004E6B47"/>
    <w:rsid w:val="004E6DD9"/>
    <w:rsid w:val="004F1493"/>
    <w:rsid w:val="004F7743"/>
    <w:rsid w:val="00500993"/>
    <w:rsid w:val="00510428"/>
    <w:rsid w:val="00511DCC"/>
    <w:rsid w:val="0051492D"/>
    <w:rsid w:val="00570B5B"/>
    <w:rsid w:val="00584128"/>
    <w:rsid w:val="005E02B4"/>
    <w:rsid w:val="00600AB1"/>
    <w:rsid w:val="00604BDB"/>
    <w:rsid w:val="00623ABB"/>
    <w:rsid w:val="006342F6"/>
    <w:rsid w:val="006417F4"/>
    <w:rsid w:val="00654159"/>
    <w:rsid w:val="0069076C"/>
    <w:rsid w:val="006B3B68"/>
    <w:rsid w:val="006D74F6"/>
    <w:rsid w:val="006E14AA"/>
    <w:rsid w:val="00706F82"/>
    <w:rsid w:val="00714C32"/>
    <w:rsid w:val="00730E0D"/>
    <w:rsid w:val="00764D39"/>
    <w:rsid w:val="00781718"/>
    <w:rsid w:val="007A1E3E"/>
    <w:rsid w:val="007B1EF3"/>
    <w:rsid w:val="007B2AA8"/>
    <w:rsid w:val="007B4785"/>
    <w:rsid w:val="007C04D6"/>
    <w:rsid w:val="007C1B70"/>
    <w:rsid w:val="007C76BF"/>
    <w:rsid w:val="007E2A31"/>
    <w:rsid w:val="007F6422"/>
    <w:rsid w:val="008008AA"/>
    <w:rsid w:val="00831DAA"/>
    <w:rsid w:val="00853684"/>
    <w:rsid w:val="008665FB"/>
    <w:rsid w:val="00874B36"/>
    <w:rsid w:val="00882D7A"/>
    <w:rsid w:val="00885AF7"/>
    <w:rsid w:val="00887B1E"/>
    <w:rsid w:val="0089274A"/>
    <w:rsid w:val="008A1809"/>
    <w:rsid w:val="008D64F1"/>
    <w:rsid w:val="008E4AA3"/>
    <w:rsid w:val="008F0152"/>
    <w:rsid w:val="00911782"/>
    <w:rsid w:val="0091701D"/>
    <w:rsid w:val="00924FC7"/>
    <w:rsid w:val="00927380"/>
    <w:rsid w:val="009414A9"/>
    <w:rsid w:val="00986DE6"/>
    <w:rsid w:val="009930E4"/>
    <w:rsid w:val="009A06EC"/>
    <w:rsid w:val="009B2F27"/>
    <w:rsid w:val="009C6CF3"/>
    <w:rsid w:val="009C6EFE"/>
    <w:rsid w:val="009D0A1E"/>
    <w:rsid w:val="009E4E96"/>
    <w:rsid w:val="00A46A9C"/>
    <w:rsid w:val="00A62CA7"/>
    <w:rsid w:val="00A73EE7"/>
    <w:rsid w:val="00AB0288"/>
    <w:rsid w:val="00AD2392"/>
    <w:rsid w:val="00AE2407"/>
    <w:rsid w:val="00AE4606"/>
    <w:rsid w:val="00AF37A7"/>
    <w:rsid w:val="00B05369"/>
    <w:rsid w:val="00B255C8"/>
    <w:rsid w:val="00BA14D3"/>
    <w:rsid w:val="00BA7DC9"/>
    <w:rsid w:val="00BB4527"/>
    <w:rsid w:val="00BB45AF"/>
    <w:rsid w:val="00BC33DD"/>
    <w:rsid w:val="00BD02E3"/>
    <w:rsid w:val="00BE7E30"/>
    <w:rsid w:val="00C12F1E"/>
    <w:rsid w:val="00C43726"/>
    <w:rsid w:val="00C57160"/>
    <w:rsid w:val="00C6448F"/>
    <w:rsid w:val="00C7000B"/>
    <w:rsid w:val="00C73932"/>
    <w:rsid w:val="00C833C6"/>
    <w:rsid w:val="00C87ED4"/>
    <w:rsid w:val="00CA0715"/>
    <w:rsid w:val="00CA16AD"/>
    <w:rsid w:val="00CB4859"/>
    <w:rsid w:val="00CB591A"/>
    <w:rsid w:val="00CC067E"/>
    <w:rsid w:val="00CC666D"/>
    <w:rsid w:val="00CD7BFF"/>
    <w:rsid w:val="00CE7756"/>
    <w:rsid w:val="00CF09E2"/>
    <w:rsid w:val="00CF1413"/>
    <w:rsid w:val="00CF3292"/>
    <w:rsid w:val="00CF3736"/>
    <w:rsid w:val="00D0483F"/>
    <w:rsid w:val="00D2671B"/>
    <w:rsid w:val="00D41621"/>
    <w:rsid w:val="00D50B43"/>
    <w:rsid w:val="00D57342"/>
    <w:rsid w:val="00D62473"/>
    <w:rsid w:val="00D91967"/>
    <w:rsid w:val="00DA1B67"/>
    <w:rsid w:val="00DA79C7"/>
    <w:rsid w:val="00DB078F"/>
    <w:rsid w:val="00DB7828"/>
    <w:rsid w:val="00DF12C9"/>
    <w:rsid w:val="00E138FF"/>
    <w:rsid w:val="00E1559D"/>
    <w:rsid w:val="00E2098E"/>
    <w:rsid w:val="00E23994"/>
    <w:rsid w:val="00E2565F"/>
    <w:rsid w:val="00E3473D"/>
    <w:rsid w:val="00E40CFA"/>
    <w:rsid w:val="00E74A71"/>
    <w:rsid w:val="00E82F57"/>
    <w:rsid w:val="00EC3765"/>
    <w:rsid w:val="00EE6D2A"/>
    <w:rsid w:val="00F0285F"/>
    <w:rsid w:val="00F03B27"/>
    <w:rsid w:val="00F15B81"/>
    <w:rsid w:val="00F223F0"/>
    <w:rsid w:val="00F32C1D"/>
    <w:rsid w:val="00F365D4"/>
    <w:rsid w:val="00F42E4F"/>
    <w:rsid w:val="00F60322"/>
    <w:rsid w:val="00F61DEA"/>
    <w:rsid w:val="00F6355F"/>
    <w:rsid w:val="00F7404C"/>
    <w:rsid w:val="00F74F82"/>
    <w:rsid w:val="00F7508D"/>
    <w:rsid w:val="00FA0DA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iPriority="1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A05"/>
    <w:rPr>
      <w:color w:val="808080"/>
    </w:rPr>
  </w:style>
  <w:style w:type="paragraph" w:styleId="NoSpacing">
    <w:name w:val="No Spacing"/>
    <w:basedOn w:val="Normal"/>
    <w:link w:val="NoSpacingChar"/>
    <w:uiPriority w:val="1"/>
    <w:qFormat/>
    <w:rsid w:val="00BE7E30"/>
    <w:pPr>
      <w:spacing w:after="0" w:line="252" w:lineRule="auto"/>
    </w:pPr>
    <w:rPr>
      <w:rFonts w:eastAsiaTheme="minorHAnsi"/>
      <w:color w:val="262626" w:themeColor="text1" w:themeTint="D9"/>
      <w:spacing w:val="-2"/>
      <w:sz w:val="18"/>
      <w:lang w:eastAsia="en-US"/>
    </w:rPr>
  </w:style>
  <w:style w:type="table" w:customStyle="1" w:styleId="Blank">
    <w:name w:val="Blank"/>
    <w:basedOn w:val="TableNormal"/>
    <w:uiPriority w:val="99"/>
    <w:rsid w:val="00500993"/>
    <w:pPr>
      <w:spacing w:after="0" w:line="240" w:lineRule="auto"/>
    </w:pPr>
    <w:rPr>
      <w:rFonts w:eastAsiaTheme="minorHAnsi"/>
      <w:lang w:eastAsia="en-US"/>
    </w:rPr>
    <w:tblPr>
      <w:tblCellMar>
        <w:left w:w="0" w:type="dxa"/>
        <w:right w:w="0" w:type="dxa"/>
      </w:tblCellMar>
    </w:tblPr>
  </w:style>
  <w:style w:type="character" w:customStyle="1" w:styleId="NoSpacingChar">
    <w:name w:val="No Spacing Char"/>
    <w:basedOn w:val="DefaultParagraphFont"/>
    <w:link w:val="NoSpacing"/>
    <w:uiPriority w:val="1"/>
    <w:rsid w:val="00BE7E30"/>
    <w:rPr>
      <w:rFonts w:eastAsiaTheme="minorHAnsi"/>
      <w:color w:val="262626" w:themeColor="text1" w:themeTint="D9"/>
      <w:spacing w:val="-2"/>
      <w:sz w:val="18"/>
      <w:lang w:eastAsia="en-US"/>
    </w:rPr>
  </w:style>
  <w:style w:type="paragraph" w:styleId="Title">
    <w:name w:val="Title"/>
    <w:basedOn w:val="Normal"/>
    <w:next w:val="Subtitle"/>
    <w:link w:val="TitleChar"/>
    <w:uiPriority w:val="14"/>
    <w:qFormat/>
    <w:rsid w:val="00CD7BFF"/>
    <w:pPr>
      <w:framePr w:w="4905" w:vSpace="1134" w:wrap="notBeside" w:vAnchor="page" w:hAnchor="page" w:x="1419" w:y="3346" w:anchorLock="1"/>
      <w:spacing w:before="120" w:after="0" w:line="240" w:lineRule="auto"/>
      <w:contextualSpacing/>
    </w:pPr>
    <w:rPr>
      <w:rFonts w:asciiTheme="majorHAnsi" w:eastAsiaTheme="majorEastAsia" w:hAnsiTheme="majorHAnsi" w:cstheme="majorBidi"/>
      <w:b/>
      <w:color w:val="FFFFFF" w:themeColor="background1"/>
      <w:spacing w:val="-16"/>
      <w:kern w:val="28"/>
      <w:sz w:val="80"/>
      <w:szCs w:val="56"/>
      <w:lang w:eastAsia="en-US"/>
    </w:rPr>
  </w:style>
  <w:style w:type="character" w:customStyle="1" w:styleId="TitleChar">
    <w:name w:val="Title Char"/>
    <w:basedOn w:val="DefaultParagraphFont"/>
    <w:link w:val="Title"/>
    <w:uiPriority w:val="14"/>
    <w:rsid w:val="00CD7BFF"/>
    <w:rPr>
      <w:rFonts w:asciiTheme="majorHAnsi" w:eastAsiaTheme="majorEastAsia" w:hAnsiTheme="majorHAnsi" w:cstheme="majorBidi"/>
      <w:b/>
      <w:color w:val="FFFFFF" w:themeColor="background1"/>
      <w:spacing w:val="-16"/>
      <w:kern w:val="28"/>
      <w:sz w:val="80"/>
      <w:szCs w:val="56"/>
      <w:lang w:eastAsia="en-US"/>
    </w:rPr>
  </w:style>
  <w:style w:type="paragraph" w:styleId="Subtitle">
    <w:name w:val="Subtitle"/>
    <w:basedOn w:val="Title"/>
    <w:next w:val="Title-Regular"/>
    <w:link w:val="SubtitleChar"/>
    <w:uiPriority w:val="15"/>
    <w:qFormat/>
    <w:rsid w:val="00CD7BFF"/>
    <w:pPr>
      <w:framePr w:wrap="notBeside"/>
      <w:spacing w:before="360"/>
    </w:pPr>
    <w:rPr>
      <w:rFonts w:asciiTheme="minorHAnsi" w:hAnsiTheme="minorHAnsi"/>
      <w:b w:val="0"/>
      <w:spacing w:val="0"/>
      <w:sz w:val="22"/>
    </w:rPr>
  </w:style>
  <w:style w:type="character" w:customStyle="1" w:styleId="SubtitleChar">
    <w:name w:val="Subtitle Char"/>
    <w:basedOn w:val="DefaultParagraphFont"/>
    <w:link w:val="Subtitle"/>
    <w:uiPriority w:val="15"/>
    <w:rsid w:val="00CD7BFF"/>
    <w:rPr>
      <w:rFonts w:eastAsiaTheme="majorEastAsia" w:cstheme="majorBidi"/>
      <w:color w:val="FFFFFF" w:themeColor="background1"/>
      <w:kern w:val="28"/>
      <w:szCs w:val="56"/>
      <w:lang w:eastAsia="en-US"/>
    </w:rPr>
  </w:style>
  <w:style w:type="paragraph" w:styleId="Date">
    <w:name w:val="Date"/>
    <w:basedOn w:val="Subtitle"/>
    <w:next w:val="Normal"/>
    <w:link w:val="DateChar"/>
    <w:uiPriority w:val="16"/>
    <w:qFormat/>
    <w:rsid w:val="00500993"/>
    <w:pPr>
      <w:framePr w:wrap="notBeside"/>
    </w:pPr>
    <w:rPr>
      <w:b/>
    </w:rPr>
  </w:style>
  <w:style w:type="character" w:customStyle="1" w:styleId="DateChar">
    <w:name w:val="Date Char"/>
    <w:basedOn w:val="DefaultParagraphFont"/>
    <w:link w:val="Date"/>
    <w:uiPriority w:val="16"/>
    <w:rsid w:val="00500993"/>
    <w:rPr>
      <w:rFonts w:eastAsiaTheme="majorEastAsia" w:cstheme="majorBidi"/>
      <w:color w:val="A5A5A5" w:themeColor="accent3"/>
      <w:kern w:val="28"/>
      <w:sz w:val="30"/>
      <w:szCs w:val="56"/>
      <w:lang w:eastAsia="en-US"/>
    </w:rPr>
  </w:style>
  <w:style w:type="numbering" w:customStyle="1" w:styleId="BreakPageList">
    <w:name w:val="Break Page List"/>
    <w:uiPriority w:val="99"/>
    <w:rsid w:val="00BE7E30"/>
    <w:pPr>
      <w:numPr>
        <w:numId w:val="3"/>
      </w:numPr>
    </w:pPr>
  </w:style>
  <w:style w:type="paragraph" w:styleId="ListBullet">
    <w:name w:val="List Bullet"/>
    <w:basedOn w:val="Normal"/>
    <w:uiPriority w:val="99"/>
    <w:unhideWhenUsed/>
    <w:qFormat/>
    <w:rsid w:val="00BE7E30"/>
    <w:pPr>
      <w:spacing w:after="180" w:line="300" w:lineRule="auto"/>
      <w:ind w:left="340" w:hanging="340"/>
      <w:contextualSpacing/>
    </w:pPr>
    <w:rPr>
      <w:rFonts w:eastAsiaTheme="minorHAnsi"/>
      <w:spacing w:val="-2"/>
      <w:lang w:eastAsia="en-US"/>
    </w:rPr>
  </w:style>
  <w:style w:type="paragraph" w:styleId="ListBullet2">
    <w:name w:val="List Bullet 2"/>
    <w:basedOn w:val="Normal"/>
    <w:uiPriority w:val="99"/>
    <w:unhideWhenUsed/>
    <w:qFormat/>
    <w:rsid w:val="00BE7E30"/>
    <w:pPr>
      <w:spacing w:after="180" w:line="300" w:lineRule="auto"/>
      <w:ind w:left="680" w:hanging="340"/>
      <w:contextualSpacing/>
    </w:pPr>
    <w:rPr>
      <w:rFonts w:eastAsiaTheme="minorHAnsi"/>
      <w:spacing w:val="-2"/>
      <w:lang w:eastAsia="en-US"/>
    </w:rPr>
  </w:style>
  <w:style w:type="paragraph" w:customStyle="1" w:styleId="Title-Regular">
    <w:name w:val="Title-Regular"/>
    <w:basedOn w:val="Normal"/>
    <w:rsid w:val="00CD7BFF"/>
    <w:pPr>
      <w:spacing w:before="120" w:after="0" w:line="240" w:lineRule="auto"/>
    </w:pPr>
    <w:rPr>
      <w:rFonts w:eastAsiaTheme="minorHAnsi"/>
      <w:color w:val="FFFFFF" w:themeColor="background1"/>
      <w:spacing w:val="-2"/>
      <w:sz w:val="80"/>
      <w:lang w:val="en-GB" w:eastAsia="en-US"/>
    </w:rPr>
  </w:style>
  <w:style w:type="paragraph" w:customStyle="1" w:styleId="5ADE86C093734789AE42E8D7137F10F5">
    <w:name w:val="5ADE86C093734789AE42E8D7137F10F5"/>
  </w:style>
  <w:style w:type="paragraph" w:customStyle="1" w:styleId="BFAACDFD929D450892FEDB3DA10E28941">
    <w:name w:val="BFAACDFD929D450892FEDB3DA10E28941"/>
    <w:rsid w:val="001B5A05"/>
    <w:pPr>
      <w:framePr w:w="4905" w:vSpace="1134" w:wrap="notBeside" w:vAnchor="page" w:hAnchor="page" w:x="1419" w:y="3346" w:anchorLock="1"/>
      <w:spacing w:before="360" w:after="0" w:line="240" w:lineRule="auto"/>
      <w:contextualSpacing/>
    </w:pPr>
    <w:rPr>
      <w:rFonts w:eastAsiaTheme="majorEastAsia" w:cstheme="majorBidi"/>
      <w:color w:val="FFFFFF" w:themeColor="background1"/>
      <w:kern w:val="28"/>
      <w:szCs w:val="5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ater Western Water-B">
      <a:dk1>
        <a:sysClr val="windowText" lastClr="000000"/>
      </a:dk1>
      <a:lt1>
        <a:sysClr val="window" lastClr="FFFFFF"/>
      </a:lt1>
      <a:dk2>
        <a:srgbClr val="1A206C"/>
      </a:dk2>
      <a:lt2>
        <a:srgbClr val="F4F0EE"/>
      </a:lt2>
      <a:accent1>
        <a:srgbClr val="41B27D"/>
      </a:accent1>
      <a:accent2>
        <a:srgbClr val="B3C5E6"/>
      </a:accent2>
      <a:accent3>
        <a:srgbClr val="4EC5D8"/>
      </a:accent3>
      <a:accent4>
        <a:srgbClr val="9CCB46"/>
      </a:accent4>
      <a:accent5>
        <a:srgbClr val="A1D9D2"/>
      </a:accent5>
      <a:accent6>
        <a:srgbClr val="F15B60"/>
      </a:accent6>
      <a:hlink>
        <a:srgbClr val="1A206C"/>
      </a:hlink>
      <a:folHlink>
        <a:srgbClr val="1A206C"/>
      </a:folHlink>
    </a:clrScheme>
    <a:fontScheme name="GWW">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97aa5df-4d83-45df-b7a4-17a5cf028972">
      <Terms xmlns="http://schemas.microsoft.com/office/infopath/2007/PartnerControls"/>
    </lcf76f155ced4ddcb4097134ff3c332f>
    <TaxCatchAll xmlns="8ab5dc09-19f6-4490-a744-d771724f0135" xsi:nil="true"/>
    <_ip_UnifiedCompliancePolicyProperties xmlns="http://schemas.microsoft.com/sharepoint/v3" xsi:nil="true"/>
    <SharedWithUsers xmlns="605036af-c3eb-4972-a30f-0deaad180ac8">
      <UserInfo>
        <DisplayName>Kelly Brown</DisplayName>
        <AccountId>1095</AccountId>
        <AccountType/>
      </UserInfo>
      <UserInfo>
        <DisplayName>Steph Baranello</DisplayName>
        <AccountId>1559</AccountId>
        <AccountType/>
      </UserInfo>
      <UserInfo>
        <DisplayName>Bec Alcott</DisplayName>
        <AccountId>1663</AccountId>
        <AccountType/>
      </UserInfo>
      <UserInfo>
        <DisplayName>Buu-Kim Hoang-Le</DisplayName>
        <AccountId>1750</AccountId>
        <AccountType/>
      </UserInfo>
      <UserInfo>
        <DisplayName>Josie Romano</DisplayName>
        <AccountId>2967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DDE54CE5611147AE0E3B642645A0B9" ma:contentTypeVersion="19" ma:contentTypeDescription="Create a new document." ma:contentTypeScope="" ma:versionID="f8edc78be727f6f145fdb6d23fa331b9">
  <xsd:schema xmlns:xsd="http://www.w3.org/2001/XMLSchema" xmlns:xs="http://www.w3.org/2001/XMLSchema" xmlns:p="http://schemas.microsoft.com/office/2006/metadata/properties" xmlns:ns1="http://schemas.microsoft.com/sharepoint/v3" xmlns:ns2="597aa5df-4d83-45df-b7a4-17a5cf028972" xmlns:ns3="605036af-c3eb-4972-a30f-0deaad180ac8" xmlns:ns4="8ab5dc09-19f6-4490-a744-d771724f0135" targetNamespace="http://schemas.microsoft.com/office/2006/metadata/properties" ma:root="true" ma:fieldsID="c49fa015368450818939c6fbdb66e17a" ns1:_="" ns2:_="" ns3:_="" ns4:_="">
    <xsd:import namespace="http://schemas.microsoft.com/sharepoint/v3"/>
    <xsd:import namespace="597aa5df-4d83-45df-b7a4-17a5cf028972"/>
    <xsd:import namespace="605036af-c3eb-4972-a30f-0deaad180ac8"/>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aa5df-4d83-45df-b7a4-17a5cf02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036af-c3eb-4972-a30f-0deaad180a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8b993bf-55e3-4042-8a56-24ec30cd5c8d}" ma:internalName="TaxCatchAll" ma:showField="CatchAllData" ma:web="605036af-c3eb-4972-a30f-0deaad180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79D839-8232-446A-B1E4-20C1B3A8FE02}">
  <ds:schemaRefs>
    <ds:schemaRef ds:uri="597aa5df-4d83-45df-b7a4-17a5cf028972"/>
    <ds:schemaRef ds:uri="http://schemas.microsoft.com/office/2006/metadata/properties"/>
    <ds:schemaRef ds:uri="http://schemas.microsoft.com/office/infopath/2007/PartnerControls"/>
    <ds:schemaRef ds:uri="http://purl.org/dc/dcmitype/"/>
    <ds:schemaRef ds:uri="http://www.w3.org/XML/1998/namespace"/>
    <ds:schemaRef ds:uri="http://purl.org/dc/elements/1.1/"/>
    <ds:schemaRef ds:uri="http://purl.org/dc/terms/"/>
    <ds:schemaRef ds:uri="http://schemas.microsoft.com/office/2006/documentManagement/types"/>
    <ds:schemaRef ds:uri="8ab5dc09-19f6-4490-a744-d771724f0135"/>
    <ds:schemaRef ds:uri="http://schemas.openxmlformats.org/package/2006/metadata/core-properties"/>
    <ds:schemaRef ds:uri="605036af-c3eb-4972-a30f-0deaad180ac8"/>
    <ds:schemaRef ds:uri="http://schemas.microsoft.com/sharepoint/v3"/>
  </ds:schemaRefs>
</ds:datastoreItem>
</file>

<file path=customXml/itemProps3.xml><?xml version="1.0" encoding="utf-8"?>
<ds:datastoreItem xmlns:ds="http://schemas.openxmlformats.org/officeDocument/2006/customXml" ds:itemID="{DE33B60D-5043-46DB-BE82-E7C44D378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7aa5df-4d83-45df-b7a4-17a5cf028972"/>
    <ds:schemaRef ds:uri="605036af-c3eb-4972-a30f-0deaad180ac8"/>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25A456C7-50F4-4116-ADDF-41D53C19F8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GWW-Simple Report template.dotx</Template>
  <TotalTime>0</TotalTime>
  <Pages>297</Pages>
  <Words>76840</Words>
  <Characters>437992</Characters>
  <Application>Microsoft Office Word</Application>
  <DocSecurity>0</DocSecurity>
  <Lines>62570</Lines>
  <Paragraphs>64353</Paragraphs>
  <ScaleCrop>false</ScaleCrop>
  <HeadingPairs>
    <vt:vector size="2" baseType="variant">
      <vt:variant>
        <vt:lpstr>Title</vt:lpstr>
      </vt:variant>
      <vt:variant>
        <vt:i4>1</vt:i4>
      </vt:variant>
    </vt:vector>
  </HeadingPairs>
  <TitlesOfParts>
    <vt:vector size="1" baseType="lpstr">
      <vt:lpstr>2024 
Price Submission</vt:lpstr>
    </vt:vector>
  </TitlesOfParts>
  <Company/>
  <LinksUpToDate>false</LinksUpToDate>
  <CharactersWithSpaces>450479</CharactersWithSpaces>
  <SharedDoc>false</SharedDoc>
  <HLinks>
    <vt:vector size="558" baseType="variant">
      <vt:variant>
        <vt:i4>7864442</vt:i4>
      </vt:variant>
      <vt:variant>
        <vt:i4>1281</vt:i4>
      </vt:variant>
      <vt:variant>
        <vt:i4>0</vt:i4>
      </vt:variant>
      <vt:variant>
        <vt:i4>5</vt:i4>
      </vt:variant>
      <vt:variant>
        <vt:lpwstr>https://www.vic.gov.au/wages-policy-and-enterprise-bargaining-framework</vt:lpwstr>
      </vt:variant>
      <vt:variant>
        <vt:lpwstr/>
      </vt:variant>
      <vt:variant>
        <vt:i4>1245212</vt:i4>
      </vt:variant>
      <vt:variant>
        <vt:i4>573</vt:i4>
      </vt:variant>
      <vt:variant>
        <vt:i4>0</vt:i4>
      </vt:variant>
      <vt:variant>
        <vt:i4>5</vt:i4>
      </vt:variant>
      <vt:variant>
        <vt:lpwstr>https://youtu.be/edWeHqZhFP4</vt:lpwstr>
      </vt:variant>
      <vt:variant>
        <vt:lpwstr/>
      </vt:variant>
      <vt:variant>
        <vt:i4>1507380</vt:i4>
      </vt:variant>
      <vt:variant>
        <vt:i4>530</vt:i4>
      </vt:variant>
      <vt:variant>
        <vt:i4>0</vt:i4>
      </vt:variant>
      <vt:variant>
        <vt:i4>5</vt:i4>
      </vt:variant>
      <vt:variant>
        <vt:lpwstr/>
      </vt:variant>
      <vt:variant>
        <vt:lpwstr>_Toc146746757</vt:lpwstr>
      </vt:variant>
      <vt:variant>
        <vt:i4>1507380</vt:i4>
      </vt:variant>
      <vt:variant>
        <vt:i4>524</vt:i4>
      </vt:variant>
      <vt:variant>
        <vt:i4>0</vt:i4>
      </vt:variant>
      <vt:variant>
        <vt:i4>5</vt:i4>
      </vt:variant>
      <vt:variant>
        <vt:lpwstr/>
      </vt:variant>
      <vt:variant>
        <vt:lpwstr>_Toc146746756</vt:lpwstr>
      </vt:variant>
      <vt:variant>
        <vt:i4>1507380</vt:i4>
      </vt:variant>
      <vt:variant>
        <vt:i4>518</vt:i4>
      </vt:variant>
      <vt:variant>
        <vt:i4>0</vt:i4>
      </vt:variant>
      <vt:variant>
        <vt:i4>5</vt:i4>
      </vt:variant>
      <vt:variant>
        <vt:lpwstr/>
      </vt:variant>
      <vt:variant>
        <vt:lpwstr>_Toc146746755</vt:lpwstr>
      </vt:variant>
      <vt:variant>
        <vt:i4>1507380</vt:i4>
      </vt:variant>
      <vt:variant>
        <vt:i4>512</vt:i4>
      </vt:variant>
      <vt:variant>
        <vt:i4>0</vt:i4>
      </vt:variant>
      <vt:variant>
        <vt:i4>5</vt:i4>
      </vt:variant>
      <vt:variant>
        <vt:lpwstr/>
      </vt:variant>
      <vt:variant>
        <vt:lpwstr>_Toc146746754</vt:lpwstr>
      </vt:variant>
      <vt:variant>
        <vt:i4>1507380</vt:i4>
      </vt:variant>
      <vt:variant>
        <vt:i4>506</vt:i4>
      </vt:variant>
      <vt:variant>
        <vt:i4>0</vt:i4>
      </vt:variant>
      <vt:variant>
        <vt:i4>5</vt:i4>
      </vt:variant>
      <vt:variant>
        <vt:lpwstr/>
      </vt:variant>
      <vt:variant>
        <vt:lpwstr>_Toc146746753</vt:lpwstr>
      </vt:variant>
      <vt:variant>
        <vt:i4>1507380</vt:i4>
      </vt:variant>
      <vt:variant>
        <vt:i4>500</vt:i4>
      </vt:variant>
      <vt:variant>
        <vt:i4>0</vt:i4>
      </vt:variant>
      <vt:variant>
        <vt:i4>5</vt:i4>
      </vt:variant>
      <vt:variant>
        <vt:lpwstr/>
      </vt:variant>
      <vt:variant>
        <vt:lpwstr>_Toc146746752</vt:lpwstr>
      </vt:variant>
      <vt:variant>
        <vt:i4>1507380</vt:i4>
      </vt:variant>
      <vt:variant>
        <vt:i4>494</vt:i4>
      </vt:variant>
      <vt:variant>
        <vt:i4>0</vt:i4>
      </vt:variant>
      <vt:variant>
        <vt:i4>5</vt:i4>
      </vt:variant>
      <vt:variant>
        <vt:lpwstr/>
      </vt:variant>
      <vt:variant>
        <vt:lpwstr>_Toc146746751</vt:lpwstr>
      </vt:variant>
      <vt:variant>
        <vt:i4>1507380</vt:i4>
      </vt:variant>
      <vt:variant>
        <vt:i4>488</vt:i4>
      </vt:variant>
      <vt:variant>
        <vt:i4>0</vt:i4>
      </vt:variant>
      <vt:variant>
        <vt:i4>5</vt:i4>
      </vt:variant>
      <vt:variant>
        <vt:lpwstr/>
      </vt:variant>
      <vt:variant>
        <vt:lpwstr>_Toc146746750</vt:lpwstr>
      </vt:variant>
      <vt:variant>
        <vt:i4>1441844</vt:i4>
      </vt:variant>
      <vt:variant>
        <vt:i4>482</vt:i4>
      </vt:variant>
      <vt:variant>
        <vt:i4>0</vt:i4>
      </vt:variant>
      <vt:variant>
        <vt:i4>5</vt:i4>
      </vt:variant>
      <vt:variant>
        <vt:lpwstr/>
      </vt:variant>
      <vt:variant>
        <vt:lpwstr>_Toc146746749</vt:lpwstr>
      </vt:variant>
      <vt:variant>
        <vt:i4>1441844</vt:i4>
      </vt:variant>
      <vt:variant>
        <vt:i4>476</vt:i4>
      </vt:variant>
      <vt:variant>
        <vt:i4>0</vt:i4>
      </vt:variant>
      <vt:variant>
        <vt:i4>5</vt:i4>
      </vt:variant>
      <vt:variant>
        <vt:lpwstr/>
      </vt:variant>
      <vt:variant>
        <vt:lpwstr>_Toc146746748</vt:lpwstr>
      </vt:variant>
      <vt:variant>
        <vt:i4>1441844</vt:i4>
      </vt:variant>
      <vt:variant>
        <vt:i4>470</vt:i4>
      </vt:variant>
      <vt:variant>
        <vt:i4>0</vt:i4>
      </vt:variant>
      <vt:variant>
        <vt:i4>5</vt:i4>
      </vt:variant>
      <vt:variant>
        <vt:lpwstr/>
      </vt:variant>
      <vt:variant>
        <vt:lpwstr>_Toc146746747</vt:lpwstr>
      </vt:variant>
      <vt:variant>
        <vt:i4>1441844</vt:i4>
      </vt:variant>
      <vt:variant>
        <vt:i4>464</vt:i4>
      </vt:variant>
      <vt:variant>
        <vt:i4>0</vt:i4>
      </vt:variant>
      <vt:variant>
        <vt:i4>5</vt:i4>
      </vt:variant>
      <vt:variant>
        <vt:lpwstr/>
      </vt:variant>
      <vt:variant>
        <vt:lpwstr>_Toc146746746</vt:lpwstr>
      </vt:variant>
      <vt:variant>
        <vt:i4>1441844</vt:i4>
      </vt:variant>
      <vt:variant>
        <vt:i4>458</vt:i4>
      </vt:variant>
      <vt:variant>
        <vt:i4>0</vt:i4>
      </vt:variant>
      <vt:variant>
        <vt:i4>5</vt:i4>
      </vt:variant>
      <vt:variant>
        <vt:lpwstr/>
      </vt:variant>
      <vt:variant>
        <vt:lpwstr>_Toc146746745</vt:lpwstr>
      </vt:variant>
      <vt:variant>
        <vt:i4>1441844</vt:i4>
      </vt:variant>
      <vt:variant>
        <vt:i4>452</vt:i4>
      </vt:variant>
      <vt:variant>
        <vt:i4>0</vt:i4>
      </vt:variant>
      <vt:variant>
        <vt:i4>5</vt:i4>
      </vt:variant>
      <vt:variant>
        <vt:lpwstr/>
      </vt:variant>
      <vt:variant>
        <vt:lpwstr>_Toc146746744</vt:lpwstr>
      </vt:variant>
      <vt:variant>
        <vt:i4>1441844</vt:i4>
      </vt:variant>
      <vt:variant>
        <vt:i4>446</vt:i4>
      </vt:variant>
      <vt:variant>
        <vt:i4>0</vt:i4>
      </vt:variant>
      <vt:variant>
        <vt:i4>5</vt:i4>
      </vt:variant>
      <vt:variant>
        <vt:lpwstr/>
      </vt:variant>
      <vt:variant>
        <vt:lpwstr>_Toc146746743</vt:lpwstr>
      </vt:variant>
      <vt:variant>
        <vt:i4>1441844</vt:i4>
      </vt:variant>
      <vt:variant>
        <vt:i4>440</vt:i4>
      </vt:variant>
      <vt:variant>
        <vt:i4>0</vt:i4>
      </vt:variant>
      <vt:variant>
        <vt:i4>5</vt:i4>
      </vt:variant>
      <vt:variant>
        <vt:lpwstr/>
      </vt:variant>
      <vt:variant>
        <vt:lpwstr>_Toc146746742</vt:lpwstr>
      </vt:variant>
      <vt:variant>
        <vt:i4>1441844</vt:i4>
      </vt:variant>
      <vt:variant>
        <vt:i4>434</vt:i4>
      </vt:variant>
      <vt:variant>
        <vt:i4>0</vt:i4>
      </vt:variant>
      <vt:variant>
        <vt:i4>5</vt:i4>
      </vt:variant>
      <vt:variant>
        <vt:lpwstr/>
      </vt:variant>
      <vt:variant>
        <vt:lpwstr>_Toc146746741</vt:lpwstr>
      </vt:variant>
      <vt:variant>
        <vt:i4>1441844</vt:i4>
      </vt:variant>
      <vt:variant>
        <vt:i4>428</vt:i4>
      </vt:variant>
      <vt:variant>
        <vt:i4>0</vt:i4>
      </vt:variant>
      <vt:variant>
        <vt:i4>5</vt:i4>
      </vt:variant>
      <vt:variant>
        <vt:lpwstr/>
      </vt:variant>
      <vt:variant>
        <vt:lpwstr>_Toc146746740</vt:lpwstr>
      </vt:variant>
      <vt:variant>
        <vt:i4>1114164</vt:i4>
      </vt:variant>
      <vt:variant>
        <vt:i4>422</vt:i4>
      </vt:variant>
      <vt:variant>
        <vt:i4>0</vt:i4>
      </vt:variant>
      <vt:variant>
        <vt:i4>5</vt:i4>
      </vt:variant>
      <vt:variant>
        <vt:lpwstr/>
      </vt:variant>
      <vt:variant>
        <vt:lpwstr>_Toc146746739</vt:lpwstr>
      </vt:variant>
      <vt:variant>
        <vt:i4>1114164</vt:i4>
      </vt:variant>
      <vt:variant>
        <vt:i4>416</vt:i4>
      </vt:variant>
      <vt:variant>
        <vt:i4>0</vt:i4>
      </vt:variant>
      <vt:variant>
        <vt:i4>5</vt:i4>
      </vt:variant>
      <vt:variant>
        <vt:lpwstr/>
      </vt:variant>
      <vt:variant>
        <vt:lpwstr>_Toc146746738</vt:lpwstr>
      </vt:variant>
      <vt:variant>
        <vt:i4>1114164</vt:i4>
      </vt:variant>
      <vt:variant>
        <vt:i4>410</vt:i4>
      </vt:variant>
      <vt:variant>
        <vt:i4>0</vt:i4>
      </vt:variant>
      <vt:variant>
        <vt:i4>5</vt:i4>
      </vt:variant>
      <vt:variant>
        <vt:lpwstr/>
      </vt:variant>
      <vt:variant>
        <vt:lpwstr>_Toc146746737</vt:lpwstr>
      </vt:variant>
      <vt:variant>
        <vt:i4>1114164</vt:i4>
      </vt:variant>
      <vt:variant>
        <vt:i4>404</vt:i4>
      </vt:variant>
      <vt:variant>
        <vt:i4>0</vt:i4>
      </vt:variant>
      <vt:variant>
        <vt:i4>5</vt:i4>
      </vt:variant>
      <vt:variant>
        <vt:lpwstr/>
      </vt:variant>
      <vt:variant>
        <vt:lpwstr>_Toc146746736</vt:lpwstr>
      </vt:variant>
      <vt:variant>
        <vt:i4>1114164</vt:i4>
      </vt:variant>
      <vt:variant>
        <vt:i4>398</vt:i4>
      </vt:variant>
      <vt:variant>
        <vt:i4>0</vt:i4>
      </vt:variant>
      <vt:variant>
        <vt:i4>5</vt:i4>
      </vt:variant>
      <vt:variant>
        <vt:lpwstr/>
      </vt:variant>
      <vt:variant>
        <vt:lpwstr>_Toc146746735</vt:lpwstr>
      </vt:variant>
      <vt:variant>
        <vt:i4>1114164</vt:i4>
      </vt:variant>
      <vt:variant>
        <vt:i4>392</vt:i4>
      </vt:variant>
      <vt:variant>
        <vt:i4>0</vt:i4>
      </vt:variant>
      <vt:variant>
        <vt:i4>5</vt:i4>
      </vt:variant>
      <vt:variant>
        <vt:lpwstr/>
      </vt:variant>
      <vt:variant>
        <vt:lpwstr>_Toc146746734</vt:lpwstr>
      </vt:variant>
      <vt:variant>
        <vt:i4>1114164</vt:i4>
      </vt:variant>
      <vt:variant>
        <vt:i4>386</vt:i4>
      </vt:variant>
      <vt:variant>
        <vt:i4>0</vt:i4>
      </vt:variant>
      <vt:variant>
        <vt:i4>5</vt:i4>
      </vt:variant>
      <vt:variant>
        <vt:lpwstr/>
      </vt:variant>
      <vt:variant>
        <vt:lpwstr>_Toc146746733</vt:lpwstr>
      </vt:variant>
      <vt:variant>
        <vt:i4>1114164</vt:i4>
      </vt:variant>
      <vt:variant>
        <vt:i4>380</vt:i4>
      </vt:variant>
      <vt:variant>
        <vt:i4>0</vt:i4>
      </vt:variant>
      <vt:variant>
        <vt:i4>5</vt:i4>
      </vt:variant>
      <vt:variant>
        <vt:lpwstr/>
      </vt:variant>
      <vt:variant>
        <vt:lpwstr>_Toc146746732</vt:lpwstr>
      </vt:variant>
      <vt:variant>
        <vt:i4>1114164</vt:i4>
      </vt:variant>
      <vt:variant>
        <vt:i4>374</vt:i4>
      </vt:variant>
      <vt:variant>
        <vt:i4>0</vt:i4>
      </vt:variant>
      <vt:variant>
        <vt:i4>5</vt:i4>
      </vt:variant>
      <vt:variant>
        <vt:lpwstr/>
      </vt:variant>
      <vt:variant>
        <vt:lpwstr>_Toc146746731</vt:lpwstr>
      </vt:variant>
      <vt:variant>
        <vt:i4>1114164</vt:i4>
      </vt:variant>
      <vt:variant>
        <vt:i4>368</vt:i4>
      </vt:variant>
      <vt:variant>
        <vt:i4>0</vt:i4>
      </vt:variant>
      <vt:variant>
        <vt:i4>5</vt:i4>
      </vt:variant>
      <vt:variant>
        <vt:lpwstr/>
      </vt:variant>
      <vt:variant>
        <vt:lpwstr>_Toc146746730</vt:lpwstr>
      </vt:variant>
      <vt:variant>
        <vt:i4>1048628</vt:i4>
      </vt:variant>
      <vt:variant>
        <vt:i4>362</vt:i4>
      </vt:variant>
      <vt:variant>
        <vt:i4>0</vt:i4>
      </vt:variant>
      <vt:variant>
        <vt:i4>5</vt:i4>
      </vt:variant>
      <vt:variant>
        <vt:lpwstr/>
      </vt:variant>
      <vt:variant>
        <vt:lpwstr>_Toc146746729</vt:lpwstr>
      </vt:variant>
      <vt:variant>
        <vt:i4>1048628</vt:i4>
      </vt:variant>
      <vt:variant>
        <vt:i4>356</vt:i4>
      </vt:variant>
      <vt:variant>
        <vt:i4>0</vt:i4>
      </vt:variant>
      <vt:variant>
        <vt:i4>5</vt:i4>
      </vt:variant>
      <vt:variant>
        <vt:lpwstr/>
      </vt:variant>
      <vt:variant>
        <vt:lpwstr>_Toc146746728</vt:lpwstr>
      </vt:variant>
      <vt:variant>
        <vt:i4>1048628</vt:i4>
      </vt:variant>
      <vt:variant>
        <vt:i4>350</vt:i4>
      </vt:variant>
      <vt:variant>
        <vt:i4>0</vt:i4>
      </vt:variant>
      <vt:variant>
        <vt:i4>5</vt:i4>
      </vt:variant>
      <vt:variant>
        <vt:lpwstr/>
      </vt:variant>
      <vt:variant>
        <vt:lpwstr>_Toc146746727</vt:lpwstr>
      </vt:variant>
      <vt:variant>
        <vt:i4>1048628</vt:i4>
      </vt:variant>
      <vt:variant>
        <vt:i4>344</vt:i4>
      </vt:variant>
      <vt:variant>
        <vt:i4>0</vt:i4>
      </vt:variant>
      <vt:variant>
        <vt:i4>5</vt:i4>
      </vt:variant>
      <vt:variant>
        <vt:lpwstr/>
      </vt:variant>
      <vt:variant>
        <vt:lpwstr>_Toc146746726</vt:lpwstr>
      </vt:variant>
      <vt:variant>
        <vt:i4>1048628</vt:i4>
      </vt:variant>
      <vt:variant>
        <vt:i4>338</vt:i4>
      </vt:variant>
      <vt:variant>
        <vt:i4>0</vt:i4>
      </vt:variant>
      <vt:variant>
        <vt:i4>5</vt:i4>
      </vt:variant>
      <vt:variant>
        <vt:lpwstr/>
      </vt:variant>
      <vt:variant>
        <vt:lpwstr>_Toc146746725</vt:lpwstr>
      </vt:variant>
      <vt:variant>
        <vt:i4>1048628</vt:i4>
      </vt:variant>
      <vt:variant>
        <vt:i4>332</vt:i4>
      </vt:variant>
      <vt:variant>
        <vt:i4>0</vt:i4>
      </vt:variant>
      <vt:variant>
        <vt:i4>5</vt:i4>
      </vt:variant>
      <vt:variant>
        <vt:lpwstr/>
      </vt:variant>
      <vt:variant>
        <vt:lpwstr>_Toc146746724</vt:lpwstr>
      </vt:variant>
      <vt:variant>
        <vt:i4>1048628</vt:i4>
      </vt:variant>
      <vt:variant>
        <vt:i4>326</vt:i4>
      </vt:variant>
      <vt:variant>
        <vt:i4>0</vt:i4>
      </vt:variant>
      <vt:variant>
        <vt:i4>5</vt:i4>
      </vt:variant>
      <vt:variant>
        <vt:lpwstr/>
      </vt:variant>
      <vt:variant>
        <vt:lpwstr>_Toc146746723</vt:lpwstr>
      </vt:variant>
      <vt:variant>
        <vt:i4>1048628</vt:i4>
      </vt:variant>
      <vt:variant>
        <vt:i4>320</vt:i4>
      </vt:variant>
      <vt:variant>
        <vt:i4>0</vt:i4>
      </vt:variant>
      <vt:variant>
        <vt:i4>5</vt:i4>
      </vt:variant>
      <vt:variant>
        <vt:lpwstr/>
      </vt:variant>
      <vt:variant>
        <vt:lpwstr>_Toc146746722</vt:lpwstr>
      </vt:variant>
      <vt:variant>
        <vt:i4>1048628</vt:i4>
      </vt:variant>
      <vt:variant>
        <vt:i4>314</vt:i4>
      </vt:variant>
      <vt:variant>
        <vt:i4>0</vt:i4>
      </vt:variant>
      <vt:variant>
        <vt:i4>5</vt:i4>
      </vt:variant>
      <vt:variant>
        <vt:lpwstr/>
      </vt:variant>
      <vt:variant>
        <vt:lpwstr>_Toc146746721</vt:lpwstr>
      </vt:variant>
      <vt:variant>
        <vt:i4>1048628</vt:i4>
      </vt:variant>
      <vt:variant>
        <vt:i4>308</vt:i4>
      </vt:variant>
      <vt:variant>
        <vt:i4>0</vt:i4>
      </vt:variant>
      <vt:variant>
        <vt:i4>5</vt:i4>
      </vt:variant>
      <vt:variant>
        <vt:lpwstr/>
      </vt:variant>
      <vt:variant>
        <vt:lpwstr>_Toc146746720</vt:lpwstr>
      </vt:variant>
      <vt:variant>
        <vt:i4>1245236</vt:i4>
      </vt:variant>
      <vt:variant>
        <vt:i4>302</vt:i4>
      </vt:variant>
      <vt:variant>
        <vt:i4>0</vt:i4>
      </vt:variant>
      <vt:variant>
        <vt:i4>5</vt:i4>
      </vt:variant>
      <vt:variant>
        <vt:lpwstr/>
      </vt:variant>
      <vt:variant>
        <vt:lpwstr>_Toc146746719</vt:lpwstr>
      </vt:variant>
      <vt:variant>
        <vt:i4>1245236</vt:i4>
      </vt:variant>
      <vt:variant>
        <vt:i4>296</vt:i4>
      </vt:variant>
      <vt:variant>
        <vt:i4>0</vt:i4>
      </vt:variant>
      <vt:variant>
        <vt:i4>5</vt:i4>
      </vt:variant>
      <vt:variant>
        <vt:lpwstr/>
      </vt:variant>
      <vt:variant>
        <vt:lpwstr>_Toc146746718</vt:lpwstr>
      </vt:variant>
      <vt:variant>
        <vt:i4>1245236</vt:i4>
      </vt:variant>
      <vt:variant>
        <vt:i4>290</vt:i4>
      </vt:variant>
      <vt:variant>
        <vt:i4>0</vt:i4>
      </vt:variant>
      <vt:variant>
        <vt:i4>5</vt:i4>
      </vt:variant>
      <vt:variant>
        <vt:lpwstr/>
      </vt:variant>
      <vt:variant>
        <vt:lpwstr>_Toc146746717</vt:lpwstr>
      </vt:variant>
      <vt:variant>
        <vt:i4>1245236</vt:i4>
      </vt:variant>
      <vt:variant>
        <vt:i4>284</vt:i4>
      </vt:variant>
      <vt:variant>
        <vt:i4>0</vt:i4>
      </vt:variant>
      <vt:variant>
        <vt:i4>5</vt:i4>
      </vt:variant>
      <vt:variant>
        <vt:lpwstr/>
      </vt:variant>
      <vt:variant>
        <vt:lpwstr>_Toc146746716</vt:lpwstr>
      </vt:variant>
      <vt:variant>
        <vt:i4>1245236</vt:i4>
      </vt:variant>
      <vt:variant>
        <vt:i4>278</vt:i4>
      </vt:variant>
      <vt:variant>
        <vt:i4>0</vt:i4>
      </vt:variant>
      <vt:variant>
        <vt:i4>5</vt:i4>
      </vt:variant>
      <vt:variant>
        <vt:lpwstr/>
      </vt:variant>
      <vt:variant>
        <vt:lpwstr>_Toc146746715</vt:lpwstr>
      </vt:variant>
      <vt:variant>
        <vt:i4>1245236</vt:i4>
      </vt:variant>
      <vt:variant>
        <vt:i4>272</vt:i4>
      </vt:variant>
      <vt:variant>
        <vt:i4>0</vt:i4>
      </vt:variant>
      <vt:variant>
        <vt:i4>5</vt:i4>
      </vt:variant>
      <vt:variant>
        <vt:lpwstr/>
      </vt:variant>
      <vt:variant>
        <vt:lpwstr>_Toc146746714</vt:lpwstr>
      </vt:variant>
      <vt:variant>
        <vt:i4>1245236</vt:i4>
      </vt:variant>
      <vt:variant>
        <vt:i4>266</vt:i4>
      </vt:variant>
      <vt:variant>
        <vt:i4>0</vt:i4>
      </vt:variant>
      <vt:variant>
        <vt:i4>5</vt:i4>
      </vt:variant>
      <vt:variant>
        <vt:lpwstr/>
      </vt:variant>
      <vt:variant>
        <vt:lpwstr>_Toc146746713</vt:lpwstr>
      </vt:variant>
      <vt:variant>
        <vt:i4>1245236</vt:i4>
      </vt:variant>
      <vt:variant>
        <vt:i4>260</vt:i4>
      </vt:variant>
      <vt:variant>
        <vt:i4>0</vt:i4>
      </vt:variant>
      <vt:variant>
        <vt:i4>5</vt:i4>
      </vt:variant>
      <vt:variant>
        <vt:lpwstr/>
      </vt:variant>
      <vt:variant>
        <vt:lpwstr>_Toc146746712</vt:lpwstr>
      </vt:variant>
      <vt:variant>
        <vt:i4>1245236</vt:i4>
      </vt:variant>
      <vt:variant>
        <vt:i4>254</vt:i4>
      </vt:variant>
      <vt:variant>
        <vt:i4>0</vt:i4>
      </vt:variant>
      <vt:variant>
        <vt:i4>5</vt:i4>
      </vt:variant>
      <vt:variant>
        <vt:lpwstr/>
      </vt:variant>
      <vt:variant>
        <vt:lpwstr>_Toc146746711</vt:lpwstr>
      </vt:variant>
      <vt:variant>
        <vt:i4>1245236</vt:i4>
      </vt:variant>
      <vt:variant>
        <vt:i4>248</vt:i4>
      </vt:variant>
      <vt:variant>
        <vt:i4>0</vt:i4>
      </vt:variant>
      <vt:variant>
        <vt:i4>5</vt:i4>
      </vt:variant>
      <vt:variant>
        <vt:lpwstr/>
      </vt:variant>
      <vt:variant>
        <vt:lpwstr>_Toc146746710</vt:lpwstr>
      </vt:variant>
      <vt:variant>
        <vt:i4>1179700</vt:i4>
      </vt:variant>
      <vt:variant>
        <vt:i4>242</vt:i4>
      </vt:variant>
      <vt:variant>
        <vt:i4>0</vt:i4>
      </vt:variant>
      <vt:variant>
        <vt:i4>5</vt:i4>
      </vt:variant>
      <vt:variant>
        <vt:lpwstr/>
      </vt:variant>
      <vt:variant>
        <vt:lpwstr>_Toc146746709</vt:lpwstr>
      </vt:variant>
      <vt:variant>
        <vt:i4>1179700</vt:i4>
      </vt:variant>
      <vt:variant>
        <vt:i4>236</vt:i4>
      </vt:variant>
      <vt:variant>
        <vt:i4>0</vt:i4>
      </vt:variant>
      <vt:variant>
        <vt:i4>5</vt:i4>
      </vt:variant>
      <vt:variant>
        <vt:lpwstr/>
      </vt:variant>
      <vt:variant>
        <vt:lpwstr>_Toc146746708</vt:lpwstr>
      </vt:variant>
      <vt:variant>
        <vt:i4>1179700</vt:i4>
      </vt:variant>
      <vt:variant>
        <vt:i4>230</vt:i4>
      </vt:variant>
      <vt:variant>
        <vt:i4>0</vt:i4>
      </vt:variant>
      <vt:variant>
        <vt:i4>5</vt:i4>
      </vt:variant>
      <vt:variant>
        <vt:lpwstr/>
      </vt:variant>
      <vt:variant>
        <vt:lpwstr>_Toc146746707</vt:lpwstr>
      </vt:variant>
      <vt:variant>
        <vt:i4>1179700</vt:i4>
      </vt:variant>
      <vt:variant>
        <vt:i4>224</vt:i4>
      </vt:variant>
      <vt:variant>
        <vt:i4>0</vt:i4>
      </vt:variant>
      <vt:variant>
        <vt:i4>5</vt:i4>
      </vt:variant>
      <vt:variant>
        <vt:lpwstr/>
      </vt:variant>
      <vt:variant>
        <vt:lpwstr>_Toc146746706</vt:lpwstr>
      </vt:variant>
      <vt:variant>
        <vt:i4>1179700</vt:i4>
      </vt:variant>
      <vt:variant>
        <vt:i4>218</vt:i4>
      </vt:variant>
      <vt:variant>
        <vt:i4>0</vt:i4>
      </vt:variant>
      <vt:variant>
        <vt:i4>5</vt:i4>
      </vt:variant>
      <vt:variant>
        <vt:lpwstr/>
      </vt:variant>
      <vt:variant>
        <vt:lpwstr>_Toc146746705</vt:lpwstr>
      </vt:variant>
      <vt:variant>
        <vt:i4>1179700</vt:i4>
      </vt:variant>
      <vt:variant>
        <vt:i4>212</vt:i4>
      </vt:variant>
      <vt:variant>
        <vt:i4>0</vt:i4>
      </vt:variant>
      <vt:variant>
        <vt:i4>5</vt:i4>
      </vt:variant>
      <vt:variant>
        <vt:lpwstr/>
      </vt:variant>
      <vt:variant>
        <vt:lpwstr>_Toc146746704</vt:lpwstr>
      </vt:variant>
      <vt:variant>
        <vt:i4>1179700</vt:i4>
      </vt:variant>
      <vt:variant>
        <vt:i4>206</vt:i4>
      </vt:variant>
      <vt:variant>
        <vt:i4>0</vt:i4>
      </vt:variant>
      <vt:variant>
        <vt:i4>5</vt:i4>
      </vt:variant>
      <vt:variant>
        <vt:lpwstr/>
      </vt:variant>
      <vt:variant>
        <vt:lpwstr>_Toc146746703</vt:lpwstr>
      </vt:variant>
      <vt:variant>
        <vt:i4>1179700</vt:i4>
      </vt:variant>
      <vt:variant>
        <vt:i4>200</vt:i4>
      </vt:variant>
      <vt:variant>
        <vt:i4>0</vt:i4>
      </vt:variant>
      <vt:variant>
        <vt:i4>5</vt:i4>
      </vt:variant>
      <vt:variant>
        <vt:lpwstr/>
      </vt:variant>
      <vt:variant>
        <vt:lpwstr>_Toc146746702</vt:lpwstr>
      </vt:variant>
      <vt:variant>
        <vt:i4>1179700</vt:i4>
      </vt:variant>
      <vt:variant>
        <vt:i4>194</vt:i4>
      </vt:variant>
      <vt:variant>
        <vt:i4>0</vt:i4>
      </vt:variant>
      <vt:variant>
        <vt:i4>5</vt:i4>
      </vt:variant>
      <vt:variant>
        <vt:lpwstr/>
      </vt:variant>
      <vt:variant>
        <vt:lpwstr>_Toc146746701</vt:lpwstr>
      </vt:variant>
      <vt:variant>
        <vt:i4>1179700</vt:i4>
      </vt:variant>
      <vt:variant>
        <vt:i4>188</vt:i4>
      </vt:variant>
      <vt:variant>
        <vt:i4>0</vt:i4>
      </vt:variant>
      <vt:variant>
        <vt:i4>5</vt:i4>
      </vt:variant>
      <vt:variant>
        <vt:lpwstr/>
      </vt:variant>
      <vt:variant>
        <vt:lpwstr>_Toc146746700</vt:lpwstr>
      </vt:variant>
      <vt:variant>
        <vt:i4>1769525</vt:i4>
      </vt:variant>
      <vt:variant>
        <vt:i4>182</vt:i4>
      </vt:variant>
      <vt:variant>
        <vt:i4>0</vt:i4>
      </vt:variant>
      <vt:variant>
        <vt:i4>5</vt:i4>
      </vt:variant>
      <vt:variant>
        <vt:lpwstr/>
      </vt:variant>
      <vt:variant>
        <vt:lpwstr>_Toc146746699</vt:lpwstr>
      </vt:variant>
      <vt:variant>
        <vt:i4>1769525</vt:i4>
      </vt:variant>
      <vt:variant>
        <vt:i4>176</vt:i4>
      </vt:variant>
      <vt:variant>
        <vt:i4>0</vt:i4>
      </vt:variant>
      <vt:variant>
        <vt:i4>5</vt:i4>
      </vt:variant>
      <vt:variant>
        <vt:lpwstr/>
      </vt:variant>
      <vt:variant>
        <vt:lpwstr>_Toc146746698</vt:lpwstr>
      </vt:variant>
      <vt:variant>
        <vt:i4>1769525</vt:i4>
      </vt:variant>
      <vt:variant>
        <vt:i4>170</vt:i4>
      </vt:variant>
      <vt:variant>
        <vt:i4>0</vt:i4>
      </vt:variant>
      <vt:variant>
        <vt:i4>5</vt:i4>
      </vt:variant>
      <vt:variant>
        <vt:lpwstr/>
      </vt:variant>
      <vt:variant>
        <vt:lpwstr>_Toc146746697</vt:lpwstr>
      </vt:variant>
      <vt:variant>
        <vt:i4>1769525</vt:i4>
      </vt:variant>
      <vt:variant>
        <vt:i4>164</vt:i4>
      </vt:variant>
      <vt:variant>
        <vt:i4>0</vt:i4>
      </vt:variant>
      <vt:variant>
        <vt:i4>5</vt:i4>
      </vt:variant>
      <vt:variant>
        <vt:lpwstr/>
      </vt:variant>
      <vt:variant>
        <vt:lpwstr>_Toc146746696</vt:lpwstr>
      </vt:variant>
      <vt:variant>
        <vt:i4>1769525</vt:i4>
      </vt:variant>
      <vt:variant>
        <vt:i4>158</vt:i4>
      </vt:variant>
      <vt:variant>
        <vt:i4>0</vt:i4>
      </vt:variant>
      <vt:variant>
        <vt:i4>5</vt:i4>
      </vt:variant>
      <vt:variant>
        <vt:lpwstr/>
      </vt:variant>
      <vt:variant>
        <vt:lpwstr>_Toc146746695</vt:lpwstr>
      </vt:variant>
      <vt:variant>
        <vt:i4>1769525</vt:i4>
      </vt:variant>
      <vt:variant>
        <vt:i4>152</vt:i4>
      </vt:variant>
      <vt:variant>
        <vt:i4>0</vt:i4>
      </vt:variant>
      <vt:variant>
        <vt:i4>5</vt:i4>
      </vt:variant>
      <vt:variant>
        <vt:lpwstr/>
      </vt:variant>
      <vt:variant>
        <vt:lpwstr>_Toc146746694</vt:lpwstr>
      </vt:variant>
      <vt:variant>
        <vt:i4>1769525</vt:i4>
      </vt:variant>
      <vt:variant>
        <vt:i4>146</vt:i4>
      </vt:variant>
      <vt:variant>
        <vt:i4>0</vt:i4>
      </vt:variant>
      <vt:variant>
        <vt:i4>5</vt:i4>
      </vt:variant>
      <vt:variant>
        <vt:lpwstr/>
      </vt:variant>
      <vt:variant>
        <vt:lpwstr>_Toc146746693</vt:lpwstr>
      </vt:variant>
      <vt:variant>
        <vt:i4>1769525</vt:i4>
      </vt:variant>
      <vt:variant>
        <vt:i4>140</vt:i4>
      </vt:variant>
      <vt:variant>
        <vt:i4>0</vt:i4>
      </vt:variant>
      <vt:variant>
        <vt:i4>5</vt:i4>
      </vt:variant>
      <vt:variant>
        <vt:lpwstr/>
      </vt:variant>
      <vt:variant>
        <vt:lpwstr>_Toc146746692</vt:lpwstr>
      </vt:variant>
      <vt:variant>
        <vt:i4>1769525</vt:i4>
      </vt:variant>
      <vt:variant>
        <vt:i4>134</vt:i4>
      </vt:variant>
      <vt:variant>
        <vt:i4>0</vt:i4>
      </vt:variant>
      <vt:variant>
        <vt:i4>5</vt:i4>
      </vt:variant>
      <vt:variant>
        <vt:lpwstr/>
      </vt:variant>
      <vt:variant>
        <vt:lpwstr>_Toc146746691</vt:lpwstr>
      </vt:variant>
      <vt:variant>
        <vt:i4>1769525</vt:i4>
      </vt:variant>
      <vt:variant>
        <vt:i4>128</vt:i4>
      </vt:variant>
      <vt:variant>
        <vt:i4>0</vt:i4>
      </vt:variant>
      <vt:variant>
        <vt:i4>5</vt:i4>
      </vt:variant>
      <vt:variant>
        <vt:lpwstr/>
      </vt:variant>
      <vt:variant>
        <vt:lpwstr>_Toc146746690</vt:lpwstr>
      </vt:variant>
      <vt:variant>
        <vt:i4>1703989</vt:i4>
      </vt:variant>
      <vt:variant>
        <vt:i4>122</vt:i4>
      </vt:variant>
      <vt:variant>
        <vt:i4>0</vt:i4>
      </vt:variant>
      <vt:variant>
        <vt:i4>5</vt:i4>
      </vt:variant>
      <vt:variant>
        <vt:lpwstr/>
      </vt:variant>
      <vt:variant>
        <vt:lpwstr>_Toc146746689</vt:lpwstr>
      </vt:variant>
      <vt:variant>
        <vt:i4>1703989</vt:i4>
      </vt:variant>
      <vt:variant>
        <vt:i4>116</vt:i4>
      </vt:variant>
      <vt:variant>
        <vt:i4>0</vt:i4>
      </vt:variant>
      <vt:variant>
        <vt:i4>5</vt:i4>
      </vt:variant>
      <vt:variant>
        <vt:lpwstr/>
      </vt:variant>
      <vt:variant>
        <vt:lpwstr>_Toc146746688</vt:lpwstr>
      </vt:variant>
      <vt:variant>
        <vt:i4>1703989</vt:i4>
      </vt:variant>
      <vt:variant>
        <vt:i4>110</vt:i4>
      </vt:variant>
      <vt:variant>
        <vt:i4>0</vt:i4>
      </vt:variant>
      <vt:variant>
        <vt:i4>5</vt:i4>
      </vt:variant>
      <vt:variant>
        <vt:lpwstr/>
      </vt:variant>
      <vt:variant>
        <vt:lpwstr>_Toc146746687</vt:lpwstr>
      </vt:variant>
      <vt:variant>
        <vt:i4>1703989</vt:i4>
      </vt:variant>
      <vt:variant>
        <vt:i4>104</vt:i4>
      </vt:variant>
      <vt:variant>
        <vt:i4>0</vt:i4>
      </vt:variant>
      <vt:variant>
        <vt:i4>5</vt:i4>
      </vt:variant>
      <vt:variant>
        <vt:lpwstr/>
      </vt:variant>
      <vt:variant>
        <vt:lpwstr>_Toc146746686</vt:lpwstr>
      </vt:variant>
      <vt:variant>
        <vt:i4>1703989</vt:i4>
      </vt:variant>
      <vt:variant>
        <vt:i4>98</vt:i4>
      </vt:variant>
      <vt:variant>
        <vt:i4>0</vt:i4>
      </vt:variant>
      <vt:variant>
        <vt:i4>5</vt:i4>
      </vt:variant>
      <vt:variant>
        <vt:lpwstr/>
      </vt:variant>
      <vt:variant>
        <vt:lpwstr>_Toc146746685</vt:lpwstr>
      </vt:variant>
      <vt:variant>
        <vt:i4>1703989</vt:i4>
      </vt:variant>
      <vt:variant>
        <vt:i4>92</vt:i4>
      </vt:variant>
      <vt:variant>
        <vt:i4>0</vt:i4>
      </vt:variant>
      <vt:variant>
        <vt:i4>5</vt:i4>
      </vt:variant>
      <vt:variant>
        <vt:lpwstr/>
      </vt:variant>
      <vt:variant>
        <vt:lpwstr>_Toc146746684</vt:lpwstr>
      </vt:variant>
      <vt:variant>
        <vt:i4>1703989</vt:i4>
      </vt:variant>
      <vt:variant>
        <vt:i4>86</vt:i4>
      </vt:variant>
      <vt:variant>
        <vt:i4>0</vt:i4>
      </vt:variant>
      <vt:variant>
        <vt:i4>5</vt:i4>
      </vt:variant>
      <vt:variant>
        <vt:lpwstr/>
      </vt:variant>
      <vt:variant>
        <vt:lpwstr>_Toc146746683</vt:lpwstr>
      </vt:variant>
      <vt:variant>
        <vt:i4>1703989</vt:i4>
      </vt:variant>
      <vt:variant>
        <vt:i4>80</vt:i4>
      </vt:variant>
      <vt:variant>
        <vt:i4>0</vt:i4>
      </vt:variant>
      <vt:variant>
        <vt:i4>5</vt:i4>
      </vt:variant>
      <vt:variant>
        <vt:lpwstr/>
      </vt:variant>
      <vt:variant>
        <vt:lpwstr>_Toc146746682</vt:lpwstr>
      </vt:variant>
      <vt:variant>
        <vt:i4>1703989</vt:i4>
      </vt:variant>
      <vt:variant>
        <vt:i4>74</vt:i4>
      </vt:variant>
      <vt:variant>
        <vt:i4>0</vt:i4>
      </vt:variant>
      <vt:variant>
        <vt:i4>5</vt:i4>
      </vt:variant>
      <vt:variant>
        <vt:lpwstr/>
      </vt:variant>
      <vt:variant>
        <vt:lpwstr>_Toc146746681</vt:lpwstr>
      </vt:variant>
      <vt:variant>
        <vt:i4>1703989</vt:i4>
      </vt:variant>
      <vt:variant>
        <vt:i4>68</vt:i4>
      </vt:variant>
      <vt:variant>
        <vt:i4>0</vt:i4>
      </vt:variant>
      <vt:variant>
        <vt:i4>5</vt:i4>
      </vt:variant>
      <vt:variant>
        <vt:lpwstr/>
      </vt:variant>
      <vt:variant>
        <vt:lpwstr>_Toc146746680</vt:lpwstr>
      </vt:variant>
      <vt:variant>
        <vt:i4>1376309</vt:i4>
      </vt:variant>
      <vt:variant>
        <vt:i4>62</vt:i4>
      </vt:variant>
      <vt:variant>
        <vt:i4>0</vt:i4>
      </vt:variant>
      <vt:variant>
        <vt:i4>5</vt:i4>
      </vt:variant>
      <vt:variant>
        <vt:lpwstr/>
      </vt:variant>
      <vt:variant>
        <vt:lpwstr>_Toc146746679</vt:lpwstr>
      </vt:variant>
      <vt:variant>
        <vt:i4>1376309</vt:i4>
      </vt:variant>
      <vt:variant>
        <vt:i4>56</vt:i4>
      </vt:variant>
      <vt:variant>
        <vt:i4>0</vt:i4>
      </vt:variant>
      <vt:variant>
        <vt:i4>5</vt:i4>
      </vt:variant>
      <vt:variant>
        <vt:lpwstr/>
      </vt:variant>
      <vt:variant>
        <vt:lpwstr>_Toc146746678</vt:lpwstr>
      </vt:variant>
      <vt:variant>
        <vt:i4>1376309</vt:i4>
      </vt:variant>
      <vt:variant>
        <vt:i4>50</vt:i4>
      </vt:variant>
      <vt:variant>
        <vt:i4>0</vt:i4>
      </vt:variant>
      <vt:variant>
        <vt:i4>5</vt:i4>
      </vt:variant>
      <vt:variant>
        <vt:lpwstr/>
      </vt:variant>
      <vt:variant>
        <vt:lpwstr>_Toc146746677</vt:lpwstr>
      </vt:variant>
      <vt:variant>
        <vt:i4>1376309</vt:i4>
      </vt:variant>
      <vt:variant>
        <vt:i4>44</vt:i4>
      </vt:variant>
      <vt:variant>
        <vt:i4>0</vt:i4>
      </vt:variant>
      <vt:variant>
        <vt:i4>5</vt:i4>
      </vt:variant>
      <vt:variant>
        <vt:lpwstr/>
      </vt:variant>
      <vt:variant>
        <vt:lpwstr>_Toc146746676</vt:lpwstr>
      </vt:variant>
      <vt:variant>
        <vt:i4>1376309</vt:i4>
      </vt:variant>
      <vt:variant>
        <vt:i4>38</vt:i4>
      </vt:variant>
      <vt:variant>
        <vt:i4>0</vt:i4>
      </vt:variant>
      <vt:variant>
        <vt:i4>5</vt:i4>
      </vt:variant>
      <vt:variant>
        <vt:lpwstr/>
      </vt:variant>
      <vt:variant>
        <vt:lpwstr>_Toc146746675</vt:lpwstr>
      </vt:variant>
      <vt:variant>
        <vt:i4>1376309</vt:i4>
      </vt:variant>
      <vt:variant>
        <vt:i4>32</vt:i4>
      </vt:variant>
      <vt:variant>
        <vt:i4>0</vt:i4>
      </vt:variant>
      <vt:variant>
        <vt:i4>5</vt:i4>
      </vt:variant>
      <vt:variant>
        <vt:lpwstr/>
      </vt:variant>
      <vt:variant>
        <vt:lpwstr>_Toc146746674</vt:lpwstr>
      </vt:variant>
      <vt:variant>
        <vt:i4>1376309</vt:i4>
      </vt:variant>
      <vt:variant>
        <vt:i4>26</vt:i4>
      </vt:variant>
      <vt:variant>
        <vt:i4>0</vt:i4>
      </vt:variant>
      <vt:variant>
        <vt:i4>5</vt:i4>
      </vt:variant>
      <vt:variant>
        <vt:lpwstr/>
      </vt:variant>
      <vt:variant>
        <vt:lpwstr>_Toc146746673</vt:lpwstr>
      </vt:variant>
      <vt:variant>
        <vt:i4>1376309</vt:i4>
      </vt:variant>
      <vt:variant>
        <vt:i4>20</vt:i4>
      </vt:variant>
      <vt:variant>
        <vt:i4>0</vt:i4>
      </vt:variant>
      <vt:variant>
        <vt:i4>5</vt:i4>
      </vt:variant>
      <vt:variant>
        <vt:lpwstr/>
      </vt:variant>
      <vt:variant>
        <vt:lpwstr>_Toc146746672</vt:lpwstr>
      </vt:variant>
      <vt:variant>
        <vt:i4>1376309</vt:i4>
      </vt:variant>
      <vt:variant>
        <vt:i4>14</vt:i4>
      </vt:variant>
      <vt:variant>
        <vt:i4>0</vt:i4>
      </vt:variant>
      <vt:variant>
        <vt:i4>5</vt:i4>
      </vt:variant>
      <vt:variant>
        <vt:lpwstr/>
      </vt:variant>
      <vt:variant>
        <vt:lpwstr>_Toc146746671</vt:lpwstr>
      </vt:variant>
      <vt:variant>
        <vt:i4>1376309</vt:i4>
      </vt:variant>
      <vt:variant>
        <vt:i4>8</vt:i4>
      </vt:variant>
      <vt:variant>
        <vt:i4>0</vt:i4>
      </vt:variant>
      <vt:variant>
        <vt:i4>5</vt:i4>
      </vt:variant>
      <vt:variant>
        <vt:lpwstr/>
      </vt:variant>
      <vt:variant>
        <vt:lpwstr>_Toc146746670</vt:lpwstr>
      </vt:variant>
      <vt:variant>
        <vt:i4>1310773</vt:i4>
      </vt:variant>
      <vt:variant>
        <vt:i4>2</vt:i4>
      </vt:variant>
      <vt:variant>
        <vt:i4>0</vt:i4>
      </vt:variant>
      <vt:variant>
        <vt:i4>5</vt:i4>
      </vt:variant>
      <vt:variant>
        <vt:lpwstr/>
      </vt:variant>
      <vt:variant>
        <vt:lpwstr>_Toc146746669</vt:lpwstr>
      </vt:variant>
      <vt:variant>
        <vt:i4>8060989</vt:i4>
      </vt:variant>
      <vt:variant>
        <vt:i4>3</vt:i4>
      </vt:variant>
      <vt:variant>
        <vt:i4>0</vt:i4>
      </vt:variant>
      <vt:variant>
        <vt:i4>5</vt:i4>
      </vt:variant>
      <vt:variant>
        <vt:lpwstr>http://www.gww.com.au/</vt:lpwstr>
      </vt:variant>
      <vt:variant>
        <vt:lpwstr/>
      </vt:variant>
      <vt:variant>
        <vt:i4>458826</vt:i4>
      </vt:variant>
      <vt:variant>
        <vt:i4>0</vt:i4>
      </vt:variant>
      <vt:variant>
        <vt:i4>0</vt:i4>
      </vt:variant>
      <vt:variant>
        <vt:i4>5</vt:i4>
      </vt:variant>
      <vt:variant>
        <vt:lpwstr>https://www.ato.gov.au/law/view/document?docid=LIT/ICD/VID237-240of2019/00001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Price Submission</dc:title>
  <dc:subject/>
  <dc:creator>Timplates</dc:creator>
  <cp:keywords/>
  <dc:description/>
  <cp:lastModifiedBy>Gary Minato</cp:lastModifiedBy>
  <cp:revision>2</cp:revision>
  <cp:lastPrinted>2023-09-22T02:23:00Z</cp:lastPrinted>
  <dcterms:created xsi:type="dcterms:W3CDTF">2023-10-04T21:32:00Z</dcterms:created>
  <dcterms:modified xsi:type="dcterms:W3CDTF">2023-10-04T21:32:00Z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73013dbd6059c5c006eded8ec70603b13e2a095e15e23f145fe24b1ee6102fae</vt:lpwstr>
  </property>
  <property fmtid="{D5CDD505-2E9C-101B-9397-08002B2CF9AE}" pid="3" name="ContentTypeId">
    <vt:lpwstr>0x01010077DDE54CE5611147AE0E3B642645A0B9</vt:lpwstr>
  </property>
  <property fmtid="{D5CDD505-2E9C-101B-9397-08002B2CF9AE}" pid="4" name="MSIP_Label_c2bfee47-8a3f-4f85-acf6-5afe02eeb79a_Enabled">
    <vt:lpwstr>true</vt:lpwstr>
  </property>
  <property fmtid="{D5CDD505-2E9C-101B-9397-08002B2CF9AE}" pid="5" name="MSIP_Label_c2bfee47-8a3f-4f85-acf6-5afe02eeb79a_SetDate">
    <vt:lpwstr>2023-07-25T03:35:29Z</vt:lpwstr>
  </property>
  <property fmtid="{D5CDD505-2E9C-101B-9397-08002B2CF9AE}" pid="6" name="MSIP_Label_c2bfee47-8a3f-4f85-acf6-5afe02eeb79a_Method">
    <vt:lpwstr>Standard</vt:lpwstr>
  </property>
  <property fmtid="{D5CDD505-2E9C-101B-9397-08002B2CF9AE}" pid="7" name="MSIP_Label_c2bfee47-8a3f-4f85-acf6-5afe02eeb79a_Name">
    <vt:lpwstr>OFFICIAL</vt:lpwstr>
  </property>
  <property fmtid="{D5CDD505-2E9C-101B-9397-08002B2CF9AE}" pid="8" name="MSIP_Label_c2bfee47-8a3f-4f85-acf6-5afe02eeb79a_SiteId">
    <vt:lpwstr>7a493629-db1d-42d1-bc9d-b9d81f17ddf3</vt:lpwstr>
  </property>
  <property fmtid="{D5CDD505-2E9C-101B-9397-08002B2CF9AE}" pid="9" name="MSIP_Label_c2bfee47-8a3f-4f85-acf6-5afe02eeb79a_ActionId">
    <vt:lpwstr>d9d5551d-a324-454b-b080-718f13d5951b</vt:lpwstr>
  </property>
  <property fmtid="{D5CDD505-2E9C-101B-9397-08002B2CF9AE}" pid="10" name="MSIP_Label_c2bfee47-8a3f-4f85-acf6-5afe02eeb79a_ContentBits">
    <vt:lpwstr>0</vt:lpwstr>
  </property>
  <property fmtid="{D5CDD505-2E9C-101B-9397-08002B2CF9AE}" pid="11" name="MediaServiceImageTags">
    <vt:lpwstr/>
  </property>
</Properties>
</file>